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19"/>
        <w:spacing w:after="0"/>
        <w:rPr>
          <w:sz w:val="20"/>
          <w:szCs w:val="20"/>
          <w:color w:val="auto"/>
        </w:rPr>
      </w:pPr>
      <w:r>
        <w:rPr>
          <w:rFonts w:ascii="Arial" w:cs="Arial" w:eastAsia="Arial" w:hAnsi="Arial"/>
          <w:sz w:val="22"/>
          <w:szCs w:val="22"/>
          <w:b w:val="1"/>
          <w:bCs w:val="1"/>
          <w:color w:val="auto"/>
        </w:rPr>
        <w:t>Washington, D.C. 20549</w:t>
      </w:r>
    </w:p>
    <w:p>
      <w:pPr>
        <w:spacing w:after="0" w:line="60"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SCHEDULE 14A INFORMATION</w:t>
      </w:r>
    </w:p>
    <w:p>
      <w:pPr>
        <w:spacing w:after="0" w:line="118"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Securities Exchange Act of 1934</w:t>
      </w:r>
    </w:p>
    <w:p>
      <w:pPr>
        <w:jc w:val="center"/>
        <w:ind w:right="-419"/>
        <w:spacing w:after="0"/>
        <w:rPr>
          <w:sz w:val="20"/>
          <w:szCs w:val="20"/>
          <w:color w:val="auto"/>
        </w:rPr>
      </w:pPr>
      <w:r>
        <w:rPr>
          <w:rFonts w:ascii="Arial" w:cs="Arial" w:eastAsia="Arial" w:hAnsi="Arial"/>
          <w:sz w:val="22"/>
          <w:szCs w:val="22"/>
          <w:b w:val="1"/>
          <w:bCs w:val="1"/>
          <w:color w:val="auto"/>
        </w:rPr>
        <w:t>(Amendment No. ^ )</w:t>
      </w:r>
    </w:p>
    <w:p>
      <w:pPr>
        <w:spacing w:after="0" w:line="61" w:lineRule="exact"/>
        <w:rPr>
          <w:sz w:val="24"/>
          <w:szCs w:val="24"/>
          <w:color w:val="auto"/>
        </w:rPr>
      </w:pPr>
    </w:p>
    <w:p>
      <w:pPr>
        <w:ind w:left="20"/>
        <w:spacing w:after="0" w:line="207" w:lineRule="exact"/>
        <w:tabs>
          <w:tab w:leader="none" w:pos="30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150"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7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7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50"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0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76"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82" w:lineRule="exact"/>
        <w:rPr>
          <w:sz w:val="24"/>
          <w:szCs w:val="24"/>
          <w:color w:val="auto"/>
        </w:rPr>
      </w:pPr>
    </w:p>
    <w:p>
      <w:pPr>
        <w:jc w:val="center"/>
        <w:ind w:right="-419"/>
        <w:spacing w:after="0"/>
        <w:rPr>
          <w:sz w:val="20"/>
          <w:szCs w:val="20"/>
          <w:color w:val="auto"/>
        </w:rPr>
      </w:pPr>
      <w:r>
        <w:rPr>
          <w:rFonts w:ascii="Arial" w:cs="Arial" w:eastAsia="Arial" w:hAnsi="Arial"/>
          <w:sz w:val="43"/>
          <w:szCs w:val="43"/>
          <w:b w:val="1"/>
          <w:bCs w:val="1"/>
          <w:color w:val="auto"/>
        </w:rPr>
        <w:t>HURON CONSULTING GROUP INC.</w:t>
      </w:r>
    </w:p>
    <w:p>
      <w:pPr>
        <w:spacing w:after="0" w:line="54"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97"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w:t>
      </w:r>
    </w:p>
    <w:p>
      <w:pPr>
        <w:spacing w:after="0" w:line="21" w:lineRule="exact"/>
        <w:rPr>
          <w:sz w:val="24"/>
          <w:szCs w:val="24"/>
          <w:color w:val="auto"/>
        </w:rPr>
      </w:pPr>
    </w:p>
    <w:p>
      <w:pPr>
        <w:ind w:left="3600"/>
        <w:spacing w:after="0"/>
        <w:rPr>
          <w:sz w:val="20"/>
          <w:szCs w:val="20"/>
          <w:color w:val="auto"/>
        </w:rPr>
      </w:pPr>
      <w:r>
        <w:rPr>
          <w:rFonts w:ascii="Arial" w:cs="Arial" w:eastAsia="Arial" w:hAnsi="Arial"/>
          <w:sz w:val="13"/>
          <w:szCs w:val="13"/>
          <w:b w:val="1"/>
          <w:bCs w:val="1"/>
          <w:color w:val="auto"/>
        </w:rPr>
        <w:t>(Name of person(s) filing proxy statement, if other than the registrant)</w:t>
      </w:r>
    </w:p>
    <w:p>
      <w:pPr>
        <w:spacing w:after="0" w:line="10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7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76" w:lineRule="exact"/>
        <w:rPr>
          <w:rFonts w:ascii="MS PGothic" w:cs="MS PGothic" w:eastAsia="MS PGothic" w:hAnsi="MS PGothic"/>
          <w:sz w:val="18"/>
          <w:szCs w:val="18"/>
          <w:color w:val="auto"/>
        </w:rPr>
      </w:pPr>
    </w:p>
    <w:p>
      <w:pPr>
        <w:ind w:left="1000" w:hanging="547"/>
        <w:spacing w:after="0"/>
        <w:tabs>
          <w:tab w:leader="none" w:pos="10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the transaction applies:</w:t>
      </w:r>
    </w:p>
    <w:p>
      <w:pPr>
        <w:spacing w:after="0" w:line="111"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287655</wp:posOffset>
            </wp:positionH>
            <wp:positionV relativeFrom="paragraph">
              <wp:posOffset>14605</wp:posOffset>
            </wp:positionV>
            <wp:extent cx="68491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49110" cy="8255"/>
                    </a:xfrm>
                    <a:prstGeom prst="rect">
                      <a:avLst/>
                    </a:prstGeom>
                    <a:noFill/>
                  </pic:spPr>
                </pic:pic>
              </a:graphicData>
            </a:graphic>
          </wp:anchor>
        </w:drawing>
      </w:r>
    </w:p>
    <w:p>
      <w:pPr>
        <w:spacing w:after="0" w:line="36" w:lineRule="exact"/>
        <w:rPr>
          <w:sz w:val="24"/>
          <w:szCs w:val="24"/>
          <w:color w:val="auto"/>
        </w:rPr>
      </w:pPr>
    </w:p>
    <w:p>
      <w:pPr>
        <w:ind w:left="1000" w:hanging="547"/>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the transaction applies:</w:t>
      </w:r>
    </w:p>
    <w:p>
      <w:pPr>
        <w:spacing w:after="0" w:line="111"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287655</wp:posOffset>
            </wp:positionH>
            <wp:positionV relativeFrom="paragraph">
              <wp:posOffset>14605</wp:posOffset>
            </wp:positionV>
            <wp:extent cx="68491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49110" cy="8255"/>
                    </a:xfrm>
                    <a:prstGeom prst="rect">
                      <a:avLst/>
                    </a:prstGeom>
                    <a:noFill/>
                  </pic:spPr>
                </pic:pic>
              </a:graphicData>
            </a:graphic>
          </wp:anchor>
        </w:drawing>
      </w:r>
    </w:p>
    <w:p>
      <w:pPr>
        <w:spacing w:after="0" w:line="36" w:lineRule="exact"/>
        <w:rPr>
          <w:sz w:val="24"/>
          <w:szCs w:val="24"/>
          <w:color w:val="auto"/>
        </w:rPr>
      </w:pPr>
    </w:p>
    <w:p>
      <w:pPr>
        <w:ind w:left="1000" w:hanging="547"/>
        <w:spacing w:after="0" w:line="268"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the transaction computed pursuant to Exchange Act Rule 0-11 (set forth the amount on which the filing fee is calculated and state how it was determined):</w:t>
      </w:r>
    </w:p>
    <w:p>
      <w:pPr>
        <w:spacing w:after="0" w:line="72"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w:t>
      </w:r>
    </w:p>
    <w:p>
      <w:pPr>
        <w:spacing w:after="0" w:line="42" w:lineRule="exact"/>
        <w:rPr>
          <w:sz w:val="24"/>
          <w:szCs w:val="24"/>
          <w:color w:val="auto"/>
        </w:rPr>
      </w:pPr>
    </w:p>
    <w:p>
      <w:pPr>
        <w:ind w:left="1000" w:hanging="547"/>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Proposed maximum aggregate value of the transaction:</w:t>
      </w:r>
    </w:p>
    <w:p>
      <w:pPr>
        <w:spacing w:after="0" w:line="111"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287655</wp:posOffset>
            </wp:positionH>
            <wp:positionV relativeFrom="paragraph">
              <wp:posOffset>14605</wp:posOffset>
            </wp:positionV>
            <wp:extent cx="68491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49110" cy="8255"/>
                    </a:xfrm>
                    <a:prstGeom prst="rect">
                      <a:avLst/>
                    </a:prstGeom>
                    <a:noFill/>
                  </pic:spPr>
                </pic:pic>
              </a:graphicData>
            </a:graphic>
          </wp:anchor>
        </w:drawing>
      </w:r>
    </w:p>
    <w:p>
      <w:pPr>
        <w:spacing w:after="0" w:line="36" w:lineRule="exact"/>
        <w:rPr>
          <w:sz w:val="24"/>
          <w:szCs w:val="24"/>
          <w:color w:val="auto"/>
        </w:rPr>
      </w:pPr>
    </w:p>
    <w:p>
      <w:pPr>
        <w:ind w:left="1000" w:hanging="547"/>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111"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287655</wp:posOffset>
            </wp:positionH>
            <wp:positionV relativeFrom="paragraph">
              <wp:posOffset>14605</wp:posOffset>
            </wp:positionV>
            <wp:extent cx="68491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49110" cy="8890"/>
                    </a:xfrm>
                    <a:prstGeom prst="rect">
                      <a:avLst/>
                    </a:prstGeom>
                    <a:noFill/>
                  </pic:spPr>
                </pic:pic>
              </a:graphicData>
            </a:graphic>
          </wp:anchor>
        </w:drawing>
      </w:r>
    </w:p>
    <w:p>
      <w:pPr>
        <w:spacing w:after="0" w:line="157" w:lineRule="exact"/>
        <w:rPr>
          <w:sz w:val="24"/>
          <w:szCs w:val="24"/>
          <w:color w:val="auto"/>
        </w:rPr>
      </w:pPr>
    </w:p>
    <w:p>
      <w:pPr>
        <w:ind w:left="460" w:hanging="452"/>
        <w:spacing w:after="0"/>
        <w:tabs>
          <w:tab w:leader="none" w:pos="460" w:val="left"/>
        </w:tabs>
        <w:numPr>
          <w:ilvl w:val="0"/>
          <w:numId w:val="8"/>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30" w:lineRule="exact"/>
        <w:rPr>
          <w:rFonts w:ascii="MS PGothic" w:cs="MS PGothic" w:eastAsia="MS PGothic" w:hAnsi="MS PGothic"/>
          <w:sz w:val="18"/>
          <w:szCs w:val="18"/>
          <w:color w:val="auto"/>
        </w:rPr>
      </w:pPr>
    </w:p>
    <w:p>
      <w:pPr>
        <w:ind w:left="460" w:right="140" w:hanging="452"/>
        <w:spacing w:after="0" w:line="325" w:lineRule="auto"/>
        <w:tabs>
          <w:tab w:leader="none" w:pos="460" w:val="left"/>
        </w:tabs>
        <w:numPr>
          <w:ilvl w:val="0"/>
          <w:numId w:val="8"/>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MS PGothic" w:cs="MS PGothic" w:eastAsia="MS PGothic" w:hAnsi="MS PGothic"/>
          <w:sz w:val="16"/>
          <w:szCs w:val="16"/>
          <w:color w:val="auto"/>
        </w:rPr>
      </w:pPr>
    </w:p>
    <w:p>
      <w:pPr>
        <w:ind w:left="1000" w:hanging="547"/>
        <w:spacing w:after="0"/>
        <w:tabs>
          <w:tab w:leader="none" w:pos="10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11"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w:t>
      </w:r>
    </w:p>
    <w:p>
      <w:pPr>
        <w:spacing w:after="0" w:line="42" w:lineRule="exact"/>
        <w:rPr>
          <w:sz w:val="24"/>
          <w:szCs w:val="24"/>
          <w:color w:val="auto"/>
        </w:rPr>
      </w:pPr>
    </w:p>
    <w:p>
      <w:pPr>
        <w:ind w:left="1000" w:hanging="547"/>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11"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287655</wp:posOffset>
            </wp:positionH>
            <wp:positionV relativeFrom="paragraph">
              <wp:posOffset>14605</wp:posOffset>
            </wp:positionV>
            <wp:extent cx="68491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49110" cy="8890"/>
                    </a:xfrm>
                    <a:prstGeom prst="rect">
                      <a:avLst/>
                    </a:prstGeom>
                    <a:noFill/>
                  </pic:spPr>
                </pic:pic>
              </a:graphicData>
            </a:graphic>
          </wp:anchor>
        </w:drawing>
      </w:r>
    </w:p>
    <w:p>
      <w:pPr>
        <w:spacing w:after="0" w:line="36" w:lineRule="exact"/>
        <w:rPr>
          <w:sz w:val="24"/>
          <w:szCs w:val="24"/>
          <w:color w:val="auto"/>
        </w:rPr>
      </w:pPr>
    </w:p>
    <w:p>
      <w:pPr>
        <w:ind w:left="1000" w:hanging="547"/>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11"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287655</wp:posOffset>
            </wp:positionH>
            <wp:positionV relativeFrom="paragraph">
              <wp:posOffset>14605</wp:posOffset>
            </wp:positionV>
            <wp:extent cx="68491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49110" cy="8255"/>
                    </a:xfrm>
                    <a:prstGeom prst="rect">
                      <a:avLst/>
                    </a:prstGeom>
                    <a:noFill/>
                  </pic:spPr>
                </pic:pic>
              </a:graphicData>
            </a:graphic>
          </wp:anchor>
        </w:drawing>
      </w:r>
    </w:p>
    <w:p>
      <w:pPr>
        <w:spacing w:after="0" w:line="36" w:lineRule="exact"/>
        <w:rPr>
          <w:sz w:val="24"/>
          <w:szCs w:val="24"/>
          <w:color w:val="auto"/>
        </w:rPr>
      </w:pPr>
    </w:p>
    <w:p>
      <w:pPr>
        <w:ind w:left="1000" w:hanging="547"/>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Date Filed:</w:t>
      </w:r>
    </w:p>
    <w:p>
      <w:pPr>
        <w:spacing w:after="0" w:line="111"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40"/>
          </w:cols>
          <w:pgMar w:left="320" w:top="230" w:right="7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205740</wp:posOffset>
            </wp:positionV>
            <wp:extent cx="2082800" cy="436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8280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550 West Van Buren Street</w:t>
      </w:r>
    </w:p>
    <w:p>
      <w:pPr>
        <w:spacing w:after="0" w:line="5" w:lineRule="exact"/>
        <w:rPr>
          <w:sz w:val="20"/>
          <w:szCs w:val="20"/>
          <w:color w:val="auto"/>
        </w:rPr>
      </w:pPr>
    </w:p>
    <w:p>
      <w:pPr>
        <w:ind w:left="4960"/>
        <w:spacing w:after="0"/>
        <w:rPr>
          <w:sz w:val="20"/>
          <w:szCs w:val="20"/>
          <w:color w:val="auto"/>
        </w:rPr>
      </w:pPr>
      <w:r>
        <w:rPr>
          <w:rFonts w:ascii="Arial" w:cs="Arial" w:eastAsia="Arial" w:hAnsi="Arial"/>
          <w:sz w:val="16"/>
          <w:szCs w:val="16"/>
          <w:color w:val="auto"/>
        </w:rPr>
        <w:t>Chicago, IL 60607</w:t>
      </w:r>
    </w:p>
    <w:p>
      <w:pPr>
        <w:spacing w:after="0" w:line="173"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00548B"/>
        </w:rPr>
        <w:t>NOTICE OF ANNUAL MEETING OF STOCKHOLDERS</w:t>
      </w:r>
    </w:p>
    <w:p>
      <w:pPr>
        <w:spacing w:after="0" w:line="17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00548B"/>
        </w:rPr>
        <w:t>May 8, 2020</w:t>
      </w:r>
    </w:p>
    <w:p>
      <w:pPr>
        <w:spacing w:after="0" w:line="236" w:lineRule="exact"/>
        <w:rPr>
          <w:sz w:val="20"/>
          <w:szCs w:val="20"/>
          <w:color w:val="auto"/>
        </w:rPr>
      </w:pPr>
    </w:p>
    <w:p>
      <w:pPr>
        <w:ind w:left="120" w:right="20"/>
        <w:spacing w:after="0" w:line="260" w:lineRule="auto"/>
        <w:rPr>
          <w:sz w:val="20"/>
          <w:szCs w:val="20"/>
          <w:color w:val="auto"/>
        </w:rPr>
      </w:pPr>
      <w:r>
        <w:rPr>
          <w:rFonts w:ascii="Arial" w:cs="Arial" w:eastAsia="Arial" w:hAnsi="Arial"/>
          <w:sz w:val="16"/>
          <w:szCs w:val="16"/>
          <w:color w:val="auto"/>
        </w:rPr>
        <w:t>The Annual Meeting of Stockholders of Huron Consulting Group Inc. (the “Company,” “Huron,” “we” or “us”) will be held at the Company’s corporate headquarters located at 550 West Van Buren Street, Chicago, Illinois 60607 on May 8, 2020, at 11:00 a.m. Central Time, for the following purposes:</w:t>
      </w:r>
    </w:p>
    <w:p>
      <w:pPr>
        <w:sectPr>
          <w:pgSz w:w="11900" w:h="16838" w:orient="portrait"/>
          <w:cols w:equalWidth="0" w:num="1">
            <w:col w:w="11140"/>
          </w:cols>
          <w:pgMar w:left="320" w:top="459" w:right="439" w:bottom="1440" w:gutter="0" w:footer="0" w:header="0"/>
        </w:sectPr>
      </w:pPr>
    </w:p>
    <w:p>
      <w:pPr>
        <w:spacing w:after="0" w:line="192" w:lineRule="exact"/>
        <w:rPr>
          <w:sz w:val="20"/>
          <w:szCs w:val="20"/>
          <w:color w:val="auto"/>
        </w:rPr>
      </w:pPr>
    </w:p>
    <w:p>
      <w:pPr>
        <w:ind w:left="440"/>
        <w:spacing w:after="0"/>
        <w:rPr>
          <w:sz w:val="20"/>
          <w:szCs w:val="20"/>
          <w:color w:val="auto"/>
        </w:rPr>
      </w:pPr>
      <w:r>
        <w:rPr>
          <w:rFonts w:ascii="Arial" w:cs="Arial" w:eastAsia="Arial" w:hAnsi="Arial"/>
          <w:sz w:val="43"/>
          <w:szCs w:val="43"/>
          <w:color w:val="00548B"/>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-312420</wp:posOffset>
            </wp:positionV>
            <wp:extent cx="565785" cy="1945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 cy="1945640"/>
                    </a:xfrm>
                    <a:prstGeom prst="rect">
                      <a:avLst/>
                    </a:prstGeom>
                    <a:noFill/>
                  </pic:spPr>
                </pic:pic>
              </a:graphicData>
            </a:graphic>
          </wp:anchor>
        </w:drawing>
      </w:r>
    </w:p>
    <w:p>
      <w:pPr>
        <w:spacing w:after="0" w:line="1" w:lineRule="exact"/>
        <w:rPr>
          <w:sz w:val="20"/>
          <w:szCs w:val="20"/>
          <w:color w:val="auto"/>
        </w:rPr>
      </w:pPr>
    </w:p>
    <w:p>
      <w:pPr>
        <w:ind w:left="440"/>
        <w:spacing w:after="0"/>
        <w:rPr>
          <w:sz w:val="20"/>
          <w:szCs w:val="20"/>
          <w:color w:val="auto"/>
        </w:rPr>
      </w:pPr>
      <w:r>
        <w:rPr>
          <w:rFonts w:ascii="Arial" w:cs="Arial" w:eastAsia="Arial" w:hAnsi="Arial"/>
          <w:sz w:val="43"/>
          <w:szCs w:val="43"/>
          <w:color w:val="00548B"/>
        </w:rPr>
        <w:t>2</w:t>
      </w:r>
    </w:p>
    <w:p>
      <w:pPr>
        <w:spacing w:after="0" w:line="19" w:lineRule="exact"/>
        <w:rPr>
          <w:sz w:val="20"/>
          <w:szCs w:val="20"/>
          <w:color w:val="auto"/>
        </w:rPr>
      </w:pPr>
    </w:p>
    <w:p>
      <w:pPr>
        <w:ind w:left="440"/>
        <w:spacing w:after="0"/>
        <w:rPr>
          <w:sz w:val="20"/>
          <w:szCs w:val="20"/>
          <w:color w:val="auto"/>
        </w:rPr>
      </w:pPr>
      <w:r>
        <w:rPr>
          <w:rFonts w:ascii="Arial" w:cs="Arial" w:eastAsia="Arial" w:hAnsi="Arial"/>
          <w:sz w:val="43"/>
          <w:szCs w:val="43"/>
          <w:color w:val="00548B"/>
        </w:rPr>
        <w:t>3</w:t>
      </w:r>
    </w:p>
    <w:p>
      <w:pPr>
        <w:spacing w:after="0" w:line="19" w:lineRule="exact"/>
        <w:rPr>
          <w:sz w:val="20"/>
          <w:szCs w:val="20"/>
          <w:color w:val="auto"/>
        </w:rPr>
      </w:pPr>
    </w:p>
    <w:p>
      <w:pPr>
        <w:ind w:left="440"/>
        <w:spacing w:after="0"/>
        <w:rPr>
          <w:sz w:val="20"/>
          <w:szCs w:val="20"/>
          <w:color w:val="auto"/>
        </w:rPr>
      </w:pPr>
      <w:r>
        <w:rPr>
          <w:rFonts w:ascii="Arial" w:cs="Arial" w:eastAsia="Arial" w:hAnsi="Arial"/>
          <w:sz w:val="43"/>
          <w:szCs w:val="43"/>
          <w:color w:val="00548B"/>
        </w:rPr>
        <w:t>4</w:t>
      </w:r>
    </w:p>
    <w:p>
      <w:pPr>
        <w:spacing w:after="0" w:line="19" w:lineRule="exact"/>
        <w:rPr>
          <w:sz w:val="20"/>
          <w:szCs w:val="20"/>
          <w:color w:val="auto"/>
        </w:rPr>
      </w:pPr>
    </w:p>
    <w:p>
      <w:pPr>
        <w:ind w:left="440"/>
        <w:spacing w:after="0"/>
        <w:rPr>
          <w:sz w:val="20"/>
          <w:szCs w:val="20"/>
          <w:color w:val="auto"/>
        </w:rPr>
      </w:pPr>
      <w:r>
        <w:rPr>
          <w:rFonts w:ascii="Arial" w:cs="Arial" w:eastAsia="Arial" w:hAnsi="Arial"/>
          <w:sz w:val="43"/>
          <w:szCs w:val="43"/>
          <w:color w:val="00548B"/>
        </w:rPr>
        <w:t>5</w:t>
      </w:r>
    </w:p>
    <w:p>
      <w:pPr>
        <w:spacing w:after="0" w:line="19" w:lineRule="exact"/>
        <w:rPr>
          <w:sz w:val="20"/>
          <w:szCs w:val="20"/>
          <w:color w:val="auto"/>
        </w:rPr>
      </w:pPr>
    </w:p>
    <w:p>
      <w:pPr>
        <w:ind w:left="440"/>
        <w:spacing w:after="0"/>
        <w:rPr>
          <w:sz w:val="20"/>
          <w:szCs w:val="20"/>
          <w:color w:val="auto"/>
        </w:rPr>
      </w:pPr>
      <w:r>
        <w:rPr>
          <w:rFonts w:ascii="Arial" w:cs="Arial" w:eastAsia="Arial" w:hAnsi="Arial"/>
          <w:sz w:val="43"/>
          <w:szCs w:val="43"/>
          <w:color w:val="00548B"/>
        </w:rPr>
        <w:t>6</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color w:val="auto"/>
        </w:rPr>
        <w:t>To elect to the board of directors the two persons nominated by the board of directors to serve as Class I Directors;</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To approve an amendment to the Company’s Amended and Restated 2012 Omnibus Incentive Plan;</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To approve an amendment to the Company’s Stock Ownership Participation Program;</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An advisory vote to approve the Company’s executive compensation;</w:t>
      </w:r>
    </w:p>
    <w:p>
      <w:pPr>
        <w:spacing w:after="0" w:line="235"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To ratify the appointment of PricewaterhouseCoopers LLP as the Company’s independent registered public accounting firm for the fiscal year ending December 31, 2020; and</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To transact such other business as may properly come before the meeting or any postponement or adjournment thereof.</w:t>
      </w:r>
    </w:p>
    <w:p>
      <w:pPr>
        <w:spacing w:after="0" w:line="355" w:lineRule="exact"/>
        <w:rPr>
          <w:sz w:val="20"/>
          <w:szCs w:val="20"/>
          <w:color w:val="auto"/>
        </w:rPr>
      </w:pPr>
    </w:p>
    <w:p>
      <w:pPr>
        <w:sectPr>
          <w:pgSz w:w="11900" w:h="16838" w:orient="portrait"/>
          <w:cols w:equalWidth="0" w:num="2">
            <w:col w:w="680" w:space="440"/>
            <w:col w:w="10020"/>
          </w:cols>
          <w:pgMar w:left="320" w:top="459" w:right="439" w:bottom="1440" w:gutter="0" w:footer="0" w:header="0"/>
          <w:type w:val="continuous"/>
        </w:sectPr>
      </w:pPr>
    </w:p>
    <w:p>
      <w:pPr>
        <w:ind w:left="120"/>
        <w:spacing w:after="0"/>
        <w:rPr>
          <w:sz w:val="20"/>
          <w:szCs w:val="20"/>
          <w:color w:val="auto"/>
        </w:rPr>
      </w:pPr>
      <w:r>
        <w:rPr>
          <w:rFonts w:ascii="Arial" w:cs="Arial" w:eastAsia="Arial" w:hAnsi="Arial"/>
          <w:sz w:val="16"/>
          <w:szCs w:val="16"/>
          <w:color w:val="auto"/>
        </w:rPr>
        <w:t>Only stockholders of record at the close of business on March 11, 2020 will be entitled to notice of and to vote at the meeting.</w:t>
      </w:r>
    </w:p>
    <w:p>
      <w:pPr>
        <w:spacing w:after="0" w:line="194" w:lineRule="exact"/>
        <w:rPr>
          <w:sz w:val="20"/>
          <w:szCs w:val="20"/>
          <w:color w:val="auto"/>
        </w:rPr>
      </w:pPr>
    </w:p>
    <w:p>
      <w:pPr>
        <w:jc w:val="both"/>
        <w:ind w:left="120"/>
        <w:spacing w:after="0" w:line="250" w:lineRule="auto"/>
        <w:rPr>
          <w:sz w:val="20"/>
          <w:szCs w:val="20"/>
          <w:color w:val="auto"/>
        </w:rPr>
      </w:pPr>
      <w:r>
        <w:rPr>
          <w:rFonts w:ascii="Arial" w:cs="Arial" w:eastAsia="Arial" w:hAnsi="Arial"/>
          <w:sz w:val="16"/>
          <w:szCs w:val="16"/>
          <w:color w:val="auto"/>
        </w:rPr>
        <w:t>Your vote is very important, regardless of the number of shares you hold. Whether or not you plan to attend the meeting in person, please cast your vote, as instructed in the Notice of Internet Availability of Proxy Materials or proxy card, over the Internet, as promptly as possible. If you received only a Notice of Internet Availability of Proxy Materials in the mail or by electronic mail, you may also request a paper proxy card to submit your vote by mail, if you prefer. However, we encourage you to vote over the Internet because it is convenient and will save printing costs and postage fees, as well as natural resources.</w:t>
      </w:r>
    </w:p>
    <w:p>
      <w:pPr>
        <w:spacing w:after="0" w:line="367" w:lineRule="exact"/>
        <w:rPr>
          <w:sz w:val="20"/>
          <w:szCs w:val="20"/>
          <w:color w:val="auto"/>
        </w:rPr>
      </w:pPr>
    </w:p>
    <w:p>
      <w:pPr>
        <w:jc w:val="both"/>
        <w:ind w:left="120" w:right="20"/>
        <w:spacing w:after="0" w:line="251" w:lineRule="auto"/>
        <w:rPr>
          <w:sz w:val="20"/>
          <w:szCs w:val="20"/>
          <w:color w:val="auto"/>
        </w:rPr>
      </w:pPr>
      <w:r>
        <w:rPr>
          <w:rFonts w:ascii="Arial" w:cs="Arial" w:eastAsia="Arial" w:hAnsi="Arial"/>
          <w:sz w:val="16"/>
          <w:szCs w:val="16"/>
          <w:color w:val="auto"/>
        </w:rPr>
        <w:t>We intend to hold our annual meeting in person, however, we are monitoring coronavirus (COVID-19) developments and the related recommendations and protocols issued by public health authorities and federal, state, and local governments. If we determine that alternative Annual Meeting arrangements are advisable or required, then we will announce our decision and post additional information on our Investor Relations website at https://www.ir.huronconsultinggroup.com. Please check this website in advance of the Annual Meeting date if you are planning to attend in person.</w:t>
      </w:r>
    </w:p>
    <w:p>
      <w:pPr>
        <w:spacing w:after="0" w:line="202" w:lineRule="exact"/>
        <w:rPr>
          <w:sz w:val="20"/>
          <w:szCs w:val="20"/>
          <w:color w:val="auto"/>
        </w:rPr>
      </w:pPr>
    </w:p>
    <w:p>
      <w:pPr>
        <w:ind w:left="7160"/>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139065</wp:posOffset>
            </wp:positionV>
            <wp:extent cx="1362710" cy="308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6271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7160"/>
        <w:spacing w:after="0"/>
        <w:rPr>
          <w:sz w:val="20"/>
          <w:szCs w:val="20"/>
          <w:color w:val="auto"/>
        </w:rPr>
      </w:pPr>
      <w:r>
        <w:rPr>
          <w:rFonts w:ascii="Arial" w:cs="Arial" w:eastAsia="Arial" w:hAnsi="Arial"/>
          <w:sz w:val="16"/>
          <w:szCs w:val="16"/>
          <w:color w:val="auto"/>
        </w:rPr>
        <w:t>Ernest W. Torain, Jr.</w:t>
      </w:r>
    </w:p>
    <w:p>
      <w:pPr>
        <w:spacing w:after="0" w:line="5" w:lineRule="exact"/>
        <w:rPr>
          <w:sz w:val="20"/>
          <w:szCs w:val="20"/>
          <w:color w:val="auto"/>
        </w:rPr>
      </w:pPr>
    </w:p>
    <w:p>
      <w:pPr>
        <w:ind w:left="7160"/>
        <w:spacing w:after="0"/>
        <w:rPr>
          <w:sz w:val="20"/>
          <w:szCs w:val="20"/>
          <w:color w:val="auto"/>
        </w:rPr>
      </w:pPr>
      <w:r>
        <w:rPr>
          <w:rFonts w:ascii="Arial" w:cs="Arial" w:eastAsia="Arial" w:hAnsi="Arial"/>
          <w:sz w:val="16"/>
          <w:szCs w:val="16"/>
          <w:i w:val="1"/>
          <w:iCs w:val="1"/>
          <w:color w:val="auto"/>
        </w:rPr>
        <w:t>Executive Vice President, General</w:t>
      </w:r>
    </w:p>
    <w:p>
      <w:pPr>
        <w:spacing w:after="0" w:line="5" w:lineRule="exact"/>
        <w:rPr>
          <w:sz w:val="20"/>
          <w:szCs w:val="20"/>
          <w:color w:val="auto"/>
        </w:rPr>
      </w:pPr>
    </w:p>
    <w:p>
      <w:pPr>
        <w:ind w:left="7160"/>
        <w:spacing w:after="0"/>
        <w:rPr>
          <w:sz w:val="20"/>
          <w:szCs w:val="20"/>
          <w:color w:val="auto"/>
        </w:rPr>
      </w:pPr>
      <w:r>
        <w:rPr>
          <w:rFonts w:ascii="Arial" w:cs="Arial" w:eastAsia="Arial" w:hAnsi="Arial"/>
          <w:sz w:val="16"/>
          <w:szCs w:val="16"/>
          <w:i w:val="1"/>
          <w:iCs w:val="1"/>
          <w:color w:val="auto"/>
        </w:rPr>
        <w:t>Counsel and Corporate Secretary</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Chicago, Illinois</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March 26,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6995160" cy="8661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66140"/>
                    </a:xfrm>
                    <a:prstGeom prst="rect">
                      <a:avLst/>
                    </a:prstGeom>
                    <a:noFill/>
                  </pic:spPr>
                </pic:pic>
              </a:graphicData>
            </a:graphic>
          </wp:anchor>
        </w:drawing>
      </w:r>
    </w:p>
    <w:p>
      <w:pPr>
        <w:spacing w:after="0" w:line="289"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00548B"/>
        </w:rPr>
        <w:t>Important Notice Regarding the Availability of</w:t>
      </w:r>
    </w:p>
    <w:p>
      <w:pPr>
        <w:spacing w:after="0" w:line="25"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00548B"/>
        </w:rPr>
        <w:t>Proxy Materials for the Stockholder Meeting to be</w:t>
      </w:r>
    </w:p>
    <w:p>
      <w:pPr>
        <w:spacing w:after="0" w:line="5"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00548B"/>
        </w:rPr>
        <w:t>Held on May 8, 2020</w:t>
      </w:r>
    </w:p>
    <w:p>
      <w:pPr>
        <w:spacing w:after="0" w:line="188"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00548B"/>
        </w:rPr>
        <w:t>The Proxy Statement and Annual Report to Stockholders are</w:t>
      </w:r>
    </w:p>
    <w:p>
      <w:pPr>
        <w:spacing w:after="0" w:line="25"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00548B"/>
        </w:rPr>
        <w:t xml:space="preserve">available at </w:t>
      </w:r>
      <w:r>
        <w:rPr>
          <w:rFonts w:ascii="Arial" w:cs="Arial" w:eastAsia="Arial" w:hAnsi="Arial"/>
          <w:sz w:val="16"/>
          <w:szCs w:val="16"/>
          <w:b w:val="1"/>
          <w:bCs w:val="1"/>
          <w:i w:val="1"/>
          <w:iCs w:val="1"/>
          <w:color w:val="00548B"/>
        </w:rPr>
        <w:t>www.edocumentview.com/HURN</w:t>
      </w:r>
    </w:p>
    <w:p>
      <w:pPr>
        <w:sectPr>
          <w:pgSz w:w="11900" w:h="16838" w:orient="portrait"/>
          <w:cols w:equalWidth="0" w:num="1">
            <w:col w:w="11140"/>
          </w:cols>
          <w:pgMar w:left="320" w:top="459" w:right="4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205740</wp:posOffset>
            </wp:positionV>
            <wp:extent cx="1380490" cy="291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8049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00548B"/>
        </w:rPr>
        <w:t>Letter from the Independent Directors of the Board</w:t>
      </w:r>
    </w:p>
    <w:p>
      <w:pPr>
        <w:spacing w:after="0" w:line="23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Dear Fellow Shareholders:</w:t>
      </w:r>
    </w:p>
    <w:p>
      <w:pPr>
        <w:spacing w:after="0" w:line="221" w:lineRule="exact"/>
        <w:rPr>
          <w:sz w:val="20"/>
          <w:szCs w:val="20"/>
          <w:color w:val="auto"/>
        </w:rPr>
      </w:pPr>
    </w:p>
    <w:p>
      <w:pPr>
        <w:jc w:val="both"/>
        <w:ind w:left="120"/>
        <w:spacing w:after="0" w:line="250" w:lineRule="auto"/>
        <w:rPr>
          <w:sz w:val="20"/>
          <w:szCs w:val="20"/>
          <w:color w:val="auto"/>
        </w:rPr>
      </w:pPr>
      <w:r>
        <w:rPr>
          <w:rFonts w:ascii="Arial" w:cs="Arial" w:eastAsia="Arial" w:hAnsi="Arial"/>
          <w:sz w:val="16"/>
          <w:szCs w:val="16"/>
          <w:color w:val="auto"/>
        </w:rPr>
        <w:t>We are writing to you as the independent members of the Huron board of directors. As fellow shareholders, we are committed to sustaining the alignment between Huron’s management compensation programs and the long-term interests of the Company and our shareholders. We carefully considered the feedback received from our 2018 shareholder outreach and, beginning in 2019, made certain modifications to our compensation programs to more closely align the compensation of our NEOs with our strategic plan and the interests of our shareholders. We believe these changes were well-received based on our Say on Pay proposal receiving approval of 94% of the votes cast at the 2019 annual meeting.</w:t>
      </w:r>
    </w:p>
    <w:p>
      <w:pPr>
        <w:spacing w:after="0" w:line="189"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6"/>
          <w:szCs w:val="16"/>
          <w:color w:val="auto"/>
        </w:rPr>
        <w:t>As outlined in more detail in the section entitled “Executive Compensation” in this Proxy Statement, our 2019 executive compensation program included a number of features that were specifically implemented to reflect shareholder feedback we received in 2018 and underscore our philosophy of aligning our incentive awards directly with our business strategy. Those features include:</w:t>
      </w:r>
    </w:p>
    <w:p>
      <w:pPr>
        <w:spacing w:after="0" w:line="107" w:lineRule="exact"/>
        <w:rPr>
          <w:sz w:val="20"/>
          <w:szCs w:val="20"/>
          <w:color w:val="auto"/>
        </w:rPr>
      </w:pPr>
    </w:p>
    <w:p>
      <w:pPr>
        <w:ind w:left="980" w:right="20" w:hanging="324"/>
        <w:spacing w:after="0" w:line="246" w:lineRule="auto"/>
        <w:tabs>
          <w:tab w:leader="none" w:pos="980" w:val="left"/>
        </w:tabs>
        <w:numPr>
          <w:ilvl w:val="0"/>
          <w:numId w:val="12"/>
        </w:numPr>
        <w:rPr>
          <w:rFonts w:ascii="Arial" w:cs="Arial" w:eastAsia="Arial" w:hAnsi="Arial"/>
          <w:sz w:val="16"/>
          <w:szCs w:val="16"/>
          <w:color w:val="00548B"/>
        </w:rPr>
      </w:pPr>
      <w:r>
        <w:rPr>
          <w:rFonts w:ascii="Arial" w:cs="Arial" w:eastAsia="Arial" w:hAnsi="Arial"/>
          <w:sz w:val="16"/>
          <w:szCs w:val="16"/>
          <w:color w:val="auto"/>
        </w:rPr>
        <w:t>Substantial portion of our NEO compensation is at risk with actual payouts varying based on the Company’s financial and operational performance;</w:t>
      </w:r>
    </w:p>
    <w:p>
      <w:pPr>
        <w:ind w:left="980" w:hanging="324"/>
        <w:spacing w:after="0"/>
        <w:tabs>
          <w:tab w:leader="none" w:pos="980" w:val="left"/>
        </w:tabs>
        <w:numPr>
          <w:ilvl w:val="0"/>
          <w:numId w:val="12"/>
        </w:numPr>
        <w:rPr>
          <w:rFonts w:ascii="Arial" w:cs="Arial" w:eastAsia="Arial" w:hAnsi="Arial"/>
          <w:sz w:val="16"/>
          <w:szCs w:val="16"/>
          <w:color w:val="00548B"/>
        </w:rPr>
      </w:pPr>
      <w:r>
        <w:rPr>
          <w:rFonts w:ascii="Arial" w:cs="Arial" w:eastAsia="Arial" w:hAnsi="Arial"/>
          <w:sz w:val="16"/>
          <w:szCs w:val="16"/>
          <w:color w:val="auto"/>
        </w:rPr>
        <w:t>The stock ownership multiple required for the CEO and directors is 5X;</w:t>
      </w:r>
    </w:p>
    <w:p>
      <w:pPr>
        <w:spacing w:after="0" w:line="5" w:lineRule="exact"/>
        <w:rPr>
          <w:rFonts w:ascii="Arial" w:cs="Arial" w:eastAsia="Arial" w:hAnsi="Arial"/>
          <w:sz w:val="16"/>
          <w:szCs w:val="16"/>
          <w:color w:val="00548B"/>
        </w:rPr>
      </w:pPr>
    </w:p>
    <w:p>
      <w:pPr>
        <w:ind w:left="980" w:right="20" w:hanging="324"/>
        <w:spacing w:after="0" w:line="246" w:lineRule="auto"/>
        <w:tabs>
          <w:tab w:leader="none" w:pos="980" w:val="left"/>
        </w:tabs>
        <w:numPr>
          <w:ilvl w:val="0"/>
          <w:numId w:val="12"/>
        </w:numPr>
        <w:rPr>
          <w:rFonts w:ascii="Arial" w:cs="Arial" w:eastAsia="Arial" w:hAnsi="Arial"/>
          <w:sz w:val="16"/>
          <w:szCs w:val="16"/>
          <w:color w:val="00548B"/>
        </w:rPr>
      </w:pPr>
      <w:r>
        <w:rPr>
          <w:rFonts w:ascii="Arial" w:cs="Arial" w:eastAsia="Arial" w:hAnsi="Arial"/>
          <w:sz w:val="16"/>
          <w:szCs w:val="16"/>
          <w:color w:val="auto"/>
        </w:rPr>
        <w:t>In 2019, more than 84% of the equity we granted was awarded to our non-NEOs, with the largest portion awarded to managing directors and practice leaders to enhance retention and alignment with Company performance and value creation;</w:t>
      </w:r>
    </w:p>
    <w:p>
      <w:pPr>
        <w:ind w:left="980" w:hanging="324"/>
        <w:spacing w:after="0"/>
        <w:tabs>
          <w:tab w:leader="none" w:pos="980" w:val="left"/>
        </w:tabs>
        <w:numPr>
          <w:ilvl w:val="0"/>
          <w:numId w:val="12"/>
        </w:numPr>
        <w:rPr>
          <w:rFonts w:ascii="Arial" w:cs="Arial" w:eastAsia="Arial" w:hAnsi="Arial"/>
          <w:sz w:val="16"/>
          <w:szCs w:val="16"/>
          <w:color w:val="00548B"/>
        </w:rPr>
      </w:pPr>
      <w:r>
        <w:rPr>
          <w:rFonts w:ascii="Arial" w:cs="Arial" w:eastAsia="Arial" w:hAnsi="Arial"/>
          <w:sz w:val="16"/>
          <w:szCs w:val="16"/>
          <w:color w:val="auto"/>
        </w:rPr>
        <w:t>Performance share unit awards can only be earned upon achievement of pre-determined measures of three-year financial performance; and</w:t>
      </w:r>
    </w:p>
    <w:p>
      <w:pPr>
        <w:spacing w:after="0" w:line="5" w:lineRule="exact"/>
        <w:rPr>
          <w:rFonts w:ascii="Arial" w:cs="Arial" w:eastAsia="Arial" w:hAnsi="Arial"/>
          <w:sz w:val="16"/>
          <w:szCs w:val="16"/>
          <w:color w:val="00548B"/>
        </w:rPr>
      </w:pPr>
    </w:p>
    <w:p>
      <w:pPr>
        <w:ind w:left="980" w:right="20" w:hanging="324"/>
        <w:spacing w:after="0" w:line="260" w:lineRule="auto"/>
        <w:tabs>
          <w:tab w:leader="none" w:pos="980" w:val="left"/>
        </w:tabs>
        <w:numPr>
          <w:ilvl w:val="0"/>
          <w:numId w:val="12"/>
        </w:numPr>
        <w:rPr>
          <w:rFonts w:ascii="Arial" w:cs="Arial" w:eastAsia="Arial" w:hAnsi="Arial"/>
          <w:sz w:val="16"/>
          <w:szCs w:val="16"/>
          <w:color w:val="00548B"/>
        </w:rPr>
      </w:pPr>
      <w:r>
        <w:rPr>
          <w:rFonts w:ascii="Arial" w:cs="Arial" w:eastAsia="Arial" w:hAnsi="Arial"/>
          <w:sz w:val="16"/>
          <w:szCs w:val="16"/>
          <w:color w:val="auto"/>
        </w:rPr>
        <w:t>The weighting of strategic measures for NEO’s target opportunity is 20%, with 60% of the defined strategic measures tied to quantifiable, pre-determined goals.</w:t>
      </w:r>
    </w:p>
    <w:p>
      <w:pPr>
        <w:spacing w:after="0" w:line="155" w:lineRule="exact"/>
        <w:rPr>
          <w:sz w:val="20"/>
          <w:szCs w:val="20"/>
          <w:color w:val="auto"/>
        </w:rPr>
      </w:pPr>
    </w:p>
    <w:p>
      <w:pPr>
        <w:jc w:val="both"/>
        <w:ind w:left="120"/>
        <w:spacing w:after="0" w:line="253" w:lineRule="auto"/>
        <w:rPr>
          <w:sz w:val="20"/>
          <w:szCs w:val="20"/>
          <w:color w:val="auto"/>
        </w:rPr>
      </w:pPr>
      <w:r>
        <w:rPr>
          <w:rFonts w:ascii="Arial" w:cs="Arial" w:eastAsia="Arial" w:hAnsi="Arial"/>
          <w:sz w:val="16"/>
          <w:szCs w:val="16"/>
          <w:color w:val="auto"/>
        </w:rPr>
        <w:t>We greatly valued the feedback we received from our shareholders in 2018 and continued our outreach in 2019. During this process, we engaged with shareholders representing a significant percentage of our outstanding shares to address topics such as the evolution of our business strategy, executive compensation, corporate governance, and environmental and social issues.</w:t>
      </w:r>
    </w:p>
    <w:p>
      <w:pPr>
        <w:spacing w:after="0" w:line="188"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6"/>
          <w:szCs w:val="16"/>
          <w:color w:val="auto"/>
        </w:rPr>
        <w:t>The board and management remain focused on targeting superior shareholder returns through the realization of Huron’s long-term strategy of driving sustainable revenue growth, margin expansion, strategic deployment of capital and investment in our people. We believe the strategic position we have achieved over the past several years has enabled us to make substantial progress in 2019 and note the following highlights:</w:t>
      </w:r>
    </w:p>
    <w:p>
      <w:pPr>
        <w:spacing w:after="0" w:line="107"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6"/>
          <w:szCs w:val="16"/>
          <w:color w:val="00548B"/>
        </w:rPr>
      </w:pPr>
      <w:r>
        <w:rPr>
          <w:rFonts w:ascii="Arial" w:cs="Arial" w:eastAsia="Arial" w:hAnsi="Arial"/>
          <w:sz w:val="16"/>
          <w:szCs w:val="16"/>
          <w:color w:val="auto"/>
        </w:rPr>
        <w:t>10.3% organic revenue growth and double-digit percentage increases in both adjusted EBITDA and adjusted EPS, compared to 2018;</w:t>
      </w:r>
    </w:p>
    <w:p>
      <w:pPr>
        <w:spacing w:after="0" w:line="5" w:lineRule="exact"/>
        <w:rPr>
          <w:rFonts w:ascii="Arial" w:cs="Arial" w:eastAsia="Arial" w:hAnsi="Arial"/>
          <w:sz w:val="16"/>
          <w:szCs w:val="16"/>
          <w:color w:val="00548B"/>
        </w:rPr>
      </w:pPr>
    </w:p>
    <w:p>
      <w:pPr>
        <w:ind w:left="980" w:right="20" w:hanging="324"/>
        <w:spacing w:after="0" w:line="246" w:lineRule="auto"/>
        <w:tabs>
          <w:tab w:leader="none" w:pos="980" w:val="left"/>
        </w:tabs>
        <w:numPr>
          <w:ilvl w:val="0"/>
          <w:numId w:val="13"/>
        </w:numPr>
        <w:rPr>
          <w:rFonts w:ascii="Arial" w:cs="Arial" w:eastAsia="Arial" w:hAnsi="Arial"/>
          <w:sz w:val="16"/>
          <w:szCs w:val="16"/>
          <w:color w:val="00548B"/>
        </w:rPr>
      </w:pPr>
      <w:r>
        <w:rPr>
          <w:rFonts w:ascii="Arial" w:cs="Arial" w:eastAsia="Arial" w:hAnsi="Arial"/>
          <w:sz w:val="16"/>
          <w:szCs w:val="16"/>
          <w:color w:val="auto"/>
        </w:rPr>
        <w:t>Continued development of new service offerings that are responsive to the needs of our clients, both within and across our practice boundaries, focusing on opportunities where we see the most revenue growth potential and opportunity to expand margins; and</w:t>
      </w:r>
    </w:p>
    <w:p>
      <w:pPr>
        <w:jc w:val="both"/>
        <w:ind w:left="980" w:right="20" w:hanging="324"/>
        <w:spacing w:after="0" w:line="253" w:lineRule="auto"/>
        <w:tabs>
          <w:tab w:leader="none" w:pos="980" w:val="left"/>
        </w:tabs>
        <w:numPr>
          <w:ilvl w:val="0"/>
          <w:numId w:val="13"/>
        </w:numPr>
        <w:rPr>
          <w:rFonts w:ascii="Arial" w:cs="Arial" w:eastAsia="Arial" w:hAnsi="Arial"/>
          <w:sz w:val="16"/>
          <w:szCs w:val="16"/>
          <w:color w:val="00548B"/>
        </w:rPr>
      </w:pPr>
      <w:r>
        <w:rPr>
          <w:rFonts w:ascii="Arial" w:cs="Arial" w:eastAsia="Arial" w:hAnsi="Arial"/>
          <w:sz w:val="16"/>
          <w:szCs w:val="16"/>
          <w:color w:val="auto"/>
        </w:rPr>
        <w:t xml:space="preserve">Our focus on investing in our people has been recognized by </w:t>
      </w:r>
      <w:r>
        <w:rPr>
          <w:rFonts w:ascii="Arial" w:cs="Arial" w:eastAsia="Arial" w:hAnsi="Arial"/>
          <w:sz w:val="16"/>
          <w:szCs w:val="16"/>
          <w:i w:val="1"/>
          <w:iCs w:val="1"/>
          <w:color w:val="auto"/>
        </w:rPr>
        <w:t>Consulting</w:t>
      </w:r>
      <w:r>
        <w:rPr>
          <w:rFonts w:ascii="Arial" w:cs="Arial" w:eastAsia="Arial" w:hAnsi="Arial"/>
          <w:sz w:val="16"/>
          <w:szCs w:val="16"/>
          <w:color w:val="auto"/>
        </w:rPr>
        <w:t xml:space="preserve"> magazine which named Huron a ‘Best Firm to Work For’ in 2019 for the ninth year in a row and by the Human Rights Campaign which awarded Huron a perfect score on the Corporate Equality Index for the sixth year in a row.</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Certain additional business results are discussed in more detail in the section entitled “Executive Compensation” in this Proxy Statement.</w:t>
      </w:r>
    </w:p>
    <w:p>
      <w:pPr>
        <w:spacing w:after="0" w:line="194"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6"/>
          <w:szCs w:val="16"/>
          <w:color w:val="auto"/>
        </w:rPr>
        <w:t>Our Say on Pay Proposal is found in Proposal 4 of this Proxy Statement, and the board recommends that you vote ‘FOR’ this proposal. We also invite you to consider additional information on our compensation philosophy and decisions in the section entitled “Executive Compensation” in this Proxy Statement.</w:t>
      </w:r>
    </w:p>
    <w:p>
      <w:pPr>
        <w:sectPr>
          <w:pgSz w:w="11900" w:h="16838" w:orient="portrait"/>
          <w:cols w:equalWidth="0" w:num="1">
            <w:col w:w="11140"/>
          </w:cols>
          <w:pgMar w:left="320" w:top="459"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both"/>
        <w:ind w:left="120"/>
        <w:spacing w:after="0" w:line="248" w:lineRule="auto"/>
        <w:rPr>
          <w:sz w:val="20"/>
          <w:szCs w:val="20"/>
          <w:color w:val="auto"/>
        </w:rPr>
      </w:pPr>
      <w:r>
        <w:rPr>
          <w:rFonts w:ascii="Arial" w:cs="Arial" w:eastAsia="Arial" w:hAnsi="Arial"/>
          <w:sz w:val="16"/>
          <w:szCs w:val="16"/>
          <w:color w:val="auto"/>
        </w:rPr>
        <w:t>We are also requesting additional shares for our Long-Term Incentive Program. We annually grant a sizable portion of equity to our managing directors. We believe this differentiates Huron’s compensation program from our competitors and underscores our pay for performance philosophy by directly aligning our managing directors with Huron’s long-term value creation. Approximately 50% of the annual bonus compensation of our practice leaders and client-facing managing directors consists of restricted stock that vests over four years and is awarded based on prior-year performance. An average of 78% of the total equity we granted in the last three years was awarded to our non-NEO managing directors. Our managing directors are critical to developing and maintaining client relationships, generating revenue and driving the overall success of Huron. We use stock both as a retention tool and an incentive to encourage behaviors that will benefit our shareholders and the Company. We ask that you vote in favor of Proposal 2.</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Lastly, we are also requesting additional shares for our employee Stock Ownership Participation Program, and we ask that you vote in favor of Proposal</w:t>
      </w:r>
    </w:p>
    <w:p>
      <w:pPr>
        <w:spacing w:after="0" w:line="5" w:lineRule="exact"/>
        <w:rPr>
          <w:sz w:val="20"/>
          <w:szCs w:val="20"/>
          <w:color w:val="auto"/>
        </w:rPr>
      </w:pPr>
    </w:p>
    <w:p>
      <w:pPr>
        <w:jc w:val="both"/>
        <w:ind w:left="120" w:right="20" w:hanging="4"/>
        <w:spacing w:after="0" w:line="251" w:lineRule="auto"/>
        <w:tabs>
          <w:tab w:leader="none" w:pos="325"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This plan provides eligible employees below the managing director level with an opportunity to purchase common stock of the Company through payroll deductions or cash contributions with a company match and, through such ownership, to promote alignment with the interests of shareholders of the Company, to stimulate their commitment to the business objectives of the Company and to maintain their motivation through the opportunity to share in the growth of the Company.</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636270</wp:posOffset>
            </wp:positionV>
            <wp:extent cx="6995160" cy="3860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000"/>
        <w:spacing w:after="0"/>
        <w:tabs>
          <w:tab w:leader="none" w:pos="4620" w:val="left"/>
          <w:tab w:leader="none" w:pos="8660" w:val="left"/>
        </w:tabs>
        <w:rPr>
          <w:sz w:val="20"/>
          <w:szCs w:val="20"/>
          <w:color w:val="auto"/>
        </w:rPr>
      </w:pPr>
      <w:r>
        <w:rPr>
          <w:rFonts w:ascii="Arial" w:cs="Arial" w:eastAsia="Arial" w:hAnsi="Arial"/>
          <w:sz w:val="16"/>
          <w:szCs w:val="16"/>
          <w:color w:val="auto"/>
        </w:rPr>
        <w:t>H. Eugene Lockhart</w:t>
      </w:r>
      <w:r>
        <w:rPr>
          <w:sz w:val="20"/>
          <w:szCs w:val="20"/>
          <w:color w:val="auto"/>
        </w:rPr>
        <w:tab/>
      </w:r>
      <w:r>
        <w:rPr>
          <w:rFonts w:ascii="Arial" w:cs="Arial" w:eastAsia="Arial" w:hAnsi="Arial"/>
          <w:sz w:val="16"/>
          <w:szCs w:val="16"/>
          <w:color w:val="auto"/>
        </w:rPr>
        <w:t>George E. Massaro</w:t>
      </w:r>
      <w:r>
        <w:rPr>
          <w:sz w:val="20"/>
          <w:szCs w:val="20"/>
          <w:color w:val="auto"/>
        </w:rPr>
        <w:tab/>
      </w:r>
      <w:r>
        <w:rPr>
          <w:rFonts w:ascii="Arial" w:cs="Arial" w:eastAsia="Arial" w:hAnsi="Arial"/>
          <w:sz w:val="16"/>
          <w:szCs w:val="16"/>
          <w:color w:val="auto"/>
        </w:rPr>
        <w:t>John McCartney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636270</wp:posOffset>
            </wp:positionV>
            <wp:extent cx="4465955" cy="4629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46595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020"/>
        <w:spacing w:after="0"/>
        <w:tabs>
          <w:tab w:leader="none" w:pos="4680" w:val="left"/>
        </w:tabs>
        <w:rPr>
          <w:sz w:val="20"/>
          <w:szCs w:val="20"/>
          <w:color w:val="auto"/>
        </w:rPr>
      </w:pPr>
      <w:r>
        <w:rPr>
          <w:rFonts w:ascii="Arial" w:cs="Arial" w:eastAsia="Arial" w:hAnsi="Arial"/>
          <w:sz w:val="16"/>
          <w:szCs w:val="16"/>
          <w:color w:val="auto"/>
        </w:rPr>
        <w:t>Ekta Singh-Bushell</w:t>
      </w:r>
      <w:r>
        <w:rPr>
          <w:sz w:val="20"/>
          <w:szCs w:val="20"/>
          <w:color w:val="auto"/>
        </w:rPr>
        <w:tab/>
      </w:r>
      <w:r>
        <w:rPr>
          <w:rFonts w:ascii="Arial" w:cs="Arial" w:eastAsia="Arial" w:hAnsi="Arial"/>
          <w:sz w:val="16"/>
          <w:szCs w:val="16"/>
          <w:color w:val="auto"/>
        </w:rPr>
        <w:t>Debra L. Zumwalt</w:t>
      </w:r>
    </w:p>
    <w:p>
      <w:pPr>
        <w:sectPr>
          <w:pgSz w:w="11900" w:h="16838" w:orient="portrait"/>
          <w:cols w:equalWidth="0" w:num="1">
            <w:col w:w="11140"/>
          </w:cols>
          <w:pgMar w:left="32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548B"/>
        </w:rPr>
        <w:t>TABLE OF CONTENTS</w:t>
      </w:r>
    </w:p>
    <w:p>
      <w:pPr>
        <w:spacing w:after="0" w:line="200" w:lineRule="exact"/>
        <w:rPr>
          <w:sz w:val="20"/>
          <w:szCs w:val="20"/>
          <w:color w:val="auto"/>
        </w:rPr>
      </w:pPr>
    </w:p>
    <w:p>
      <w:pPr>
        <w:spacing w:after="0" w:line="21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0420" w:type="dxa"/>
            <w:vAlign w:val="bottom"/>
            <w:gridSpan w:val="39"/>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GENERAL INFORMATION ABOUT THE MEETING</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80" w:type="dxa"/>
            <w:vAlign w:val="bottom"/>
            <w:tcBorders>
              <w:top w:val="single" w:sz="8" w:color="0000EE"/>
              <w:bottom w:val="single" w:sz="8" w:color="00548B"/>
            </w:tcBorders>
          </w:tcPr>
          <w:p>
            <w:pPr>
              <w:spacing w:after="0" w:line="20" w:lineRule="exact"/>
              <w:rPr>
                <w:sz w:val="1"/>
                <w:szCs w:val="1"/>
                <w:color w:val="auto"/>
              </w:rPr>
            </w:pPr>
          </w:p>
        </w:tc>
        <w:tc>
          <w:tcPr>
            <w:tcW w:w="130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20" w:type="dxa"/>
            <w:vAlign w:val="bottom"/>
            <w:tcBorders>
              <w:top w:val="single" w:sz="8" w:color="0000EE"/>
              <w:bottom w:val="single" w:sz="8" w:color="00548B"/>
            </w:tcBorders>
          </w:tcPr>
          <w:p>
            <w:pPr>
              <w:spacing w:after="0" w:line="20" w:lineRule="exact"/>
              <w:rPr>
                <w:sz w:val="1"/>
                <w:szCs w:val="1"/>
                <w:color w:val="auto"/>
              </w:rPr>
            </w:pPr>
          </w:p>
        </w:tc>
        <w:tc>
          <w:tcPr>
            <w:tcW w:w="360" w:type="dxa"/>
            <w:vAlign w:val="bottom"/>
            <w:tcBorders>
              <w:top w:val="single" w:sz="8" w:color="0000EE"/>
              <w:bottom w:val="single" w:sz="8" w:color="00548B"/>
            </w:tcBorders>
          </w:tcPr>
          <w:p>
            <w:pPr>
              <w:spacing w:after="0" w:line="20" w:lineRule="exact"/>
              <w:rPr>
                <w:sz w:val="1"/>
                <w:szCs w:val="1"/>
                <w:color w:val="auto"/>
              </w:rPr>
            </w:pPr>
          </w:p>
        </w:tc>
        <w:tc>
          <w:tcPr>
            <w:tcW w:w="30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12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20" w:type="dxa"/>
            <w:vAlign w:val="bottom"/>
            <w:tcBorders>
              <w:top w:val="single" w:sz="8" w:color="0000EE"/>
              <w:bottom w:val="single" w:sz="8" w:color="00548B"/>
            </w:tcBorders>
          </w:tcPr>
          <w:p>
            <w:pPr>
              <w:spacing w:after="0" w:line="20" w:lineRule="exact"/>
              <w:rPr>
                <w:sz w:val="1"/>
                <w:szCs w:val="1"/>
                <w:color w:val="auto"/>
              </w:rPr>
            </w:pPr>
          </w:p>
        </w:tc>
        <w:tc>
          <w:tcPr>
            <w:tcW w:w="80" w:type="dxa"/>
            <w:vAlign w:val="bottom"/>
            <w:tcBorders>
              <w:top w:val="single" w:sz="8" w:color="0000EE"/>
              <w:bottom w:val="single" w:sz="8" w:color="00548B"/>
            </w:tcBorders>
          </w:tcPr>
          <w:p>
            <w:pPr>
              <w:spacing w:after="0" w:line="20" w:lineRule="exact"/>
              <w:rPr>
                <w:sz w:val="1"/>
                <w:szCs w:val="1"/>
                <w:color w:val="auto"/>
              </w:rPr>
            </w:pPr>
          </w:p>
        </w:tc>
        <w:tc>
          <w:tcPr>
            <w:tcW w:w="80" w:type="dxa"/>
            <w:vAlign w:val="bottom"/>
            <w:tcBorders>
              <w:top w:val="single" w:sz="8" w:color="0000EE"/>
              <w:bottom w:val="single" w:sz="8" w:color="00548B"/>
            </w:tcBorders>
          </w:tcPr>
          <w:p>
            <w:pPr>
              <w:spacing w:after="0" w:line="20" w:lineRule="exact"/>
              <w:rPr>
                <w:sz w:val="1"/>
                <w:szCs w:val="1"/>
                <w:color w:val="auto"/>
              </w:rPr>
            </w:pPr>
          </w:p>
        </w:tc>
        <w:tc>
          <w:tcPr>
            <w:tcW w:w="2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6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24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80" w:type="dxa"/>
            <w:vAlign w:val="bottom"/>
            <w:tcBorders>
              <w:top w:val="single" w:sz="8" w:color="0000EE"/>
              <w:bottom w:val="single" w:sz="8" w:color="00548B"/>
            </w:tcBorders>
          </w:tcPr>
          <w:p>
            <w:pPr>
              <w:spacing w:after="0" w:line="20" w:lineRule="exact"/>
              <w:rPr>
                <w:sz w:val="1"/>
                <w:szCs w:val="1"/>
                <w:color w:val="auto"/>
              </w:rPr>
            </w:pPr>
          </w:p>
        </w:tc>
        <w:tc>
          <w:tcPr>
            <w:tcW w:w="140" w:type="dxa"/>
            <w:vAlign w:val="bottom"/>
            <w:tcBorders>
              <w:top w:val="single" w:sz="8" w:color="0000EE"/>
              <w:bottom w:val="single" w:sz="8" w:color="00548B"/>
            </w:tcBorders>
          </w:tcPr>
          <w:p>
            <w:pPr>
              <w:spacing w:after="0" w:line="20" w:lineRule="exact"/>
              <w:rPr>
                <w:sz w:val="1"/>
                <w:szCs w:val="1"/>
                <w:color w:val="auto"/>
              </w:rPr>
            </w:pPr>
          </w:p>
        </w:tc>
        <w:tc>
          <w:tcPr>
            <w:tcW w:w="140" w:type="dxa"/>
            <w:vAlign w:val="bottom"/>
            <w:tcBorders>
              <w:top w:val="single" w:sz="8" w:color="0000EE"/>
              <w:bottom w:val="single" w:sz="8" w:color="00548B"/>
            </w:tcBorders>
          </w:tcPr>
          <w:p>
            <w:pPr>
              <w:spacing w:after="0" w:line="20" w:lineRule="exact"/>
              <w:rPr>
                <w:sz w:val="1"/>
                <w:szCs w:val="1"/>
                <w:color w:val="auto"/>
              </w:rPr>
            </w:pPr>
          </w:p>
        </w:tc>
        <w:tc>
          <w:tcPr>
            <w:tcW w:w="260" w:type="dxa"/>
            <w:vAlign w:val="bottom"/>
            <w:tcBorders>
              <w:top w:val="single" w:sz="8" w:color="0000EE"/>
              <w:bottom w:val="single" w:sz="8" w:color="00548B"/>
            </w:tcBorders>
          </w:tcPr>
          <w:p>
            <w:pPr>
              <w:spacing w:after="0" w:line="20" w:lineRule="exact"/>
              <w:rPr>
                <w:sz w:val="1"/>
                <w:szCs w:val="1"/>
                <w:color w:val="auto"/>
              </w:rPr>
            </w:pPr>
          </w:p>
        </w:tc>
        <w:tc>
          <w:tcPr>
            <w:tcW w:w="2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200" w:type="dxa"/>
            <w:vAlign w:val="bottom"/>
            <w:tcBorders>
              <w:bottom w:val="single" w:sz="8" w:color="00548B"/>
            </w:tcBorders>
          </w:tcPr>
          <w:p>
            <w:pPr>
              <w:spacing w:after="0" w:line="20" w:lineRule="exact"/>
              <w:rPr>
                <w:sz w:val="1"/>
                <w:szCs w:val="1"/>
                <w:color w:val="auto"/>
              </w:rPr>
            </w:pPr>
          </w:p>
        </w:tc>
        <w:tc>
          <w:tcPr>
            <w:tcW w:w="520" w:type="dxa"/>
            <w:vAlign w:val="bottom"/>
            <w:tcBorders>
              <w:bottom w:val="single" w:sz="8" w:color="00548B"/>
            </w:tcBorders>
          </w:tcPr>
          <w:p>
            <w:pPr>
              <w:spacing w:after="0" w:line="20" w:lineRule="exact"/>
              <w:rPr>
                <w:sz w:val="1"/>
                <w:szCs w:val="1"/>
                <w:color w:val="auto"/>
              </w:rPr>
            </w:pPr>
          </w:p>
        </w:tc>
        <w:tc>
          <w:tcPr>
            <w:tcW w:w="60" w:type="dxa"/>
            <w:vAlign w:val="bottom"/>
            <w:tcBorders>
              <w:bottom w:val="single" w:sz="8" w:color="00548B"/>
            </w:tcBorders>
          </w:tcPr>
          <w:p>
            <w:pPr>
              <w:spacing w:after="0" w:line="20" w:lineRule="exact"/>
              <w:rPr>
                <w:sz w:val="1"/>
                <w:szCs w:val="1"/>
                <w:color w:val="auto"/>
              </w:rPr>
            </w:pPr>
          </w:p>
        </w:tc>
        <w:tc>
          <w:tcPr>
            <w:tcW w:w="180" w:type="dxa"/>
            <w:vAlign w:val="bottom"/>
            <w:tcBorders>
              <w:bottom w:val="single" w:sz="8" w:color="00548B"/>
            </w:tcBorders>
          </w:tcPr>
          <w:p>
            <w:pPr>
              <w:spacing w:after="0" w:line="20" w:lineRule="exact"/>
              <w:rPr>
                <w:sz w:val="1"/>
                <w:szCs w:val="1"/>
                <w:color w:val="auto"/>
              </w:rPr>
            </w:pPr>
          </w:p>
        </w:tc>
        <w:tc>
          <w:tcPr>
            <w:tcW w:w="140" w:type="dxa"/>
            <w:vAlign w:val="bottom"/>
            <w:tcBorders>
              <w:bottom w:val="single" w:sz="8" w:color="00548B"/>
            </w:tcBorders>
          </w:tcPr>
          <w:p>
            <w:pPr>
              <w:spacing w:after="0" w:line="20" w:lineRule="exact"/>
              <w:rPr>
                <w:sz w:val="1"/>
                <w:szCs w:val="1"/>
                <w:color w:val="auto"/>
              </w:rPr>
            </w:pPr>
          </w:p>
        </w:tc>
        <w:tc>
          <w:tcPr>
            <w:tcW w:w="120" w:type="dxa"/>
            <w:vAlign w:val="bottom"/>
            <w:tcBorders>
              <w:bottom w:val="single" w:sz="8" w:color="00548B"/>
            </w:tcBorders>
          </w:tcPr>
          <w:p>
            <w:pPr>
              <w:spacing w:after="0" w:line="20" w:lineRule="exact"/>
              <w:rPr>
                <w:sz w:val="1"/>
                <w:szCs w:val="1"/>
                <w:color w:val="auto"/>
              </w:rPr>
            </w:pPr>
          </w:p>
        </w:tc>
        <w:tc>
          <w:tcPr>
            <w:tcW w:w="2860" w:type="dxa"/>
            <w:vAlign w:val="bottom"/>
            <w:tcBorders>
              <w:bottom w:val="single" w:sz="8" w:color="00548B"/>
            </w:tcBorders>
          </w:tcPr>
          <w:p>
            <w:pPr>
              <w:spacing w:after="0" w:line="20" w:lineRule="exact"/>
              <w:rPr>
                <w:sz w:val="1"/>
                <w:szCs w:val="1"/>
                <w:color w:val="auto"/>
              </w:rPr>
            </w:pPr>
          </w:p>
        </w:tc>
        <w:tc>
          <w:tcPr>
            <w:tcW w:w="1420" w:type="dxa"/>
            <w:vAlign w:val="bottom"/>
            <w:tcBorders>
              <w:bottom w:val="single" w:sz="8" w:color="00548B"/>
            </w:tcBorders>
          </w:tcPr>
          <w:p>
            <w:pPr>
              <w:spacing w:after="0" w:line="20" w:lineRule="exact"/>
              <w:rPr>
                <w:sz w:val="1"/>
                <w:szCs w:val="1"/>
                <w:color w:val="auto"/>
              </w:rPr>
            </w:pPr>
          </w:p>
        </w:tc>
        <w:tc>
          <w:tcPr>
            <w:tcW w:w="360" w:type="dxa"/>
            <w:vAlign w:val="bottom"/>
            <w:tcBorders>
              <w:bottom w:val="single" w:sz="8" w:color="00548B"/>
            </w:tcBorders>
          </w:tcPr>
          <w:p>
            <w:pPr>
              <w:spacing w:after="0" w:line="20" w:lineRule="exact"/>
              <w:rPr>
                <w:sz w:val="1"/>
                <w:szCs w:val="1"/>
                <w:color w:val="auto"/>
              </w:rPr>
            </w:pPr>
          </w:p>
        </w:tc>
        <w:tc>
          <w:tcPr>
            <w:tcW w:w="140" w:type="dxa"/>
            <w:vAlign w:val="bottom"/>
            <w:tcBorders>
              <w:bottom w:val="single" w:sz="8" w:color="00548B"/>
            </w:tcBorders>
          </w:tcPr>
          <w:p>
            <w:pPr>
              <w:spacing w:after="0" w:line="20" w:lineRule="exact"/>
              <w:rPr>
                <w:sz w:val="1"/>
                <w:szCs w:val="1"/>
                <w:color w:val="auto"/>
              </w:rPr>
            </w:pPr>
          </w:p>
        </w:tc>
        <w:tc>
          <w:tcPr>
            <w:tcW w:w="320" w:type="dxa"/>
            <w:vAlign w:val="bottom"/>
            <w:tcBorders>
              <w:bottom w:val="single" w:sz="8" w:color="00548B"/>
            </w:tcBorders>
          </w:tcPr>
          <w:p>
            <w:pPr>
              <w:spacing w:after="0" w:line="20" w:lineRule="exact"/>
              <w:rPr>
                <w:sz w:val="1"/>
                <w:szCs w:val="1"/>
                <w:color w:val="auto"/>
              </w:rPr>
            </w:pPr>
          </w:p>
        </w:tc>
        <w:tc>
          <w:tcPr>
            <w:tcW w:w="600" w:type="dxa"/>
            <w:vAlign w:val="bottom"/>
            <w:tcBorders>
              <w:bottom w:val="single" w:sz="8" w:color="00548B"/>
            </w:tcBorders>
          </w:tcPr>
          <w:p>
            <w:pPr>
              <w:spacing w:after="0" w:line="20" w:lineRule="exact"/>
              <w:rPr>
                <w:sz w:val="1"/>
                <w:szCs w:val="1"/>
                <w:color w:val="auto"/>
              </w:rPr>
            </w:pPr>
          </w:p>
        </w:tc>
      </w:tr>
      <w:tr>
        <w:trPr>
          <w:trHeight w:val="156"/>
        </w:trPr>
        <w:tc>
          <w:tcPr>
            <w:tcW w:w="180" w:type="dxa"/>
            <w:vAlign w:val="bottom"/>
          </w:tcPr>
          <w:p>
            <w:pPr>
              <w:spacing w:after="0"/>
              <w:rPr>
                <w:sz w:val="13"/>
                <w:szCs w:val="13"/>
                <w:color w:val="auto"/>
              </w:rPr>
            </w:pPr>
          </w:p>
        </w:tc>
        <w:tc>
          <w:tcPr>
            <w:tcW w:w="2720" w:type="dxa"/>
            <w:vAlign w:val="bottom"/>
            <w:tcBorders>
              <w:bottom w:val="single" w:sz="8" w:color="0000EE"/>
            </w:tcBorders>
            <w:gridSpan w:val="16"/>
          </w:tcPr>
          <w:p>
            <w:pPr>
              <w:spacing w:after="0" w:line="156" w:lineRule="exact"/>
              <w:rPr>
                <w:rFonts w:ascii="Arial" w:cs="Arial" w:eastAsia="Arial" w:hAnsi="Arial"/>
                <w:sz w:val="18"/>
                <w:szCs w:val="18"/>
                <w:color w:val="0000EE"/>
                <w:w w:val="98"/>
              </w:rPr>
            </w:pPr>
            <w:hyperlink w:anchor="page6">
              <w:r>
                <w:rPr>
                  <w:rFonts w:ascii="Arial" w:cs="Arial" w:eastAsia="Arial" w:hAnsi="Arial"/>
                  <w:sz w:val="18"/>
                  <w:szCs w:val="18"/>
                  <w:color w:val="0000EE"/>
                  <w:w w:val="98"/>
                </w:rPr>
                <w:t>Quorum and Voting Requirements</w:t>
              </w:r>
            </w:hyperlink>
          </w:p>
        </w:tc>
        <w:tc>
          <w:tcPr>
            <w:tcW w:w="7520" w:type="dxa"/>
            <w:vAlign w:val="bottom"/>
            <w:gridSpan w:val="22"/>
          </w:tcPr>
          <w:p>
            <w:pPr>
              <w:spacing w:after="0"/>
              <w:rPr>
                <w:sz w:val="13"/>
                <w:szCs w:val="13"/>
                <w:color w:val="auto"/>
              </w:rPr>
            </w:pPr>
          </w:p>
        </w:tc>
        <w:tc>
          <w:tcPr>
            <w:tcW w:w="600" w:type="dxa"/>
            <w:vAlign w:val="bottom"/>
          </w:tcPr>
          <w:p>
            <w:pPr>
              <w:jc w:val="right"/>
              <w:spacing w:after="0" w:line="156" w:lineRule="exact"/>
              <w:rPr>
                <w:sz w:val="20"/>
                <w:szCs w:val="20"/>
                <w:color w:val="auto"/>
              </w:rPr>
            </w:pPr>
            <w:r>
              <w:rPr>
                <w:rFonts w:ascii="Arial" w:cs="Arial" w:eastAsia="Arial" w:hAnsi="Arial"/>
                <w:sz w:val="18"/>
                <w:szCs w:val="18"/>
                <w:color w:val="auto"/>
              </w:rPr>
              <w:t>1</w:t>
            </w:r>
          </w:p>
        </w:tc>
      </w:tr>
      <w:tr>
        <w:trPr>
          <w:trHeight w:val="291"/>
        </w:trPr>
        <w:tc>
          <w:tcPr>
            <w:tcW w:w="10420" w:type="dxa"/>
            <w:vAlign w:val="bottom"/>
            <w:gridSpan w:val="39"/>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PROPOSAL 1 — ELECTION OF DIRECTORS</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180" w:type="dxa"/>
            <w:vAlign w:val="bottom"/>
            <w:tcBorders>
              <w:top w:val="single" w:sz="8" w:color="0000EE"/>
              <w:bottom w:val="single" w:sz="8" w:color="00548B"/>
            </w:tcBorders>
          </w:tcPr>
          <w:p>
            <w:pPr>
              <w:spacing w:after="0" w:line="20" w:lineRule="exact"/>
              <w:rPr>
                <w:sz w:val="1"/>
                <w:szCs w:val="1"/>
                <w:color w:val="auto"/>
              </w:rPr>
            </w:pPr>
          </w:p>
        </w:tc>
        <w:tc>
          <w:tcPr>
            <w:tcW w:w="130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20" w:type="dxa"/>
            <w:vAlign w:val="bottom"/>
            <w:tcBorders>
              <w:top w:val="single" w:sz="8" w:color="0000EE"/>
              <w:bottom w:val="single" w:sz="8" w:color="00548B"/>
            </w:tcBorders>
          </w:tcPr>
          <w:p>
            <w:pPr>
              <w:spacing w:after="0" w:line="20" w:lineRule="exact"/>
              <w:rPr>
                <w:sz w:val="1"/>
                <w:szCs w:val="1"/>
                <w:color w:val="auto"/>
              </w:rPr>
            </w:pPr>
          </w:p>
        </w:tc>
        <w:tc>
          <w:tcPr>
            <w:tcW w:w="360" w:type="dxa"/>
            <w:vAlign w:val="bottom"/>
            <w:tcBorders>
              <w:top w:val="single" w:sz="8" w:color="0000EE"/>
              <w:bottom w:val="single" w:sz="8" w:color="00548B"/>
            </w:tcBorders>
          </w:tcPr>
          <w:p>
            <w:pPr>
              <w:spacing w:after="0" w:line="20" w:lineRule="exact"/>
              <w:rPr>
                <w:sz w:val="1"/>
                <w:szCs w:val="1"/>
                <w:color w:val="auto"/>
              </w:rPr>
            </w:pPr>
          </w:p>
        </w:tc>
        <w:tc>
          <w:tcPr>
            <w:tcW w:w="30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12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20" w:type="dxa"/>
            <w:vAlign w:val="bottom"/>
            <w:tcBorders>
              <w:top w:val="single" w:sz="8" w:color="0000EE"/>
              <w:bottom w:val="single" w:sz="8" w:color="00548B"/>
            </w:tcBorders>
          </w:tcPr>
          <w:p>
            <w:pPr>
              <w:spacing w:after="0" w:line="20" w:lineRule="exact"/>
              <w:rPr>
                <w:sz w:val="1"/>
                <w:szCs w:val="1"/>
                <w:color w:val="auto"/>
              </w:rPr>
            </w:pPr>
          </w:p>
        </w:tc>
        <w:tc>
          <w:tcPr>
            <w:tcW w:w="80" w:type="dxa"/>
            <w:vAlign w:val="bottom"/>
            <w:tcBorders>
              <w:top w:val="single" w:sz="8" w:color="0000EE"/>
              <w:bottom w:val="single" w:sz="8" w:color="00548B"/>
            </w:tcBorders>
          </w:tcPr>
          <w:p>
            <w:pPr>
              <w:spacing w:after="0" w:line="20" w:lineRule="exact"/>
              <w:rPr>
                <w:sz w:val="1"/>
                <w:szCs w:val="1"/>
                <w:color w:val="auto"/>
              </w:rPr>
            </w:pPr>
          </w:p>
        </w:tc>
        <w:tc>
          <w:tcPr>
            <w:tcW w:w="80" w:type="dxa"/>
            <w:vAlign w:val="bottom"/>
            <w:tcBorders>
              <w:top w:val="single" w:sz="8" w:color="0000EE"/>
              <w:bottom w:val="single" w:sz="8" w:color="00548B"/>
            </w:tcBorders>
          </w:tcPr>
          <w:p>
            <w:pPr>
              <w:spacing w:after="0" w:line="20" w:lineRule="exact"/>
              <w:rPr>
                <w:sz w:val="1"/>
                <w:szCs w:val="1"/>
                <w:color w:val="auto"/>
              </w:rPr>
            </w:pPr>
          </w:p>
        </w:tc>
        <w:tc>
          <w:tcPr>
            <w:tcW w:w="2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6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24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80" w:type="dxa"/>
            <w:vAlign w:val="bottom"/>
            <w:tcBorders>
              <w:top w:val="single" w:sz="8" w:color="0000EE"/>
              <w:bottom w:val="single" w:sz="8" w:color="00548B"/>
            </w:tcBorders>
          </w:tcPr>
          <w:p>
            <w:pPr>
              <w:spacing w:after="0" w:line="20" w:lineRule="exact"/>
              <w:rPr>
                <w:sz w:val="1"/>
                <w:szCs w:val="1"/>
                <w:color w:val="auto"/>
              </w:rPr>
            </w:pPr>
          </w:p>
        </w:tc>
        <w:tc>
          <w:tcPr>
            <w:tcW w:w="140" w:type="dxa"/>
            <w:vAlign w:val="bottom"/>
            <w:tcBorders>
              <w:top w:val="single" w:sz="8" w:color="0000EE"/>
              <w:bottom w:val="single" w:sz="8" w:color="00548B"/>
            </w:tcBorders>
          </w:tcPr>
          <w:p>
            <w:pPr>
              <w:spacing w:after="0" w:line="20" w:lineRule="exact"/>
              <w:rPr>
                <w:sz w:val="1"/>
                <w:szCs w:val="1"/>
                <w:color w:val="auto"/>
              </w:rPr>
            </w:pPr>
          </w:p>
        </w:tc>
        <w:tc>
          <w:tcPr>
            <w:tcW w:w="140" w:type="dxa"/>
            <w:vAlign w:val="bottom"/>
            <w:tcBorders>
              <w:top w:val="single" w:sz="8" w:color="0000EE"/>
              <w:bottom w:val="single" w:sz="8" w:color="00548B"/>
            </w:tcBorders>
          </w:tcPr>
          <w:p>
            <w:pPr>
              <w:spacing w:after="0" w:line="20" w:lineRule="exact"/>
              <w:rPr>
                <w:sz w:val="1"/>
                <w:szCs w:val="1"/>
                <w:color w:val="auto"/>
              </w:rPr>
            </w:pPr>
          </w:p>
        </w:tc>
        <w:tc>
          <w:tcPr>
            <w:tcW w:w="260" w:type="dxa"/>
            <w:vAlign w:val="bottom"/>
            <w:tcBorders>
              <w:bottom w:val="single" w:sz="8" w:color="00548B"/>
            </w:tcBorders>
          </w:tcPr>
          <w:p>
            <w:pPr>
              <w:spacing w:after="0" w:line="20" w:lineRule="exact"/>
              <w:rPr>
                <w:sz w:val="1"/>
                <w:szCs w:val="1"/>
                <w:color w:val="auto"/>
              </w:rPr>
            </w:pPr>
          </w:p>
        </w:tc>
        <w:tc>
          <w:tcPr>
            <w:tcW w:w="20" w:type="dxa"/>
            <w:vAlign w:val="bottom"/>
            <w:tcBorders>
              <w:bottom w:val="single" w:sz="8" w:color="00548B"/>
            </w:tcBorders>
          </w:tcPr>
          <w:p>
            <w:pPr>
              <w:spacing w:after="0" w:line="20" w:lineRule="exact"/>
              <w:rPr>
                <w:sz w:val="1"/>
                <w:szCs w:val="1"/>
                <w:color w:val="auto"/>
              </w:rPr>
            </w:pPr>
          </w:p>
        </w:tc>
        <w:tc>
          <w:tcPr>
            <w:tcW w:w="100" w:type="dxa"/>
            <w:vAlign w:val="bottom"/>
            <w:tcBorders>
              <w:bottom w:val="single" w:sz="8" w:color="00548B"/>
            </w:tcBorders>
          </w:tcPr>
          <w:p>
            <w:pPr>
              <w:spacing w:after="0" w:line="20" w:lineRule="exact"/>
              <w:rPr>
                <w:sz w:val="1"/>
                <w:szCs w:val="1"/>
                <w:color w:val="auto"/>
              </w:rPr>
            </w:pPr>
          </w:p>
        </w:tc>
        <w:tc>
          <w:tcPr>
            <w:tcW w:w="200" w:type="dxa"/>
            <w:vAlign w:val="bottom"/>
            <w:tcBorders>
              <w:bottom w:val="single" w:sz="8" w:color="00548B"/>
            </w:tcBorders>
          </w:tcPr>
          <w:p>
            <w:pPr>
              <w:spacing w:after="0" w:line="20" w:lineRule="exact"/>
              <w:rPr>
                <w:sz w:val="1"/>
                <w:szCs w:val="1"/>
                <w:color w:val="auto"/>
              </w:rPr>
            </w:pPr>
          </w:p>
        </w:tc>
        <w:tc>
          <w:tcPr>
            <w:tcW w:w="520" w:type="dxa"/>
            <w:vAlign w:val="bottom"/>
            <w:tcBorders>
              <w:bottom w:val="single" w:sz="8" w:color="00548B"/>
            </w:tcBorders>
          </w:tcPr>
          <w:p>
            <w:pPr>
              <w:spacing w:after="0" w:line="20" w:lineRule="exact"/>
              <w:rPr>
                <w:sz w:val="1"/>
                <w:szCs w:val="1"/>
                <w:color w:val="auto"/>
              </w:rPr>
            </w:pPr>
          </w:p>
        </w:tc>
        <w:tc>
          <w:tcPr>
            <w:tcW w:w="60" w:type="dxa"/>
            <w:vAlign w:val="bottom"/>
            <w:tcBorders>
              <w:bottom w:val="single" w:sz="8" w:color="00548B"/>
            </w:tcBorders>
          </w:tcPr>
          <w:p>
            <w:pPr>
              <w:spacing w:after="0" w:line="20" w:lineRule="exact"/>
              <w:rPr>
                <w:sz w:val="1"/>
                <w:szCs w:val="1"/>
                <w:color w:val="auto"/>
              </w:rPr>
            </w:pPr>
          </w:p>
        </w:tc>
        <w:tc>
          <w:tcPr>
            <w:tcW w:w="180" w:type="dxa"/>
            <w:vAlign w:val="bottom"/>
            <w:tcBorders>
              <w:bottom w:val="single" w:sz="8" w:color="00548B"/>
            </w:tcBorders>
          </w:tcPr>
          <w:p>
            <w:pPr>
              <w:spacing w:after="0" w:line="20" w:lineRule="exact"/>
              <w:rPr>
                <w:sz w:val="1"/>
                <w:szCs w:val="1"/>
                <w:color w:val="auto"/>
              </w:rPr>
            </w:pPr>
          </w:p>
        </w:tc>
        <w:tc>
          <w:tcPr>
            <w:tcW w:w="140" w:type="dxa"/>
            <w:vAlign w:val="bottom"/>
            <w:tcBorders>
              <w:bottom w:val="single" w:sz="8" w:color="00548B"/>
            </w:tcBorders>
          </w:tcPr>
          <w:p>
            <w:pPr>
              <w:spacing w:after="0" w:line="20" w:lineRule="exact"/>
              <w:rPr>
                <w:sz w:val="1"/>
                <w:szCs w:val="1"/>
                <w:color w:val="auto"/>
              </w:rPr>
            </w:pPr>
          </w:p>
        </w:tc>
        <w:tc>
          <w:tcPr>
            <w:tcW w:w="120" w:type="dxa"/>
            <w:vAlign w:val="bottom"/>
            <w:tcBorders>
              <w:bottom w:val="single" w:sz="8" w:color="00548B"/>
            </w:tcBorders>
          </w:tcPr>
          <w:p>
            <w:pPr>
              <w:spacing w:after="0" w:line="20" w:lineRule="exact"/>
              <w:rPr>
                <w:sz w:val="1"/>
                <w:szCs w:val="1"/>
                <w:color w:val="auto"/>
              </w:rPr>
            </w:pPr>
          </w:p>
        </w:tc>
        <w:tc>
          <w:tcPr>
            <w:tcW w:w="2860" w:type="dxa"/>
            <w:vAlign w:val="bottom"/>
            <w:tcBorders>
              <w:bottom w:val="single" w:sz="8" w:color="00548B"/>
            </w:tcBorders>
          </w:tcPr>
          <w:p>
            <w:pPr>
              <w:spacing w:after="0" w:line="20" w:lineRule="exact"/>
              <w:rPr>
                <w:sz w:val="1"/>
                <w:szCs w:val="1"/>
                <w:color w:val="auto"/>
              </w:rPr>
            </w:pPr>
          </w:p>
        </w:tc>
        <w:tc>
          <w:tcPr>
            <w:tcW w:w="1420" w:type="dxa"/>
            <w:vAlign w:val="bottom"/>
            <w:tcBorders>
              <w:bottom w:val="single" w:sz="8" w:color="00548B"/>
            </w:tcBorders>
          </w:tcPr>
          <w:p>
            <w:pPr>
              <w:spacing w:after="0" w:line="20" w:lineRule="exact"/>
              <w:rPr>
                <w:sz w:val="1"/>
                <w:szCs w:val="1"/>
                <w:color w:val="auto"/>
              </w:rPr>
            </w:pPr>
          </w:p>
        </w:tc>
        <w:tc>
          <w:tcPr>
            <w:tcW w:w="360" w:type="dxa"/>
            <w:vAlign w:val="bottom"/>
            <w:tcBorders>
              <w:bottom w:val="single" w:sz="8" w:color="00548B"/>
            </w:tcBorders>
          </w:tcPr>
          <w:p>
            <w:pPr>
              <w:spacing w:after="0" w:line="20" w:lineRule="exact"/>
              <w:rPr>
                <w:sz w:val="1"/>
                <w:szCs w:val="1"/>
                <w:color w:val="auto"/>
              </w:rPr>
            </w:pPr>
          </w:p>
        </w:tc>
        <w:tc>
          <w:tcPr>
            <w:tcW w:w="140" w:type="dxa"/>
            <w:vAlign w:val="bottom"/>
            <w:tcBorders>
              <w:bottom w:val="single" w:sz="8" w:color="00548B"/>
            </w:tcBorders>
          </w:tcPr>
          <w:p>
            <w:pPr>
              <w:spacing w:after="0" w:line="20" w:lineRule="exact"/>
              <w:rPr>
                <w:sz w:val="1"/>
                <w:szCs w:val="1"/>
                <w:color w:val="auto"/>
              </w:rPr>
            </w:pPr>
          </w:p>
        </w:tc>
        <w:tc>
          <w:tcPr>
            <w:tcW w:w="320" w:type="dxa"/>
            <w:vAlign w:val="bottom"/>
            <w:tcBorders>
              <w:bottom w:val="single" w:sz="8" w:color="00548B"/>
            </w:tcBorders>
          </w:tcPr>
          <w:p>
            <w:pPr>
              <w:spacing w:after="0" w:line="20" w:lineRule="exact"/>
              <w:rPr>
                <w:sz w:val="1"/>
                <w:szCs w:val="1"/>
                <w:color w:val="auto"/>
              </w:rPr>
            </w:pPr>
          </w:p>
        </w:tc>
        <w:tc>
          <w:tcPr>
            <w:tcW w:w="600" w:type="dxa"/>
            <w:vAlign w:val="bottom"/>
            <w:tcBorders>
              <w:bottom w:val="single" w:sz="8" w:color="00548B"/>
            </w:tcBorders>
          </w:tcPr>
          <w:p>
            <w:pPr>
              <w:spacing w:after="0" w:line="20" w:lineRule="exact"/>
              <w:rPr>
                <w:sz w:val="1"/>
                <w:szCs w:val="1"/>
                <w:color w:val="auto"/>
              </w:rPr>
            </w:pPr>
          </w:p>
        </w:tc>
      </w:tr>
      <w:tr>
        <w:trPr>
          <w:trHeight w:val="156"/>
        </w:trPr>
        <w:tc>
          <w:tcPr>
            <w:tcW w:w="180" w:type="dxa"/>
            <w:vAlign w:val="bottom"/>
          </w:tcPr>
          <w:p>
            <w:pPr>
              <w:spacing w:after="0"/>
              <w:rPr>
                <w:sz w:val="13"/>
                <w:szCs w:val="13"/>
                <w:color w:val="auto"/>
              </w:rPr>
            </w:pPr>
          </w:p>
        </w:tc>
        <w:tc>
          <w:tcPr>
            <w:tcW w:w="1460" w:type="dxa"/>
            <w:vAlign w:val="bottom"/>
            <w:tcBorders>
              <w:bottom w:val="single" w:sz="8" w:color="0000EE"/>
            </w:tcBorders>
            <w:gridSpan w:val="4"/>
          </w:tcPr>
          <w:p>
            <w:pPr>
              <w:spacing w:after="0" w:line="156" w:lineRule="exact"/>
              <w:rPr>
                <w:rFonts w:ascii="Arial" w:cs="Arial" w:eastAsia="Arial" w:hAnsi="Arial"/>
                <w:sz w:val="18"/>
                <w:szCs w:val="18"/>
                <w:color w:val="0000EE"/>
                <w:w w:val="99"/>
              </w:rPr>
            </w:pPr>
            <w:hyperlink w:anchor="page7">
              <w:r>
                <w:rPr>
                  <w:rFonts w:ascii="Arial" w:cs="Arial" w:eastAsia="Arial" w:hAnsi="Arial"/>
                  <w:sz w:val="18"/>
                  <w:szCs w:val="18"/>
                  <w:color w:val="0000EE"/>
                  <w:w w:val="99"/>
                </w:rPr>
                <w:t>Board of Directors</w:t>
              </w:r>
            </w:hyperlink>
          </w:p>
        </w:tc>
        <w:tc>
          <w:tcPr>
            <w:tcW w:w="8780" w:type="dxa"/>
            <w:vAlign w:val="bottom"/>
            <w:gridSpan w:val="34"/>
          </w:tcPr>
          <w:p>
            <w:pPr>
              <w:spacing w:after="0"/>
              <w:rPr>
                <w:sz w:val="13"/>
                <w:szCs w:val="13"/>
                <w:color w:val="auto"/>
              </w:rPr>
            </w:pPr>
          </w:p>
        </w:tc>
        <w:tc>
          <w:tcPr>
            <w:tcW w:w="600" w:type="dxa"/>
            <w:vAlign w:val="bottom"/>
          </w:tcPr>
          <w:p>
            <w:pPr>
              <w:jc w:val="right"/>
              <w:spacing w:after="0" w:line="156" w:lineRule="exact"/>
              <w:rPr>
                <w:sz w:val="20"/>
                <w:szCs w:val="20"/>
                <w:color w:val="auto"/>
              </w:rPr>
            </w:pPr>
            <w:r>
              <w:rPr>
                <w:rFonts w:ascii="Arial" w:cs="Arial" w:eastAsia="Arial" w:hAnsi="Arial"/>
                <w:sz w:val="18"/>
                <w:szCs w:val="18"/>
                <w:color w:val="auto"/>
              </w:rPr>
              <w:t>2</w:t>
            </w:r>
          </w:p>
        </w:tc>
      </w:tr>
      <w:tr>
        <w:trPr>
          <w:trHeight w:val="183"/>
        </w:trPr>
        <w:tc>
          <w:tcPr>
            <w:tcW w:w="180" w:type="dxa"/>
            <w:vAlign w:val="bottom"/>
          </w:tcPr>
          <w:p>
            <w:pPr>
              <w:spacing w:after="0"/>
              <w:rPr>
                <w:sz w:val="15"/>
                <w:szCs w:val="15"/>
                <w:color w:val="auto"/>
              </w:rPr>
            </w:pPr>
          </w:p>
        </w:tc>
        <w:tc>
          <w:tcPr>
            <w:tcW w:w="1300" w:type="dxa"/>
            <w:vAlign w:val="bottom"/>
            <w:tcBorders>
              <w:bottom w:val="single" w:sz="8" w:color="0000EE"/>
            </w:tcBorders>
          </w:tcPr>
          <w:p>
            <w:pPr>
              <w:spacing w:after="0" w:line="182" w:lineRule="exact"/>
              <w:rPr>
                <w:rFonts w:ascii="Arial" w:cs="Arial" w:eastAsia="Arial" w:hAnsi="Arial"/>
                <w:sz w:val="18"/>
                <w:szCs w:val="18"/>
                <w:color w:val="0000EE"/>
                <w:w w:val="98"/>
              </w:rPr>
            </w:pPr>
            <w:hyperlink w:anchor="page7">
              <w:r>
                <w:rPr>
                  <w:rFonts w:ascii="Arial" w:cs="Arial" w:eastAsia="Arial" w:hAnsi="Arial"/>
                  <w:sz w:val="18"/>
                  <w:szCs w:val="18"/>
                  <w:color w:val="0000EE"/>
                  <w:w w:val="98"/>
                </w:rPr>
                <w:t>About the Board</w:t>
              </w:r>
            </w:hyperlink>
          </w:p>
        </w:tc>
        <w:tc>
          <w:tcPr>
            <w:tcW w:w="8940" w:type="dxa"/>
            <w:vAlign w:val="bottom"/>
            <w:gridSpan w:val="37"/>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r>
      <w:tr>
        <w:trPr>
          <w:trHeight w:val="183"/>
        </w:trPr>
        <w:tc>
          <w:tcPr>
            <w:tcW w:w="180" w:type="dxa"/>
            <w:vAlign w:val="bottom"/>
          </w:tcPr>
          <w:p>
            <w:pPr>
              <w:spacing w:after="0"/>
              <w:rPr>
                <w:sz w:val="15"/>
                <w:szCs w:val="15"/>
                <w:color w:val="auto"/>
              </w:rPr>
            </w:pPr>
          </w:p>
        </w:tc>
        <w:tc>
          <w:tcPr>
            <w:tcW w:w="2520" w:type="dxa"/>
            <w:vAlign w:val="bottom"/>
            <w:tcBorders>
              <w:bottom w:val="single" w:sz="8" w:color="0000EE"/>
            </w:tcBorders>
            <w:gridSpan w:val="13"/>
          </w:tcPr>
          <w:p>
            <w:pPr>
              <w:spacing w:after="0" w:line="182" w:lineRule="exact"/>
              <w:rPr>
                <w:rFonts w:ascii="Arial" w:cs="Arial" w:eastAsia="Arial" w:hAnsi="Arial"/>
                <w:sz w:val="18"/>
                <w:szCs w:val="18"/>
                <w:color w:val="0000EE"/>
                <w:w w:val="99"/>
              </w:rPr>
            </w:pPr>
            <w:hyperlink w:anchor="page9">
              <w:r>
                <w:rPr>
                  <w:rFonts w:ascii="Arial" w:cs="Arial" w:eastAsia="Arial" w:hAnsi="Arial"/>
                  <w:sz w:val="18"/>
                  <w:szCs w:val="18"/>
                  <w:color w:val="0000EE"/>
                  <w:w w:val="99"/>
                </w:rPr>
                <w:t>Nominees to Board of Directors</w:t>
              </w:r>
            </w:hyperlink>
          </w:p>
        </w:tc>
        <w:tc>
          <w:tcPr>
            <w:tcW w:w="7720" w:type="dxa"/>
            <w:vAlign w:val="bottom"/>
            <w:gridSpan w:val="25"/>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r>
      <w:tr>
        <w:trPr>
          <w:trHeight w:val="183"/>
        </w:trPr>
        <w:tc>
          <w:tcPr>
            <w:tcW w:w="180" w:type="dxa"/>
            <w:vAlign w:val="bottom"/>
          </w:tcPr>
          <w:p>
            <w:pPr>
              <w:spacing w:after="0"/>
              <w:rPr>
                <w:sz w:val="15"/>
                <w:szCs w:val="15"/>
                <w:color w:val="auto"/>
              </w:rPr>
            </w:pPr>
          </w:p>
        </w:tc>
        <w:tc>
          <w:tcPr>
            <w:tcW w:w="2760" w:type="dxa"/>
            <w:vAlign w:val="bottom"/>
            <w:tcBorders>
              <w:bottom w:val="single" w:sz="8" w:color="0000EE"/>
            </w:tcBorders>
            <w:gridSpan w:val="17"/>
          </w:tcPr>
          <w:p>
            <w:pPr>
              <w:spacing w:after="0" w:line="182" w:lineRule="exact"/>
              <w:rPr>
                <w:rFonts w:ascii="Arial" w:cs="Arial" w:eastAsia="Arial" w:hAnsi="Arial"/>
                <w:sz w:val="18"/>
                <w:szCs w:val="18"/>
                <w:color w:val="0000EE"/>
                <w:w w:val="99"/>
              </w:rPr>
            </w:pPr>
            <w:hyperlink w:anchor="page11">
              <w:r>
                <w:rPr>
                  <w:rFonts w:ascii="Arial" w:cs="Arial" w:eastAsia="Arial" w:hAnsi="Arial"/>
                  <w:sz w:val="18"/>
                  <w:szCs w:val="18"/>
                  <w:color w:val="0000EE"/>
                  <w:w w:val="99"/>
                </w:rPr>
                <w:t>Directors Not Standing for Election</w:t>
              </w:r>
            </w:hyperlink>
          </w:p>
        </w:tc>
        <w:tc>
          <w:tcPr>
            <w:tcW w:w="7480" w:type="dxa"/>
            <w:vAlign w:val="bottom"/>
            <w:gridSpan w:val="21"/>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r>
      <w:tr>
        <w:trPr>
          <w:trHeight w:val="183"/>
        </w:trPr>
        <w:tc>
          <w:tcPr>
            <w:tcW w:w="180" w:type="dxa"/>
            <w:vAlign w:val="bottom"/>
          </w:tcPr>
          <w:p>
            <w:pPr>
              <w:spacing w:after="0"/>
              <w:rPr>
                <w:sz w:val="15"/>
                <w:szCs w:val="15"/>
                <w:color w:val="auto"/>
              </w:rPr>
            </w:pPr>
          </w:p>
        </w:tc>
        <w:tc>
          <w:tcPr>
            <w:tcW w:w="1820" w:type="dxa"/>
            <w:vAlign w:val="bottom"/>
            <w:tcBorders>
              <w:bottom w:val="single" w:sz="8" w:color="0000EE"/>
            </w:tcBorders>
            <w:gridSpan w:val="5"/>
          </w:tcPr>
          <w:p>
            <w:pPr>
              <w:spacing w:after="0" w:line="182" w:lineRule="exact"/>
              <w:rPr>
                <w:rFonts w:ascii="Arial" w:cs="Arial" w:eastAsia="Arial" w:hAnsi="Arial"/>
                <w:sz w:val="18"/>
                <w:szCs w:val="18"/>
                <w:color w:val="0000EE"/>
                <w:w w:val="98"/>
              </w:rPr>
            </w:pPr>
            <w:hyperlink w:anchor="page15">
              <w:r>
                <w:rPr>
                  <w:rFonts w:ascii="Arial" w:cs="Arial" w:eastAsia="Arial" w:hAnsi="Arial"/>
                  <w:sz w:val="18"/>
                  <w:szCs w:val="18"/>
                  <w:color w:val="0000EE"/>
                  <w:w w:val="98"/>
                </w:rPr>
                <w:t>Director Independence</w:t>
              </w:r>
            </w:hyperlink>
          </w:p>
        </w:tc>
        <w:tc>
          <w:tcPr>
            <w:tcW w:w="8420" w:type="dxa"/>
            <w:vAlign w:val="bottom"/>
            <w:gridSpan w:val="33"/>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10</w:t>
            </w:r>
          </w:p>
        </w:tc>
      </w:tr>
      <w:tr>
        <w:trPr>
          <w:trHeight w:val="291"/>
        </w:trPr>
        <w:tc>
          <w:tcPr>
            <w:tcW w:w="10420" w:type="dxa"/>
            <w:vAlign w:val="bottom"/>
            <w:gridSpan w:val="39"/>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CORPORATE GOVERNANCE</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180" w:type="dxa"/>
            <w:vAlign w:val="bottom"/>
            <w:tcBorders>
              <w:top w:val="single" w:sz="8" w:color="0000EE"/>
              <w:bottom w:val="single" w:sz="8" w:color="00548B"/>
            </w:tcBorders>
          </w:tcPr>
          <w:p>
            <w:pPr>
              <w:spacing w:after="0" w:line="20" w:lineRule="exact"/>
              <w:rPr>
                <w:sz w:val="1"/>
                <w:szCs w:val="1"/>
                <w:color w:val="auto"/>
              </w:rPr>
            </w:pPr>
          </w:p>
        </w:tc>
        <w:tc>
          <w:tcPr>
            <w:tcW w:w="130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20" w:type="dxa"/>
            <w:vAlign w:val="bottom"/>
            <w:tcBorders>
              <w:top w:val="single" w:sz="8" w:color="0000EE"/>
              <w:bottom w:val="single" w:sz="8" w:color="00548B"/>
            </w:tcBorders>
          </w:tcPr>
          <w:p>
            <w:pPr>
              <w:spacing w:after="0" w:line="20" w:lineRule="exact"/>
              <w:rPr>
                <w:sz w:val="1"/>
                <w:szCs w:val="1"/>
                <w:color w:val="auto"/>
              </w:rPr>
            </w:pPr>
          </w:p>
        </w:tc>
        <w:tc>
          <w:tcPr>
            <w:tcW w:w="360" w:type="dxa"/>
            <w:vAlign w:val="bottom"/>
            <w:tcBorders>
              <w:top w:val="single" w:sz="8" w:color="0000EE"/>
              <w:bottom w:val="single" w:sz="8" w:color="00548B"/>
            </w:tcBorders>
          </w:tcPr>
          <w:p>
            <w:pPr>
              <w:spacing w:after="0" w:line="20" w:lineRule="exact"/>
              <w:rPr>
                <w:sz w:val="1"/>
                <w:szCs w:val="1"/>
                <w:color w:val="auto"/>
              </w:rPr>
            </w:pPr>
          </w:p>
        </w:tc>
        <w:tc>
          <w:tcPr>
            <w:tcW w:w="30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12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bottom w:val="single" w:sz="8" w:color="00548B"/>
            </w:tcBorders>
          </w:tcPr>
          <w:p>
            <w:pPr>
              <w:spacing w:after="0" w:line="20" w:lineRule="exact"/>
              <w:rPr>
                <w:sz w:val="1"/>
                <w:szCs w:val="1"/>
                <w:color w:val="auto"/>
              </w:rPr>
            </w:pPr>
          </w:p>
        </w:tc>
        <w:tc>
          <w:tcPr>
            <w:tcW w:w="20" w:type="dxa"/>
            <w:vAlign w:val="bottom"/>
            <w:tcBorders>
              <w:bottom w:val="single" w:sz="8" w:color="00548B"/>
            </w:tcBorders>
          </w:tcPr>
          <w:p>
            <w:pPr>
              <w:spacing w:after="0" w:line="20" w:lineRule="exact"/>
              <w:rPr>
                <w:sz w:val="1"/>
                <w:szCs w:val="1"/>
                <w:color w:val="auto"/>
              </w:rPr>
            </w:pPr>
          </w:p>
        </w:tc>
        <w:tc>
          <w:tcPr>
            <w:tcW w:w="80" w:type="dxa"/>
            <w:vAlign w:val="bottom"/>
            <w:tcBorders>
              <w:bottom w:val="single" w:sz="8" w:color="00548B"/>
            </w:tcBorders>
          </w:tcPr>
          <w:p>
            <w:pPr>
              <w:spacing w:after="0" w:line="20" w:lineRule="exact"/>
              <w:rPr>
                <w:sz w:val="1"/>
                <w:szCs w:val="1"/>
                <w:color w:val="auto"/>
              </w:rPr>
            </w:pPr>
          </w:p>
        </w:tc>
        <w:tc>
          <w:tcPr>
            <w:tcW w:w="80" w:type="dxa"/>
            <w:vAlign w:val="bottom"/>
            <w:tcBorders>
              <w:bottom w:val="single" w:sz="8" w:color="00548B"/>
            </w:tcBorders>
          </w:tcPr>
          <w:p>
            <w:pPr>
              <w:spacing w:after="0" w:line="20" w:lineRule="exact"/>
              <w:rPr>
                <w:sz w:val="1"/>
                <w:szCs w:val="1"/>
                <w:color w:val="auto"/>
              </w:rPr>
            </w:pPr>
          </w:p>
        </w:tc>
        <w:tc>
          <w:tcPr>
            <w:tcW w:w="20" w:type="dxa"/>
            <w:vAlign w:val="bottom"/>
            <w:tcBorders>
              <w:bottom w:val="single" w:sz="8" w:color="00548B"/>
            </w:tcBorders>
          </w:tcPr>
          <w:p>
            <w:pPr>
              <w:spacing w:after="0" w:line="20" w:lineRule="exact"/>
              <w:rPr>
                <w:sz w:val="1"/>
                <w:szCs w:val="1"/>
                <w:color w:val="auto"/>
              </w:rPr>
            </w:pPr>
          </w:p>
        </w:tc>
        <w:tc>
          <w:tcPr>
            <w:tcW w:w="100" w:type="dxa"/>
            <w:vAlign w:val="bottom"/>
            <w:tcBorders>
              <w:bottom w:val="single" w:sz="8" w:color="00548B"/>
            </w:tcBorders>
          </w:tcPr>
          <w:p>
            <w:pPr>
              <w:spacing w:after="0" w:line="20" w:lineRule="exact"/>
              <w:rPr>
                <w:sz w:val="1"/>
                <w:szCs w:val="1"/>
                <w:color w:val="auto"/>
              </w:rPr>
            </w:pPr>
          </w:p>
        </w:tc>
        <w:tc>
          <w:tcPr>
            <w:tcW w:w="40" w:type="dxa"/>
            <w:vAlign w:val="bottom"/>
            <w:tcBorders>
              <w:bottom w:val="single" w:sz="8" w:color="00548B"/>
            </w:tcBorders>
          </w:tcPr>
          <w:p>
            <w:pPr>
              <w:spacing w:after="0" w:line="20" w:lineRule="exact"/>
              <w:rPr>
                <w:sz w:val="1"/>
                <w:szCs w:val="1"/>
                <w:color w:val="auto"/>
              </w:rPr>
            </w:pPr>
          </w:p>
        </w:tc>
        <w:tc>
          <w:tcPr>
            <w:tcW w:w="60" w:type="dxa"/>
            <w:vAlign w:val="bottom"/>
            <w:tcBorders>
              <w:bottom w:val="single" w:sz="8" w:color="00548B"/>
            </w:tcBorders>
          </w:tcPr>
          <w:p>
            <w:pPr>
              <w:spacing w:after="0" w:line="20" w:lineRule="exact"/>
              <w:rPr>
                <w:sz w:val="1"/>
                <w:szCs w:val="1"/>
                <w:color w:val="auto"/>
              </w:rPr>
            </w:pPr>
          </w:p>
        </w:tc>
        <w:tc>
          <w:tcPr>
            <w:tcW w:w="40" w:type="dxa"/>
            <w:vAlign w:val="bottom"/>
            <w:tcBorders>
              <w:bottom w:val="single" w:sz="8" w:color="00548B"/>
            </w:tcBorders>
          </w:tcPr>
          <w:p>
            <w:pPr>
              <w:spacing w:after="0" w:line="20" w:lineRule="exact"/>
              <w:rPr>
                <w:sz w:val="1"/>
                <w:szCs w:val="1"/>
                <w:color w:val="auto"/>
              </w:rPr>
            </w:pPr>
          </w:p>
        </w:tc>
        <w:tc>
          <w:tcPr>
            <w:tcW w:w="100" w:type="dxa"/>
            <w:vAlign w:val="bottom"/>
            <w:tcBorders>
              <w:bottom w:val="single" w:sz="8" w:color="00548B"/>
            </w:tcBorders>
          </w:tcPr>
          <w:p>
            <w:pPr>
              <w:spacing w:after="0" w:line="20" w:lineRule="exact"/>
              <w:rPr>
                <w:sz w:val="1"/>
                <w:szCs w:val="1"/>
                <w:color w:val="auto"/>
              </w:rPr>
            </w:pPr>
          </w:p>
        </w:tc>
        <w:tc>
          <w:tcPr>
            <w:tcW w:w="40" w:type="dxa"/>
            <w:vAlign w:val="bottom"/>
            <w:tcBorders>
              <w:bottom w:val="single" w:sz="8" w:color="00548B"/>
            </w:tcBorders>
          </w:tcPr>
          <w:p>
            <w:pPr>
              <w:spacing w:after="0" w:line="20" w:lineRule="exact"/>
              <w:rPr>
                <w:sz w:val="1"/>
                <w:szCs w:val="1"/>
                <w:color w:val="auto"/>
              </w:rPr>
            </w:pPr>
          </w:p>
        </w:tc>
        <w:tc>
          <w:tcPr>
            <w:tcW w:w="240" w:type="dxa"/>
            <w:vAlign w:val="bottom"/>
            <w:tcBorders>
              <w:bottom w:val="single" w:sz="8" w:color="00548B"/>
            </w:tcBorders>
          </w:tcPr>
          <w:p>
            <w:pPr>
              <w:spacing w:after="0" w:line="20" w:lineRule="exact"/>
              <w:rPr>
                <w:sz w:val="1"/>
                <w:szCs w:val="1"/>
                <w:color w:val="auto"/>
              </w:rPr>
            </w:pPr>
          </w:p>
        </w:tc>
        <w:tc>
          <w:tcPr>
            <w:tcW w:w="40" w:type="dxa"/>
            <w:vAlign w:val="bottom"/>
            <w:tcBorders>
              <w:bottom w:val="single" w:sz="8" w:color="00548B"/>
            </w:tcBorders>
          </w:tcPr>
          <w:p>
            <w:pPr>
              <w:spacing w:after="0" w:line="20" w:lineRule="exact"/>
              <w:rPr>
                <w:sz w:val="1"/>
                <w:szCs w:val="1"/>
                <w:color w:val="auto"/>
              </w:rPr>
            </w:pPr>
          </w:p>
        </w:tc>
        <w:tc>
          <w:tcPr>
            <w:tcW w:w="80" w:type="dxa"/>
            <w:vAlign w:val="bottom"/>
            <w:tcBorders>
              <w:bottom w:val="single" w:sz="8" w:color="00548B"/>
            </w:tcBorders>
          </w:tcPr>
          <w:p>
            <w:pPr>
              <w:spacing w:after="0" w:line="20" w:lineRule="exact"/>
              <w:rPr>
                <w:sz w:val="1"/>
                <w:szCs w:val="1"/>
                <w:color w:val="auto"/>
              </w:rPr>
            </w:pPr>
          </w:p>
        </w:tc>
        <w:tc>
          <w:tcPr>
            <w:tcW w:w="140" w:type="dxa"/>
            <w:vAlign w:val="bottom"/>
            <w:tcBorders>
              <w:bottom w:val="single" w:sz="8" w:color="00548B"/>
            </w:tcBorders>
          </w:tcPr>
          <w:p>
            <w:pPr>
              <w:spacing w:after="0" w:line="20" w:lineRule="exact"/>
              <w:rPr>
                <w:sz w:val="1"/>
                <w:szCs w:val="1"/>
                <w:color w:val="auto"/>
              </w:rPr>
            </w:pPr>
          </w:p>
        </w:tc>
        <w:tc>
          <w:tcPr>
            <w:tcW w:w="140" w:type="dxa"/>
            <w:vAlign w:val="bottom"/>
            <w:tcBorders>
              <w:bottom w:val="single" w:sz="8" w:color="00548B"/>
            </w:tcBorders>
          </w:tcPr>
          <w:p>
            <w:pPr>
              <w:spacing w:after="0" w:line="20" w:lineRule="exact"/>
              <w:rPr>
                <w:sz w:val="1"/>
                <w:szCs w:val="1"/>
                <w:color w:val="auto"/>
              </w:rPr>
            </w:pPr>
          </w:p>
        </w:tc>
        <w:tc>
          <w:tcPr>
            <w:tcW w:w="260" w:type="dxa"/>
            <w:vAlign w:val="bottom"/>
            <w:tcBorders>
              <w:bottom w:val="single" w:sz="8" w:color="00548B"/>
            </w:tcBorders>
          </w:tcPr>
          <w:p>
            <w:pPr>
              <w:spacing w:after="0" w:line="20" w:lineRule="exact"/>
              <w:rPr>
                <w:sz w:val="1"/>
                <w:szCs w:val="1"/>
                <w:color w:val="auto"/>
              </w:rPr>
            </w:pPr>
          </w:p>
        </w:tc>
        <w:tc>
          <w:tcPr>
            <w:tcW w:w="20" w:type="dxa"/>
            <w:vAlign w:val="bottom"/>
            <w:tcBorders>
              <w:bottom w:val="single" w:sz="8" w:color="00548B"/>
            </w:tcBorders>
          </w:tcPr>
          <w:p>
            <w:pPr>
              <w:spacing w:after="0" w:line="20" w:lineRule="exact"/>
              <w:rPr>
                <w:sz w:val="1"/>
                <w:szCs w:val="1"/>
                <w:color w:val="auto"/>
              </w:rPr>
            </w:pPr>
          </w:p>
        </w:tc>
        <w:tc>
          <w:tcPr>
            <w:tcW w:w="100" w:type="dxa"/>
            <w:vAlign w:val="bottom"/>
            <w:tcBorders>
              <w:bottom w:val="single" w:sz="8" w:color="00548B"/>
            </w:tcBorders>
          </w:tcPr>
          <w:p>
            <w:pPr>
              <w:spacing w:after="0" w:line="20" w:lineRule="exact"/>
              <w:rPr>
                <w:sz w:val="1"/>
                <w:szCs w:val="1"/>
                <w:color w:val="auto"/>
              </w:rPr>
            </w:pPr>
          </w:p>
        </w:tc>
        <w:tc>
          <w:tcPr>
            <w:tcW w:w="200" w:type="dxa"/>
            <w:vAlign w:val="bottom"/>
            <w:tcBorders>
              <w:bottom w:val="single" w:sz="8" w:color="00548B"/>
            </w:tcBorders>
          </w:tcPr>
          <w:p>
            <w:pPr>
              <w:spacing w:after="0" w:line="20" w:lineRule="exact"/>
              <w:rPr>
                <w:sz w:val="1"/>
                <w:szCs w:val="1"/>
                <w:color w:val="auto"/>
              </w:rPr>
            </w:pPr>
          </w:p>
        </w:tc>
        <w:tc>
          <w:tcPr>
            <w:tcW w:w="520" w:type="dxa"/>
            <w:vAlign w:val="bottom"/>
            <w:tcBorders>
              <w:bottom w:val="single" w:sz="8" w:color="00548B"/>
            </w:tcBorders>
          </w:tcPr>
          <w:p>
            <w:pPr>
              <w:spacing w:after="0" w:line="20" w:lineRule="exact"/>
              <w:rPr>
                <w:sz w:val="1"/>
                <w:szCs w:val="1"/>
                <w:color w:val="auto"/>
              </w:rPr>
            </w:pPr>
          </w:p>
        </w:tc>
        <w:tc>
          <w:tcPr>
            <w:tcW w:w="60" w:type="dxa"/>
            <w:vAlign w:val="bottom"/>
            <w:tcBorders>
              <w:bottom w:val="single" w:sz="8" w:color="00548B"/>
            </w:tcBorders>
          </w:tcPr>
          <w:p>
            <w:pPr>
              <w:spacing w:after="0" w:line="20" w:lineRule="exact"/>
              <w:rPr>
                <w:sz w:val="1"/>
                <w:szCs w:val="1"/>
                <w:color w:val="auto"/>
              </w:rPr>
            </w:pPr>
          </w:p>
        </w:tc>
        <w:tc>
          <w:tcPr>
            <w:tcW w:w="180" w:type="dxa"/>
            <w:vAlign w:val="bottom"/>
            <w:tcBorders>
              <w:bottom w:val="single" w:sz="8" w:color="00548B"/>
            </w:tcBorders>
          </w:tcPr>
          <w:p>
            <w:pPr>
              <w:spacing w:after="0" w:line="20" w:lineRule="exact"/>
              <w:rPr>
                <w:sz w:val="1"/>
                <w:szCs w:val="1"/>
                <w:color w:val="auto"/>
              </w:rPr>
            </w:pPr>
          </w:p>
        </w:tc>
        <w:tc>
          <w:tcPr>
            <w:tcW w:w="140" w:type="dxa"/>
            <w:vAlign w:val="bottom"/>
            <w:tcBorders>
              <w:bottom w:val="single" w:sz="8" w:color="00548B"/>
            </w:tcBorders>
          </w:tcPr>
          <w:p>
            <w:pPr>
              <w:spacing w:after="0" w:line="20" w:lineRule="exact"/>
              <w:rPr>
                <w:sz w:val="1"/>
                <w:szCs w:val="1"/>
                <w:color w:val="auto"/>
              </w:rPr>
            </w:pPr>
          </w:p>
        </w:tc>
        <w:tc>
          <w:tcPr>
            <w:tcW w:w="120" w:type="dxa"/>
            <w:vAlign w:val="bottom"/>
            <w:tcBorders>
              <w:bottom w:val="single" w:sz="8" w:color="00548B"/>
            </w:tcBorders>
          </w:tcPr>
          <w:p>
            <w:pPr>
              <w:spacing w:after="0" w:line="20" w:lineRule="exact"/>
              <w:rPr>
                <w:sz w:val="1"/>
                <w:szCs w:val="1"/>
                <w:color w:val="auto"/>
              </w:rPr>
            </w:pPr>
          </w:p>
        </w:tc>
        <w:tc>
          <w:tcPr>
            <w:tcW w:w="2860" w:type="dxa"/>
            <w:vAlign w:val="bottom"/>
            <w:tcBorders>
              <w:bottom w:val="single" w:sz="8" w:color="00548B"/>
            </w:tcBorders>
          </w:tcPr>
          <w:p>
            <w:pPr>
              <w:spacing w:after="0" w:line="20" w:lineRule="exact"/>
              <w:rPr>
                <w:sz w:val="1"/>
                <w:szCs w:val="1"/>
                <w:color w:val="auto"/>
              </w:rPr>
            </w:pPr>
          </w:p>
        </w:tc>
        <w:tc>
          <w:tcPr>
            <w:tcW w:w="1420" w:type="dxa"/>
            <w:vAlign w:val="bottom"/>
            <w:tcBorders>
              <w:bottom w:val="single" w:sz="8" w:color="00548B"/>
            </w:tcBorders>
          </w:tcPr>
          <w:p>
            <w:pPr>
              <w:spacing w:after="0" w:line="20" w:lineRule="exact"/>
              <w:rPr>
                <w:sz w:val="1"/>
                <w:szCs w:val="1"/>
                <w:color w:val="auto"/>
              </w:rPr>
            </w:pPr>
          </w:p>
        </w:tc>
        <w:tc>
          <w:tcPr>
            <w:tcW w:w="360" w:type="dxa"/>
            <w:vAlign w:val="bottom"/>
            <w:tcBorders>
              <w:bottom w:val="single" w:sz="8" w:color="00548B"/>
            </w:tcBorders>
          </w:tcPr>
          <w:p>
            <w:pPr>
              <w:spacing w:after="0" w:line="20" w:lineRule="exact"/>
              <w:rPr>
                <w:sz w:val="1"/>
                <w:szCs w:val="1"/>
                <w:color w:val="auto"/>
              </w:rPr>
            </w:pPr>
          </w:p>
        </w:tc>
        <w:tc>
          <w:tcPr>
            <w:tcW w:w="140" w:type="dxa"/>
            <w:vAlign w:val="bottom"/>
            <w:tcBorders>
              <w:bottom w:val="single" w:sz="8" w:color="00548B"/>
            </w:tcBorders>
          </w:tcPr>
          <w:p>
            <w:pPr>
              <w:spacing w:after="0" w:line="20" w:lineRule="exact"/>
              <w:rPr>
                <w:sz w:val="1"/>
                <w:szCs w:val="1"/>
                <w:color w:val="auto"/>
              </w:rPr>
            </w:pPr>
          </w:p>
        </w:tc>
        <w:tc>
          <w:tcPr>
            <w:tcW w:w="320" w:type="dxa"/>
            <w:vAlign w:val="bottom"/>
            <w:tcBorders>
              <w:bottom w:val="single" w:sz="8" w:color="00548B"/>
            </w:tcBorders>
          </w:tcPr>
          <w:p>
            <w:pPr>
              <w:spacing w:after="0" w:line="20" w:lineRule="exact"/>
              <w:rPr>
                <w:sz w:val="1"/>
                <w:szCs w:val="1"/>
                <w:color w:val="auto"/>
              </w:rPr>
            </w:pPr>
          </w:p>
        </w:tc>
        <w:tc>
          <w:tcPr>
            <w:tcW w:w="600" w:type="dxa"/>
            <w:vAlign w:val="bottom"/>
            <w:tcBorders>
              <w:bottom w:val="single" w:sz="8" w:color="00548B"/>
            </w:tcBorders>
          </w:tcPr>
          <w:p>
            <w:pPr>
              <w:spacing w:after="0" w:line="20" w:lineRule="exact"/>
              <w:rPr>
                <w:sz w:val="1"/>
                <w:szCs w:val="1"/>
                <w:color w:val="auto"/>
              </w:rPr>
            </w:pPr>
          </w:p>
        </w:tc>
      </w:tr>
      <w:tr>
        <w:trPr>
          <w:trHeight w:val="156"/>
        </w:trPr>
        <w:tc>
          <w:tcPr>
            <w:tcW w:w="180" w:type="dxa"/>
            <w:vAlign w:val="bottom"/>
          </w:tcPr>
          <w:p>
            <w:pPr>
              <w:spacing w:after="0"/>
              <w:rPr>
                <w:sz w:val="13"/>
                <w:szCs w:val="13"/>
                <w:color w:val="auto"/>
              </w:rPr>
            </w:pPr>
          </w:p>
        </w:tc>
        <w:tc>
          <w:tcPr>
            <w:tcW w:w="10240" w:type="dxa"/>
            <w:vAlign w:val="bottom"/>
            <w:gridSpan w:val="38"/>
          </w:tcPr>
          <w:p>
            <w:pPr>
              <w:spacing w:after="0" w:line="156" w:lineRule="exact"/>
              <w:rPr>
                <w:rFonts w:ascii="Arial" w:cs="Arial" w:eastAsia="Arial" w:hAnsi="Arial"/>
                <w:sz w:val="18"/>
                <w:szCs w:val="18"/>
                <w:color w:val="0000EE"/>
              </w:rPr>
            </w:pPr>
            <w:hyperlink w:anchor="page15">
              <w:r>
                <w:rPr>
                  <w:rFonts w:ascii="Arial" w:cs="Arial" w:eastAsia="Arial" w:hAnsi="Arial"/>
                  <w:sz w:val="18"/>
                  <w:szCs w:val="18"/>
                  <w:color w:val="0000EE"/>
                </w:rPr>
                <w:t>Board Compensation, Leadership Structure and Risk Oversight</w:t>
              </w:r>
            </w:hyperlink>
          </w:p>
        </w:tc>
        <w:tc>
          <w:tcPr>
            <w:tcW w:w="600" w:type="dxa"/>
            <w:vAlign w:val="bottom"/>
          </w:tcPr>
          <w:p>
            <w:pPr>
              <w:jc w:val="right"/>
              <w:spacing w:after="0" w:line="156" w:lineRule="exact"/>
              <w:rPr>
                <w:sz w:val="20"/>
                <w:szCs w:val="20"/>
                <w:color w:val="auto"/>
              </w:rPr>
            </w:pPr>
            <w:r>
              <w:rPr>
                <w:rFonts w:ascii="Arial" w:cs="Arial" w:eastAsia="Arial" w:hAnsi="Arial"/>
                <w:sz w:val="18"/>
                <w:szCs w:val="18"/>
                <w:color w:val="auto"/>
              </w:rPr>
              <w:t>10</w:t>
            </w:r>
          </w:p>
        </w:tc>
      </w:tr>
      <w:tr>
        <w:trPr>
          <w:trHeight w:val="183"/>
        </w:trPr>
        <w:tc>
          <w:tcPr>
            <w:tcW w:w="180" w:type="dxa"/>
            <w:vAlign w:val="bottom"/>
          </w:tcPr>
          <w:p>
            <w:pPr>
              <w:spacing w:after="0"/>
              <w:rPr>
                <w:sz w:val="15"/>
                <w:szCs w:val="15"/>
                <w:color w:val="auto"/>
              </w:rPr>
            </w:pPr>
          </w:p>
        </w:tc>
        <w:tc>
          <w:tcPr>
            <w:tcW w:w="2620" w:type="dxa"/>
            <w:vAlign w:val="bottom"/>
            <w:tcBorders>
              <w:top w:val="single" w:sz="8" w:color="0000EE"/>
              <w:bottom w:val="single" w:sz="8" w:color="0000EE"/>
            </w:tcBorders>
            <w:gridSpan w:val="14"/>
          </w:tcPr>
          <w:p>
            <w:pPr>
              <w:spacing w:after="0" w:line="182" w:lineRule="exact"/>
              <w:rPr>
                <w:rFonts w:ascii="Arial" w:cs="Arial" w:eastAsia="Arial" w:hAnsi="Arial"/>
                <w:sz w:val="18"/>
                <w:szCs w:val="18"/>
                <w:color w:val="0000EE"/>
                <w:w w:val="99"/>
              </w:rPr>
            </w:pPr>
            <w:hyperlink w:anchor="page17">
              <w:r>
                <w:rPr>
                  <w:rFonts w:ascii="Arial" w:cs="Arial" w:eastAsia="Arial" w:hAnsi="Arial"/>
                  <w:sz w:val="18"/>
                  <w:szCs w:val="18"/>
                  <w:color w:val="0000EE"/>
                  <w:w w:val="99"/>
                </w:rPr>
                <w:t>Board Meetings and Committees</w:t>
              </w:r>
            </w:hyperlink>
          </w:p>
        </w:tc>
        <w:tc>
          <w:tcPr>
            <w:tcW w:w="2400" w:type="dxa"/>
            <w:vAlign w:val="bottom"/>
            <w:tcBorders>
              <w:top w:val="single" w:sz="8" w:color="0000EE"/>
            </w:tcBorders>
            <w:gridSpan w:val="18"/>
          </w:tcPr>
          <w:p>
            <w:pPr>
              <w:spacing w:after="0"/>
              <w:rPr>
                <w:sz w:val="15"/>
                <w:szCs w:val="15"/>
                <w:color w:val="auto"/>
              </w:rPr>
            </w:pPr>
          </w:p>
        </w:tc>
        <w:tc>
          <w:tcPr>
            <w:tcW w:w="5220" w:type="dxa"/>
            <w:vAlign w:val="bottom"/>
            <w:gridSpan w:val="6"/>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12</w:t>
            </w:r>
          </w:p>
        </w:tc>
      </w:tr>
      <w:tr>
        <w:trPr>
          <w:trHeight w:val="183"/>
        </w:trPr>
        <w:tc>
          <w:tcPr>
            <w:tcW w:w="180" w:type="dxa"/>
            <w:vAlign w:val="bottom"/>
          </w:tcPr>
          <w:p>
            <w:pPr>
              <w:spacing w:after="0"/>
              <w:rPr>
                <w:sz w:val="15"/>
                <w:szCs w:val="15"/>
                <w:color w:val="auto"/>
              </w:rPr>
            </w:pPr>
          </w:p>
        </w:tc>
        <w:tc>
          <w:tcPr>
            <w:tcW w:w="2160" w:type="dxa"/>
            <w:vAlign w:val="bottom"/>
            <w:tcBorders>
              <w:bottom w:val="single" w:sz="8" w:color="0000EE"/>
            </w:tcBorders>
            <w:gridSpan w:val="7"/>
          </w:tcPr>
          <w:p>
            <w:pPr>
              <w:spacing w:after="0" w:line="182" w:lineRule="exact"/>
              <w:rPr>
                <w:rFonts w:ascii="Arial" w:cs="Arial" w:eastAsia="Arial" w:hAnsi="Arial"/>
                <w:sz w:val="18"/>
                <w:szCs w:val="18"/>
                <w:color w:val="0000EE"/>
                <w:w w:val="99"/>
              </w:rPr>
            </w:pPr>
            <w:hyperlink w:anchor="page18">
              <w:r>
                <w:rPr>
                  <w:rFonts w:ascii="Arial" w:cs="Arial" w:eastAsia="Arial" w:hAnsi="Arial"/>
                  <w:sz w:val="18"/>
                  <w:szCs w:val="18"/>
                  <w:color w:val="0000EE"/>
                  <w:w w:val="99"/>
                </w:rPr>
                <w:t>Director Resignation Policy</w:t>
              </w:r>
            </w:hyperlink>
          </w:p>
        </w:tc>
        <w:tc>
          <w:tcPr>
            <w:tcW w:w="8080" w:type="dxa"/>
            <w:vAlign w:val="bottom"/>
            <w:gridSpan w:val="31"/>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13</w:t>
            </w:r>
          </w:p>
        </w:tc>
      </w:tr>
      <w:tr>
        <w:trPr>
          <w:trHeight w:val="183"/>
        </w:trPr>
        <w:tc>
          <w:tcPr>
            <w:tcW w:w="180" w:type="dxa"/>
            <w:vAlign w:val="bottom"/>
          </w:tcPr>
          <w:p>
            <w:pPr>
              <w:spacing w:after="0"/>
              <w:rPr>
                <w:sz w:val="15"/>
                <w:szCs w:val="15"/>
                <w:color w:val="auto"/>
              </w:rPr>
            </w:pPr>
          </w:p>
        </w:tc>
        <w:tc>
          <w:tcPr>
            <w:tcW w:w="10240" w:type="dxa"/>
            <w:vAlign w:val="bottom"/>
            <w:gridSpan w:val="38"/>
          </w:tcPr>
          <w:p>
            <w:pPr>
              <w:spacing w:after="0" w:line="182" w:lineRule="exact"/>
              <w:rPr>
                <w:rFonts w:ascii="Arial" w:cs="Arial" w:eastAsia="Arial" w:hAnsi="Arial"/>
                <w:sz w:val="18"/>
                <w:szCs w:val="18"/>
                <w:color w:val="0000EE"/>
              </w:rPr>
            </w:pPr>
            <w:hyperlink w:anchor="page19">
              <w:r>
                <w:rPr>
                  <w:rFonts w:ascii="Arial" w:cs="Arial" w:eastAsia="Arial" w:hAnsi="Arial"/>
                  <w:sz w:val="18"/>
                  <w:szCs w:val="18"/>
                  <w:color w:val="0000EE"/>
                </w:rPr>
                <w:t>Diversity of Board Skills and Experience</w:t>
              </w:r>
            </w:hyperlink>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14</w:t>
            </w:r>
          </w:p>
        </w:tc>
      </w:tr>
      <w:tr>
        <w:trPr>
          <w:trHeight w:val="183"/>
        </w:trPr>
        <w:tc>
          <w:tcPr>
            <w:tcW w:w="180" w:type="dxa"/>
            <w:vAlign w:val="bottom"/>
          </w:tcPr>
          <w:p>
            <w:pPr>
              <w:spacing w:after="0"/>
              <w:rPr>
                <w:sz w:val="15"/>
                <w:szCs w:val="15"/>
                <w:color w:val="auto"/>
              </w:rPr>
            </w:pPr>
          </w:p>
        </w:tc>
        <w:tc>
          <w:tcPr>
            <w:tcW w:w="3180" w:type="dxa"/>
            <w:vAlign w:val="bottom"/>
            <w:tcBorders>
              <w:top w:val="single" w:sz="8" w:color="0000EE"/>
            </w:tcBorders>
            <w:gridSpan w:val="21"/>
          </w:tcPr>
          <w:p>
            <w:pPr>
              <w:spacing w:after="0" w:line="182" w:lineRule="exact"/>
              <w:rPr>
                <w:rFonts w:ascii="Arial" w:cs="Arial" w:eastAsia="Arial" w:hAnsi="Arial"/>
                <w:sz w:val="18"/>
                <w:szCs w:val="18"/>
                <w:color w:val="0000EE"/>
              </w:rPr>
            </w:pPr>
            <w:hyperlink w:anchor="page19">
              <w:r>
                <w:rPr>
                  <w:rFonts w:ascii="Arial" w:cs="Arial" w:eastAsia="Arial" w:hAnsi="Arial"/>
                  <w:sz w:val="18"/>
                  <w:szCs w:val="18"/>
                  <w:color w:val="0000EE"/>
                </w:rPr>
                <w:t>Compensation of Directors</w:t>
              </w:r>
            </w:hyperlink>
          </w:p>
        </w:tc>
        <w:tc>
          <w:tcPr>
            <w:tcW w:w="7060" w:type="dxa"/>
            <w:vAlign w:val="bottom"/>
            <w:gridSpan w:val="17"/>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14</w:t>
            </w:r>
          </w:p>
        </w:tc>
      </w:tr>
      <w:tr>
        <w:trPr>
          <w:trHeight w:val="20"/>
        </w:trPr>
        <w:tc>
          <w:tcPr>
            <w:tcW w:w="18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tcBorders>
              <w:right w:val="single" w:sz="8" w:color="0000EE"/>
            </w:tcBorders>
            <w:gridSpan w:val="3"/>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2320" w:type="dxa"/>
            <w:vAlign w:val="bottom"/>
            <w:tcBorders>
              <w:bottom w:val="single" w:sz="8" w:color="0000EE"/>
            </w:tcBorders>
            <w:gridSpan w:val="9"/>
          </w:tcPr>
          <w:p>
            <w:pPr>
              <w:spacing w:after="0" w:line="182" w:lineRule="exact"/>
              <w:rPr>
                <w:rFonts w:ascii="Arial" w:cs="Arial" w:eastAsia="Arial" w:hAnsi="Arial"/>
                <w:sz w:val="18"/>
                <w:szCs w:val="18"/>
                <w:color w:val="0000EE"/>
                <w:w w:val="98"/>
              </w:rPr>
            </w:pPr>
            <w:hyperlink w:anchor="page20">
              <w:r>
                <w:rPr>
                  <w:rFonts w:ascii="Arial" w:cs="Arial" w:eastAsia="Arial" w:hAnsi="Arial"/>
                  <w:sz w:val="18"/>
                  <w:szCs w:val="18"/>
                  <w:color w:val="0000EE"/>
                  <w:w w:val="98"/>
                </w:rPr>
                <w:t>Director Compensation Table</w:t>
              </w:r>
            </w:hyperlink>
          </w:p>
        </w:tc>
        <w:tc>
          <w:tcPr>
            <w:tcW w:w="7920" w:type="dxa"/>
            <w:vAlign w:val="bottom"/>
            <w:gridSpan w:val="29"/>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15</w:t>
            </w:r>
          </w:p>
        </w:tc>
      </w:tr>
      <w:tr>
        <w:trPr>
          <w:trHeight w:val="183"/>
        </w:trPr>
        <w:tc>
          <w:tcPr>
            <w:tcW w:w="180" w:type="dxa"/>
            <w:vAlign w:val="bottom"/>
          </w:tcPr>
          <w:p>
            <w:pPr>
              <w:spacing w:after="0"/>
              <w:rPr>
                <w:sz w:val="15"/>
                <w:szCs w:val="15"/>
                <w:color w:val="auto"/>
              </w:rPr>
            </w:pPr>
          </w:p>
        </w:tc>
        <w:tc>
          <w:tcPr>
            <w:tcW w:w="10240" w:type="dxa"/>
            <w:vAlign w:val="bottom"/>
            <w:gridSpan w:val="38"/>
          </w:tcPr>
          <w:p>
            <w:pPr>
              <w:spacing w:after="0" w:line="182" w:lineRule="exact"/>
              <w:rPr>
                <w:rFonts w:ascii="Arial" w:cs="Arial" w:eastAsia="Arial" w:hAnsi="Arial"/>
                <w:sz w:val="18"/>
                <w:szCs w:val="18"/>
                <w:color w:val="0000EE"/>
              </w:rPr>
            </w:pPr>
            <w:hyperlink w:anchor="page20">
              <w:r>
                <w:rPr>
                  <w:rFonts w:ascii="Arial" w:cs="Arial" w:eastAsia="Arial" w:hAnsi="Arial"/>
                  <w:sz w:val="18"/>
                  <w:szCs w:val="18"/>
                  <w:color w:val="0000EE"/>
                </w:rPr>
                <w:t>Executive Officers</w:t>
              </w:r>
            </w:hyperlink>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15</w:t>
            </w:r>
          </w:p>
        </w:tc>
      </w:tr>
      <w:tr>
        <w:trPr>
          <w:trHeight w:val="20"/>
        </w:trPr>
        <w:tc>
          <w:tcPr>
            <w:tcW w:w="18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4640" w:type="dxa"/>
            <w:vAlign w:val="bottom"/>
            <w:tcBorders>
              <w:bottom w:val="single" w:sz="8" w:color="0000EE"/>
            </w:tcBorders>
            <w:gridSpan w:val="29"/>
          </w:tcPr>
          <w:p>
            <w:pPr>
              <w:spacing w:after="0" w:line="182" w:lineRule="exact"/>
              <w:rPr>
                <w:rFonts w:ascii="Arial" w:cs="Arial" w:eastAsia="Arial" w:hAnsi="Arial"/>
                <w:sz w:val="18"/>
                <w:szCs w:val="18"/>
                <w:color w:val="0000EE"/>
                <w:w w:val="99"/>
              </w:rPr>
            </w:pPr>
            <w:hyperlink w:anchor="page21">
              <w:r>
                <w:rPr>
                  <w:rFonts w:ascii="Arial" w:cs="Arial" w:eastAsia="Arial" w:hAnsi="Arial"/>
                  <w:sz w:val="18"/>
                  <w:szCs w:val="18"/>
                  <w:color w:val="0000EE"/>
                  <w:w w:val="99"/>
                </w:rPr>
                <w:t>Section 16(a) Beneficial Ownership Reporting Compliance</w:t>
              </w:r>
            </w:hyperlink>
          </w:p>
        </w:tc>
        <w:tc>
          <w:tcPr>
            <w:tcW w:w="5600" w:type="dxa"/>
            <w:vAlign w:val="bottom"/>
            <w:gridSpan w:val="9"/>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16</w:t>
            </w:r>
          </w:p>
        </w:tc>
      </w:tr>
      <w:tr>
        <w:trPr>
          <w:trHeight w:val="183"/>
        </w:trPr>
        <w:tc>
          <w:tcPr>
            <w:tcW w:w="180" w:type="dxa"/>
            <w:vAlign w:val="bottom"/>
          </w:tcPr>
          <w:p>
            <w:pPr>
              <w:spacing w:after="0"/>
              <w:rPr>
                <w:sz w:val="15"/>
                <w:szCs w:val="15"/>
                <w:color w:val="auto"/>
              </w:rPr>
            </w:pPr>
          </w:p>
        </w:tc>
        <w:tc>
          <w:tcPr>
            <w:tcW w:w="5140" w:type="dxa"/>
            <w:vAlign w:val="bottom"/>
            <w:tcBorders>
              <w:bottom w:val="single" w:sz="8" w:color="0000EE"/>
            </w:tcBorders>
            <w:gridSpan w:val="33"/>
          </w:tcPr>
          <w:p>
            <w:pPr>
              <w:spacing w:after="0" w:line="182" w:lineRule="exact"/>
              <w:rPr>
                <w:rFonts w:ascii="Arial" w:cs="Arial" w:eastAsia="Arial" w:hAnsi="Arial"/>
                <w:sz w:val="18"/>
                <w:szCs w:val="18"/>
                <w:color w:val="0000EE"/>
                <w:w w:val="99"/>
              </w:rPr>
            </w:pPr>
            <w:hyperlink w:anchor="page21">
              <w:r>
                <w:rPr>
                  <w:rFonts w:ascii="Arial" w:cs="Arial" w:eastAsia="Arial" w:hAnsi="Arial"/>
                  <w:sz w:val="18"/>
                  <w:szCs w:val="18"/>
                  <w:color w:val="0000EE"/>
                  <w:w w:val="99"/>
                </w:rPr>
                <w:t>Stock Ownership of Certain Beneficial Owners and Management</w:t>
              </w:r>
            </w:hyperlink>
          </w:p>
        </w:tc>
        <w:tc>
          <w:tcPr>
            <w:tcW w:w="5100" w:type="dxa"/>
            <w:vAlign w:val="bottom"/>
            <w:gridSpan w:val="5"/>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16</w:t>
            </w:r>
          </w:p>
        </w:tc>
      </w:tr>
      <w:tr>
        <w:trPr>
          <w:trHeight w:val="183"/>
        </w:trPr>
        <w:tc>
          <w:tcPr>
            <w:tcW w:w="180" w:type="dxa"/>
            <w:vAlign w:val="bottom"/>
          </w:tcPr>
          <w:p>
            <w:pPr>
              <w:spacing w:after="0"/>
              <w:rPr>
                <w:sz w:val="15"/>
                <w:szCs w:val="15"/>
                <w:color w:val="auto"/>
              </w:rPr>
            </w:pPr>
          </w:p>
        </w:tc>
        <w:tc>
          <w:tcPr>
            <w:tcW w:w="2500" w:type="dxa"/>
            <w:vAlign w:val="bottom"/>
            <w:tcBorders>
              <w:bottom w:val="single" w:sz="8" w:color="0000EE"/>
            </w:tcBorders>
            <w:gridSpan w:val="12"/>
          </w:tcPr>
          <w:p>
            <w:pPr>
              <w:spacing w:after="0" w:line="182" w:lineRule="exact"/>
              <w:rPr>
                <w:rFonts w:ascii="Arial" w:cs="Arial" w:eastAsia="Arial" w:hAnsi="Arial"/>
                <w:sz w:val="18"/>
                <w:szCs w:val="18"/>
                <w:color w:val="0000EE"/>
                <w:w w:val="99"/>
              </w:rPr>
            </w:pPr>
            <w:hyperlink w:anchor="page23">
              <w:r>
                <w:rPr>
                  <w:rFonts w:ascii="Arial" w:cs="Arial" w:eastAsia="Arial" w:hAnsi="Arial"/>
                  <w:sz w:val="18"/>
                  <w:szCs w:val="18"/>
                  <w:color w:val="0000EE"/>
                  <w:w w:val="99"/>
                </w:rPr>
                <w:t>Corporate Social Responsibility</w:t>
              </w:r>
            </w:hyperlink>
          </w:p>
        </w:tc>
        <w:tc>
          <w:tcPr>
            <w:tcW w:w="7740" w:type="dxa"/>
            <w:vAlign w:val="bottom"/>
            <w:gridSpan w:val="26"/>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18</w:t>
            </w:r>
          </w:p>
        </w:tc>
      </w:tr>
      <w:tr>
        <w:trPr>
          <w:trHeight w:val="183"/>
        </w:trPr>
        <w:tc>
          <w:tcPr>
            <w:tcW w:w="180" w:type="dxa"/>
            <w:vAlign w:val="bottom"/>
          </w:tcPr>
          <w:p>
            <w:pPr>
              <w:spacing w:after="0"/>
              <w:rPr>
                <w:sz w:val="15"/>
                <w:szCs w:val="15"/>
                <w:color w:val="auto"/>
              </w:rPr>
            </w:pPr>
          </w:p>
        </w:tc>
        <w:tc>
          <w:tcPr>
            <w:tcW w:w="10240" w:type="dxa"/>
            <w:vAlign w:val="bottom"/>
            <w:gridSpan w:val="38"/>
          </w:tcPr>
          <w:p>
            <w:pPr>
              <w:spacing w:after="0" w:line="182" w:lineRule="exact"/>
              <w:rPr>
                <w:rFonts w:ascii="Arial" w:cs="Arial" w:eastAsia="Arial" w:hAnsi="Arial"/>
                <w:sz w:val="18"/>
                <w:szCs w:val="18"/>
                <w:color w:val="0000EE"/>
              </w:rPr>
            </w:pPr>
            <w:hyperlink w:anchor="page25">
              <w:r>
                <w:rPr>
                  <w:rFonts w:ascii="Arial" w:cs="Arial" w:eastAsia="Arial" w:hAnsi="Arial"/>
                  <w:sz w:val="18"/>
                  <w:szCs w:val="18"/>
                  <w:color w:val="0000EE"/>
                </w:rPr>
                <w:t>Stockholder Communications Policy</w:t>
              </w:r>
            </w:hyperlink>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20</w:t>
            </w:r>
          </w:p>
        </w:tc>
      </w:tr>
      <w:tr>
        <w:trPr>
          <w:trHeight w:val="20"/>
        </w:trPr>
        <w:tc>
          <w:tcPr>
            <w:tcW w:w="18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8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20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2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90"/>
        </w:trPr>
        <w:tc>
          <w:tcPr>
            <w:tcW w:w="10420" w:type="dxa"/>
            <w:vAlign w:val="bottom"/>
            <w:gridSpan w:val="39"/>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EXECUTIVE COMPENSATION</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180" w:type="dxa"/>
            <w:vAlign w:val="bottom"/>
            <w:tcBorders>
              <w:top w:val="single" w:sz="8" w:color="0000EE"/>
              <w:bottom w:val="single" w:sz="8" w:color="00548B"/>
            </w:tcBorders>
          </w:tcPr>
          <w:p>
            <w:pPr>
              <w:spacing w:after="0" w:line="20" w:lineRule="exact"/>
              <w:rPr>
                <w:sz w:val="1"/>
                <w:szCs w:val="1"/>
                <w:color w:val="auto"/>
              </w:rPr>
            </w:pPr>
          </w:p>
        </w:tc>
        <w:tc>
          <w:tcPr>
            <w:tcW w:w="130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20" w:type="dxa"/>
            <w:vAlign w:val="bottom"/>
            <w:tcBorders>
              <w:top w:val="single" w:sz="8" w:color="0000EE"/>
              <w:bottom w:val="single" w:sz="8" w:color="00548B"/>
            </w:tcBorders>
          </w:tcPr>
          <w:p>
            <w:pPr>
              <w:spacing w:after="0" w:line="20" w:lineRule="exact"/>
              <w:rPr>
                <w:sz w:val="1"/>
                <w:szCs w:val="1"/>
                <w:color w:val="auto"/>
              </w:rPr>
            </w:pPr>
          </w:p>
        </w:tc>
        <w:tc>
          <w:tcPr>
            <w:tcW w:w="360" w:type="dxa"/>
            <w:vAlign w:val="bottom"/>
            <w:tcBorders>
              <w:top w:val="single" w:sz="8" w:color="0000EE"/>
              <w:bottom w:val="single" w:sz="8" w:color="00548B"/>
            </w:tcBorders>
          </w:tcPr>
          <w:p>
            <w:pPr>
              <w:spacing w:after="0" w:line="20" w:lineRule="exact"/>
              <w:rPr>
                <w:sz w:val="1"/>
                <w:szCs w:val="1"/>
                <w:color w:val="auto"/>
              </w:rPr>
            </w:pPr>
          </w:p>
        </w:tc>
        <w:tc>
          <w:tcPr>
            <w:tcW w:w="30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12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20" w:type="dxa"/>
            <w:vAlign w:val="bottom"/>
            <w:tcBorders>
              <w:top w:val="single" w:sz="8" w:color="0000EE"/>
              <w:bottom w:val="single" w:sz="8" w:color="00548B"/>
            </w:tcBorders>
          </w:tcPr>
          <w:p>
            <w:pPr>
              <w:spacing w:after="0" w:line="20" w:lineRule="exact"/>
              <w:rPr>
                <w:sz w:val="1"/>
                <w:szCs w:val="1"/>
                <w:color w:val="auto"/>
              </w:rPr>
            </w:pPr>
          </w:p>
        </w:tc>
        <w:tc>
          <w:tcPr>
            <w:tcW w:w="80" w:type="dxa"/>
            <w:vAlign w:val="bottom"/>
            <w:tcBorders>
              <w:bottom w:val="single" w:sz="8" w:color="00548B"/>
            </w:tcBorders>
          </w:tcPr>
          <w:p>
            <w:pPr>
              <w:spacing w:after="0" w:line="20" w:lineRule="exact"/>
              <w:rPr>
                <w:sz w:val="1"/>
                <w:szCs w:val="1"/>
                <w:color w:val="auto"/>
              </w:rPr>
            </w:pPr>
          </w:p>
        </w:tc>
        <w:tc>
          <w:tcPr>
            <w:tcW w:w="80" w:type="dxa"/>
            <w:vAlign w:val="bottom"/>
            <w:tcBorders>
              <w:bottom w:val="single" w:sz="8" w:color="00548B"/>
            </w:tcBorders>
          </w:tcPr>
          <w:p>
            <w:pPr>
              <w:spacing w:after="0" w:line="20" w:lineRule="exact"/>
              <w:rPr>
                <w:sz w:val="1"/>
                <w:szCs w:val="1"/>
                <w:color w:val="auto"/>
              </w:rPr>
            </w:pPr>
          </w:p>
        </w:tc>
        <w:tc>
          <w:tcPr>
            <w:tcW w:w="20" w:type="dxa"/>
            <w:vAlign w:val="bottom"/>
            <w:tcBorders>
              <w:bottom w:val="single" w:sz="8" w:color="00548B"/>
            </w:tcBorders>
          </w:tcPr>
          <w:p>
            <w:pPr>
              <w:spacing w:after="0" w:line="20" w:lineRule="exact"/>
              <w:rPr>
                <w:sz w:val="1"/>
                <w:szCs w:val="1"/>
                <w:color w:val="auto"/>
              </w:rPr>
            </w:pPr>
          </w:p>
        </w:tc>
        <w:tc>
          <w:tcPr>
            <w:tcW w:w="100" w:type="dxa"/>
            <w:vAlign w:val="bottom"/>
            <w:tcBorders>
              <w:bottom w:val="single" w:sz="8" w:color="00548B"/>
            </w:tcBorders>
          </w:tcPr>
          <w:p>
            <w:pPr>
              <w:spacing w:after="0" w:line="20" w:lineRule="exact"/>
              <w:rPr>
                <w:sz w:val="1"/>
                <w:szCs w:val="1"/>
                <w:color w:val="auto"/>
              </w:rPr>
            </w:pPr>
          </w:p>
        </w:tc>
        <w:tc>
          <w:tcPr>
            <w:tcW w:w="40" w:type="dxa"/>
            <w:vAlign w:val="bottom"/>
            <w:tcBorders>
              <w:bottom w:val="single" w:sz="8" w:color="00548B"/>
            </w:tcBorders>
          </w:tcPr>
          <w:p>
            <w:pPr>
              <w:spacing w:after="0" w:line="20" w:lineRule="exact"/>
              <w:rPr>
                <w:sz w:val="1"/>
                <w:szCs w:val="1"/>
                <w:color w:val="auto"/>
              </w:rPr>
            </w:pPr>
          </w:p>
        </w:tc>
        <w:tc>
          <w:tcPr>
            <w:tcW w:w="60" w:type="dxa"/>
            <w:vAlign w:val="bottom"/>
            <w:tcBorders>
              <w:bottom w:val="single" w:sz="8" w:color="00548B"/>
            </w:tcBorders>
          </w:tcPr>
          <w:p>
            <w:pPr>
              <w:spacing w:after="0" w:line="20" w:lineRule="exact"/>
              <w:rPr>
                <w:sz w:val="1"/>
                <w:szCs w:val="1"/>
                <w:color w:val="auto"/>
              </w:rPr>
            </w:pPr>
          </w:p>
        </w:tc>
        <w:tc>
          <w:tcPr>
            <w:tcW w:w="40" w:type="dxa"/>
            <w:vAlign w:val="bottom"/>
            <w:tcBorders>
              <w:bottom w:val="single" w:sz="8" w:color="00548B"/>
            </w:tcBorders>
          </w:tcPr>
          <w:p>
            <w:pPr>
              <w:spacing w:after="0" w:line="20" w:lineRule="exact"/>
              <w:rPr>
                <w:sz w:val="1"/>
                <w:szCs w:val="1"/>
                <w:color w:val="auto"/>
              </w:rPr>
            </w:pPr>
          </w:p>
        </w:tc>
        <w:tc>
          <w:tcPr>
            <w:tcW w:w="100" w:type="dxa"/>
            <w:vAlign w:val="bottom"/>
            <w:tcBorders>
              <w:bottom w:val="single" w:sz="8" w:color="00548B"/>
            </w:tcBorders>
          </w:tcPr>
          <w:p>
            <w:pPr>
              <w:spacing w:after="0" w:line="20" w:lineRule="exact"/>
              <w:rPr>
                <w:sz w:val="1"/>
                <w:szCs w:val="1"/>
                <w:color w:val="auto"/>
              </w:rPr>
            </w:pPr>
          </w:p>
        </w:tc>
        <w:tc>
          <w:tcPr>
            <w:tcW w:w="40" w:type="dxa"/>
            <w:vAlign w:val="bottom"/>
            <w:tcBorders>
              <w:bottom w:val="single" w:sz="8" w:color="00548B"/>
            </w:tcBorders>
          </w:tcPr>
          <w:p>
            <w:pPr>
              <w:spacing w:after="0" w:line="20" w:lineRule="exact"/>
              <w:rPr>
                <w:sz w:val="1"/>
                <w:szCs w:val="1"/>
                <w:color w:val="auto"/>
              </w:rPr>
            </w:pPr>
          </w:p>
        </w:tc>
        <w:tc>
          <w:tcPr>
            <w:tcW w:w="240" w:type="dxa"/>
            <w:vAlign w:val="bottom"/>
            <w:tcBorders>
              <w:bottom w:val="single" w:sz="8" w:color="00548B"/>
            </w:tcBorders>
          </w:tcPr>
          <w:p>
            <w:pPr>
              <w:spacing w:after="0" w:line="20" w:lineRule="exact"/>
              <w:rPr>
                <w:sz w:val="1"/>
                <w:szCs w:val="1"/>
                <w:color w:val="auto"/>
              </w:rPr>
            </w:pPr>
          </w:p>
        </w:tc>
        <w:tc>
          <w:tcPr>
            <w:tcW w:w="40" w:type="dxa"/>
            <w:vAlign w:val="bottom"/>
            <w:tcBorders>
              <w:bottom w:val="single" w:sz="8" w:color="00548B"/>
            </w:tcBorders>
          </w:tcPr>
          <w:p>
            <w:pPr>
              <w:spacing w:after="0" w:line="20" w:lineRule="exact"/>
              <w:rPr>
                <w:sz w:val="1"/>
                <w:szCs w:val="1"/>
                <w:color w:val="auto"/>
              </w:rPr>
            </w:pPr>
          </w:p>
        </w:tc>
        <w:tc>
          <w:tcPr>
            <w:tcW w:w="80" w:type="dxa"/>
            <w:vAlign w:val="bottom"/>
            <w:tcBorders>
              <w:bottom w:val="single" w:sz="8" w:color="00548B"/>
            </w:tcBorders>
          </w:tcPr>
          <w:p>
            <w:pPr>
              <w:spacing w:after="0" w:line="20" w:lineRule="exact"/>
              <w:rPr>
                <w:sz w:val="1"/>
                <w:szCs w:val="1"/>
                <w:color w:val="auto"/>
              </w:rPr>
            </w:pPr>
          </w:p>
        </w:tc>
        <w:tc>
          <w:tcPr>
            <w:tcW w:w="140" w:type="dxa"/>
            <w:vAlign w:val="bottom"/>
            <w:tcBorders>
              <w:bottom w:val="single" w:sz="8" w:color="00548B"/>
            </w:tcBorders>
          </w:tcPr>
          <w:p>
            <w:pPr>
              <w:spacing w:after="0" w:line="20" w:lineRule="exact"/>
              <w:rPr>
                <w:sz w:val="1"/>
                <w:szCs w:val="1"/>
                <w:color w:val="auto"/>
              </w:rPr>
            </w:pPr>
          </w:p>
        </w:tc>
        <w:tc>
          <w:tcPr>
            <w:tcW w:w="140" w:type="dxa"/>
            <w:vAlign w:val="bottom"/>
            <w:tcBorders>
              <w:bottom w:val="single" w:sz="8" w:color="00548B"/>
            </w:tcBorders>
          </w:tcPr>
          <w:p>
            <w:pPr>
              <w:spacing w:after="0" w:line="20" w:lineRule="exact"/>
              <w:rPr>
                <w:sz w:val="1"/>
                <w:szCs w:val="1"/>
                <w:color w:val="auto"/>
              </w:rPr>
            </w:pPr>
          </w:p>
        </w:tc>
        <w:tc>
          <w:tcPr>
            <w:tcW w:w="260" w:type="dxa"/>
            <w:vAlign w:val="bottom"/>
            <w:tcBorders>
              <w:bottom w:val="single" w:sz="8" w:color="00548B"/>
            </w:tcBorders>
          </w:tcPr>
          <w:p>
            <w:pPr>
              <w:spacing w:after="0" w:line="20" w:lineRule="exact"/>
              <w:rPr>
                <w:sz w:val="1"/>
                <w:szCs w:val="1"/>
                <w:color w:val="auto"/>
              </w:rPr>
            </w:pPr>
          </w:p>
        </w:tc>
        <w:tc>
          <w:tcPr>
            <w:tcW w:w="20" w:type="dxa"/>
            <w:vAlign w:val="bottom"/>
            <w:tcBorders>
              <w:bottom w:val="single" w:sz="8" w:color="00548B"/>
            </w:tcBorders>
          </w:tcPr>
          <w:p>
            <w:pPr>
              <w:spacing w:after="0" w:line="20" w:lineRule="exact"/>
              <w:rPr>
                <w:sz w:val="1"/>
                <w:szCs w:val="1"/>
                <w:color w:val="auto"/>
              </w:rPr>
            </w:pPr>
          </w:p>
        </w:tc>
        <w:tc>
          <w:tcPr>
            <w:tcW w:w="100" w:type="dxa"/>
            <w:vAlign w:val="bottom"/>
            <w:tcBorders>
              <w:bottom w:val="single" w:sz="8" w:color="00548B"/>
            </w:tcBorders>
          </w:tcPr>
          <w:p>
            <w:pPr>
              <w:spacing w:after="0" w:line="20" w:lineRule="exact"/>
              <w:rPr>
                <w:sz w:val="1"/>
                <w:szCs w:val="1"/>
                <w:color w:val="auto"/>
              </w:rPr>
            </w:pPr>
          </w:p>
        </w:tc>
        <w:tc>
          <w:tcPr>
            <w:tcW w:w="200" w:type="dxa"/>
            <w:vAlign w:val="bottom"/>
            <w:tcBorders>
              <w:bottom w:val="single" w:sz="8" w:color="00548B"/>
            </w:tcBorders>
          </w:tcPr>
          <w:p>
            <w:pPr>
              <w:spacing w:after="0" w:line="20" w:lineRule="exact"/>
              <w:rPr>
                <w:sz w:val="1"/>
                <w:szCs w:val="1"/>
                <w:color w:val="auto"/>
              </w:rPr>
            </w:pPr>
          </w:p>
        </w:tc>
        <w:tc>
          <w:tcPr>
            <w:tcW w:w="520" w:type="dxa"/>
            <w:vAlign w:val="bottom"/>
            <w:tcBorders>
              <w:bottom w:val="single" w:sz="8" w:color="00548B"/>
            </w:tcBorders>
          </w:tcPr>
          <w:p>
            <w:pPr>
              <w:spacing w:after="0" w:line="20" w:lineRule="exact"/>
              <w:rPr>
                <w:sz w:val="1"/>
                <w:szCs w:val="1"/>
                <w:color w:val="auto"/>
              </w:rPr>
            </w:pPr>
          </w:p>
        </w:tc>
        <w:tc>
          <w:tcPr>
            <w:tcW w:w="60" w:type="dxa"/>
            <w:vAlign w:val="bottom"/>
            <w:tcBorders>
              <w:bottom w:val="single" w:sz="8" w:color="00548B"/>
            </w:tcBorders>
          </w:tcPr>
          <w:p>
            <w:pPr>
              <w:spacing w:after="0" w:line="20" w:lineRule="exact"/>
              <w:rPr>
                <w:sz w:val="1"/>
                <w:szCs w:val="1"/>
                <w:color w:val="auto"/>
              </w:rPr>
            </w:pPr>
          </w:p>
        </w:tc>
        <w:tc>
          <w:tcPr>
            <w:tcW w:w="180" w:type="dxa"/>
            <w:vAlign w:val="bottom"/>
            <w:tcBorders>
              <w:bottom w:val="single" w:sz="8" w:color="00548B"/>
            </w:tcBorders>
          </w:tcPr>
          <w:p>
            <w:pPr>
              <w:spacing w:after="0" w:line="20" w:lineRule="exact"/>
              <w:rPr>
                <w:sz w:val="1"/>
                <w:szCs w:val="1"/>
                <w:color w:val="auto"/>
              </w:rPr>
            </w:pPr>
          </w:p>
        </w:tc>
        <w:tc>
          <w:tcPr>
            <w:tcW w:w="140" w:type="dxa"/>
            <w:vAlign w:val="bottom"/>
            <w:tcBorders>
              <w:bottom w:val="single" w:sz="8" w:color="00548B"/>
            </w:tcBorders>
          </w:tcPr>
          <w:p>
            <w:pPr>
              <w:spacing w:after="0" w:line="20" w:lineRule="exact"/>
              <w:rPr>
                <w:sz w:val="1"/>
                <w:szCs w:val="1"/>
                <w:color w:val="auto"/>
              </w:rPr>
            </w:pPr>
          </w:p>
        </w:tc>
        <w:tc>
          <w:tcPr>
            <w:tcW w:w="120" w:type="dxa"/>
            <w:vAlign w:val="bottom"/>
            <w:tcBorders>
              <w:bottom w:val="single" w:sz="8" w:color="00548B"/>
            </w:tcBorders>
          </w:tcPr>
          <w:p>
            <w:pPr>
              <w:spacing w:after="0" w:line="20" w:lineRule="exact"/>
              <w:rPr>
                <w:sz w:val="1"/>
                <w:szCs w:val="1"/>
                <w:color w:val="auto"/>
              </w:rPr>
            </w:pPr>
          </w:p>
        </w:tc>
        <w:tc>
          <w:tcPr>
            <w:tcW w:w="2860" w:type="dxa"/>
            <w:vAlign w:val="bottom"/>
            <w:tcBorders>
              <w:bottom w:val="single" w:sz="8" w:color="00548B"/>
            </w:tcBorders>
          </w:tcPr>
          <w:p>
            <w:pPr>
              <w:spacing w:after="0" w:line="20" w:lineRule="exact"/>
              <w:rPr>
                <w:sz w:val="1"/>
                <w:szCs w:val="1"/>
                <w:color w:val="auto"/>
              </w:rPr>
            </w:pPr>
          </w:p>
        </w:tc>
        <w:tc>
          <w:tcPr>
            <w:tcW w:w="1420" w:type="dxa"/>
            <w:vAlign w:val="bottom"/>
            <w:tcBorders>
              <w:bottom w:val="single" w:sz="8" w:color="00548B"/>
            </w:tcBorders>
          </w:tcPr>
          <w:p>
            <w:pPr>
              <w:spacing w:after="0" w:line="20" w:lineRule="exact"/>
              <w:rPr>
                <w:sz w:val="1"/>
                <w:szCs w:val="1"/>
                <w:color w:val="auto"/>
              </w:rPr>
            </w:pPr>
          </w:p>
        </w:tc>
        <w:tc>
          <w:tcPr>
            <w:tcW w:w="360" w:type="dxa"/>
            <w:vAlign w:val="bottom"/>
            <w:tcBorders>
              <w:bottom w:val="single" w:sz="8" w:color="00548B"/>
            </w:tcBorders>
          </w:tcPr>
          <w:p>
            <w:pPr>
              <w:spacing w:after="0" w:line="20" w:lineRule="exact"/>
              <w:rPr>
                <w:sz w:val="1"/>
                <w:szCs w:val="1"/>
                <w:color w:val="auto"/>
              </w:rPr>
            </w:pPr>
          </w:p>
        </w:tc>
        <w:tc>
          <w:tcPr>
            <w:tcW w:w="140" w:type="dxa"/>
            <w:vAlign w:val="bottom"/>
            <w:tcBorders>
              <w:bottom w:val="single" w:sz="8" w:color="00548B"/>
            </w:tcBorders>
          </w:tcPr>
          <w:p>
            <w:pPr>
              <w:spacing w:after="0" w:line="20" w:lineRule="exact"/>
              <w:rPr>
                <w:sz w:val="1"/>
                <w:szCs w:val="1"/>
                <w:color w:val="auto"/>
              </w:rPr>
            </w:pPr>
          </w:p>
        </w:tc>
        <w:tc>
          <w:tcPr>
            <w:tcW w:w="320" w:type="dxa"/>
            <w:vAlign w:val="bottom"/>
            <w:tcBorders>
              <w:bottom w:val="single" w:sz="8" w:color="00548B"/>
            </w:tcBorders>
          </w:tcPr>
          <w:p>
            <w:pPr>
              <w:spacing w:after="0" w:line="20" w:lineRule="exact"/>
              <w:rPr>
                <w:sz w:val="1"/>
                <w:szCs w:val="1"/>
                <w:color w:val="auto"/>
              </w:rPr>
            </w:pPr>
          </w:p>
        </w:tc>
        <w:tc>
          <w:tcPr>
            <w:tcW w:w="600" w:type="dxa"/>
            <w:vAlign w:val="bottom"/>
            <w:tcBorders>
              <w:bottom w:val="single" w:sz="8" w:color="00548B"/>
            </w:tcBorders>
          </w:tcPr>
          <w:p>
            <w:pPr>
              <w:spacing w:after="0" w:line="20" w:lineRule="exact"/>
              <w:rPr>
                <w:sz w:val="1"/>
                <w:szCs w:val="1"/>
                <w:color w:val="auto"/>
              </w:rPr>
            </w:pPr>
          </w:p>
        </w:tc>
      </w:tr>
      <w:tr>
        <w:trPr>
          <w:trHeight w:val="156"/>
        </w:trPr>
        <w:tc>
          <w:tcPr>
            <w:tcW w:w="180" w:type="dxa"/>
            <w:vAlign w:val="bottom"/>
          </w:tcPr>
          <w:p>
            <w:pPr>
              <w:spacing w:after="0"/>
              <w:rPr>
                <w:sz w:val="13"/>
                <w:szCs w:val="13"/>
                <w:color w:val="auto"/>
              </w:rPr>
            </w:pPr>
          </w:p>
        </w:tc>
        <w:tc>
          <w:tcPr>
            <w:tcW w:w="10240" w:type="dxa"/>
            <w:vAlign w:val="bottom"/>
            <w:gridSpan w:val="38"/>
          </w:tcPr>
          <w:p>
            <w:pPr>
              <w:spacing w:after="0" w:line="156" w:lineRule="exact"/>
              <w:rPr>
                <w:rFonts w:ascii="Arial" w:cs="Arial" w:eastAsia="Arial" w:hAnsi="Arial"/>
                <w:sz w:val="18"/>
                <w:szCs w:val="18"/>
                <w:color w:val="0000EE"/>
              </w:rPr>
            </w:pPr>
            <w:hyperlink w:anchor="page26">
              <w:r>
                <w:rPr>
                  <w:rFonts w:ascii="Arial" w:cs="Arial" w:eastAsia="Arial" w:hAnsi="Arial"/>
                  <w:sz w:val="18"/>
                  <w:szCs w:val="18"/>
                  <w:color w:val="0000EE"/>
                </w:rPr>
                <w:t>Compensation Discussion and Analysis</w:t>
              </w:r>
            </w:hyperlink>
          </w:p>
        </w:tc>
        <w:tc>
          <w:tcPr>
            <w:tcW w:w="600" w:type="dxa"/>
            <w:vAlign w:val="bottom"/>
          </w:tcPr>
          <w:p>
            <w:pPr>
              <w:jc w:val="right"/>
              <w:spacing w:after="0" w:line="156" w:lineRule="exact"/>
              <w:rPr>
                <w:sz w:val="20"/>
                <w:szCs w:val="20"/>
                <w:color w:val="auto"/>
              </w:rPr>
            </w:pPr>
            <w:r>
              <w:rPr>
                <w:rFonts w:ascii="Arial" w:cs="Arial" w:eastAsia="Arial" w:hAnsi="Arial"/>
                <w:sz w:val="18"/>
                <w:szCs w:val="18"/>
                <w:color w:val="auto"/>
              </w:rPr>
              <w:t>21</w:t>
            </w:r>
          </w:p>
        </w:tc>
      </w:tr>
      <w:tr>
        <w:trPr>
          <w:trHeight w:val="183"/>
        </w:trPr>
        <w:tc>
          <w:tcPr>
            <w:tcW w:w="180" w:type="dxa"/>
            <w:vAlign w:val="bottom"/>
          </w:tcPr>
          <w:p>
            <w:pPr>
              <w:spacing w:after="0"/>
              <w:rPr>
                <w:sz w:val="15"/>
                <w:szCs w:val="15"/>
                <w:color w:val="auto"/>
              </w:rPr>
            </w:pPr>
          </w:p>
        </w:tc>
        <w:tc>
          <w:tcPr>
            <w:tcW w:w="3140" w:type="dxa"/>
            <w:vAlign w:val="bottom"/>
            <w:tcBorders>
              <w:top w:val="single" w:sz="8" w:color="0000EE"/>
            </w:tcBorders>
            <w:gridSpan w:val="20"/>
          </w:tcPr>
          <w:p>
            <w:pPr>
              <w:spacing w:after="0" w:line="182" w:lineRule="exact"/>
              <w:rPr>
                <w:rFonts w:ascii="Arial" w:cs="Arial" w:eastAsia="Arial" w:hAnsi="Arial"/>
                <w:sz w:val="18"/>
                <w:szCs w:val="18"/>
                <w:color w:val="0000EE"/>
              </w:rPr>
            </w:pPr>
            <w:hyperlink w:anchor="page39">
              <w:r>
                <w:rPr>
                  <w:rFonts w:ascii="Arial" w:cs="Arial" w:eastAsia="Arial" w:hAnsi="Arial"/>
                  <w:sz w:val="18"/>
                  <w:szCs w:val="18"/>
                  <w:color w:val="0000EE"/>
                </w:rPr>
                <w:t>Compensation Committee Report</w:t>
              </w:r>
            </w:hyperlink>
          </w:p>
        </w:tc>
        <w:tc>
          <w:tcPr>
            <w:tcW w:w="7100" w:type="dxa"/>
            <w:vAlign w:val="bottom"/>
            <w:gridSpan w:val="18"/>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34</w:t>
            </w:r>
          </w:p>
        </w:tc>
      </w:tr>
      <w:tr>
        <w:trPr>
          <w:trHeight w:val="20"/>
        </w:trPr>
        <w:tc>
          <w:tcPr>
            <w:tcW w:w="18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80" w:type="dxa"/>
            <w:vAlign w:val="bottom"/>
            <w:tcBorders>
              <w:right w:val="single" w:sz="8" w:color="0000EE"/>
            </w:tcBorders>
            <w:gridSpan w:val="4"/>
            <w:shd w:val="clear" w:color="auto" w:fill="0000EE"/>
          </w:tcPr>
          <w:p>
            <w:pPr>
              <w:spacing w:after="0" w:line="20" w:lineRule="exact"/>
              <w:rPr>
                <w:sz w:val="1"/>
                <w:szCs w:val="1"/>
                <w:color w:val="auto"/>
              </w:rPr>
            </w:pPr>
          </w:p>
        </w:tc>
        <w:tc>
          <w:tcPr>
            <w:tcW w:w="300" w:type="dxa"/>
            <w:vAlign w:val="bottom"/>
            <w:gridSpan w:val="5"/>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2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10240" w:type="dxa"/>
            <w:vAlign w:val="bottom"/>
            <w:gridSpan w:val="38"/>
          </w:tcPr>
          <w:p>
            <w:pPr>
              <w:spacing w:after="0" w:line="182" w:lineRule="exact"/>
              <w:rPr>
                <w:rFonts w:ascii="Arial" w:cs="Arial" w:eastAsia="Arial" w:hAnsi="Arial"/>
                <w:sz w:val="18"/>
                <w:szCs w:val="18"/>
                <w:color w:val="0000EE"/>
              </w:rPr>
            </w:pPr>
            <w:hyperlink w:anchor="page40">
              <w:r>
                <w:rPr>
                  <w:rFonts w:ascii="Arial" w:cs="Arial" w:eastAsia="Arial" w:hAnsi="Arial"/>
                  <w:sz w:val="18"/>
                  <w:szCs w:val="18"/>
                  <w:color w:val="0000EE"/>
                </w:rPr>
                <w:t>2019 Summary Compensation Table</w:t>
              </w:r>
            </w:hyperlink>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35</w:t>
            </w:r>
          </w:p>
        </w:tc>
      </w:tr>
      <w:tr>
        <w:trPr>
          <w:trHeight w:val="183"/>
        </w:trPr>
        <w:tc>
          <w:tcPr>
            <w:tcW w:w="180" w:type="dxa"/>
            <w:vAlign w:val="bottom"/>
          </w:tcPr>
          <w:p>
            <w:pPr>
              <w:spacing w:after="0"/>
              <w:rPr>
                <w:sz w:val="15"/>
                <w:szCs w:val="15"/>
                <w:color w:val="auto"/>
              </w:rPr>
            </w:pPr>
          </w:p>
        </w:tc>
        <w:tc>
          <w:tcPr>
            <w:tcW w:w="2860" w:type="dxa"/>
            <w:vAlign w:val="bottom"/>
            <w:tcBorders>
              <w:top w:val="single" w:sz="8" w:color="0000EE"/>
              <w:bottom w:val="single" w:sz="8" w:color="0000EE"/>
            </w:tcBorders>
            <w:gridSpan w:val="18"/>
          </w:tcPr>
          <w:p>
            <w:pPr>
              <w:spacing w:after="0" w:line="182" w:lineRule="exact"/>
              <w:rPr>
                <w:rFonts w:ascii="Arial" w:cs="Arial" w:eastAsia="Arial" w:hAnsi="Arial"/>
                <w:sz w:val="18"/>
                <w:szCs w:val="18"/>
                <w:color w:val="0000EE"/>
                <w:w w:val="99"/>
              </w:rPr>
            </w:pPr>
            <w:hyperlink w:anchor="page42">
              <w:r>
                <w:rPr>
                  <w:rFonts w:ascii="Arial" w:cs="Arial" w:eastAsia="Arial" w:hAnsi="Arial"/>
                  <w:sz w:val="18"/>
                  <w:szCs w:val="18"/>
                  <w:color w:val="0000EE"/>
                  <w:w w:val="99"/>
                </w:rPr>
                <w:t>2019 Grants of Plan-Based Awards</w:t>
              </w:r>
            </w:hyperlink>
          </w:p>
        </w:tc>
        <w:tc>
          <w:tcPr>
            <w:tcW w:w="40" w:type="dxa"/>
            <w:vAlign w:val="bottom"/>
            <w:tcBorders>
              <w:top w:val="single" w:sz="8" w:color="0000EE"/>
            </w:tcBorders>
          </w:tcPr>
          <w:p>
            <w:pPr>
              <w:spacing w:after="0"/>
              <w:rPr>
                <w:sz w:val="15"/>
                <w:szCs w:val="15"/>
                <w:color w:val="auto"/>
              </w:rPr>
            </w:pPr>
          </w:p>
        </w:tc>
        <w:tc>
          <w:tcPr>
            <w:tcW w:w="7340" w:type="dxa"/>
            <w:vAlign w:val="bottom"/>
            <w:gridSpan w:val="19"/>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37</w:t>
            </w:r>
          </w:p>
        </w:tc>
      </w:tr>
      <w:tr>
        <w:trPr>
          <w:trHeight w:val="183"/>
        </w:trPr>
        <w:tc>
          <w:tcPr>
            <w:tcW w:w="180" w:type="dxa"/>
            <w:vAlign w:val="bottom"/>
          </w:tcPr>
          <w:p>
            <w:pPr>
              <w:spacing w:after="0"/>
              <w:rPr>
                <w:sz w:val="15"/>
                <w:szCs w:val="15"/>
                <w:color w:val="auto"/>
              </w:rPr>
            </w:pPr>
          </w:p>
        </w:tc>
        <w:tc>
          <w:tcPr>
            <w:tcW w:w="10240" w:type="dxa"/>
            <w:vAlign w:val="bottom"/>
            <w:gridSpan w:val="38"/>
          </w:tcPr>
          <w:p>
            <w:pPr>
              <w:spacing w:after="0" w:line="182" w:lineRule="exact"/>
              <w:rPr>
                <w:rFonts w:ascii="Arial" w:cs="Arial" w:eastAsia="Arial" w:hAnsi="Arial"/>
                <w:sz w:val="18"/>
                <w:szCs w:val="18"/>
                <w:color w:val="0000EE"/>
              </w:rPr>
            </w:pPr>
            <w:hyperlink w:anchor="page43">
              <w:r>
                <w:rPr>
                  <w:rFonts w:ascii="Arial" w:cs="Arial" w:eastAsia="Arial" w:hAnsi="Arial"/>
                  <w:sz w:val="18"/>
                  <w:szCs w:val="18"/>
                  <w:color w:val="0000EE"/>
                </w:rPr>
                <w:t>2019 Outstanding Equity Awards at Fiscal Year-End</w:t>
              </w:r>
            </w:hyperlink>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38</w:t>
            </w:r>
          </w:p>
        </w:tc>
      </w:tr>
      <w:tr>
        <w:trPr>
          <w:trHeight w:val="183"/>
        </w:trPr>
        <w:tc>
          <w:tcPr>
            <w:tcW w:w="180" w:type="dxa"/>
            <w:vAlign w:val="bottom"/>
          </w:tcPr>
          <w:p>
            <w:pPr>
              <w:spacing w:after="0"/>
              <w:rPr>
                <w:sz w:val="15"/>
                <w:szCs w:val="15"/>
                <w:color w:val="auto"/>
              </w:rPr>
            </w:pPr>
          </w:p>
        </w:tc>
        <w:tc>
          <w:tcPr>
            <w:tcW w:w="3260" w:type="dxa"/>
            <w:vAlign w:val="bottom"/>
            <w:tcBorders>
              <w:top w:val="single" w:sz="8" w:color="0000EE"/>
              <w:bottom w:val="single" w:sz="8" w:color="0000EE"/>
            </w:tcBorders>
            <w:gridSpan w:val="22"/>
          </w:tcPr>
          <w:p>
            <w:pPr>
              <w:spacing w:after="0" w:line="182" w:lineRule="exact"/>
              <w:rPr>
                <w:rFonts w:ascii="Arial" w:cs="Arial" w:eastAsia="Arial" w:hAnsi="Arial"/>
                <w:sz w:val="18"/>
                <w:szCs w:val="18"/>
                <w:color w:val="0000EE"/>
                <w:w w:val="99"/>
              </w:rPr>
            </w:pPr>
            <w:hyperlink w:anchor="page44">
              <w:r>
                <w:rPr>
                  <w:rFonts w:ascii="Arial" w:cs="Arial" w:eastAsia="Arial" w:hAnsi="Arial"/>
                  <w:sz w:val="18"/>
                  <w:szCs w:val="18"/>
                  <w:color w:val="0000EE"/>
                  <w:w w:val="99"/>
                </w:rPr>
                <w:t>2019 Option Exercises and Stock Vested</w:t>
              </w:r>
            </w:hyperlink>
          </w:p>
        </w:tc>
        <w:tc>
          <w:tcPr>
            <w:tcW w:w="860" w:type="dxa"/>
            <w:vAlign w:val="bottom"/>
            <w:tcBorders>
              <w:top w:val="single" w:sz="8" w:color="0000EE"/>
            </w:tcBorders>
            <w:gridSpan w:val="6"/>
          </w:tcPr>
          <w:p>
            <w:pPr>
              <w:spacing w:after="0"/>
              <w:rPr>
                <w:sz w:val="15"/>
                <w:szCs w:val="15"/>
                <w:color w:val="auto"/>
              </w:rPr>
            </w:pPr>
          </w:p>
        </w:tc>
        <w:tc>
          <w:tcPr>
            <w:tcW w:w="6120" w:type="dxa"/>
            <w:vAlign w:val="bottom"/>
            <w:gridSpan w:val="10"/>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39</w:t>
            </w:r>
          </w:p>
        </w:tc>
      </w:tr>
      <w:tr>
        <w:trPr>
          <w:trHeight w:val="183"/>
        </w:trPr>
        <w:tc>
          <w:tcPr>
            <w:tcW w:w="180" w:type="dxa"/>
            <w:vAlign w:val="bottom"/>
          </w:tcPr>
          <w:p>
            <w:pPr>
              <w:spacing w:after="0"/>
              <w:rPr>
                <w:sz w:val="15"/>
                <w:szCs w:val="15"/>
                <w:color w:val="auto"/>
              </w:rPr>
            </w:pPr>
          </w:p>
        </w:tc>
        <w:tc>
          <w:tcPr>
            <w:tcW w:w="10240" w:type="dxa"/>
            <w:vAlign w:val="bottom"/>
            <w:gridSpan w:val="38"/>
          </w:tcPr>
          <w:p>
            <w:pPr>
              <w:spacing w:after="0" w:line="182" w:lineRule="exact"/>
              <w:rPr>
                <w:rFonts w:ascii="Arial" w:cs="Arial" w:eastAsia="Arial" w:hAnsi="Arial"/>
                <w:sz w:val="18"/>
                <w:szCs w:val="18"/>
                <w:color w:val="0000EE"/>
              </w:rPr>
            </w:pPr>
            <w:hyperlink w:anchor="page44">
              <w:r>
                <w:rPr>
                  <w:rFonts w:ascii="Arial" w:cs="Arial" w:eastAsia="Arial" w:hAnsi="Arial"/>
                  <w:sz w:val="18"/>
                  <w:szCs w:val="18"/>
                  <w:color w:val="0000EE"/>
                </w:rPr>
                <w:t>2019 Nonqualified Deferred Compensation</w:t>
              </w:r>
            </w:hyperlink>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39</w:t>
            </w:r>
          </w:p>
        </w:tc>
      </w:tr>
      <w:tr>
        <w:trPr>
          <w:trHeight w:val="20"/>
        </w:trPr>
        <w:tc>
          <w:tcPr>
            <w:tcW w:w="18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80" w:type="dxa"/>
            <w:vAlign w:val="bottom"/>
            <w:tcBorders>
              <w:right w:val="single" w:sz="8" w:color="0000EE"/>
            </w:tcBorders>
            <w:gridSpan w:val="4"/>
            <w:shd w:val="clear" w:color="auto" w:fill="0000EE"/>
          </w:tcPr>
          <w:p>
            <w:pPr>
              <w:spacing w:after="0" w:line="20" w:lineRule="exact"/>
              <w:rPr>
                <w:sz w:val="1"/>
                <w:szCs w:val="1"/>
                <w:color w:val="auto"/>
              </w:rPr>
            </w:pPr>
          </w:p>
        </w:tc>
        <w:tc>
          <w:tcPr>
            <w:tcW w:w="300" w:type="dxa"/>
            <w:vAlign w:val="bottom"/>
            <w:gridSpan w:val="5"/>
            <w:shd w:val="clear" w:color="auto" w:fill="0000EE"/>
          </w:tcPr>
          <w:p>
            <w:pPr>
              <w:spacing w:after="0" w:line="20" w:lineRule="exact"/>
              <w:rPr>
                <w:sz w:val="1"/>
                <w:szCs w:val="1"/>
                <w:color w:val="auto"/>
              </w:rPr>
            </w:pPr>
          </w:p>
        </w:tc>
        <w:tc>
          <w:tcPr>
            <w:tcW w:w="980" w:type="dxa"/>
            <w:vAlign w:val="bottom"/>
            <w:gridSpan w:val="12"/>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2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4700" w:type="dxa"/>
            <w:vAlign w:val="bottom"/>
            <w:tcBorders>
              <w:bottom w:val="single" w:sz="8" w:color="0000EE"/>
            </w:tcBorders>
            <w:gridSpan w:val="30"/>
          </w:tcPr>
          <w:p>
            <w:pPr>
              <w:spacing w:after="0" w:line="182" w:lineRule="exact"/>
              <w:rPr>
                <w:rFonts w:ascii="Arial" w:cs="Arial" w:eastAsia="Arial" w:hAnsi="Arial"/>
                <w:sz w:val="18"/>
                <w:szCs w:val="18"/>
                <w:color w:val="0000EE"/>
                <w:w w:val="99"/>
              </w:rPr>
            </w:pPr>
            <w:hyperlink w:anchor="page45">
              <w:r>
                <w:rPr>
                  <w:rFonts w:ascii="Arial" w:cs="Arial" w:eastAsia="Arial" w:hAnsi="Arial"/>
                  <w:sz w:val="18"/>
                  <w:szCs w:val="18"/>
                  <w:color w:val="0000EE"/>
                  <w:w w:val="99"/>
                </w:rPr>
                <w:t>Potential Payments upon Termination or Change of Control</w:t>
              </w:r>
            </w:hyperlink>
          </w:p>
        </w:tc>
        <w:tc>
          <w:tcPr>
            <w:tcW w:w="5540" w:type="dxa"/>
            <w:vAlign w:val="bottom"/>
            <w:gridSpan w:val="8"/>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40</w:t>
            </w:r>
          </w:p>
        </w:tc>
      </w:tr>
      <w:tr>
        <w:trPr>
          <w:trHeight w:val="183"/>
        </w:trPr>
        <w:tc>
          <w:tcPr>
            <w:tcW w:w="180" w:type="dxa"/>
            <w:vAlign w:val="bottom"/>
          </w:tcPr>
          <w:p>
            <w:pPr>
              <w:spacing w:after="0"/>
              <w:rPr>
                <w:sz w:val="15"/>
                <w:szCs w:val="15"/>
                <w:color w:val="auto"/>
              </w:rPr>
            </w:pPr>
          </w:p>
        </w:tc>
        <w:tc>
          <w:tcPr>
            <w:tcW w:w="4880" w:type="dxa"/>
            <w:vAlign w:val="bottom"/>
            <w:tcBorders>
              <w:bottom w:val="single" w:sz="8" w:color="0000EE"/>
            </w:tcBorders>
            <w:gridSpan w:val="31"/>
          </w:tcPr>
          <w:p>
            <w:pPr>
              <w:spacing w:after="0" w:line="182" w:lineRule="exact"/>
              <w:rPr>
                <w:rFonts w:ascii="Arial" w:cs="Arial" w:eastAsia="Arial" w:hAnsi="Arial"/>
                <w:sz w:val="18"/>
                <w:szCs w:val="18"/>
                <w:color w:val="0000EE"/>
                <w:w w:val="99"/>
              </w:rPr>
            </w:pPr>
            <w:hyperlink w:anchor="page52">
              <w:r>
                <w:rPr>
                  <w:rFonts w:ascii="Arial" w:cs="Arial" w:eastAsia="Arial" w:hAnsi="Arial"/>
                  <w:sz w:val="18"/>
                  <w:szCs w:val="18"/>
                  <w:color w:val="0000EE"/>
                  <w:w w:val="99"/>
                </w:rPr>
                <w:t>Compensation Committee Interlocks and Insider Participation</w:t>
              </w:r>
            </w:hyperlink>
          </w:p>
        </w:tc>
        <w:tc>
          <w:tcPr>
            <w:tcW w:w="5360" w:type="dxa"/>
            <w:vAlign w:val="bottom"/>
            <w:gridSpan w:val="7"/>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47</w:t>
            </w:r>
          </w:p>
        </w:tc>
      </w:tr>
      <w:tr>
        <w:trPr>
          <w:trHeight w:val="183"/>
        </w:trPr>
        <w:tc>
          <w:tcPr>
            <w:tcW w:w="180" w:type="dxa"/>
            <w:vAlign w:val="bottom"/>
          </w:tcPr>
          <w:p>
            <w:pPr>
              <w:spacing w:after="0"/>
              <w:rPr>
                <w:sz w:val="15"/>
                <w:szCs w:val="15"/>
                <w:color w:val="auto"/>
              </w:rPr>
            </w:pPr>
          </w:p>
        </w:tc>
        <w:tc>
          <w:tcPr>
            <w:tcW w:w="3800" w:type="dxa"/>
            <w:vAlign w:val="bottom"/>
            <w:tcBorders>
              <w:bottom w:val="single" w:sz="8" w:color="0000EE"/>
            </w:tcBorders>
            <w:gridSpan w:val="25"/>
          </w:tcPr>
          <w:p>
            <w:pPr>
              <w:spacing w:after="0" w:line="182" w:lineRule="exact"/>
              <w:rPr>
                <w:rFonts w:ascii="Arial" w:cs="Arial" w:eastAsia="Arial" w:hAnsi="Arial"/>
                <w:sz w:val="18"/>
                <w:szCs w:val="18"/>
                <w:color w:val="0000EE"/>
                <w:w w:val="99"/>
              </w:rPr>
            </w:pPr>
            <w:hyperlink w:anchor="page52">
              <w:r>
                <w:rPr>
                  <w:rFonts w:ascii="Arial" w:cs="Arial" w:eastAsia="Arial" w:hAnsi="Arial"/>
                  <w:sz w:val="18"/>
                  <w:szCs w:val="18"/>
                  <w:color w:val="0000EE"/>
                  <w:w w:val="99"/>
                </w:rPr>
                <w:t>Certain Relationships and Related Transactions</w:t>
              </w:r>
            </w:hyperlink>
          </w:p>
        </w:tc>
        <w:tc>
          <w:tcPr>
            <w:tcW w:w="6440" w:type="dxa"/>
            <w:vAlign w:val="bottom"/>
            <w:gridSpan w:val="13"/>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47</w:t>
            </w:r>
          </w:p>
        </w:tc>
      </w:tr>
      <w:tr>
        <w:trPr>
          <w:trHeight w:val="290"/>
        </w:trPr>
        <w:tc>
          <w:tcPr>
            <w:tcW w:w="10420" w:type="dxa"/>
            <w:vAlign w:val="bottom"/>
            <w:gridSpan w:val="39"/>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PROPOSAL 2 — TO APPROVE AN AMENDMENT TO THE COMPANY’S AMENDED AND RESTATED 2012 OMNIBUS</w:t>
              </w:r>
            </w:hyperlink>
          </w:p>
        </w:tc>
        <w:tc>
          <w:tcPr>
            <w:tcW w:w="600" w:type="dxa"/>
            <w:vAlign w:val="bottom"/>
          </w:tcPr>
          <w:p>
            <w:pPr>
              <w:spacing w:after="0"/>
              <w:rPr>
                <w:sz w:val="24"/>
                <w:szCs w:val="24"/>
                <w:color w:val="auto"/>
              </w:rPr>
            </w:pPr>
          </w:p>
        </w:tc>
      </w:tr>
      <w:tr>
        <w:trPr>
          <w:trHeight w:val="183"/>
        </w:trPr>
        <w:tc>
          <w:tcPr>
            <w:tcW w:w="9600" w:type="dxa"/>
            <w:vAlign w:val="bottom"/>
            <w:tcBorders>
              <w:top w:val="single" w:sz="8" w:color="0000EE"/>
            </w:tcBorders>
            <w:gridSpan w:val="36"/>
          </w:tcPr>
          <w:p>
            <w:pPr>
              <w:spacing w:after="0" w:line="182" w:lineRule="exact"/>
              <w:rPr>
                <w:rFonts w:ascii="Arial" w:cs="Arial" w:eastAsia="Arial" w:hAnsi="Arial"/>
                <w:sz w:val="18"/>
                <w:szCs w:val="18"/>
                <w:color w:val="0000EE"/>
              </w:rPr>
            </w:pPr>
            <w:hyperlink w:anchor="page53">
              <w:r>
                <w:rPr>
                  <w:rFonts w:ascii="Arial" w:cs="Arial" w:eastAsia="Arial" w:hAnsi="Arial"/>
                  <w:sz w:val="18"/>
                  <w:szCs w:val="18"/>
                  <w:color w:val="0000EE"/>
                </w:rPr>
                <w:t>INCENTIVE PLAN</w:t>
              </w:r>
            </w:hyperlink>
          </w:p>
        </w:tc>
        <w:tc>
          <w:tcPr>
            <w:tcW w:w="820" w:type="dxa"/>
            <w:vAlign w:val="bottom"/>
            <w:gridSpan w:val="3"/>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48</w:t>
            </w:r>
          </w:p>
        </w:tc>
      </w:tr>
      <w:tr>
        <w:trPr>
          <w:trHeight w:val="20"/>
        </w:trPr>
        <w:tc>
          <w:tcPr>
            <w:tcW w:w="180" w:type="dxa"/>
            <w:vAlign w:val="bottom"/>
            <w:tcBorders>
              <w:top w:val="single" w:sz="8" w:color="0000EE"/>
              <w:bottom w:val="single" w:sz="8" w:color="00548B"/>
            </w:tcBorders>
          </w:tcPr>
          <w:p>
            <w:pPr>
              <w:spacing w:after="0" w:line="20" w:lineRule="exact"/>
              <w:rPr>
                <w:sz w:val="1"/>
                <w:szCs w:val="1"/>
                <w:color w:val="auto"/>
              </w:rPr>
            </w:pPr>
          </w:p>
        </w:tc>
        <w:tc>
          <w:tcPr>
            <w:tcW w:w="130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bottom w:val="single" w:sz="8" w:color="00548B"/>
            </w:tcBorders>
          </w:tcPr>
          <w:p>
            <w:pPr>
              <w:spacing w:after="0" w:line="20" w:lineRule="exact"/>
              <w:rPr>
                <w:sz w:val="1"/>
                <w:szCs w:val="1"/>
                <w:color w:val="auto"/>
              </w:rPr>
            </w:pPr>
          </w:p>
        </w:tc>
        <w:tc>
          <w:tcPr>
            <w:tcW w:w="100" w:type="dxa"/>
            <w:vAlign w:val="bottom"/>
            <w:tcBorders>
              <w:bottom w:val="single" w:sz="8" w:color="00548B"/>
            </w:tcBorders>
          </w:tcPr>
          <w:p>
            <w:pPr>
              <w:spacing w:after="0" w:line="20" w:lineRule="exact"/>
              <w:rPr>
                <w:sz w:val="1"/>
                <w:szCs w:val="1"/>
                <w:color w:val="auto"/>
              </w:rPr>
            </w:pPr>
          </w:p>
        </w:tc>
        <w:tc>
          <w:tcPr>
            <w:tcW w:w="20" w:type="dxa"/>
            <w:vAlign w:val="bottom"/>
            <w:tcBorders>
              <w:bottom w:val="single" w:sz="8" w:color="00548B"/>
            </w:tcBorders>
          </w:tcPr>
          <w:p>
            <w:pPr>
              <w:spacing w:after="0" w:line="20" w:lineRule="exact"/>
              <w:rPr>
                <w:sz w:val="1"/>
                <w:szCs w:val="1"/>
                <w:color w:val="auto"/>
              </w:rPr>
            </w:pPr>
          </w:p>
        </w:tc>
        <w:tc>
          <w:tcPr>
            <w:tcW w:w="360" w:type="dxa"/>
            <w:vAlign w:val="bottom"/>
            <w:tcBorders>
              <w:bottom w:val="single" w:sz="8" w:color="00548B"/>
            </w:tcBorders>
          </w:tcPr>
          <w:p>
            <w:pPr>
              <w:spacing w:after="0" w:line="20" w:lineRule="exact"/>
              <w:rPr>
                <w:sz w:val="1"/>
                <w:szCs w:val="1"/>
                <w:color w:val="auto"/>
              </w:rPr>
            </w:pPr>
          </w:p>
        </w:tc>
        <w:tc>
          <w:tcPr>
            <w:tcW w:w="300" w:type="dxa"/>
            <w:vAlign w:val="bottom"/>
            <w:tcBorders>
              <w:bottom w:val="single" w:sz="8" w:color="00548B"/>
            </w:tcBorders>
          </w:tcPr>
          <w:p>
            <w:pPr>
              <w:spacing w:after="0" w:line="20" w:lineRule="exact"/>
              <w:rPr>
                <w:sz w:val="1"/>
                <w:szCs w:val="1"/>
                <w:color w:val="auto"/>
              </w:rPr>
            </w:pPr>
          </w:p>
        </w:tc>
        <w:tc>
          <w:tcPr>
            <w:tcW w:w="40" w:type="dxa"/>
            <w:vAlign w:val="bottom"/>
            <w:tcBorders>
              <w:bottom w:val="single" w:sz="8" w:color="00548B"/>
            </w:tcBorders>
          </w:tcPr>
          <w:p>
            <w:pPr>
              <w:spacing w:after="0" w:line="20" w:lineRule="exact"/>
              <w:rPr>
                <w:sz w:val="1"/>
                <w:szCs w:val="1"/>
                <w:color w:val="auto"/>
              </w:rPr>
            </w:pPr>
          </w:p>
        </w:tc>
        <w:tc>
          <w:tcPr>
            <w:tcW w:w="120" w:type="dxa"/>
            <w:vAlign w:val="bottom"/>
            <w:tcBorders>
              <w:bottom w:val="single" w:sz="8" w:color="00548B"/>
            </w:tcBorders>
          </w:tcPr>
          <w:p>
            <w:pPr>
              <w:spacing w:after="0" w:line="20" w:lineRule="exact"/>
              <w:rPr>
                <w:sz w:val="1"/>
                <w:szCs w:val="1"/>
                <w:color w:val="auto"/>
              </w:rPr>
            </w:pPr>
          </w:p>
        </w:tc>
        <w:tc>
          <w:tcPr>
            <w:tcW w:w="40" w:type="dxa"/>
            <w:vAlign w:val="bottom"/>
            <w:tcBorders>
              <w:bottom w:val="single" w:sz="8" w:color="00548B"/>
            </w:tcBorders>
          </w:tcPr>
          <w:p>
            <w:pPr>
              <w:spacing w:after="0" w:line="20" w:lineRule="exact"/>
              <w:rPr>
                <w:sz w:val="1"/>
                <w:szCs w:val="1"/>
                <w:color w:val="auto"/>
              </w:rPr>
            </w:pPr>
          </w:p>
        </w:tc>
        <w:tc>
          <w:tcPr>
            <w:tcW w:w="20" w:type="dxa"/>
            <w:vAlign w:val="bottom"/>
            <w:tcBorders>
              <w:bottom w:val="single" w:sz="8" w:color="00548B"/>
            </w:tcBorders>
          </w:tcPr>
          <w:p>
            <w:pPr>
              <w:spacing w:after="0" w:line="20" w:lineRule="exact"/>
              <w:rPr>
                <w:sz w:val="1"/>
                <w:szCs w:val="1"/>
                <w:color w:val="auto"/>
              </w:rPr>
            </w:pPr>
          </w:p>
        </w:tc>
        <w:tc>
          <w:tcPr>
            <w:tcW w:w="80" w:type="dxa"/>
            <w:vAlign w:val="bottom"/>
            <w:tcBorders>
              <w:bottom w:val="single" w:sz="8" w:color="00548B"/>
            </w:tcBorders>
          </w:tcPr>
          <w:p>
            <w:pPr>
              <w:spacing w:after="0" w:line="20" w:lineRule="exact"/>
              <w:rPr>
                <w:sz w:val="1"/>
                <w:szCs w:val="1"/>
                <w:color w:val="auto"/>
              </w:rPr>
            </w:pPr>
          </w:p>
        </w:tc>
        <w:tc>
          <w:tcPr>
            <w:tcW w:w="80" w:type="dxa"/>
            <w:vAlign w:val="bottom"/>
            <w:tcBorders>
              <w:bottom w:val="single" w:sz="8" w:color="00548B"/>
            </w:tcBorders>
          </w:tcPr>
          <w:p>
            <w:pPr>
              <w:spacing w:after="0" w:line="20" w:lineRule="exact"/>
              <w:rPr>
                <w:sz w:val="1"/>
                <w:szCs w:val="1"/>
                <w:color w:val="auto"/>
              </w:rPr>
            </w:pPr>
          </w:p>
        </w:tc>
        <w:tc>
          <w:tcPr>
            <w:tcW w:w="20" w:type="dxa"/>
            <w:vAlign w:val="bottom"/>
            <w:tcBorders>
              <w:bottom w:val="single" w:sz="8" w:color="00548B"/>
            </w:tcBorders>
          </w:tcPr>
          <w:p>
            <w:pPr>
              <w:spacing w:after="0" w:line="20" w:lineRule="exact"/>
              <w:rPr>
                <w:sz w:val="1"/>
                <w:szCs w:val="1"/>
                <w:color w:val="auto"/>
              </w:rPr>
            </w:pPr>
          </w:p>
        </w:tc>
        <w:tc>
          <w:tcPr>
            <w:tcW w:w="100" w:type="dxa"/>
            <w:vAlign w:val="bottom"/>
            <w:tcBorders>
              <w:bottom w:val="single" w:sz="8" w:color="00548B"/>
            </w:tcBorders>
          </w:tcPr>
          <w:p>
            <w:pPr>
              <w:spacing w:after="0" w:line="20" w:lineRule="exact"/>
              <w:rPr>
                <w:sz w:val="1"/>
                <w:szCs w:val="1"/>
                <w:color w:val="auto"/>
              </w:rPr>
            </w:pPr>
          </w:p>
        </w:tc>
        <w:tc>
          <w:tcPr>
            <w:tcW w:w="40" w:type="dxa"/>
            <w:vAlign w:val="bottom"/>
            <w:tcBorders>
              <w:bottom w:val="single" w:sz="8" w:color="00548B"/>
            </w:tcBorders>
          </w:tcPr>
          <w:p>
            <w:pPr>
              <w:spacing w:after="0" w:line="20" w:lineRule="exact"/>
              <w:rPr>
                <w:sz w:val="1"/>
                <w:szCs w:val="1"/>
                <w:color w:val="auto"/>
              </w:rPr>
            </w:pPr>
          </w:p>
        </w:tc>
        <w:tc>
          <w:tcPr>
            <w:tcW w:w="60" w:type="dxa"/>
            <w:vAlign w:val="bottom"/>
            <w:tcBorders>
              <w:bottom w:val="single" w:sz="8" w:color="00548B"/>
            </w:tcBorders>
          </w:tcPr>
          <w:p>
            <w:pPr>
              <w:spacing w:after="0" w:line="20" w:lineRule="exact"/>
              <w:rPr>
                <w:sz w:val="1"/>
                <w:szCs w:val="1"/>
                <w:color w:val="auto"/>
              </w:rPr>
            </w:pPr>
          </w:p>
        </w:tc>
        <w:tc>
          <w:tcPr>
            <w:tcW w:w="40" w:type="dxa"/>
            <w:vAlign w:val="bottom"/>
            <w:tcBorders>
              <w:bottom w:val="single" w:sz="8" w:color="00548B"/>
            </w:tcBorders>
          </w:tcPr>
          <w:p>
            <w:pPr>
              <w:spacing w:after="0" w:line="20" w:lineRule="exact"/>
              <w:rPr>
                <w:sz w:val="1"/>
                <w:szCs w:val="1"/>
                <w:color w:val="auto"/>
              </w:rPr>
            </w:pPr>
          </w:p>
        </w:tc>
        <w:tc>
          <w:tcPr>
            <w:tcW w:w="100" w:type="dxa"/>
            <w:vAlign w:val="bottom"/>
            <w:tcBorders>
              <w:bottom w:val="single" w:sz="8" w:color="00548B"/>
            </w:tcBorders>
          </w:tcPr>
          <w:p>
            <w:pPr>
              <w:spacing w:after="0" w:line="20" w:lineRule="exact"/>
              <w:rPr>
                <w:sz w:val="1"/>
                <w:szCs w:val="1"/>
                <w:color w:val="auto"/>
              </w:rPr>
            </w:pPr>
          </w:p>
        </w:tc>
        <w:tc>
          <w:tcPr>
            <w:tcW w:w="40" w:type="dxa"/>
            <w:vAlign w:val="bottom"/>
            <w:tcBorders>
              <w:bottom w:val="single" w:sz="8" w:color="00548B"/>
            </w:tcBorders>
          </w:tcPr>
          <w:p>
            <w:pPr>
              <w:spacing w:after="0" w:line="20" w:lineRule="exact"/>
              <w:rPr>
                <w:sz w:val="1"/>
                <w:szCs w:val="1"/>
                <w:color w:val="auto"/>
              </w:rPr>
            </w:pPr>
          </w:p>
        </w:tc>
        <w:tc>
          <w:tcPr>
            <w:tcW w:w="240" w:type="dxa"/>
            <w:vAlign w:val="bottom"/>
            <w:tcBorders>
              <w:bottom w:val="single" w:sz="8" w:color="00548B"/>
            </w:tcBorders>
          </w:tcPr>
          <w:p>
            <w:pPr>
              <w:spacing w:after="0" w:line="20" w:lineRule="exact"/>
              <w:rPr>
                <w:sz w:val="1"/>
                <w:szCs w:val="1"/>
                <w:color w:val="auto"/>
              </w:rPr>
            </w:pPr>
          </w:p>
        </w:tc>
        <w:tc>
          <w:tcPr>
            <w:tcW w:w="40" w:type="dxa"/>
            <w:vAlign w:val="bottom"/>
            <w:tcBorders>
              <w:bottom w:val="single" w:sz="8" w:color="00548B"/>
            </w:tcBorders>
          </w:tcPr>
          <w:p>
            <w:pPr>
              <w:spacing w:after="0" w:line="20" w:lineRule="exact"/>
              <w:rPr>
                <w:sz w:val="1"/>
                <w:szCs w:val="1"/>
                <w:color w:val="auto"/>
              </w:rPr>
            </w:pPr>
          </w:p>
        </w:tc>
        <w:tc>
          <w:tcPr>
            <w:tcW w:w="80" w:type="dxa"/>
            <w:vAlign w:val="bottom"/>
            <w:tcBorders>
              <w:bottom w:val="single" w:sz="8" w:color="00548B"/>
            </w:tcBorders>
          </w:tcPr>
          <w:p>
            <w:pPr>
              <w:spacing w:after="0" w:line="20" w:lineRule="exact"/>
              <w:rPr>
                <w:sz w:val="1"/>
                <w:szCs w:val="1"/>
                <w:color w:val="auto"/>
              </w:rPr>
            </w:pPr>
          </w:p>
        </w:tc>
        <w:tc>
          <w:tcPr>
            <w:tcW w:w="140" w:type="dxa"/>
            <w:vAlign w:val="bottom"/>
            <w:tcBorders>
              <w:bottom w:val="single" w:sz="8" w:color="00548B"/>
            </w:tcBorders>
          </w:tcPr>
          <w:p>
            <w:pPr>
              <w:spacing w:after="0" w:line="20" w:lineRule="exact"/>
              <w:rPr>
                <w:sz w:val="1"/>
                <w:szCs w:val="1"/>
                <w:color w:val="auto"/>
              </w:rPr>
            </w:pPr>
          </w:p>
        </w:tc>
        <w:tc>
          <w:tcPr>
            <w:tcW w:w="140" w:type="dxa"/>
            <w:vAlign w:val="bottom"/>
            <w:tcBorders>
              <w:bottom w:val="single" w:sz="8" w:color="00548B"/>
            </w:tcBorders>
          </w:tcPr>
          <w:p>
            <w:pPr>
              <w:spacing w:after="0" w:line="20" w:lineRule="exact"/>
              <w:rPr>
                <w:sz w:val="1"/>
                <w:szCs w:val="1"/>
                <w:color w:val="auto"/>
              </w:rPr>
            </w:pPr>
          </w:p>
        </w:tc>
        <w:tc>
          <w:tcPr>
            <w:tcW w:w="260" w:type="dxa"/>
            <w:vAlign w:val="bottom"/>
            <w:tcBorders>
              <w:bottom w:val="single" w:sz="8" w:color="00548B"/>
            </w:tcBorders>
          </w:tcPr>
          <w:p>
            <w:pPr>
              <w:spacing w:after="0" w:line="20" w:lineRule="exact"/>
              <w:rPr>
                <w:sz w:val="1"/>
                <w:szCs w:val="1"/>
                <w:color w:val="auto"/>
              </w:rPr>
            </w:pPr>
          </w:p>
        </w:tc>
        <w:tc>
          <w:tcPr>
            <w:tcW w:w="20" w:type="dxa"/>
            <w:vAlign w:val="bottom"/>
            <w:tcBorders>
              <w:bottom w:val="single" w:sz="8" w:color="00548B"/>
            </w:tcBorders>
          </w:tcPr>
          <w:p>
            <w:pPr>
              <w:spacing w:after="0" w:line="20" w:lineRule="exact"/>
              <w:rPr>
                <w:sz w:val="1"/>
                <w:szCs w:val="1"/>
                <w:color w:val="auto"/>
              </w:rPr>
            </w:pPr>
          </w:p>
        </w:tc>
        <w:tc>
          <w:tcPr>
            <w:tcW w:w="100" w:type="dxa"/>
            <w:vAlign w:val="bottom"/>
            <w:tcBorders>
              <w:bottom w:val="single" w:sz="8" w:color="00548B"/>
            </w:tcBorders>
          </w:tcPr>
          <w:p>
            <w:pPr>
              <w:spacing w:after="0" w:line="20" w:lineRule="exact"/>
              <w:rPr>
                <w:sz w:val="1"/>
                <w:szCs w:val="1"/>
                <w:color w:val="auto"/>
              </w:rPr>
            </w:pPr>
          </w:p>
        </w:tc>
        <w:tc>
          <w:tcPr>
            <w:tcW w:w="200" w:type="dxa"/>
            <w:vAlign w:val="bottom"/>
            <w:tcBorders>
              <w:bottom w:val="single" w:sz="8" w:color="00548B"/>
            </w:tcBorders>
          </w:tcPr>
          <w:p>
            <w:pPr>
              <w:spacing w:after="0" w:line="20" w:lineRule="exact"/>
              <w:rPr>
                <w:sz w:val="1"/>
                <w:szCs w:val="1"/>
                <w:color w:val="auto"/>
              </w:rPr>
            </w:pPr>
          </w:p>
        </w:tc>
        <w:tc>
          <w:tcPr>
            <w:tcW w:w="520" w:type="dxa"/>
            <w:vAlign w:val="bottom"/>
            <w:tcBorders>
              <w:bottom w:val="single" w:sz="8" w:color="00548B"/>
            </w:tcBorders>
          </w:tcPr>
          <w:p>
            <w:pPr>
              <w:spacing w:after="0" w:line="20" w:lineRule="exact"/>
              <w:rPr>
                <w:sz w:val="1"/>
                <w:szCs w:val="1"/>
                <w:color w:val="auto"/>
              </w:rPr>
            </w:pPr>
          </w:p>
        </w:tc>
        <w:tc>
          <w:tcPr>
            <w:tcW w:w="60" w:type="dxa"/>
            <w:vAlign w:val="bottom"/>
            <w:tcBorders>
              <w:bottom w:val="single" w:sz="8" w:color="00548B"/>
            </w:tcBorders>
          </w:tcPr>
          <w:p>
            <w:pPr>
              <w:spacing w:after="0" w:line="20" w:lineRule="exact"/>
              <w:rPr>
                <w:sz w:val="1"/>
                <w:szCs w:val="1"/>
                <w:color w:val="auto"/>
              </w:rPr>
            </w:pPr>
          </w:p>
        </w:tc>
        <w:tc>
          <w:tcPr>
            <w:tcW w:w="180" w:type="dxa"/>
            <w:vAlign w:val="bottom"/>
            <w:tcBorders>
              <w:bottom w:val="single" w:sz="8" w:color="00548B"/>
            </w:tcBorders>
          </w:tcPr>
          <w:p>
            <w:pPr>
              <w:spacing w:after="0" w:line="20" w:lineRule="exact"/>
              <w:rPr>
                <w:sz w:val="1"/>
                <w:szCs w:val="1"/>
                <w:color w:val="auto"/>
              </w:rPr>
            </w:pPr>
          </w:p>
        </w:tc>
        <w:tc>
          <w:tcPr>
            <w:tcW w:w="140" w:type="dxa"/>
            <w:vAlign w:val="bottom"/>
            <w:tcBorders>
              <w:bottom w:val="single" w:sz="8" w:color="00548B"/>
            </w:tcBorders>
          </w:tcPr>
          <w:p>
            <w:pPr>
              <w:spacing w:after="0" w:line="20" w:lineRule="exact"/>
              <w:rPr>
                <w:sz w:val="1"/>
                <w:szCs w:val="1"/>
                <w:color w:val="auto"/>
              </w:rPr>
            </w:pPr>
          </w:p>
        </w:tc>
        <w:tc>
          <w:tcPr>
            <w:tcW w:w="120" w:type="dxa"/>
            <w:vAlign w:val="bottom"/>
            <w:tcBorders>
              <w:bottom w:val="single" w:sz="8" w:color="00548B"/>
            </w:tcBorders>
          </w:tcPr>
          <w:p>
            <w:pPr>
              <w:spacing w:after="0" w:line="20" w:lineRule="exact"/>
              <w:rPr>
                <w:sz w:val="1"/>
                <w:szCs w:val="1"/>
                <w:color w:val="auto"/>
              </w:rPr>
            </w:pPr>
          </w:p>
        </w:tc>
        <w:tc>
          <w:tcPr>
            <w:tcW w:w="2860" w:type="dxa"/>
            <w:vAlign w:val="bottom"/>
            <w:tcBorders>
              <w:bottom w:val="single" w:sz="8" w:color="00548B"/>
            </w:tcBorders>
          </w:tcPr>
          <w:p>
            <w:pPr>
              <w:spacing w:after="0" w:line="20" w:lineRule="exact"/>
              <w:rPr>
                <w:sz w:val="1"/>
                <w:szCs w:val="1"/>
                <w:color w:val="auto"/>
              </w:rPr>
            </w:pPr>
          </w:p>
        </w:tc>
        <w:tc>
          <w:tcPr>
            <w:tcW w:w="1420" w:type="dxa"/>
            <w:vAlign w:val="bottom"/>
            <w:tcBorders>
              <w:bottom w:val="single" w:sz="8" w:color="00548B"/>
            </w:tcBorders>
          </w:tcPr>
          <w:p>
            <w:pPr>
              <w:spacing w:after="0" w:line="20" w:lineRule="exact"/>
              <w:rPr>
                <w:sz w:val="1"/>
                <w:szCs w:val="1"/>
                <w:color w:val="auto"/>
              </w:rPr>
            </w:pPr>
          </w:p>
        </w:tc>
        <w:tc>
          <w:tcPr>
            <w:tcW w:w="360" w:type="dxa"/>
            <w:vAlign w:val="bottom"/>
            <w:tcBorders>
              <w:bottom w:val="single" w:sz="8" w:color="00548B"/>
            </w:tcBorders>
          </w:tcPr>
          <w:p>
            <w:pPr>
              <w:spacing w:after="0" w:line="20" w:lineRule="exact"/>
              <w:rPr>
                <w:sz w:val="1"/>
                <w:szCs w:val="1"/>
                <w:color w:val="auto"/>
              </w:rPr>
            </w:pPr>
          </w:p>
        </w:tc>
        <w:tc>
          <w:tcPr>
            <w:tcW w:w="140" w:type="dxa"/>
            <w:vAlign w:val="bottom"/>
            <w:tcBorders>
              <w:bottom w:val="single" w:sz="8" w:color="00548B"/>
            </w:tcBorders>
          </w:tcPr>
          <w:p>
            <w:pPr>
              <w:spacing w:after="0" w:line="20" w:lineRule="exact"/>
              <w:rPr>
                <w:sz w:val="1"/>
                <w:szCs w:val="1"/>
                <w:color w:val="auto"/>
              </w:rPr>
            </w:pPr>
          </w:p>
        </w:tc>
        <w:tc>
          <w:tcPr>
            <w:tcW w:w="320" w:type="dxa"/>
            <w:vAlign w:val="bottom"/>
            <w:tcBorders>
              <w:bottom w:val="single" w:sz="8" w:color="00548B"/>
            </w:tcBorders>
          </w:tcPr>
          <w:p>
            <w:pPr>
              <w:spacing w:after="0" w:line="20" w:lineRule="exact"/>
              <w:rPr>
                <w:sz w:val="1"/>
                <w:szCs w:val="1"/>
                <w:color w:val="auto"/>
              </w:rPr>
            </w:pPr>
          </w:p>
        </w:tc>
        <w:tc>
          <w:tcPr>
            <w:tcW w:w="600" w:type="dxa"/>
            <w:vAlign w:val="bottom"/>
            <w:tcBorders>
              <w:bottom w:val="single" w:sz="8" w:color="00548B"/>
            </w:tcBorders>
          </w:tcPr>
          <w:p>
            <w:pPr>
              <w:spacing w:after="0" w:line="20" w:lineRule="exact"/>
              <w:rPr>
                <w:sz w:val="1"/>
                <w:szCs w:val="1"/>
                <w:color w:val="auto"/>
              </w:rPr>
            </w:pPr>
          </w:p>
        </w:tc>
      </w:tr>
      <w:tr>
        <w:trPr>
          <w:trHeight w:val="250"/>
        </w:trPr>
        <w:tc>
          <w:tcPr>
            <w:tcW w:w="10420" w:type="dxa"/>
            <w:vAlign w:val="bottom"/>
            <w:gridSpan w:val="39"/>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PROPOSAL 3 — TO APPROVE AN AMENDMENT TO THE COMPANY’S STOCK OWNERSHIP PARTICIPATION PROGRAM</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0"/>
        </w:trPr>
        <w:tc>
          <w:tcPr>
            <w:tcW w:w="180" w:type="dxa"/>
            <w:vAlign w:val="bottom"/>
            <w:tcBorders>
              <w:top w:val="single" w:sz="8" w:color="0000EE"/>
              <w:bottom w:val="single" w:sz="8" w:color="00548B"/>
            </w:tcBorders>
          </w:tcPr>
          <w:p>
            <w:pPr>
              <w:spacing w:after="0" w:line="20" w:lineRule="exact"/>
              <w:rPr>
                <w:sz w:val="1"/>
                <w:szCs w:val="1"/>
                <w:color w:val="auto"/>
              </w:rPr>
            </w:pPr>
          </w:p>
        </w:tc>
        <w:tc>
          <w:tcPr>
            <w:tcW w:w="130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20" w:type="dxa"/>
            <w:vAlign w:val="bottom"/>
            <w:tcBorders>
              <w:top w:val="single" w:sz="8" w:color="0000EE"/>
              <w:bottom w:val="single" w:sz="8" w:color="00548B"/>
            </w:tcBorders>
          </w:tcPr>
          <w:p>
            <w:pPr>
              <w:spacing w:after="0" w:line="20" w:lineRule="exact"/>
              <w:rPr>
                <w:sz w:val="1"/>
                <w:szCs w:val="1"/>
                <w:color w:val="auto"/>
              </w:rPr>
            </w:pPr>
          </w:p>
        </w:tc>
        <w:tc>
          <w:tcPr>
            <w:tcW w:w="360" w:type="dxa"/>
            <w:vAlign w:val="bottom"/>
            <w:tcBorders>
              <w:top w:val="single" w:sz="8" w:color="0000EE"/>
              <w:bottom w:val="single" w:sz="8" w:color="00548B"/>
            </w:tcBorders>
          </w:tcPr>
          <w:p>
            <w:pPr>
              <w:spacing w:after="0" w:line="20" w:lineRule="exact"/>
              <w:rPr>
                <w:sz w:val="1"/>
                <w:szCs w:val="1"/>
                <w:color w:val="auto"/>
              </w:rPr>
            </w:pPr>
          </w:p>
        </w:tc>
        <w:tc>
          <w:tcPr>
            <w:tcW w:w="30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12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20" w:type="dxa"/>
            <w:vAlign w:val="bottom"/>
            <w:tcBorders>
              <w:top w:val="single" w:sz="8" w:color="0000EE"/>
              <w:bottom w:val="single" w:sz="8" w:color="00548B"/>
            </w:tcBorders>
          </w:tcPr>
          <w:p>
            <w:pPr>
              <w:spacing w:after="0" w:line="20" w:lineRule="exact"/>
              <w:rPr>
                <w:sz w:val="1"/>
                <w:szCs w:val="1"/>
                <w:color w:val="auto"/>
              </w:rPr>
            </w:pPr>
          </w:p>
        </w:tc>
        <w:tc>
          <w:tcPr>
            <w:tcW w:w="80" w:type="dxa"/>
            <w:vAlign w:val="bottom"/>
            <w:tcBorders>
              <w:top w:val="single" w:sz="8" w:color="0000EE"/>
              <w:bottom w:val="single" w:sz="8" w:color="00548B"/>
            </w:tcBorders>
          </w:tcPr>
          <w:p>
            <w:pPr>
              <w:spacing w:after="0" w:line="20" w:lineRule="exact"/>
              <w:rPr>
                <w:sz w:val="1"/>
                <w:szCs w:val="1"/>
                <w:color w:val="auto"/>
              </w:rPr>
            </w:pPr>
          </w:p>
        </w:tc>
        <w:tc>
          <w:tcPr>
            <w:tcW w:w="80" w:type="dxa"/>
            <w:vAlign w:val="bottom"/>
            <w:tcBorders>
              <w:top w:val="single" w:sz="8" w:color="0000EE"/>
              <w:bottom w:val="single" w:sz="8" w:color="00548B"/>
            </w:tcBorders>
          </w:tcPr>
          <w:p>
            <w:pPr>
              <w:spacing w:after="0" w:line="20" w:lineRule="exact"/>
              <w:rPr>
                <w:sz w:val="1"/>
                <w:szCs w:val="1"/>
                <w:color w:val="auto"/>
              </w:rPr>
            </w:pPr>
          </w:p>
        </w:tc>
        <w:tc>
          <w:tcPr>
            <w:tcW w:w="2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6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24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80" w:type="dxa"/>
            <w:vAlign w:val="bottom"/>
            <w:tcBorders>
              <w:top w:val="single" w:sz="8" w:color="0000EE"/>
              <w:bottom w:val="single" w:sz="8" w:color="00548B"/>
            </w:tcBorders>
          </w:tcPr>
          <w:p>
            <w:pPr>
              <w:spacing w:after="0" w:line="20" w:lineRule="exact"/>
              <w:rPr>
                <w:sz w:val="1"/>
                <w:szCs w:val="1"/>
                <w:color w:val="auto"/>
              </w:rPr>
            </w:pPr>
          </w:p>
        </w:tc>
        <w:tc>
          <w:tcPr>
            <w:tcW w:w="140" w:type="dxa"/>
            <w:vAlign w:val="bottom"/>
            <w:tcBorders>
              <w:top w:val="single" w:sz="8" w:color="0000EE"/>
              <w:bottom w:val="single" w:sz="8" w:color="00548B"/>
            </w:tcBorders>
          </w:tcPr>
          <w:p>
            <w:pPr>
              <w:spacing w:after="0" w:line="20" w:lineRule="exact"/>
              <w:rPr>
                <w:sz w:val="1"/>
                <w:szCs w:val="1"/>
                <w:color w:val="auto"/>
              </w:rPr>
            </w:pPr>
          </w:p>
        </w:tc>
        <w:tc>
          <w:tcPr>
            <w:tcW w:w="140" w:type="dxa"/>
            <w:vAlign w:val="bottom"/>
            <w:tcBorders>
              <w:top w:val="single" w:sz="8" w:color="0000EE"/>
              <w:bottom w:val="single" w:sz="8" w:color="00548B"/>
            </w:tcBorders>
          </w:tcPr>
          <w:p>
            <w:pPr>
              <w:spacing w:after="0" w:line="20" w:lineRule="exact"/>
              <w:rPr>
                <w:sz w:val="1"/>
                <w:szCs w:val="1"/>
                <w:color w:val="auto"/>
              </w:rPr>
            </w:pPr>
          </w:p>
        </w:tc>
        <w:tc>
          <w:tcPr>
            <w:tcW w:w="260" w:type="dxa"/>
            <w:vAlign w:val="bottom"/>
            <w:tcBorders>
              <w:top w:val="single" w:sz="8" w:color="0000EE"/>
              <w:bottom w:val="single" w:sz="8" w:color="00548B"/>
            </w:tcBorders>
          </w:tcPr>
          <w:p>
            <w:pPr>
              <w:spacing w:after="0" w:line="20" w:lineRule="exact"/>
              <w:rPr>
                <w:sz w:val="1"/>
                <w:szCs w:val="1"/>
                <w:color w:val="auto"/>
              </w:rPr>
            </w:pPr>
          </w:p>
        </w:tc>
        <w:tc>
          <w:tcPr>
            <w:tcW w:w="2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200" w:type="dxa"/>
            <w:vAlign w:val="bottom"/>
            <w:tcBorders>
              <w:top w:val="single" w:sz="8" w:color="0000EE"/>
              <w:bottom w:val="single" w:sz="8" w:color="00548B"/>
            </w:tcBorders>
          </w:tcPr>
          <w:p>
            <w:pPr>
              <w:spacing w:after="0" w:line="20" w:lineRule="exact"/>
              <w:rPr>
                <w:sz w:val="1"/>
                <w:szCs w:val="1"/>
                <w:color w:val="auto"/>
              </w:rPr>
            </w:pPr>
          </w:p>
        </w:tc>
        <w:tc>
          <w:tcPr>
            <w:tcW w:w="520" w:type="dxa"/>
            <w:vAlign w:val="bottom"/>
            <w:tcBorders>
              <w:top w:val="single" w:sz="8" w:color="0000EE"/>
              <w:bottom w:val="single" w:sz="8" w:color="00548B"/>
            </w:tcBorders>
          </w:tcPr>
          <w:p>
            <w:pPr>
              <w:spacing w:after="0" w:line="20" w:lineRule="exact"/>
              <w:rPr>
                <w:sz w:val="1"/>
                <w:szCs w:val="1"/>
                <w:color w:val="auto"/>
              </w:rPr>
            </w:pPr>
          </w:p>
        </w:tc>
        <w:tc>
          <w:tcPr>
            <w:tcW w:w="60" w:type="dxa"/>
            <w:vAlign w:val="bottom"/>
            <w:tcBorders>
              <w:top w:val="single" w:sz="8" w:color="0000EE"/>
              <w:bottom w:val="single" w:sz="8" w:color="00548B"/>
            </w:tcBorders>
          </w:tcPr>
          <w:p>
            <w:pPr>
              <w:spacing w:after="0" w:line="20" w:lineRule="exact"/>
              <w:rPr>
                <w:sz w:val="1"/>
                <w:szCs w:val="1"/>
                <w:color w:val="auto"/>
              </w:rPr>
            </w:pPr>
          </w:p>
        </w:tc>
        <w:tc>
          <w:tcPr>
            <w:tcW w:w="180" w:type="dxa"/>
            <w:vAlign w:val="bottom"/>
            <w:tcBorders>
              <w:top w:val="single" w:sz="8" w:color="0000EE"/>
              <w:bottom w:val="single" w:sz="8" w:color="00548B"/>
            </w:tcBorders>
          </w:tcPr>
          <w:p>
            <w:pPr>
              <w:spacing w:after="0" w:line="20" w:lineRule="exact"/>
              <w:rPr>
                <w:sz w:val="1"/>
                <w:szCs w:val="1"/>
                <w:color w:val="auto"/>
              </w:rPr>
            </w:pPr>
          </w:p>
        </w:tc>
        <w:tc>
          <w:tcPr>
            <w:tcW w:w="140" w:type="dxa"/>
            <w:vAlign w:val="bottom"/>
            <w:tcBorders>
              <w:top w:val="single" w:sz="8" w:color="0000EE"/>
              <w:bottom w:val="single" w:sz="8" w:color="00548B"/>
            </w:tcBorders>
          </w:tcPr>
          <w:p>
            <w:pPr>
              <w:spacing w:after="0" w:line="20" w:lineRule="exact"/>
              <w:rPr>
                <w:sz w:val="1"/>
                <w:szCs w:val="1"/>
                <w:color w:val="auto"/>
              </w:rPr>
            </w:pPr>
          </w:p>
        </w:tc>
        <w:tc>
          <w:tcPr>
            <w:tcW w:w="120" w:type="dxa"/>
            <w:vAlign w:val="bottom"/>
            <w:tcBorders>
              <w:top w:val="single" w:sz="8" w:color="0000EE"/>
              <w:bottom w:val="single" w:sz="8" w:color="00548B"/>
            </w:tcBorders>
          </w:tcPr>
          <w:p>
            <w:pPr>
              <w:spacing w:after="0" w:line="20" w:lineRule="exact"/>
              <w:rPr>
                <w:sz w:val="1"/>
                <w:szCs w:val="1"/>
                <w:color w:val="auto"/>
              </w:rPr>
            </w:pPr>
          </w:p>
        </w:tc>
        <w:tc>
          <w:tcPr>
            <w:tcW w:w="2860" w:type="dxa"/>
            <w:vAlign w:val="bottom"/>
            <w:tcBorders>
              <w:top w:val="single" w:sz="8" w:color="0000EE"/>
              <w:bottom w:val="single" w:sz="8" w:color="00548B"/>
            </w:tcBorders>
          </w:tcPr>
          <w:p>
            <w:pPr>
              <w:spacing w:after="0" w:line="20" w:lineRule="exact"/>
              <w:rPr>
                <w:sz w:val="1"/>
                <w:szCs w:val="1"/>
                <w:color w:val="auto"/>
              </w:rPr>
            </w:pPr>
          </w:p>
        </w:tc>
        <w:tc>
          <w:tcPr>
            <w:tcW w:w="1420" w:type="dxa"/>
            <w:vAlign w:val="bottom"/>
            <w:tcBorders>
              <w:top w:val="single" w:sz="8" w:color="0000EE"/>
              <w:bottom w:val="single" w:sz="8" w:color="00548B"/>
            </w:tcBorders>
          </w:tcPr>
          <w:p>
            <w:pPr>
              <w:spacing w:after="0" w:line="20" w:lineRule="exact"/>
              <w:rPr>
                <w:sz w:val="1"/>
                <w:szCs w:val="1"/>
                <w:color w:val="auto"/>
              </w:rPr>
            </w:pPr>
          </w:p>
        </w:tc>
        <w:tc>
          <w:tcPr>
            <w:tcW w:w="360" w:type="dxa"/>
            <w:vAlign w:val="bottom"/>
            <w:tcBorders>
              <w:top w:val="single" w:sz="8" w:color="0000EE"/>
              <w:bottom w:val="single" w:sz="8" w:color="00548B"/>
            </w:tcBorders>
          </w:tcPr>
          <w:p>
            <w:pPr>
              <w:spacing w:after="0" w:line="20" w:lineRule="exact"/>
              <w:rPr>
                <w:sz w:val="1"/>
                <w:szCs w:val="1"/>
                <w:color w:val="auto"/>
              </w:rPr>
            </w:pPr>
          </w:p>
        </w:tc>
        <w:tc>
          <w:tcPr>
            <w:tcW w:w="140" w:type="dxa"/>
            <w:vAlign w:val="bottom"/>
            <w:tcBorders>
              <w:top w:val="single" w:sz="8" w:color="0000EE"/>
              <w:bottom w:val="single" w:sz="8" w:color="00548B"/>
            </w:tcBorders>
          </w:tcPr>
          <w:p>
            <w:pPr>
              <w:spacing w:after="0" w:line="20" w:lineRule="exact"/>
              <w:rPr>
                <w:sz w:val="1"/>
                <w:szCs w:val="1"/>
                <w:color w:val="auto"/>
              </w:rPr>
            </w:pPr>
          </w:p>
        </w:tc>
        <w:tc>
          <w:tcPr>
            <w:tcW w:w="320" w:type="dxa"/>
            <w:vAlign w:val="bottom"/>
            <w:tcBorders>
              <w:bottom w:val="single" w:sz="8" w:color="00548B"/>
            </w:tcBorders>
          </w:tcPr>
          <w:p>
            <w:pPr>
              <w:spacing w:after="0" w:line="20" w:lineRule="exact"/>
              <w:rPr>
                <w:sz w:val="1"/>
                <w:szCs w:val="1"/>
                <w:color w:val="auto"/>
              </w:rPr>
            </w:pPr>
          </w:p>
        </w:tc>
        <w:tc>
          <w:tcPr>
            <w:tcW w:w="600" w:type="dxa"/>
            <w:vAlign w:val="bottom"/>
            <w:tcBorders>
              <w:bottom w:val="single" w:sz="8" w:color="00548B"/>
            </w:tcBorders>
          </w:tcPr>
          <w:p>
            <w:pPr>
              <w:spacing w:after="0" w:line="20" w:lineRule="exact"/>
              <w:rPr>
                <w:sz w:val="1"/>
                <w:szCs w:val="1"/>
                <w:color w:val="auto"/>
              </w:rPr>
            </w:pPr>
          </w:p>
        </w:tc>
      </w:tr>
      <w:tr>
        <w:trPr>
          <w:trHeight w:val="250"/>
        </w:trPr>
        <w:tc>
          <w:tcPr>
            <w:tcW w:w="10420" w:type="dxa"/>
            <w:vAlign w:val="bottom"/>
            <w:gridSpan w:val="39"/>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PROPOSAL 4 — ADVISORY VOTE TO APPROVE THE COMPANY’S EXECUTIVE COMPENSATION</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0"/>
        </w:trPr>
        <w:tc>
          <w:tcPr>
            <w:tcW w:w="180" w:type="dxa"/>
            <w:vAlign w:val="bottom"/>
            <w:tcBorders>
              <w:top w:val="single" w:sz="8" w:color="0000EE"/>
              <w:bottom w:val="single" w:sz="8" w:color="00548B"/>
            </w:tcBorders>
          </w:tcPr>
          <w:p>
            <w:pPr>
              <w:spacing w:after="0" w:line="20" w:lineRule="exact"/>
              <w:rPr>
                <w:sz w:val="1"/>
                <w:szCs w:val="1"/>
                <w:color w:val="auto"/>
              </w:rPr>
            </w:pPr>
          </w:p>
        </w:tc>
        <w:tc>
          <w:tcPr>
            <w:tcW w:w="130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20" w:type="dxa"/>
            <w:vAlign w:val="bottom"/>
            <w:tcBorders>
              <w:top w:val="single" w:sz="8" w:color="0000EE"/>
              <w:bottom w:val="single" w:sz="8" w:color="00548B"/>
            </w:tcBorders>
          </w:tcPr>
          <w:p>
            <w:pPr>
              <w:spacing w:after="0" w:line="20" w:lineRule="exact"/>
              <w:rPr>
                <w:sz w:val="1"/>
                <w:szCs w:val="1"/>
                <w:color w:val="auto"/>
              </w:rPr>
            </w:pPr>
          </w:p>
        </w:tc>
        <w:tc>
          <w:tcPr>
            <w:tcW w:w="360" w:type="dxa"/>
            <w:vAlign w:val="bottom"/>
            <w:tcBorders>
              <w:top w:val="single" w:sz="8" w:color="0000EE"/>
              <w:bottom w:val="single" w:sz="8" w:color="00548B"/>
            </w:tcBorders>
          </w:tcPr>
          <w:p>
            <w:pPr>
              <w:spacing w:after="0" w:line="20" w:lineRule="exact"/>
              <w:rPr>
                <w:sz w:val="1"/>
                <w:szCs w:val="1"/>
                <w:color w:val="auto"/>
              </w:rPr>
            </w:pPr>
          </w:p>
        </w:tc>
        <w:tc>
          <w:tcPr>
            <w:tcW w:w="30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12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20" w:type="dxa"/>
            <w:vAlign w:val="bottom"/>
            <w:tcBorders>
              <w:top w:val="single" w:sz="8" w:color="0000EE"/>
              <w:bottom w:val="single" w:sz="8" w:color="00548B"/>
            </w:tcBorders>
          </w:tcPr>
          <w:p>
            <w:pPr>
              <w:spacing w:after="0" w:line="20" w:lineRule="exact"/>
              <w:rPr>
                <w:sz w:val="1"/>
                <w:szCs w:val="1"/>
                <w:color w:val="auto"/>
              </w:rPr>
            </w:pPr>
          </w:p>
        </w:tc>
        <w:tc>
          <w:tcPr>
            <w:tcW w:w="80" w:type="dxa"/>
            <w:vAlign w:val="bottom"/>
            <w:tcBorders>
              <w:top w:val="single" w:sz="8" w:color="0000EE"/>
              <w:bottom w:val="single" w:sz="8" w:color="00548B"/>
            </w:tcBorders>
          </w:tcPr>
          <w:p>
            <w:pPr>
              <w:spacing w:after="0" w:line="20" w:lineRule="exact"/>
              <w:rPr>
                <w:sz w:val="1"/>
                <w:szCs w:val="1"/>
                <w:color w:val="auto"/>
              </w:rPr>
            </w:pPr>
          </w:p>
        </w:tc>
        <w:tc>
          <w:tcPr>
            <w:tcW w:w="80" w:type="dxa"/>
            <w:vAlign w:val="bottom"/>
            <w:tcBorders>
              <w:top w:val="single" w:sz="8" w:color="0000EE"/>
              <w:bottom w:val="single" w:sz="8" w:color="00548B"/>
            </w:tcBorders>
          </w:tcPr>
          <w:p>
            <w:pPr>
              <w:spacing w:after="0" w:line="20" w:lineRule="exact"/>
              <w:rPr>
                <w:sz w:val="1"/>
                <w:szCs w:val="1"/>
                <w:color w:val="auto"/>
              </w:rPr>
            </w:pPr>
          </w:p>
        </w:tc>
        <w:tc>
          <w:tcPr>
            <w:tcW w:w="2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6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24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80" w:type="dxa"/>
            <w:vAlign w:val="bottom"/>
            <w:tcBorders>
              <w:top w:val="single" w:sz="8" w:color="0000EE"/>
              <w:bottom w:val="single" w:sz="8" w:color="00548B"/>
            </w:tcBorders>
          </w:tcPr>
          <w:p>
            <w:pPr>
              <w:spacing w:after="0" w:line="20" w:lineRule="exact"/>
              <w:rPr>
                <w:sz w:val="1"/>
                <w:szCs w:val="1"/>
                <w:color w:val="auto"/>
              </w:rPr>
            </w:pPr>
          </w:p>
        </w:tc>
        <w:tc>
          <w:tcPr>
            <w:tcW w:w="140" w:type="dxa"/>
            <w:vAlign w:val="bottom"/>
            <w:tcBorders>
              <w:top w:val="single" w:sz="8" w:color="0000EE"/>
              <w:bottom w:val="single" w:sz="8" w:color="00548B"/>
            </w:tcBorders>
          </w:tcPr>
          <w:p>
            <w:pPr>
              <w:spacing w:after="0" w:line="20" w:lineRule="exact"/>
              <w:rPr>
                <w:sz w:val="1"/>
                <w:szCs w:val="1"/>
                <w:color w:val="auto"/>
              </w:rPr>
            </w:pPr>
          </w:p>
        </w:tc>
        <w:tc>
          <w:tcPr>
            <w:tcW w:w="140" w:type="dxa"/>
            <w:vAlign w:val="bottom"/>
            <w:tcBorders>
              <w:top w:val="single" w:sz="8" w:color="0000EE"/>
              <w:bottom w:val="single" w:sz="8" w:color="00548B"/>
            </w:tcBorders>
          </w:tcPr>
          <w:p>
            <w:pPr>
              <w:spacing w:after="0" w:line="20" w:lineRule="exact"/>
              <w:rPr>
                <w:sz w:val="1"/>
                <w:szCs w:val="1"/>
                <w:color w:val="auto"/>
              </w:rPr>
            </w:pPr>
          </w:p>
        </w:tc>
        <w:tc>
          <w:tcPr>
            <w:tcW w:w="260" w:type="dxa"/>
            <w:vAlign w:val="bottom"/>
            <w:tcBorders>
              <w:top w:val="single" w:sz="8" w:color="0000EE"/>
              <w:bottom w:val="single" w:sz="8" w:color="00548B"/>
            </w:tcBorders>
          </w:tcPr>
          <w:p>
            <w:pPr>
              <w:spacing w:after="0" w:line="20" w:lineRule="exact"/>
              <w:rPr>
                <w:sz w:val="1"/>
                <w:szCs w:val="1"/>
                <w:color w:val="auto"/>
              </w:rPr>
            </w:pPr>
          </w:p>
        </w:tc>
        <w:tc>
          <w:tcPr>
            <w:tcW w:w="2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200" w:type="dxa"/>
            <w:vAlign w:val="bottom"/>
            <w:tcBorders>
              <w:top w:val="single" w:sz="8" w:color="0000EE"/>
              <w:bottom w:val="single" w:sz="8" w:color="00548B"/>
            </w:tcBorders>
          </w:tcPr>
          <w:p>
            <w:pPr>
              <w:spacing w:after="0" w:line="20" w:lineRule="exact"/>
              <w:rPr>
                <w:sz w:val="1"/>
                <w:szCs w:val="1"/>
                <w:color w:val="auto"/>
              </w:rPr>
            </w:pPr>
          </w:p>
        </w:tc>
        <w:tc>
          <w:tcPr>
            <w:tcW w:w="520" w:type="dxa"/>
            <w:vAlign w:val="bottom"/>
            <w:tcBorders>
              <w:top w:val="single" w:sz="8" w:color="0000EE"/>
              <w:bottom w:val="single" w:sz="8" w:color="00548B"/>
            </w:tcBorders>
          </w:tcPr>
          <w:p>
            <w:pPr>
              <w:spacing w:after="0" w:line="20" w:lineRule="exact"/>
              <w:rPr>
                <w:sz w:val="1"/>
                <w:szCs w:val="1"/>
                <w:color w:val="auto"/>
              </w:rPr>
            </w:pPr>
          </w:p>
        </w:tc>
        <w:tc>
          <w:tcPr>
            <w:tcW w:w="60" w:type="dxa"/>
            <w:vAlign w:val="bottom"/>
            <w:tcBorders>
              <w:top w:val="single" w:sz="8" w:color="0000EE"/>
              <w:bottom w:val="single" w:sz="8" w:color="00548B"/>
            </w:tcBorders>
          </w:tcPr>
          <w:p>
            <w:pPr>
              <w:spacing w:after="0" w:line="20" w:lineRule="exact"/>
              <w:rPr>
                <w:sz w:val="1"/>
                <w:szCs w:val="1"/>
                <w:color w:val="auto"/>
              </w:rPr>
            </w:pPr>
          </w:p>
        </w:tc>
        <w:tc>
          <w:tcPr>
            <w:tcW w:w="180" w:type="dxa"/>
            <w:vAlign w:val="bottom"/>
            <w:tcBorders>
              <w:top w:val="single" w:sz="8" w:color="0000EE"/>
              <w:bottom w:val="single" w:sz="8" w:color="00548B"/>
            </w:tcBorders>
          </w:tcPr>
          <w:p>
            <w:pPr>
              <w:spacing w:after="0" w:line="20" w:lineRule="exact"/>
              <w:rPr>
                <w:sz w:val="1"/>
                <w:szCs w:val="1"/>
                <w:color w:val="auto"/>
              </w:rPr>
            </w:pPr>
          </w:p>
        </w:tc>
        <w:tc>
          <w:tcPr>
            <w:tcW w:w="140" w:type="dxa"/>
            <w:vAlign w:val="bottom"/>
            <w:tcBorders>
              <w:top w:val="single" w:sz="8" w:color="0000EE"/>
              <w:bottom w:val="single" w:sz="8" w:color="00548B"/>
            </w:tcBorders>
          </w:tcPr>
          <w:p>
            <w:pPr>
              <w:spacing w:after="0" w:line="20" w:lineRule="exact"/>
              <w:rPr>
                <w:sz w:val="1"/>
                <w:szCs w:val="1"/>
                <w:color w:val="auto"/>
              </w:rPr>
            </w:pPr>
          </w:p>
        </w:tc>
        <w:tc>
          <w:tcPr>
            <w:tcW w:w="120" w:type="dxa"/>
            <w:vAlign w:val="bottom"/>
            <w:tcBorders>
              <w:top w:val="single" w:sz="8" w:color="0000EE"/>
              <w:bottom w:val="single" w:sz="8" w:color="00548B"/>
            </w:tcBorders>
          </w:tcPr>
          <w:p>
            <w:pPr>
              <w:spacing w:after="0" w:line="20" w:lineRule="exact"/>
              <w:rPr>
                <w:sz w:val="1"/>
                <w:szCs w:val="1"/>
                <w:color w:val="auto"/>
              </w:rPr>
            </w:pPr>
          </w:p>
        </w:tc>
        <w:tc>
          <w:tcPr>
            <w:tcW w:w="2860" w:type="dxa"/>
            <w:vAlign w:val="bottom"/>
            <w:tcBorders>
              <w:top w:val="single" w:sz="8" w:color="0000EE"/>
              <w:bottom w:val="single" w:sz="8" w:color="00548B"/>
            </w:tcBorders>
          </w:tcPr>
          <w:p>
            <w:pPr>
              <w:spacing w:after="0" w:line="20" w:lineRule="exact"/>
              <w:rPr>
                <w:sz w:val="1"/>
                <w:szCs w:val="1"/>
                <w:color w:val="auto"/>
              </w:rPr>
            </w:pPr>
          </w:p>
        </w:tc>
        <w:tc>
          <w:tcPr>
            <w:tcW w:w="1420" w:type="dxa"/>
            <w:vAlign w:val="bottom"/>
            <w:tcBorders>
              <w:bottom w:val="single" w:sz="8" w:color="00548B"/>
            </w:tcBorders>
          </w:tcPr>
          <w:p>
            <w:pPr>
              <w:spacing w:after="0" w:line="20" w:lineRule="exact"/>
              <w:rPr>
                <w:sz w:val="1"/>
                <w:szCs w:val="1"/>
                <w:color w:val="auto"/>
              </w:rPr>
            </w:pPr>
          </w:p>
        </w:tc>
        <w:tc>
          <w:tcPr>
            <w:tcW w:w="360" w:type="dxa"/>
            <w:vAlign w:val="bottom"/>
            <w:tcBorders>
              <w:bottom w:val="single" w:sz="8" w:color="00548B"/>
            </w:tcBorders>
          </w:tcPr>
          <w:p>
            <w:pPr>
              <w:spacing w:after="0" w:line="20" w:lineRule="exact"/>
              <w:rPr>
                <w:sz w:val="1"/>
                <w:szCs w:val="1"/>
                <w:color w:val="auto"/>
              </w:rPr>
            </w:pPr>
          </w:p>
        </w:tc>
        <w:tc>
          <w:tcPr>
            <w:tcW w:w="140" w:type="dxa"/>
            <w:vAlign w:val="bottom"/>
            <w:tcBorders>
              <w:bottom w:val="single" w:sz="8" w:color="00548B"/>
            </w:tcBorders>
          </w:tcPr>
          <w:p>
            <w:pPr>
              <w:spacing w:after="0" w:line="20" w:lineRule="exact"/>
              <w:rPr>
                <w:sz w:val="1"/>
                <w:szCs w:val="1"/>
                <w:color w:val="auto"/>
              </w:rPr>
            </w:pPr>
          </w:p>
        </w:tc>
        <w:tc>
          <w:tcPr>
            <w:tcW w:w="320" w:type="dxa"/>
            <w:vAlign w:val="bottom"/>
            <w:tcBorders>
              <w:bottom w:val="single" w:sz="8" w:color="00548B"/>
            </w:tcBorders>
          </w:tcPr>
          <w:p>
            <w:pPr>
              <w:spacing w:after="0" w:line="20" w:lineRule="exact"/>
              <w:rPr>
                <w:sz w:val="1"/>
                <w:szCs w:val="1"/>
                <w:color w:val="auto"/>
              </w:rPr>
            </w:pPr>
          </w:p>
        </w:tc>
        <w:tc>
          <w:tcPr>
            <w:tcW w:w="600" w:type="dxa"/>
            <w:vAlign w:val="bottom"/>
            <w:tcBorders>
              <w:bottom w:val="single" w:sz="8" w:color="00548B"/>
            </w:tcBorders>
          </w:tcPr>
          <w:p>
            <w:pPr>
              <w:spacing w:after="0" w:line="20" w:lineRule="exact"/>
              <w:rPr>
                <w:sz w:val="1"/>
                <w:szCs w:val="1"/>
                <w:color w:val="auto"/>
              </w:rPr>
            </w:pPr>
          </w:p>
        </w:tc>
      </w:tr>
      <w:tr>
        <w:trPr>
          <w:trHeight w:val="250"/>
        </w:trPr>
        <w:tc>
          <w:tcPr>
            <w:tcW w:w="10420" w:type="dxa"/>
            <w:vAlign w:val="bottom"/>
            <w:gridSpan w:val="39"/>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PROPOSAL 5 — RATIFICATION OF APPOINTMENT OF INDEPENDENT REGISTERED PUBLIC ACCOUNTING FIRM</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0"/>
        </w:trPr>
        <w:tc>
          <w:tcPr>
            <w:tcW w:w="180" w:type="dxa"/>
            <w:vAlign w:val="bottom"/>
            <w:tcBorders>
              <w:top w:val="single" w:sz="8" w:color="0000EE"/>
              <w:bottom w:val="single" w:sz="8" w:color="00548B"/>
            </w:tcBorders>
          </w:tcPr>
          <w:p>
            <w:pPr>
              <w:spacing w:after="0" w:line="20" w:lineRule="exact"/>
              <w:rPr>
                <w:sz w:val="1"/>
                <w:szCs w:val="1"/>
                <w:color w:val="auto"/>
              </w:rPr>
            </w:pPr>
          </w:p>
        </w:tc>
        <w:tc>
          <w:tcPr>
            <w:tcW w:w="130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20" w:type="dxa"/>
            <w:vAlign w:val="bottom"/>
            <w:tcBorders>
              <w:top w:val="single" w:sz="8" w:color="0000EE"/>
              <w:bottom w:val="single" w:sz="8" w:color="00548B"/>
            </w:tcBorders>
          </w:tcPr>
          <w:p>
            <w:pPr>
              <w:spacing w:after="0" w:line="20" w:lineRule="exact"/>
              <w:rPr>
                <w:sz w:val="1"/>
                <w:szCs w:val="1"/>
                <w:color w:val="auto"/>
              </w:rPr>
            </w:pPr>
          </w:p>
        </w:tc>
        <w:tc>
          <w:tcPr>
            <w:tcW w:w="360" w:type="dxa"/>
            <w:vAlign w:val="bottom"/>
            <w:tcBorders>
              <w:top w:val="single" w:sz="8" w:color="0000EE"/>
              <w:bottom w:val="single" w:sz="8" w:color="00548B"/>
            </w:tcBorders>
          </w:tcPr>
          <w:p>
            <w:pPr>
              <w:spacing w:after="0" w:line="20" w:lineRule="exact"/>
              <w:rPr>
                <w:sz w:val="1"/>
                <w:szCs w:val="1"/>
                <w:color w:val="auto"/>
              </w:rPr>
            </w:pPr>
          </w:p>
        </w:tc>
        <w:tc>
          <w:tcPr>
            <w:tcW w:w="30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12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20" w:type="dxa"/>
            <w:vAlign w:val="bottom"/>
            <w:tcBorders>
              <w:top w:val="single" w:sz="8" w:color="0000EE"/>
              <w:bottom w:val="single" w:sz="8" w:color="00548B"/>
            </w:tcBorders>
          </w:tcPr>
          <w:p>
            <w:pPr>
              <w:spacing w:after="0" w:line="20" w:lineRule="exact"/>
              <w:rPr>
                <w:sz w:val="1"/>
                <w:szCs w:val="1"/>
                <w:color w:val="auto"/>
              </w:rPr>
            </w:pPr>
          </w:p>
        </w:tc>
        <w:tc>
          <w:tcPr>
            <w:tcW w:w="80" w:type="dxa"/>
            <w:vAlign w:val="bottom"/>
            <w:tcBorders>
              <w:top w:val="single" w:sz="8" w:color="0000EE"/>
              <w:bottom w:val="single" w:sz="8" w:color="00548B"/>
            </w:tcBorders>
          </w:tcPr>
          <w:p>
            <w:pPr>
              <w:spacing w:after="0" w:line="20" w:lineRule="exact"/>
              <w:rPr>
                <w:sz w:val="1"/>
                <w:szCs w:val="1"/>
                <w:color w:val="auto"/>
              </w:rPr>
            </w:pPr>
          </w:p>
        </w:tc>
        <w:tc>
          <w:tcPr>
            <w:tcW w:w="80" w:type="dxa"/>
            <w:vAlign w:val="bottom"/>
            <w:tcBorders>
              <w:top w:val="single" w:sz="8" w:color="0000EE"/>
              <w:bottom w:val="single" w:sz="8" w:color="00548B"/>
            </w:tcBorders>
          </w:tcPr>
          <w:p>
            <w:pPr>
              <w:spacing w:after="0" w:line="20" w:lineRule="exact"/>
              <w:rPr>
                <w:sz w:val="1"/>
                <w:szCs w:val="1"/>
                <w:color w:val="auto"/>
              </w:rPr>
            </w:pPr>
          </w:p>
        </w:tc>
        <w:tc>
          <w:tcPr>
            <w:tcW w:w="2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6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24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80" w:type="dxa"/>
            <w:vAlign w:val="bottom"/>
            <w:tcBorders>
              <w:top w:val="single" w:sz="8" w:color="0000EE"/>
              <w:bottom w:val="single" w:sz="8" w:color="00548B"/>
            </w:tcBorders>
          </w:tcPr>
          <w:p>
            <w:pPr>
              <w:spacing w:after="0" w:line="20" w:lineRule="exact"/>
              <w:rPr>
                <w:sz w:val="1"/>
                <w:szCs w:val="1"/>
                <w:color w:val="auto"/>
              </w:rPr>
            </w:pPr>
          </w:p>
        </w:tc>
        <w:tc>
          <w:tcPr>
            <w:tcW w:w="140" w:type="dxa"/>
            <w:vAlign w:val="bottom"/>
            <w:tcBorders>
              <w:top w:val="single" w:sz="8" w:color="0000EE"/>
              <w:bottom w:val="single" w:sz="8" w:color="00548B"/>
            </w:tcBorders>
          </w:tcPr>
          <w:p>
            <w:pPr>
              <w:spacing w:after="0" w:line="20" w:lineRule="exact"/>
              <w:rPr>
                <w:sz w:val="1"/>
                <w:szCs w:val="1"/>
                <w:color w:val="auto"/>
              </w:rPr>
            </w:pPr>
          </w:p>
        </w:tc>
        <w:tc>
          <w:tcPr>
            <w:tcW w:w="140" w:type="dxa"/>
            <w:vAlign w:val="bottom"/>
            <w:tcBorders>
              <w:top w:val="single" w:sz="8" w:color="0000EE"/>
              <w:bottom w:val="single" w:sz="8" w:color="00548B"/>
            </w:tcBorders>
          </w:tcPr>
          <w:p>
            <w:pPr>
              <w:spacing w:after="0" w:line="20" w:lineRule="exact"/>
              <w:rPr>
                <w:sz w:val="1"/>
                <w:szCs w:val="1"/>
                <w:color w:val="auto"/>
              </w:rPr>
            </w:pPr>
          </w:p>
        </w:tc>
        <w:tc>
          <w:tcPr>
            <w:tcW w:w="260" w:type="dxa"/>
            <w:vAlign w:val="bottom"/>
            <w:tcBorders>
              <w:top w:val="single" w:sz="8" w:color="0000EE"/>
              <w:bottom w:val="single" w:sz="8" w:color="00548B"/>
            </w:tcBorders>
          </w:tcPr>
          <w:p>
            <w:pPr>
              <w:spacing w:after="0" w:line="20" w:lineRule="exact"/>
              <w:rPr>
                <w:sz w:val="1"/>
                <w:szCs w:val="1"/>
                <w:color w:val="auto"/>
              </w:rPr>
            </w:pPr>
          </w:p>
        </w:tc>
        <w:tc>
          <w:tcPr>
            <w:tcW w:w="2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200" w:type="dxa"/>
            <w:vAlign w:val="bottom"/>
            <w:tcBorders>
              <w:top w:val="single" w:sz="8" w:color="0000EE"/>
              <w:bottom w:val="single" w:sz="8" w:color="00548B"/>
            </w:tcBorders>
          </w:tcPr>
          <w:p>
            <w:pPr>
              <w:spacing w:after="0" w:line="20" w:lineRule="exact"/>
              <w:rPr>
                <w:sz w:val="1"/>
                <w:szCs w:val="1"/>
                <w:color w:val="auto"/>
              </w:rPr>
            </w:pPr>
          </w:p>
        </w:tc>
        <w:tc>
          <w:tcPr>
            <w:tcW w:w="520" w:type="dxa"/>
            <w:vAlign w:val="bottom"/>
            <w:tcBorders>
              <w:top w:val="single" w:sz="8" w:color="0000EE"/>
              <w:bottom w:val="single" w:sz="8" w:color="00548B"/>
            </w:tcBorders>
          </w:tcPr>
          <w:p>
            <w:pPr>
              <w:spacing w:after="0" w:line="20" w:lineRule="exact"/>
              <w:rPr>
                <w:sz w:val="1"/>
                <w:szCs w:val="1"/>
                <w:color w:val="auto"/>
              </w:rPr>
            </w:pPr>
          </w:p>
        </w:tc>
        <w:tc>
          <w:tcPr>
            <w:tcW w:w="60" w:type="dxa"/>
            <w:vAlign w:val="bottom"/>
            <w:tcBorders>
              <w:top w:val="single" w:sz="8" w:color="0000EE"/>
              <w:bottom w:val="single" w:sz="8" w:color="00548B"/>
            </w:tcBorders>
          </w:tcPr>
          <w:p>
            <w:pPr>
              <w:spacing w:after="0" w:line="20" w:lineRule="exact"/>
              <w:rPr>
                <w:sz w:val="1"/>
                <w:szCs w:val="1"/>
                <w:color w:val="auto"/>
              </w:rPr>
            </w:pPr>
          </w:p>
        </w:tc>
        <w:tc>
          <w:tcPr>
            <w:tcW w:w="180" w:type="dxa"/>
            <w:vAlign w:val="bottom"/>
            <w:tcBorders>
              <w:top w:val="single" w:sz="8" w:color="0000EE"/>
              <w:bottom w:val="single" w:sz="8" w:color="00548B"/>
            </w:tcBorders>
          </w:tcPr>
          <w:p>
            <w:pPr>
              <w:spacing w:after="0" w:line="20" w:lineRule="exact"/>
              <w:rPr>
                <w:sz w:val="1"/>
                <w:szCs w:val="1"/>
                <w:color w:val="auto"/>
              </w:rPr>
            </w:pPr>
          </w:p>
        </w:tc>
        <w:tc>
          <w:tcPr>
            <w:tcW w:w="140" w:type="dxa"/>
            <w:vAlign w:val="bottom"/>
            <w:tcBorders>
              <w:top w:val="single" w:sz="8" w:color="0000EE"/>
              <w:bottom w:val="single" w:sz="8" w:color="00548B"/>
            </w:tcBorders>
          </w:tcPr>
          <w:p>
            <w:pPr>
              <w:spacing w:after="0" w:line="20" w:lineRule="exact"/>
              <w:rPr>
                <w:sz w:val="1"/>
                <w:szCs w:val="1"/>
                <w:color w:val="auto"/>
              </w:rPr>
            </w:pPr>
          </w:p>
        </w:tc>
        <w:tc>
          <w:tcPr>
            <w:tcW w:w="120" w:type="dxa"/>
            <w:vAlign w:val="bottom"/>
            <w:tcBorders>
              <w:top w:val="single" w:sz="8" w:color="0000EE"/>
              <w:bottom w:val="single" w:sz="8" w:color="00548B"/>
            </w:tcBorders>
          </w:tcPr>
          <w:p>
            <w:pPr>
              <w:spacing w:after="0" w:line="20" w:lineRule="exact"/>
              <w:rPr>
                <w:sz w:val="1"/>
                <w:szCs w:val="1"/>
                <w:color w:val="auto"/>
              </w:rPr>
            </w:pPr>
          </w:p>
        </w:tc>
        <w:tc>
          <w:tcPr>
            <w:tcW w:w="2860" w:type="dxa"/>
            <w:vAlign w:val="bottom"/>
            <w:tcBorders>
              <w:top w:val="single" w:sz="8" w:color="0000EE"/>
              <w:bottom w:val="single" w:sz="8" w:color="00548B"/>
            </w:tcBorders>
          </w:tcPr>
          <w:p>
            <w:pPr>
              <w:spacing w:after="0" w:line="20" w:lineRule="exact"/>
              <w:rPr>
                <w:sz w:val="1"/>
                <w:szCs w:val="1"/>
                <w:color w:val="auto"/>
              </w:rPr>
            </w:pPr>
          </w:p>
        </w:tc>
        <w:tc>
          <w:tcPr>
            <w:tcW w:w="1420" w:type="dxa"/>
            <w:vAlign w:val="bottom"/>
            <w:tcBorders>
              <w:top w:val="single" w:sz="8" w:color="0000EE"/>
              <w:bottom w:val="single" w:sz="8" w:color="00548B"/>
            </w:tcBorders>
          </w:tcPr>
          <w:p>
            <w:pPr>
              <w:spacing w:after="0" w:line="20" w:lineRule="exact"/>
              <w:rPr>
                <w:sz w:val="1"/>
                <w:szCs w:val="1"/>
                <w:color w:val="auto"/>
              </w:rPr>
            </w:pPr>
          </w:p>
        </w:tc>
        <w:tc>
          <w:tcPr>
            <w:tcW w:w="360" w:type="dxa"/>
            <w:vAlign w:val="bottom"/>
            <w:tcBorders>
              <w:bottom w:val="single" w:sz="8" w:color="00548B"/>
            </w:tcBorders>
          </w:tcPr>
          <w:p>
            <w:pPr>
              <w:spacing w:after="0" w:line="20" w:lineRule="exact"/>
              <w:rPr>
                <w:sz w:val="1"/>
                <w:szCs w:val="1"/>
                <w:color w:val="auto"/>
              </w:rPr>
            </w:pPr>
          </w:p>
        </w:tc>
        <w:tc>
          <w:tcPr>
            <w:tcW w:w="140" w:type="dxa"/>
            <w:vAlign w:val="bottom"/>
            <w:tcBorders>
              <w:bottom w:val="single" w:sz="8" w:color="00548B"/>
            </w:tcBorders>
          </w:tcPr>
          <w:p>
            <w:pPr>
              <w:spacing w:after="0" w:line="20" w:lineRule="exact"/>
              <w:rPr>
                <w:sz w:val="1"/>
                <w:szCs w:val="1"/>
                <w:color w:val="auto"/>
              </w:rPr>
            </w:pPr>
          </w:p>
        </w:tc>
        <w:tc>
          <w:tcPr>
            <w:tcW w:w="320" w:type="dxa"/>
            <w:vAlign w:val="bottom"/>
            <w:tcBorders>
              <w:bottom w:val="single" w:sz="8" w:color="00548B"/>
            </w:tcBorders>
          </w:tcPr>
          <w:p>
            <w:pPr>
              <w:spacing w:after="0" w:line="20" w:lineRule="exact"/>
              <w:rPr>
                <w:sz w:val="1"/>
                <w:szCs w:val="1"/>
                <w:color w:val="auto"/>
              </w:rPr>
            </w:pPr>
          </w:p>
        </w:tc>
        <w:tc>
          <w:tcPr>
            <w:tcW w:w="600" w:type="dxa"/>
            <w:vAlign w:val="bottom"/>
            <w:tcBorders>
              <w:bottom w:val="single" w:sz="8" w:color="00548B"/>
            </w:tcBorders>
          </w:tcPr>
          <w:p>
            <w:pPr>
              <w:spacing w:after="0" w:line="20" w:lineRule="exact"/>
              <w:rPr>
                <w:sz w:val="1"/>
                <w:szCs w:val="1"/>
                <w:color w:val="auto"/>
              </w:rPr>
            </w:pPr>
          </w:p>
        </w:tc>
      </w:tr>
      <w:tr>
        <w:trPr>
          <w:trHeight w:val="156"/>
        </w:trPr>
        <w:tc>
          <w:tcPr>
            <w:tcW w:w="180" w:type="dxa"/>
            <w:vAlign w:val="bottom"/>
          </w:tcPr>
          <w:p>
            <w:pPr>
              <w:spacing w:after="0"/>
              <w:rPr>
                <w:sz w:val="13"/>
                <w:szCs w:val="13"/>
                <w:color w:val="auto"/>
              </w:rPr>
            </w:pPr>
          </w:p>
        </w:tc>
        <w:tc>
          <w:tcPr>
            <w:tcW w:w="2120" w:type="dxa"/>
            <w:vAlign w:val="bottom"/>
            <w:tcBorders>
              <w:bottom w:val="single" w:sz="8" w:color="0000EE"/>
            </w:tcBorders>
            <w:gridSpan w:val="6"/>
          </w:tcPr>
          <w:p>
            <w:pPr>
              <w:spacing w:after="0" w:line="156" w:lineRule="exact"/>
              <w:rPr>
                <w:rFonts w:ascii="Arial" w:cs="Arial" w:eastAsia="Arial" w:hAnsi="Arial"/>
                <w:sz w:val="18"/>
                <w:szCs w:val="18"/>
                <w:color w:val="0000EE"/>
              </w:rPr>
            </w:pPr>
            <w:hyperlink w:anchor="page62">
              <w:r>
                <w:rPr>
                  <w:rFonts w:ascii="Arial" w:cs="Arial" w:eastAsia="Arial" w:hAnsi="Arial"/>
                  <w:sz w:val="18"/>
                  <w:szCs w:val="18"/>
                  <w:color w:val="0000EE"/>
                </w:rPr>
                <w:t>Audit and Non-Audit Fees</w:t>
              </w:r>
            </w:hyperlink>
          </w:p>
        </w:tc>
        <w:tc>
          <w:tcPr>
            <w:tcW w:w="8120" w:type="dxa"/>
            <w:vAlign w:val="bottom"/>
            <w:gridSpan w:val="32"/>
          </w:tcPr>
          <w:p>
            <w:pPr>
              <w:spacing w:after="0"/>
              <w:rPr>
                <w:sz w:val="13"/>
                <w:szCs w:val="13"/>
                <w:color w:val="auto"/>
              </w:rPr>
            </w:pPr>
          </w:p>
        </w:tc>
        <w:tc>
          <w:tcPr>
            <w:tcW w:w="600" w:type="dxa"/>
            <w:vAlign w:val="bottom"/>
          </w:tcPr>
          <w:p>
            <w:pPr>
              <w:jc w:val="right"/>
              <w:spacing w:after="0" w:line="156" w:lineRule="exact"/>
              <w:rPr>
                <w:sz w:val="20"/>
                <w:szCs w:val="20"/>
                <w:color w:val="auto"/>
              </w:rPr>
            </w:pPr>
            <w:r>
              <w:rPr>
                <w:rFonts w:ascii="Arial" w:cs="Arial" w:eastAsia="Arial" w:hAnsi="Arial"/>
                <w:sz w:val="18"/>
                <w:szCs w:val="18"/>
                <w:color w:val="auto"/>
              </w:rPr>
              <w:t>57</w:t>
            </w:r>
          </w:p>
        </w:tc>
      </w:tr>
      <w:tr>
        <w:trPr>
          <w:trHeight w:val="182"/>
        </w:trPr>
        <w:tc>
          <w:tcPr>
            <w:tcW w:w="180" w:type="dxa"/>
            <w:vAlign w:val="bottom"/>
          </w:tcPr>
          <w:p>
            <w:pPr>
              <w:spacing w:after="0"/>
              <w:rPr>
                <w:sz w:val="15"/>
                <w:szCs w:val="15"/>
                <w:color w:val="auto"/>
              </w:rPr>
            </w:pPr>
          </w:p>
        </w:tc>
        <w:tc>
          <w:tcPr>
            <w:tcW w:w="10240" w:type="dxa"/>
            <w:vAlign w:val="bottom"/>
            <w:gridSpan w:val="38"/>
          </w:tcPr>
          <w:p>
            <w:pPr>
              <w:spacing w:after="0" w:line="182" w:lineRule="exact"/>
              <w:rPr>
                <w:rFonts w:ascii="Arial" w:cs="Arial" w:eastAsia="Arial" w:hAnsi="Arial"/>
                <w:sz w:val="18"/>
                <w:szCs w:val="18"/>
                <w:color w:val="0000EE"/>
              </w:rPr>
            </w:pPr>
            <w:hyperlink w:anchor="page63">
              <w:r>
                <w:rPr>
                  <w:rFonts w:ascii="Arial" w:cs="Arial" w:eastAsia="Arial" w:hAnsi="Arial"/>
                  <w:sz w:val="18"/>
                  <w:szCs w:val="18"/>
                  <w:color w:val="0000EE"/>
                </w:rPr>
                <w:t>Policy on Audit Committee Preapproval of Audit and Non-Audit Services of Independent Registered Public Accounting Firm</w:t>
              </w:r>
            </w:hyperlink>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58</w:t>
            </w:r>
          </w:p>
        </w:tc>
      </w:tr>
      <w:tr>
        <w:trPr>
          <w:trHeight w:val="183"/>
        </w:trPr>
        <w:tc>
          <w:tcPr>
            <w:tcW w:w="180" w:type="dxa"/>
            <w:vAlign w:val="bottom"/>
          </w:tcPr>
          <w:p>
            <w:pPr>
              <w:spacing w:after="0"/>
              <w:rPr>
                <w:sz w:val="15"/>
                <w:szCs w:val="15"/>
                <w:color w:val="auto"/>
              </w:rPr>
            </w:pPr>
          </w:p>
        </w:tc>
        <w:tc>
          <w:tcPr>
            <w:tcW w:w="2420" w:type="dxa"/>
            <w:vAlign w:val="bottom"/>
            <w:tcBorders>
              <w:top w:val="single" w:sz="8" w:color="0000EE"/>
              <w:bottom w:val="single" w:sz="8" w:color="0000EE"/>
            </w:tcBorders>
            <w:gridSpan w:val="11"/>
          </w:tcPr>
          <w:p>
            <w:pPr>
              <w:spacing w:after="0" w:line="182" w:lineRule="exact"/>
              <w:rPr>
                <w:rFonts w:ascii="Arial" w:cs="Arial" w:eastAsia="Arial" w:hAnsi="Arial"/>
                <w:sz w:val="18"/>
                <w:szCs w:val="18"/>
                <w:color w:val="0000EE"/>
                <w:w w:val="99"/>
              </w:rPr>
            </w:pPr>
            <w:hyperlink w:anchor="page63">
              <w:r>
                <w:rPr>
                  <w:rFonts w:ascii="Arial" w:cs="Arial" w:eastAsia="Arial" w:hAnsi="Arial"/>
                  <w:sz w:val="18"/>
                  <w:szCs w:val="18"/>
                  <w:color w:val="0000EE"/>
                  <w:w w:val="99"/>
                </w:rPr>
                <w:t>Report of the Audit Committee</w:t>
              </w:r>
            </w:hyperlink>
          </w:p>
        </w:tc>
        <w:tc>
          <w:tcPr>
            <w:tcW w:w="7360" w:type="dxa"/>
            <w:vAlign w:val="bottom"/>
            <w:tcBorders>
              <w:top w:val="single" w:sz="8" w:color="0000EE"/>
            </w:tcBorders>
            <w:gridSpan w:val="25"/>
          </w:tcPr>
          <w:p>
            <w:pPr>
              <w:spacing w:after="0"/>
              <w:rPr>
                <w:sz w:val="15"/>
                <w:szCs w:val="15"/>
                <w:color w:val="auto"/>
              </w:rPr>
            </w:pPr>
          </w:p>
        </w:tc>
        <w:tc>
          <w:tcPr>
            <w:tcW w:w="460" w:type="dxa"/>
            <w:vAlign w:val="bottom"/>
            <w:gridSpan w:val="2"/>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58</w:t>
            </w:r>
          </w:p>
        </w:tc>
      </w:tr>
      <w:tr>
        <w:trPr>
          <w:trHeight w:val="291"/>
        </w:trPr>
        <w:tc>
          <w:tcPr>
            <w:tcW w:w="10420" w:type="dxa"/>
            <w:vAlign w:val="bottom"/>
            <w:gridSpan w:val="39"/>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SUBMISSION OF STOCKHOLDER PROPOSALS</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0"/>
        </w:trPr>
        <w:tc>
          <w:tcPr>
            <w:tcW w:w="180" w:type="dxa"/>
            <w:vAlign w:val="bottom"/>
            <w:tcBorders>
              <w:top w:val="single" w:sz="8" w:color="0000EE"/>
              <w:bottom w:val="single" w:sz="8" w:color="00548B"/>
            </w:tcBorders>
          </w:tcPr>
          <w:p>
            <w:pPr>
              <w:spacing w:after="0" w:line="20" w:lineRule="exact"/>
              <w:rPr>
                <w:sz w:val="1"/>
                <w:szCs w:val="1"/>
                <w:color w:val="auto"/>
              </w:rPr>
            </w:pPr>
          </w:p>
        </w:tc>
        <w:tc>
          <w:tcPr>
            <w:tcW w:w="130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20" w:type="dxa"/>
            <w:vAlign w:val="bottom"/>
            <w:tcBorders>
              <w:top w:val="single" w:sz="8" w:color="0000EE"/>
              <w:bottom w:val="single" w:sz="8" w:color="00548B"/>
            </w:tcBorders>
          </w:tcPr>
          <w:p>
            <w:pPr>
              <w:spacing w:after="0" w:line="20" w:lineRule="exact"/>
              <w:rPr>
                <w:sz w:val="1"/>
                <w:szCs w:val="1"/>
                <w:color w:val="auto"/>
              </w:rPr>
            </w:pPr>
          </w:p>
        </w:tc>
        <w:tc>
          <w:tcPr>
            <w:tcW w:w="360" w:type="dxa"/>
            <w:vAlign w:val="bottom"/>
            <w:tcBorders>
              <w:top w:val="single" w:sz="8" w:color="0000EE"/>
              <w:bottom w:val="single" w:sz="8" w:color="00548B"/>
            </w:tcBorders>
          </w:tcPr>
          <w:p>
            <w:pPr>
              <w:spacing w:after="0" w:line="20" w:lineRule="exact"/>
              <w:rPr>
                <w:sz w:val="1"/>
                <w:szCs w:val="1"/>
                <w:color w:val="auto"/>
              </w:rPr>
            </w:pPr>
          </w:p>
        </w:tc>
        <w:tc>
          <w:tcPr>
            <w:tcW w:w="30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12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20" w:type="dxa"/>
            <w:vAlign w:val="bottom"/>
            <w:tcBorders>
              <w:top w:val="single" w:sz="8" w:color="0000EE"/>
              <w:bottom w:val="single" w:sz="8" w:color="00548B"/>
            </w:tcBorders>
          </w:tcPr>
          <w:p>
            <w:pPr>
              <w:spacing w:after="0" w:line="20" w:lineRule="exact"/>
              <w:rPr>
                <w:sz w:val="1"/>
                <w:szCs w:val="1"/>
                <w:color w:val="auto"/>
              </w:rPr>
            </w:pPr>
          </w:p>
        </w:tc>
        <w:tc>
          <w:tcPr>
            <w:tcW w:w="80" w:type="dxa"/>
            <w:vAlign w:val="bottom"/>
            <w:tcBorders>
              <w:top w:val="single" w:sz="8" w:color="0000EE"/>
              <w:bottom w:val="single" w:sz="8" w:color="00548B"/>
            </w:tcBorders>
          </w:tcPr>
          <w:p>
            <w:pPr>
              <w:spacing w:after="0" w:line="20" w:lineRule="exact"/>
              <w:rPr>
                <w:sz w:val="1"/>
                <w:szCs w:val="1"/>
                <w:color w:val="auto"/>
              </w:rPr>
            </w:pPr>
          </w:p>
        </w:tc>
        <w:tc>
          <w:tcPr>
            <w:tcW w:w="80" w:type="dxa"/>
            <w:vAlign w:val="bottom"/>
            <w:tcBorders>
              <w:top w:val="single" w:sz="8" w:color="0000EE"/>
              <w:bottom w:val="single" w:sz="8" w:color="00548B"/>
            </w:tcBorders>
          </w:tcPr>
          <w:p>
            <w:pPr>
              <w:spacing w:after="0" w:line="20" w:lineRule="exact"/>
              <w:rPr>
                <w:sz w:val="1"/>
                <w:szCs w:val="1"/>
                <w:color w:val="auto"/>
              </w:rPr>
            </w:pPr>
          </w:p>
        </w:tc>
        <w:tc>
          <w:tcPr>
            <w:tcW w:w="2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6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24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80" w:type="dxa"/>
            <w:vAlign w:val="bottom"/>
            <w:tcBorders>
              <w:top w:val="single" w:sz="8" w:color="0000EE"/>
              <w:bottom w:val="single" w:sz="8" w:color="00548B"/>
            </w:tcBorders>
          </w:tcPr>
          <w:p>
            <w:pPr>
              <w:spacing w:after="0" w:line="20" w:lineRule="exact"/>
              <w:rPr>
                <w:sz w:val="1"/>
                <w:szCs w:val="1"/>
                <w:color w:val="auto"/>
              </w:rPr>
            </w:pPr>
          </w:p>
        </w:tc>
        <w:tc>
          <w:tcPr>
            <w:tcW w:w="140" w:type="dxa"/>
            <w:vAlign w:val="bottom"/>
            <w:tcBorders>
              <w:top w:val="single" w:sz="8" w:color="0000EE"/>
              <w:bottom w:val="single" w:sz="8" w:color="00548B"/>
            </w:tcBorders>
          </w:tcPr>
          <w:p>
            <w:pPr>
              <w:spacing w:after="0" w:line="20" w:lineRule="exact"/>
              <w:rPr>
                <w:sz w:val="1"/>
                <w:szCs w:val="1"/>
                <w:color w:val="auto"/>
              </w:rPr>
            </w:pPr>
          </w:p>
        </w:tc>
        <w:tc>
          <w:tcPr>
            <w:tcW w:w="140" w:type="dxa"/>
            <w:vAlign w:val="bottom"/>
            <w:tcBorders>
              <w:top w:val="single" w:sz="8" w:color="0000EE"/>
              <w:bottom w:val="single" w:sz="8" w:color="00548B"/>
            </w:tcBorders>
          </w:tcPr>
          <w:p>
            <w:pPr>
              <w:spacing w:after="0" w:line="20" w:lineRule="exact"/>
              <w:rPr>
                <w:sz w:val="1"/>
                <w:szCs w:val="1"/>
                <w:color w:val="auto"/>
              </w:rPr>
            </w:pPr>
          </w:p>
        </w:tc>
        <w:tc>
          <w:tcPr>
            <w:tcW w:w="260" w:type="dxa"/>
            <w:vAlign w:val="bottom"/>
            <w:tcBorders>
              <w:top w:val="single" w:sz="8" w:color="0000EE"/>
              <w:bottom w:val="single" w:sz="8" w:color="00548B"/>
            </w:tcBorders>
          </w:tcPr>
          <w:p>
            <w:pPr>
              <w:spacing w:after="0" w:line="20" w:lineRule="exact"/>
              <w:rPr>
                <w:sz w:val="1"/>
                <w:szCs w:val="1"/>
                <w:color w:val="auto"/>
              </w:rPr>
            </w:pPr>
          </w:p>
        </w:tc>
        <w:tc>
          <w:tcPr>
            <w:tcW w:w="2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bottom w:val="single" w:sz="8" w:color="00548B"/>
            </w:tcBorders>
          </w:tcPr>
          <w:p>
            <w:pPr>
              <w:spacing w:after="0" w:line="20" w:lineRule="exact"/>
              <w:rPr>
                <w:sz w:val="1"/>
                <w:szCs w:val="1"/>
                <w:color w:val="auto"/>
              </w:rPr>
            </w:pPr>
          </w:p>
        </w:tc>
        <w:tc>
          <w:tcPr>
            <w:tcW w:w="200" w:type="dxa"/>
            <w:vAlign w:val="bottom"/>
            <w:tcBorders>
              <w:bottom w:val="single" w:sz="8" w:color="00548B"/>
            </w:tcBorders>
          </w:tcPr>
          <w:p>
            <w:pPr>
              <w:spacing w:after="0" w:line="20" w:lineRule="exact"/>
              <w:rPr>
                <w:sz w:val="1"/>
                <w:szCs w:val="1"/>
                <w:color w:val="auto"/>
              </w:rPr>
            </w:pPr>
          </w:p>
        </w:tc>
        <w:tc>
          <w:tcPr>
            <w:tcW w:w="520" w:type="dxa"/>
            <w:vAlign w:val="bottom"/>
            <w:tcBorders>
              <w:bottom w:val="single" w:sz="8" w:color="00548B"/>
            </w:tcBorders>
          </w:tcPr>
          <w:p>
            <w:pPr>
              <w:spacing w:after="0" w:line="20" w:lineRule="exact"/>
              <w:rPr>
                <w:sz w:val="1"/>
                <w:szCs w:val="1"/>
                <w:color w:val="auto"/>
              </w:rPr>
            </w:pPr>
          </w:p>
        </w:tc>
        <w:tc>
          <w:tcPr>
            <w:tcW w:w="60" w:type="dxa"/>
            <w:vAlign w:val="bottom"/>
            <w:tcBorders>
              <w:bottom w:val="single" w:sz="8" w:color="00548B"/>
            </w:tcBorders>
          </w:tcPr>
          <w:p>
            <w:pPr>
              <w:spacing w:after="0" w:line="20" w:lineRule="exact"/>
              <w:rPr>
                <w:sz w:val="1"/>
                <w:szCs w:val="1"/>
                <w:color w:val="auto"/>
              </w:rPr>
            </w:pPr>
          </w:p>
        </w:tc>
        <w:tc>
          <w:tcPr>
            <w:tcW w:w="180" w:type="dxa"/>
            <w:vAlign w:val="bottom"/>
            <w:tcBorders>
              <w:bottom w:val="single" w:sz="8" w:color="00548B"/>
            </w:tcBorders>
          </w:tcPr>
          <w:p>
            <w:pPr>
              <w:spacing w:after="0" w:line="20" w:lineRule="exact"/>
              <w:rPr>
                <w:sz w:val="1"/>
                <w:szCs w:val="1"/>
                <w:color w:val="auto"/>
              </w:rPr>
            </w:pPr>
          </w:p>
        </w:tc>
        <w:tc>
          <w:tcPr>
            <w:tcW w:w="140" w:type="dxa"/>
            <w:vAlign w:val="bottom"/>
            <w:tcBorders>
              <w:bottom w:val="single" w:sz="8" w:color="00548B"/>
            </w:tcBorders>
          </w:tcPr>
          <w:p>
            <w:pPr>
              <w:spacing w:after="0" w:line="20" w:lineRule="exact"/>
              <w:rPr>
                <w:sz w:val="1"/>
                <w:szCs w:val="1"/>
                <w:color w:val="auto"/>
              </w:rPr>
            </w:pPr>
          </w:p>
        </w:tc>
        <w:tc>
          <w:tcPr>
            <w:tcW w:w="120" w:type="dxa"/>
            <w:vAlign w:val="bottom"/>
            <w:tcBorders>
              <w:bottom w:val="single" w:sz="8" w:color="00548B"/>
            </w:tcBorders>
          </w:tcPr>
          <w:p>
            <w:pPr>
              <w:spacing w:after="0" w:line="20" w:lineRule="exact"/>
              <w:rPr>
                <w:sz w:val="1"/>
                <w:szCs w:val="1"/>
                <w:color w:val="auto"/>
              </w:rPr>
            </w:pPr>
          </w:p>
        </w:tc>
        <w:tc>
          <w:tcPr>
            <w:tcW w:w="2860" w:type="dxa"/>
            <w:vAlign w:val="bottom"/>
            <w:tcBorders>
              <w:bottom w:val="single" w:sz="8" w:color="00548B"/>
            </w:tcBorders>
          </w:tcPr>
          <w:p>
            <w:pPr>
              <w:spacing w:after="0" w:line="20" w:lineRule="exact"/>
              <w:rPr>
                <w:sz w:val="1"/>
                <w:szCs w:val="1"/>
                <w:color w:val="auto"/>
              </w:rPr>
            </w:pPr>
          </w:p>
        </w:tc>
        <w:tc>
          <w:tcPr>
            <w:tcW w:w="1420" w:type="dxa"/>
            <w:vAlign w:val="bottom"/>
            <w:tcBorders>
              <w:bottom w:val="single" w:sz="8" w:color="00548B"/>
            </w:tcBorders>
          </w:tcPr>
          <w:p>
            <w:pPr>
              <w:spacing w:after="0" w:line="20" w:lineRule="exact"/>
              <w:rPr>
                <w:sz w:val="1"/>
                <w:szCs w:val="1"/>
                <w:color w:val="auto"/>
              </w:rPr>
            </w:pPr>
          </w:p>
        </w:tc>
        <w:tc>
          <w:tcPr>
            <w:tcW w:w="360" w:type="dxa"/>
            <w:vAlign w:val="bottom"/>
            <w:tcBorders>
              <w:bottom w:val="single" w:sz="8" w:color="00548B"/>
            </w:tcBorders>
          </w:tcPr>
          <w:p>
            <w:pPr>
              <w:spacing w:after="0" w:line="20" w:lineRule="exact"/>
              <w:rPr>
                <w:sz w:val="1"/>
                <w:szCs w:val="1"/>
                <w:color w:val="auto"/>
              </w:rPr>
            </w:pPr>
          </w:p>
        </w:tc>
        <w:tc>
          <w:tcPr>
            <w:tcW w:w="140" w:type="dxa"/>
            <w:vAlign w:val="bottom"/>
            <w:tcBorders>
              <w:bottom w:val="single" w:sz="8" w:color="00548B"/>
            </w:tcBorders>
          </w:tcPr>
          <w:p>
            <w:pPr>
              <w:spacing w:after="0" w:line="20" w:lineRule="exact"/>
              <w:rPr>
                <w:sz w:val="1"/>
                <w:szCs w:val="1"/>
                <w:color w:val="auto"/>
              </w:rPr>
            </w:pPr>
          </w:p>
        </w:tc>
        <w:tc>
          <w:tcPr>
            <w:tcW w:w="320" w:type="dxa"/>
            <w:vAlign w:val="bottom"/>
            <w:tcBorders>
              <w:bottom w:val="single" w:sz="8" w:color="00548B"/>
            </w:tcBorders>
          </w:tcPr>
          <w:p>
            <w:pPr>
              <w:spacing w:after="0" w:line="20" w:lineRule="exact"/>
              <w:rPr>
                <w:sz w:val="1"/>
                <w:szCs w:val="1"/>
                <w:color w:val="auto"/>
              </w:rPr>
            </w:pPr>
          </w:p>
        </w:tc>
        <w:tc>
          <w:tcPr>
            <w:tcW w:w="600" w:type="dxa"/>
            <w:vAlign w:val="bottom"/>
            <w:tcBorders>
              <w:bottom w:val="single" w:sz="8" w:color="00548B"/>
            </w:tcBorders>
          </w:tcPr>
          <w:p>
            <w:pPr>
              <w:spacing w:after="0" w:line="20" w:lineRule="exact"/>
              <w:rPr>
                <w:sz w:val="1"/>
                <w:szCs w:val="1"/>
                <w:color w:val="auto"/>
              </w:rPr>
            </w:pPr>
          </w:p>
        </w:tc>
      </w:tr>
      <w:tr>
        <w:trPr>
          <w:trHeight w:val="250"/>
        </w:trPr>
        <w:tc>
          <w:tcPr>
            <w:tcW w:w="10420" w:type="dxa"/>
            <w:vAlign w:val="bottom"/>
            <w:gridSpan w:val="39"/>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OTHER MATTERS</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0"/>
        </w:trPr>
        <w:tc>
          <w:tcPr>
            <w:tcW w:w="180" w:type="dxa"/>
            <w:vAlign w:val="bottom"/>
            <w:tcBorders>
              <w:top w:val="single" w:sz="8" w:color="0000EE"/>
              <w:bottom w:val="single" w:sz="8" w:color="00548B"/>
            </w:tcBorders>
          </w:tcPr>
          <w:p>
            <w:pPr>
              <w:spacing w:after="0" w:line="20" w:lineRule="exact"/>
              <w:rPr>
                <w:sz w:val="1"/>
                <w:szCs w:val="1"/>
                <w:color w:val="auto"/>
              </w:rPr>
            </w:pPr>
          </w:p>
        </w:tc>
        <w:tc>
          <w:tcPr>
            <w:tcW w:w="130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bottom w:val="single" w:sz="8" w:color="00548B"/>
            </w:tcBorders>
          </w:tcPr>
          <w:p>
            <w:pPr>
              <w:spacing w:after="0" w:line="20" w:lineRule="exact"/>
              <w:rPr>
                <w:sz w:val="1"/>
                <w:szCs w:val="1"/>
                <w:color w:val="auto"/>
              </w:rPr>
            </w:pPr>
          </w:p>
        </w:tc>
        <w:tc>
          <w:tcPr>
            <w:tcW w:w="20" w:type="dxa"/>
            <w:vAlign w:val="bottom"/>
            <w:tcBorders>
              <w:bottom w:val="single" w:sz="8" w:color="00548B"/>
            </w:tcBorders>
          </w:tcPr>
          <w:p>
            <w:pPr>
              <w:spacing w:after="0" w:line="20" w:lineRule="exact"/>
              <w:rPr>
                <w:sz w:val="1"/>
                <w:szCs w:val="1"/>
                <w:color w:val="auto"/>
              </w:rPr>
            </w:pPr>
          </w:p>
        </w:tc>
        <w:tc>
          <w:tcPr>
            <w:tcW w:w="360" w:type="dxa"/>
            <w:vAlign w:val="bottom"/>
            <w:tcBorders>
              <w:bottom w:val="single" w:sz="8" w:color="00548B"/>
            </w:tcBorders>
          </w:tcPr>
          <w:p>
            <w:pPr>
              <w:spacing w:after="0" w:line="20" w:lineRule="exact"/>
              <w:rPr>
                <w:sz w:val="1"/>
                <w:szCs w:val="1"/>
                <w:color w:val="auto"/>
              </w:rPr>
            </w:pPr>
          </w:p>
        </w:tc>
        <w:tc>
          <w:tcPr>
            <w:tcW w:w="300" w:type="dxa"/>
            <w:vAlign w:val="bottom"/>
            <w:tcBorders>
              <w:bottom w:val="single" w:sz="8" w:color="00548B"/>
            </w:tcBorders>
          </w:tcPr>
          <w:p>
            <w:pPr>
              <w:spacing w:after="0" w:line="20" w:lineRule="exact"/>
              <w:rPr>
                <w:sz w:val="1"/>
                <w:szCs w:val="1"/>
                <w:color w:val="auto"/>
              </w:rPr>
            </w:pPr>
          </w:p>
        </w:tc>
        <w:tc>
          <w:tcPr>
            <w:tcW w:w="40" w:type="dxa"/>
            <w:vAlign w:val="bottom"/>
            <w:tcBorders>
              <w:bottom w:val="single" w:sz="8" w:color="00548B"/>
            </w:tcBorders>
          </w:tcPr>
          <w:p>
            <w:pPr>
              <w:spacing w:after="0" w:line="20" w:lineRule="exact"/>
              <w:rPr>
                <w:sz w:val="1"/>
                <w:szCs w:val="1"/>
                <w:color w:val="auto"/>
              </w:rPr>
            </w:pPr>
          </w:p>
        </w:tc>
        <w:tc>
          <w:tcPr>
            <w:tcW w:w="120" w:type="dxa"/>
            <w:vAlign w:val="bottom"/>
            <w:tcBorders>
              <w:bottom w:val="single" w:sz="8" w:color="00548B"/>
            </w:tcBorders>
          </w:tcPr>
          <w:p>
            <w:pPr>
              <w:spacing w:after="0" w:line="20" w:lineRule="exact"/>
              <w:rPr>
                <w:sz w:val="1"/>
                <w:szCs w:val="1"/>
                <w:color w:val="auto"/>
              </w:rPr>
            </w:pPr>
          </w:p>
        </w:tc>
        <w:tc>
          <w:tcPr>
            <w:tcW w:w="40" w:type="dxa"/>
            <w:vAlign w:val="bottom"/>
            <w:tcBorders>
              <w:bottom w:val="single" w:sz="8" w:color="00548B"/>
            </w:tcBorders>
          </w:tcPr>
          <w:p>
            <w:pPr>
              <w:spacing w:after="0" w:line="20" w:lineRule="exact"/>
              <w:rPr>
                <w:sz w:val="1"/>
                <w:szCs w:val="1"/>
                <w:color w:val="auto"/>
              </w:rPr>
            </w:pPr>
          </w:p>
        </w:tc>
        <w:tc>
          <w:tcPr>
            <w:tcW w:w="20" w:type="dxa"/>
            <w:vAlign w:val="bottom"/>
            <w:tcBorders>
              <w:bottom w:val="single" w:sz="8" w:color="00548B"/>
            </w:tcBorders>
          </w:tcPr>
          <w:p>
            <w:pPr>
              <w:spacing w:after="0" w:line="20" w:lineRule="exact"/>
              <w:rPr>
                <w:sz w:val="1"/>
                <w:szCs w:val="1"/>
                <w:color w:val="auto"/>
              </w:rPr>
            </w:pPr>
          </w:p>
        </w:tc>
        <w:tc>
          <w:tcPr>
            <w:tcW w:w="80" w:type="dxa"/>
            <w:vAlign w:val="bottom"/>
            <w:tcBorders>
              <w:bottom w:val="single" w:sz="8" w:color="00548B"/>
            </w:tcBorders>
          </w:tcPr>
          <w:p>
            <w:pPr>
              <w:spacing w:after="0" w:line="20" w:lineRule="exact"/>
              <w:rPr>
                <w:sz w:val="1"/>
                <w:szCs w:val="1"/>
                <w:color w:val="auto"/>
              </w:rPr>
            </w:pPr>
          </w:p>
        </w:tc>
        <w:tc>
          <w:tcPr>
            <w:tcW w:w="80" w:type="dxa"/>
            <w:vAlign w:val="bottom"/>
            <w:tcBorders>
              <w:bottom w:val="single" w:sz="8" w:color="00548B"/>
            </w:tcBorders>
          </w:tcPr>
          <w:p>
            <w:pPr>
              <w:spacing w:after="0" w:line="20" w:lineRule="exact"/>
              <w:rPr>
                <w:sz w:val="1"/>
                <w:szCs w:val="1"/>
                <w:color w:val="auto"/>
              </w:rPr>
            </w:pPr>
          </w:p>
        </w:tc>
        <w:tc>
          <w:tcPr>
            <w:tcW w:w="20" w:type="dxa"/>
            <w:vAlign w:val="bottom"/>
            <w:tcBorders>
              <w:bottom w:val="single" w:sz="8" w:color="00548B"/>
            </w:tcBorders>
          </w:tcPr>
          <w:p>
            <w:pPr>
              <w:spacing w:after="0" w:line="20" w:lineRule="exact"/>
              <w:rPr>
                <w:sz w:val="1"/>
                <w:szCs w:val="1"/>
                <w:color w:val="auto"/>
              </w:rPr>
            </w:pPr>
          </w:p>
        </w:tc>
        <w:tc>
          <w:tcPr>
            <w:tcW w:w="100" w:type="dxa"/>
            <w:vAlign w:val="bottom"/>
            <w:tcBorders>
              <w:bottom w:val="single" w:sz="8" w:color="00548B"/>
            </w:tcBorders>
          </w:tcPr>
          <w:p>
            <w:pPr>
              <w:spacing w:after="0" w:line="20" w:lineRule="exact"/>
              <w:rPr>
                <w:sz w:val="1"/>
                <w:szCs w:val="1"/>
                <w:color w:val="auto"/>
              </w:rPr>
            </w:pPr>
          </w:p>
        </w:tc>
        <w:tc>
          <w:tcPr>
            <w:tcW w:w="40" w:type="dxa"/>
            <w:vAlign w:val="bottom"/>
            <w:tcBorders>
              <w:bottom w:val="single" w:sz="8" w:color="00548B"/>
            </w:tcBorders>
          </w:tcPr>
          <w:p>
            <w:pPr>
              <w:spacing w:after="0" w:line="20" w:lineRule="exact"/>
              <w:rPr>
                <w:sz w:val="1"/>
                <w:szCs w:val="1"/>
                <w:color w:val="auto"/>
              </w:rPr>
            </w:pPr>
          </w:p>
        </w:tc>
        <w:tc>
          <w:tcPr>
            <w:tcW w:w="60" w:type="dxa"/>
            <w:vAlign w:val="bottom"/>
            <w:tcBorders>
              <w:bottom w:val="single" w:sz="8" w:color="00548B"/>
            </w:tcBorders>
          </w:tcPr>
          <w:p>
            <w:pPr>
              <w:spacing w:after="0" w:line="20" w:lineRule="exact"/>
              <w:rPr>
                <w:sz w:val="1"/>
                <w:szCs w:val="1"/>
                <w:color w:val="auto"/>
              </w:rPr>
            </w:pPr>
          </w:p>
        </w:tc>
        <w:tc>
          <w:tcPr>
            <w:tcW w:w="40" w:type="dxa"/>
            <w:vAlign w:val="bottom"/>
            <w:tcBorders>
              <w:bottom w:val="single" w:sz="8" w:color="00548B"/>
            </w:tcBorders>
          </w:tcPr>
          <w:p>
            <w:pPr>
              <w:spacing w:after="0" w:line="20" w:lineRule="exact"/>
              <w:rPr>
                <w:sz w:val="1"/>
                <w:szCs w:val="1"/>
                <w:color w:val="auto"/>
              </w:rPr>
            </w:pPr>
          </w:p>
        </w:tc>
        <w:tc>
          <w:tcPr>
            <w:tcW w:w="100" w:type="dxa"/>
            <w:vAlign w:val="bottom"/>
            <w:tcBorders>
              <w:bottom w:val="single" w:sz="8" w:color="00548B"/>
            </w:tcBorders>
          </w:tcPr>
          <w:p>
            <w:pPr>
              <w:spacing w:after="0" w:line="20" w:lineRule="exact"/>
              <w:rPr>
                <w:sz w:val="1"/>
                <w:szCs w:val="1"/>
                <w:color w:val="auto"/>
              </w:rPr>
            </w:pPr>
          </w:p>
        </w:tc>
        <w:tc>
          <w:tcPr>
            <w:tcW w:w="40" w:type="dxa"/>
            <w:vAlign w:val="bottom"/>
            <w:tcBorders>
              <w:bottom w:val="single" w:sz="8" w:color="00548B"/>
            </w:tcBorders>
          </w:tcPr>
          <w:p>
            <w:pPr>
              <w:spacing w:after="0" w:line="20" w:lineRule="exact"/>
              <w:rPr>
                <w:sz w:val="1"/>
                <w:szCs w:val="1"/>
                <w:color w:val="auto"/>
              </w:rPr>
            </w:pPr>
          </w:p>
        </w:tc>
        <w:tc>
          <w:tcPr>
            <w:tcW w:w="240" w:type="dxa"/>
            <w:vAlign w:val="bottom"/>
            <w:tcBorders>
              <w:bottom w:val="single" w:sz="8" w:color="00548B"/>
            </w:tcBorders>
          </w:tcPr>
          <w:p>
            <w:pPr>
              <w:spacing w:after="0" w:line="20" w:lineRule="exact"/>
              <w:rPr>
                <w:sz w:val="1"/>
                <w:szCs w:val="1"/>
                <w:color w:val="auto"/>
              </w:rPr>
            </w:pPr>
          </w:p>
        </w:tc>
        <w:tc>
          <w:tcPr>
            <w:tcW w:w="40" w:type="dxa"/>
            <w:vAlign w:val="bottom"/>
            <w:tcBorders>
              <w:bottom w:val="single" w:sz="8" w:color="00548B"/>
            </w:tcBorders>
          </w:tcPr>
          <w:p>
            <w:pPr>
              <w:spacing w:after="0" w:line="20" w:lineRule="exact"/>
              <w:rPr>
                <w:sz w:val="1"/>
                <w:szCs w:val="1"/>
                <w:color w:val="auto"/>
              </w:rPr>
            </w:pPr>
          </w:p>
        </w:tc>
        <w:tc>
          <w:tcPr>
            <w:tcW w:w="80" w:type="dxa"/>
            <w:vAlign w:val="bottom"/>
            <w:tcBorders>
              <w:bottom w:val="single" w:sz="8" w:color="00548B"/>
            </w:tcBorders>
          </w:tcPr>
          <w:p>
            <w:pPr>
              <w:spacing w:after="0" w:line="20" w:lineRule="exact"/>
              <w:rPr>
                <w:sz w:val="1"/>
                <w:szCs w:val="1"/>
                <w:color w:val="auto"/>
              </w:rPr>
            </w:pPr>
          </w:p>
        </w:tc>
        <w:tc>
          <w:tcPr>
            <w:tcW w:w="140" w:type="dxa"/>
            <w:vAlign w:val="bottom"/>
            <w:tcBorders>
              <w:bottom w:val="single" w:sz="8" w:color="00548B"/>
            </w:tcBorders>
          </w:tcPr>
          <w:p>
            <w:pPr>
              <w:spacing w:after="0" w:line="20" w:lineRule="exact"/>
              <w:rPr>
                <w:sz w:val="1"/>
                <w:szCs w:val="1"/>
                <w:color w:val="auto"/>
              </w:rPr>
            </w:pPr>
          </w:p>
        </w:tc>
        <w:tc>
          <w:tcPr>
            <w:tcW w:w="140" w:type="dxa"/>
            <w:vAlign w:val="bottom"/>
            <w:tcBorders>
              <w:bottom w:val="single" w:sz="8" w:color="00548B"/>
            </w:tcBorders>
          </w:tcPr>
          <w:p>
            <w:pPr>
              <w:spacing w:after="0" w:line="20" w:lineRule="exact"/>
              <w:rPr>
                <w:sz w:val="1"/>
                <w:szCs w:val="1"/>
                <w:color w:val="auto"/>
              </w:rPr>
            </w:pPr>
          </w:p>
        </w:tc>
        <w:tc>
          <w:tcPr>
            <w:tcW w:w="260" w:type="dxa"/>
            <w:vAlign w:val="bottom"/>
            <w:tcBorders>
              <w:bottom w:val="single" w:sz="8" w:color="00548B"/>
            </w:tcBorders>
          </w:tcPr>
          <w:p>
            <w:pPr>
              <w:spacing w:after="0" w:line="20" w:lineRule="exact"/>
              <w:rPr>
                <w:sz w:val="1"/>
                <w:szCs w:val="1"/>
                <w:color w:val="auto"/>
              </w:rPr>
            </w:pPr>
          </w:p>
        </w:tc>
        <w:tc>
          <w:tcPr>
            <w:tcW w:w="20" w:type="dxa"/>
            <w:vAlign w:val="bottom"/>
            <w:tcBorders>
              <w:bottom w:val="single" w:sz="8" w:color="00548B"/>
            </w:tcBorders>
          </w:tcPr>
          <w:p>
            <w:pPr>
              <w:spacing w:after="0" w:line="20" w:lineRule="exact"/>
              <w:rPr>
                <w:sz w:val="1"/>
                <w:szCs w:val="1"/>
                <w:color w:val="auto"/>
              </w:rPr>
            </w:pPr>
          </w:p>
        </w:tc>
        <w:tc>
          <w:tcPr>
            <w:tcW w:w="100" w:type="dxa"/>
            <w:vAlign w:val="bottom"/>
            <w:tcBorders>
              <w:bottom w:val="single" w:sz="8" w:color="00548B"/>
            </w:tcBorders>
          </w:tcPr>
          <w:p>
            <w:pPr>
              <w:spacing w:after="0" w:line="20" w:lineRule="exact"/>
              <w:rPr>
                <w:sz w:val="1"/>
                <w:szCs w:val="1"/>
                <w:color w:val="auto"/>
              </w:rPr>
            </w:pPr>
          </w:p>
        </w:tc>
        <w:tc>
          <w:tcPr>
            <w:tcW w:w="200" w:type="dxa"/>
            <w:vAlign w:val="bottom"/>
            <w:tcBorders>
              <w:bottom w:val="single" w:sz="8" w:color="00548B"/>
            </w:tcBorders>
          </w:tcPr>
          <w:p>
            <w:pPr>
              <w:spacing w:after="0" w:line="20" w:lineRule="exact"/>
              <w:rPr>
                <w:sz w:val="1"/>
                <w:szCs w:val="1"/>
                <w:color w:val="auto"/>
              </w:rPr>
            </w:pPr>
          </w:p>
        </w:tc>
        <w:tc>
          <w:tcPr>
            <w:tcW w:w="520" w:type="dxa"/>
            <w:vAlign w:val="bottom"/>
            <w:tcBorders>
              <w:bottom w:val="single" w:sz="8" w:color="00548B"/>
            </w:tcBorders>
          </w:tcPr>
          <w:p>
            <w:pPr>
              <w:spacing w:after="0" w:line="20" w:lineRule="exact"/>
              <w:rPr>
                <w:sz w:val="1"/>
                <w:szCs w:val="1"/>
                <w:color w:val="auto"/>
              </w:rPr>
            </w:pPr>
          </w:p>
        </w:tc>
        <w:tc>
          <w:tcPr>
            <w:tcW w:w="60" w:type="dxa"/>
            <w:vAlign w:val="bottom"/>
            <w:tcBorders>
              <w:bottom w:val="single" w:sz="8" w:color="00548B"/>
            </w:tcBorders>
          </w:tcPr>
          <w:p>
            <w:pPr>
              <w:spacing w:after="0" w:line="20" w:lineRule="exact"/>
              <w:rPr>
                <w:sz w:val="1"/>
                <w:szCs w:val="1"/>
                <w:color w:val="auto"/>
              </w:rPr>
            </w:pPr>
          </w:p>
        </w:tc>
        <w:tc>
          <w:tcPr>
            <w:tcW w:w="180" w:type="dxa"/>
            <w:vAlign w:val="bottom"/>
            <w:tcBorders>
              <w:bottom w:val="single" w:sz="8" w:color="00548B"/>
            </w:tcBorders>
          </w:tcPr>
          <w:p>
            <w:pPr>
              <w:spacing w:after="0" w:line="20" w:lineRule="exact"/>
              <w:rPr>
                <w:sz w:val="1"/>
                <w:szCs w:val="1"/>
                <w:color w:val="auto"/>
              </w:rPr>
            </w:pPr>
          </w:p>
        </w:tc>
        <w:tc>
          <w:tcPr>
            <w:tcW w:w="140" w:type="dxa"/>
            <w:vAlign w:val="bottom"/>
            <w:tcBorders>
              <w:bottom w:val="single" w:sz="8" w:color="00548B"/>
            </w:tcBorders>
          </w:tcPr>
          <w:p>
            <w:pPr>
              <w:spacing w:after="0" w:line="20" w:lineRule="exact"/>
              <w:rPr>
                <w:sz w:val="1"/>
                <w:szCs w:val="1"/>
                <w:color w:val="auto"/>
              </w:rPr>
            </w:pPr>
          </w:p>
        </w:tc>
        <w:tc>
          <w:tcPr>
            <w:tcW w:w="120" w:type="dxa"/>
            <w:vAlign w:val="bottom"/>
            <w:tcBorders>
              <w:bottom w:val="single" w:sz="8" w:color="00548B"/>
            </w:tcBorders>
          </w:tcPr>
          <w:p>
            <w:pPr>
              <w:spacing w:after="0" w:line="20" w:lineRule="exact"/>
              <w:rPr>
                <w:sz w:val="1"/>
                <w:szCs w:val="1"/>
                <w:color w:val="auto"/>
              </w:rPr>
            </w:pPr>
          </w:p>
        </w:tc>
        <w:tc>
          <w:tcPr>
            <w:tcW w:w="2860" w:type="dxa"/>
            <w:vAlign w:val="bottom"/>
            <w:tcBorders>
              <w:bottom w:val="single" w:sz="8" w:color="00548B"/>
            </w:tcBorders>
          </w:tcPr>
          <w:p>
            <w:pPr>
              <w:spacing w:after="0" w:line="20" w:lineRule="exact"/>
              <w:rPr>
                <w:sz w:val="1"/>
                <w:szCs w:val="1"/>
                <w:color w:val="auto"/>
              </w:rPr>
            </w:pPr>
          </w:p>
        </w:tc>
        <w:tc>
          <w:tcPr>
            <w:tcW w:w="1420" w:type="dxa"/>
            <w:vAlign w:val="bottom"/>
            <w:tcBorders>
              <w:bottom w:val="single" w:sz="8" w:color="00548B"/>
            </w:tcBorders>
          </w:tcPr>
          <w:p>
            <w:pPr>
              <w:spacing w:after="0" w:line="20" w:lineRule="exact"/>
              <w:rPr>
                <w:sz w:val="1"/>
                <w:szCs w:val="1"/>
                <w:color w:val="auto"/>
              </w:rPr>
            </w:pPr>
          </w:p>
        </w:tc>
        <w:tc>
          <w:tcPr>
            <w:tcW w:w="360" w:type="dxa"/>
            <w:vAlign w:val="bottom"/>
            <w:tcBorders>
              <w:bottom w:val="single" w:sz="8" w:color="00548B"/>
            </w:tcBorders>
          </w:tcPr>
          <w:p>
            <w:pPr>
              <w:spacing w:after="0" w:line="20" w:lineRule="exact"/>
              <w:rPr>
                <w:sz w:val="1"/>
                <w:szCs w:val="1"/>
                <w:color w:val="auto"/>
              </w:rPr>
            </w:pPr>
          </w:p>
        </w:tc>
        <w:tc>
          <w:tcPr>
            <w:tcW w:w="140" w:type="dxa"/>
            <w:vAlign w:val="bottom"/>
            <w:tcBorders>
              <w:bottom w:val="single" w:sz="8" w:color="00548B"/>
            </w:tcBorders>
          </w:tcPr>
          <w:p>
            <w:pPr>
              <w:spacing w:after="0" w:line="20" w:lineRule="exact"/>
              <w:rPr>
                <w:sz w:val="1"/>
                <w:szCs w:val="1"/>
                <w:color w:val="auto"/>
              </w:rPr>
            </w:pPr>
          </w:p>
        </w:tc>
        <w:tc>
          <w:tcPr>
            <w:tcW w:w="320" w:type="dxa"/>
            <w:vAlign w:val="bottom"/>
            <w:tcBorders>
              <w:bottom w:val="single" w:sz="8" w:color="00548B"/>
            </w:tcBorders>
          </w:tcPr>
          <w:p>
            <w:pPr>
              <w:spacing w:after="0" w:line="20" w:lineRule="exact"/>
              <w:rPr>
                <w:sz w:val="1"/>
                <w:szCs w:val="1"/>
                <w:color w:val="auto"/>
              </w:rPr>
            </w:pPr>
          </w:p>
        </w:tc>
        <w:tc>
          <w:tcPr>
            <w:tcW w:w="600" w:type="dxa"/>
            <w:vAlign w:val="bottom"/>
            <w:tcBorders>
              <w:bottom w:val="single" w:sz="8" w:color="00548B"/>
            </w:tcBorders>
          </w:tcPr>
          <w:p>
            <w:pPr>
              <w:spacing w:after="0" w:line="20" w:lineRule="exact"/>
              <w:rPr>
                <w:sz w:val="1"/>
                <w:szCs w:val="1"/>
                <w:color w:val="auto"/>
              </w:rPr>
            </w:pPr>
          </w:p>
        </w:tc>
      </w:tr>
      <w:tr>
        <w:trPr>
          <w:trHeight w:val="345"/>
        </w:trPr>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100" w:type="dxa"/>
            <w:vAlign w:val="bottom"/>
            <w:gridSpan w:val="5"/>
          </w:tcPr>
          <w:p>
            <w:pPr>
              <w:ind w:left="160"/>
              <w:spacing w:after="0"/>
              <w:rPr>
                <w:sz w:val="20"/>
                <w:szCs w:val="20"/>
                <w:color w:val="auto"/>
              </w:rPr>
            </w:pPr>
            <w:r>
              <w:rPr>
                <w:rFonts w:ascii="Arial" w:cs="Arial" w:eastAsia="Arial" w:hAnsi="Arial"/>
                <w:sz w:val="18"/>
                <w:szCs w:val="18"/>
                <w:color w:val="00548B"/>
              </w:rPr>
              <w:t>i</w:t>
            </w:r>
          </w:p>
        </w:tc>
        <w:tc>
          <w:tcPr>
            <w:tcW w:w="60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205740</wp:posOffset>
            </wp:positionV>
            <wp:extent cx="2082800" cy="436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08280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D8D8D8"/>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-139065</wp:posOffset>
            </wp:positionV>
            <wp:extent cx="6995160" cy="5746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574675"/>
                    </a:xfrm>
                    <a:prstGeom prst="rect">
                      <a:avLst/>
                    </a:prstGeom>
                    <a:noFill/>
                  </pic:spPr>
                </pic:pic>
              </a:graphicData>
            </a:graphic>
          </wp:anchor>
        </w:drawing>
      </w:r>
    </w:p>
    <w:p>
      <w:pPr>
        <w:jc w:val="center"/>
        <w:ind w:right="-119"/>
        <w:spacing w:after="0"/>
        <w:rPr>
          <w:sz w:val="20"/>
          <w:szCs w:val="20"/>
          <w:color w:val="auto"/>
        </w:rPr>
      </w:pPr>
      <w:r>
        <w:rPr>
          <w:rFonts w:ascii="Arial" w:cs="Arial" w:eastAsia="Arial" w:hAnsi="Arial"/>
          <w:sz w:val="22"/>
          <w:szCs w:val="22"/>
          <w:b w:val="1"/>
          <w:bCs w:val="1"/>
          <w:color w:val="D8D8D8"/>
        </w:rPr>
        <w:t>FOR</w:t>
      </w:r>
    </w:p>
    <w:p>
      <w:pPr>
        <w:jc w:val="center"/>
        <w:ind w:right="-119"/>
        <w:spacing w:after="0"/>
        <w:rPr>
          <w:sz w:val="20"/>
          <w:szCs w:val="20"/>
          <w:color w:val="auto"/>
        </w:rPr>
      </w:pPr>
      <w:r>
        <w:rPr>
          <w:rFonts w:ascii="Arial" w:cs="Arial" w:eastAsia="Arial" w:hAnsi="Arial"/>
          <w:sz w:val="22"/>
          <w:szCs w:val="22"/>
          <w:b w:val="1"/>
          <w:bCs w:val="1"/>
          <w:color w:val="D8D8D8"/>
        </w:rPr>
        <w:t>ANNUAL MEETING OF STOCKHOLDERS</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D8D8D8"/>
        </w:rPr>
        <w:t>TO BE HELD MAY 8, 2020</w:t>
      </w:r>
    </w:p>
    <w:p>
      <w:pPr>
        <w:spacing w:after="0" w:line="201" w:lineRule="exact"/>
        <w:rPr>
          <w:sz w:val="20"/>
          <w:szCs w:val="20"/>
          <w:color w:val="auto"/>
        </w:rPr>
      </w:pPr>
    </w:p>
    <w:p>
      <w:pPr>
        <w:jc w:val="both"/>
        <w:ind w:left="120"/>
        <w:spacing w:after="0" w:line="250" w:lineRule="auto"/>
        <w:rPr>
          <w:sz w:val="20"/>
          <w:szCs w:val="20"/>
          <w:color w:val="auto"/>
        </w:rPr>
      </w:pPr>
      <w:r>
        <w:rPr>
          <w:rFonts w:ascii="Arial" w:cs="Arial" w:eastAsia="Arial" w:hAnsi="Arial"/>
          <w:sz w:val="16"/>
          <w:szCs w:val="16"/>
          <w:color w:val="auto"/>
        </w:rPr>
        <w:t>We are taking advantage of the Securities and Exchange Commission (“SEC”) rules that allow companies to furnish proxy materials to their shareholders over the Internet. On or about March 26, 2020, we mailed to shareholders of record on the record date a Notice of Internet Availability of Proxy Materials (the “Notice”) containing instructions on how to access this Proxy Statement and our Annual Report to Stockholders online. If you received a Notice by mail, you will not automatically receive a printed copy of our proxy materials in the mail. You may request a paper copy of our proxy materials by mail or an electronic copy by e-mail by following the instructions listed on the Notice. The Notice also contains instructions for voting over the Internet.</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548B"/>
        </w:rPr>
        <w:t>GENERAL INFORMATION ABOUT THE MEETING</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48B"/>
        </w:rPr>
        <w:t>Q</w:t>
      </w:r>
      <w:r>
        <w:rPr>
          <w:rFonts w:ascii="Arial" w:cs="Arial" w:eastAsia="Arial" w:hAnsi="Arial"/>
          <w:sz w:val="14"/>
          <w:szCs w:val="14"/>
          <w:b w:val="1"/>
          <w:bCs w:val="1"/>
          <w:color w:val="00548B"/>
        </w:rPr>
        <w:t>UORUM AND</w:t>
      </w:r>
      <w:r>
        <w:rPr>
          <w:rFonts w:ascii="Arial" w:cs="Arial" w:eastAsia="Arial" w:hAnsi="Arial"/>
          <w:sz w:val="18"/>
          <w:szCs w:val="18"/>
          <w:b w:val="1"/>
          <w:bCs w:val="1"/>
          <w:color w:val="00548B"/>
        </w:rPr>
        <w:t xml:space="preserve"> V</w:t>
      </w:r>
      <w:r>
        <w:rPr>
          <w:rFonts w:ascii="Arial" w:cs="Arial" w:eastAsia="Arial" w:hAnsi="Arial"/>
          <w:sz w:val="14"/>
          <w:szCs w:val="14"/>
          <w:b w:val="1"/>
          <w:bCs w:val="1"/>
          <w:color w:val="00548B"/>
        </w:rPr>
        <w:t>OTING</w:t>
      </w:r>
      <w:r>
        <w:rPr>
          <w:rFonts w:ascii="Arial" w:cs="Arial" w:eastAsia="Arial" w:hAnsi="Arial"/>
          <w:sz w:val="18"/>
          <w:szCs w:val="18"/>
          <w:b w:val="1"/>
          <w:bCs w:val="1"/>
          <w:color w:val="00548B"/>
        </w:rPr>
        <w:t xml:space="preserve"> R</w:t>
      </w:r>
      <w:r>
        <w:rPr>
          <w:rFonts w:ascii="Arial" w:cs="Arial" w:eastAsia="Arial" w:hAnsi="Arial"/>
          <w:sz w:val="14"/>
          <w:szCs w:val="14"/>
          <w:b w:val="1"/>
          <w:bCs w:val="1"/>
          <w:color w:val="00548B"/>
        </w:rPr>
        <w:t>EQUIREMENTS</w:t>
      </w:r>
    </w:p>
    <w:p>
      <w:pPr>
        <w:spacing w:after="0" w:line="20" w:lineRule="exact"/>
        <w:rPr>
          <w:sz w:val="20"/>
          <w:szCs w:val="20"/>
          <w:color w:val="auto"/>
        </w:rPr>
      </w:pPr>
    </w:p>
    <w:p>
      <w:pPr>
        <w:jc w:val="both"/>
        <w:ind w:left="120" w:right="20"/>
        <w:spacing w:after="0" w:line="251" w:lineRule="auto"/>
        <w:rPr>
          <w:sz w:val="20"/>
          <w:szCs w:val="20"/>
          <w:color w:val="auto"/>
        </w:rPr>
      </w:pPr>
      <w:r>
        <w:rPr>
          <w:rFonts w:ascii="Arial" w:cs="Arial" w:eastAsia="Arial" w:hAnsi="Arial"/>
          <w:sz w:val="16"/>
          <w:szCs w:val="16"/>
          <w:color w:val="auto"/>
        </w:rPr>
        <w:t>The Company has one class of common stock. Each share of common stock is entitled to one vote on each matter to be voted upon at the Annual Meeting. Stockholders do not have the right to cumulate votes in the election of directors. Only stockholders of record at the close of business on March 11, 2020 (the “Record Date”) will be entitled to vote at the Annual Meeting. As of the Record Date, there were 22,852,312 shares of common stock issued and outstanding.</w:t>
      </w:r>
    </w:p>
    <w:p>
      <w:pPr>
        <w:spacing w:after="0" w:line="175"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6"/>
          <w:szCs w:val="16"/>
          <w:color w:val="auto"/>
        </w:rPr>
        <w:t>The proxy is solicited from the holders of record of the common stock on behalf of the board of directors of the Company and is revocable at any time by giving written notice of revocation to the Secretary of the Company prior to the Annual Meeting or by executing and delivering a later-dated proxy by mail prior to the Annual Meeting. Furthermore, the stockholders of record who are present at the Annual Meeting may revoke their proxies and vote in person.</w:t>
      </w:r>
    </w:p>
    <w:p>
      <w:pPr>
        <w:spacing w:after="0" w:line="161" w:lineRule="exact"/>
        <w:rPr>
          <w:sz w:val="20"/>
          <w:szCs w:val="20"/>
          <w:color w:val="auto"/>
        </w:rPr>
      </w:pPr>
    </w:p>
    <w:p>
      <w:pPr>
        <w:jc w:val="both"/>
        <w:ind w:left="120" w:right="20"/>
        <w:spacing w:after="0" w:line="251" w:lineRule="auto"/>
        <w:rPr>
          <w:sz w:val="20"/>
          <w:szCs w:val="20"/>
          <w:color w:val="auto"/>
        </w:rPr>
      </w:pPr>
      <w:r>
        <w:rPr>
          <w:rFonts w:ascii="Arial" w:cs="Arial" w:eastAsia="Arial" w:hAnsi="Arial"/>
          <w:sz w:val="16"/>
          <w:szCs w:val="16"/>
          <w:color w:val="auto"/>
        </w:rPr>
        <w:t>If your shares are held in a bank or brokerage account, you will receive proxy materials from your bank or broker, which will include a voting instruction form. If you would like to revoke voting instructions given to your bank or broker, you must follow its instructions. If you would like to attend the Annual Meeting and vote these shares in person, you must obtain a proxy from your bank or broker. You must request the proxy from your bank or broker; it will not automatically supply one to you.</w:t>
      </w:r>
    </w:p>
    <w:p>
      <w:pPr>
        <w:spacing w:after="0" w:line="162" w:lineRule="exact"/>
        <w:rPr>
          <w:sz w:val="20"/>
          <w:szCs w:val="20"/>
          <w:color w:val="auto"/>
        </w:rPr>
      </w:pPr>
    </w:p>
    <w:p>
      <w:pPr>
        <w:jc w:val="both"/>
        <w:ind w:left="120"/>
        <w:spacing w:after="0" w:line="253" w:lineRule="auto"/>
        <w:rPr>
          <w:sz w:val="20"/>
          <w:szCs w:val="20"/>
          <w:color w:val="auto"/>
        </w:rPr>
      </w:pPr>
      <w:r>
        <w:rPr>
          <w:rFonts w:ascii="Arial" w:cs="Arial" w:eastAsia="Arial" w:hAnsi="Arial"/>
          <w:sz w:val="16"/>
          <w:szCs w:val="16"/>
          <w:color w:val="auto"/>
        </w:rPr>
        <w:t>All shares of the Company’s common stock represented by properly executed and unrevoked proxies will be voted by the proxies in accordance with the directions given therein. Where no instructions are indicated, properly executed proxies will be voted “FOR” the proposals set forth in this Proxy Statement for consideration at the Annual Meeting.</w:t>
      </w:r>
    </w:p>
    <w:p>
      <w:pPr>
        <w:spacing w:after="0" w:line="174" w:lineRule="exact"/>
        <w:rPr>
          <w:sz w:val="20"/>
          <w:szCs w:val="20"/>
          <w:color w:val="auto"/>
        </w:rPr>
      </w:pPr>
    </w:p>
    <w:p>
      <w:pPr>
        <w:jc w:val="both"/>
        <w:ind w:left="120" w:right="20"/>
        <w:spacing w:after="0" w:line="251" w:lineRule="auto"/>
        <w:rPr>
          <w:sz w:val="20"/>
          <w:szCs w:val="20"/>
          <w:color w:val="auto"/>
        </w:rPr>
      </w:pPr>
      <w:r>
        <w:rPr>
          <w:rFonts w:ascii="Arial" w:cs="Arial" w:eastAsia="Arial" w:hAnsi="Arial"/>
          <w:sz w:val="16"/>
          <w:szCs w:val="16"/>
          <w:color w:val="auto"/>
        </w:rPr>
        <w:t>A quorum, consisting of at least one-third of shares of common stock issued and outstanding, must be present at the meeting for any business to be conducted. Shares of common stock entitled to vote and represented by properly executed, returned and unrevoked proxies, including shares with respect to which votes are withheld, abstentions are cast or there are broker non-votes on some proposals but not others, will be considered present at the meeting for purposes of determining a quorum.</w:t>
      </w:r>
    </w:p>
    <w:p>
      <w:pPr>
        <w:spacing w:after="0" w:line="13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00548B"/>
        </w:rPr>
        <w:t>1</w:t>
      </w:r>
    </w:p>
    <w:p>
      <w:pPr>
        <w:sectPr>
          <w:pgSz w:w="11900" w:h="16838" w:orient="portrait"/>
          <w:cols w:equalWidth="0" w:num="1">
            <w:col w:w="11140"/>
          </w:cols>
          <w:pgMar w:left="32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0548B"/>
        </w:rPr>
        <w:t>PROPOSAL 1</w:t>
      </w:r>
    </w:p>
    <w:p>
      <w:pPr>
        <w:spacing w:after="0" w:line="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548B"/>
        </w:rPr>
        <w:t>ELECTION OF DIRECTORS</w:t>
      </w:r>
    </w:p>
    <w:p>
      <w:pPr>
        <w:spacing w:after="0" w:line="33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48B"/>
        </w:rPr>
        <w:t>B</w:t>
      </w:r>
      <w:r>
        <w:rPr>
          <w:rFonts w:ascii="Arial" w:cs="Arial" w:eastAsia="Arial" w:hAnsi="Arial"/>
          <w:sz w:val="14"/>
          <w:szCs w:val="14"/>
          <w:b w:val="1"/>
          <w:bCs w:val="1"/>
          <w:color w:val="00548B"/>
        </w:rPr>
        <w:t>OARD OF</w:t>
      </w:r>
      <w:r>
        <w:rPr>
          <w:rFonts w:ascii="Arial" w:cs="Arial" w:eastAsia="Arial" w:hAnsi="Arial"/>
          <w:sz w:val="18"/>
          <w:szCs w:val="18"/>
          <w:b w:val="1"/>
          <w:bCs w:val="1"/>
          <w:color w:val="00548B"/>
        </w:rPr>
        <w:t xml:space="preserve"> D</w:t>
      </w:r>
      <w:r>
        <w:rPr>
          <w:rFonts w:ascii="Arial" w:cs="Arial" w:eastAsia="Arial" w:hAnsi="Arial"/>
          <w:sz w:val="14"/>
          <w:szCs w:val="14"/>
          <w:b w:val="1"/>
          <w:bCs w:val="1"/>
          <w:color w:val="00548B"/>
        </w:rPr>
        <w:t>IRECTORS</w:t>
      </w:r>
    </w:p>
    <w:p>
      <w:pPr>
        <w:spacing w:after="0" w:line="20" w:lineRule="exact"/>
        <w:rPr>
          <w:sz w:val="20"/>
          <w:szCs w:val="20"/>
          <w:color w:val="auto"/>
        </w:rPr>
      </w:pPr>
    </w:p>
    <w:p>
      <w:pPr>
        <w:jc w:val="both"/>
        <w:ind w:left="120" w:right="20"/>
        <w:spacing w:after="0" w:line="260" w:lineRule="auto"/>
        <w:rPr>
          <w:sz w:val="20"/>
          <w:szCs w:val="20"/>
          <w:color w:val="auto"/>
        </w:rPr>
      </w:pPr>
      <w:r>
        <w:rPr>
          <w:rFonts w:ascii="Arial" w:cs="Arial" w:eastAsia="Arial" w:hAnsi="Arial"/>
          <w:sz w:val="16"/>
          <w:szCs w:val="16"/>
          <w:color w:val="auto"/>
        </w:rPr>
        <w:t>The Company’s third amended and restated certificate of incorporation divides the Company’s board of directors into three classes, with each class being elected to a three-year term.</w:t>
      </w:r>
    </w:p>
    <w:p>
      <w:pPr>
        <w:spacing w:after="0" w:line="155" w:lineRule="exact"/>
        <w:rPr>
          <w:sz w:val="20"/>
          <w:szCs w:val="20"/>
          <w:color w:val="auto"/>
        </w:rPr>
      </w:pPr>
    </w:p>
    <w:p>
      <w:pPr>
        <w:jc w:val="both"/>
        <w:ind w:left="120" w:right="20"/>
        <w:spacing w:after="0" w:line="249" w:lineRule="auto"/>
        <w:rPr>
          <w:sz w:val="20"/>
          <w:szCs w:val="20"/>
          <w:color w:val="auto"/>
        </w:rPr>
      </w:pPr>
      <w:r>
        <w:rPr>
          <w:rFonts w:ascii="Arial" w:cs="Arial" w:eastAsia="Arial" w:hAnsi="Arial"/>
          <w:sz w:val="16"/>
          <w:szCs w:val="16"/>
          <w:color w:val="auto"/>
        </w:rPr>
        <w:t>The board of directors has nominated H. Eugene Lockhart and James H. Roth as Class I Directors to be voted upon at the 2020 Annual Meeting. Hugh E. Sawyer and Debra Zumwalt are Class II Directors serving terms ending at the 2021 Annual Meeting. John McCartney and Ekta Singh-Bushell are Class III Directors serving terms ending at the 2022 Annual Meeting. Mr. Massaro previously notified the board of directors of his intention to retire from the board as a Class I Director at the expiration of his current term, as the Company announced on February 25, 2020. In light of Mr. Massaro’s retirement, Mr. Roth, who currently serves as a Class III Director, has been nominated to serve as a Class I Director, such that each of Class I, II and III will have an equal number of directors.</w:t>
      </w:r>
    </w:p>
    <w:p>
      <w:pPr>
        <w:spacing w:after="0" w:line="178" w:lineRule="exact"/>
        <w:rPr>
          <w:sz w:val="20"/>
          <w:szCs w:val="20"/>
          <w:color w:val="auto"/>
        </w:rPr>
      </w:pPr>
    </w:p>
    <w:p>
      <w:pPr>
        <w:jc w:val="both"/>
        <w:ind w:left="120" w:right="20"/>
        <w:spacing w:after="0" w:line="249" w:lineRule="auto"/>
        <w:rPr>
          <w:sz w:val="20"/>
          <w:szCs w:val="20"/>
          <w:color w:val="auto"/>
        </w:rPr>
      </w:pPr>
      <w:r>
        <w:rPr>
          <w:rFonts w:ascii="Arial" w:cs="Arial" w:eastAsia="Arial" w:hAnsi="Arial"/>
          <w:sz w:val="16"/>
          <w:szCs w:val="16"/>
          <w:color w:val="auto"/>
        </w:rPr>
        <w:t>This Proxy Statement relates only to the solicitation of proxies from the stockholders with respect to the election of the two nominees as Class I Directors and the other matters described herein. The board of directors knows of no reason that Mr. Lockhart and Mr. Roth might be unavailable to serve as the Class I Directors, and each has expressed an intention to serve, if elected. If Mr. Lockhart or Mr. Roth is unable to serve, the shares represented by all valid proxies will be voted “FOR” the election of such substitute nominee as the board of directors may recommend. There are no arrangements or understandings between any of the persons nominated to be a Class I Director and any other person pursuant to which any of such nominees was selected.</w:t>
      </w:r>
    </w:p>
    <w:p>
      <w:pPr>
        <w:spacing w:after="0" w:line="164" w:lineRule="exact"/>
        <w:rPr>
          <w:sz w:val="20"/>
          <w:szCs w:val="20"/>
          <w:color w:val="auto"/>
        </w:rPr>
      </w:pPr>
    </w:p>
    <w:p>
      <w:pPr>
        <w:jc w:val="both"/>
        <w:ind w:left="120" w:right="20"/>
        <w:spacing w:after="0" w:line="250" w:lineRule="auto"/>
        <w:rPr>
          <w:sz w:val="20"/>
          <w:szCs w:val="20"/>
          <w:color w:val="auto"/>
        </w:rPr>
      </w:pPr>
      <w:r>
        <w:rPr>
          <w:rFonts w:ascii="Arial" w:cs="Arial" w:eastAsia="Arial" w:hAnsi="Arial"/>
          <w:sz w:val="16"/>
          <w:szCs w:val="16"/>
          <w:color w:val="auto"/>
        </w:rPr>
        <w:t>The election of a director requires the affirmative vote of a plurality of the shares of common stock present in person or represented by proxy at the Annual Meeting that are voted, provided that a quorum is represented at the meeting. A “plurality” means that the individuals who receive the largest number of votes are elected as directors up to the maximum number of directors to be elected at the meeting. Therefore, abstentions and “broker non-votes” will have no impact on the election of directors. Properly executed proxies submitted pursuant to this solicitation will be voted “FOR” the election of Mr. Lockhart and Mr. Roth as Class I Directors, unless specified otherwise.</w:t>
      </w:r>
    </w:p>
    <w:p>
      <w:pPr>
        <w:spacing w:after="0" w:line="142"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6"/>
          <w:szCs w:val="16"/>
          <w:color w:val="auto"/>
        </w:rPr>
        <w:t>THE BOARD OF DIRECTORS RECOMMENDS THAT STOCKHOLDERS VOTE “</w:t>
      </w:r>
      <w:r>
        <w:rPr>
          <w:rFonts w:ascii="Arial" w:cs="Arial" w:eastAsia="Arial" w:hAnsi="Arial"/>
          <w:sz w:val="16"/>
          <w:szCs w:val="16"/>
          <w:b w:val="1"/>
          <w:bCs w:val="1"/>
          <w:color w:val="auto"/>
        </w:rPr>
        <w:t>FOR</w:t>
      </w:r>
      <w:r>
        <w:rPr>
          <w:rFonts w:ascii="Arial" w:cs="Arial" w:eastAsia="Arial" w:hAnsi="Arial"/>
          <w:sz w:val="16"/>
          <w:szCs w:val="16"/>
          <w:color w:val="auto"/>
        </w:rPr>
        <w:t>” THE ELECTION OF MR. LOCKHART AND MR. ROTH AS CLASS I DIRECTORS.</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48B"/>
        </w:rPr>
        <w:t>A</w:t>
      </w:r>
      <w:r>
        <w:rPr>
          <w:rFonts w:ascii="Arial" w:cs="Arial" w:eastAsia="Arial" w:hAnsi="Arial"/>
          <w:sz w:val="14"/>
          <w:szCs w:val="14"/>
          <w:b w:val="1"/>
          <w:bCs w:val="1"/>
          <w:color w:val="00548B"/>
        </w:rPr>
        <w:t>BOUT THE</w:t>
      </w:r>
      <w:r>
        <w:rPr>
          <w:rFonts w:ascii="Arial" w:cs="Arial" w:eastAsia="Arial" w:hAnsi="Arial"/>
          <w:sz w:val="18"/>
          <w:szCs w:val="18"/>
          <w:b w:val="1"/>
          <w:bCs w:val="1"/>
          <w:color w:val="00548B"/>
        </w:rPr>
        <w:t xml:space="preserve"> B</w:t>
      </w:r>
      <w:r>
        <w:rPr>
          <w:rFonts w:ascii="Arial" w:cs="Arial" w:eastAsia="Arial" w:hAnsi="Arial"/>
          <w:sz w:val="14"/>
          <w:szCs w:val="14"/>
          <w:b w:val="1"/>
          <w:bCs w:val="1"/>
          <w:color w:val="00548B"/>
        </w:rPr>
        <w:t>OARD</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2520" w:type="dxa"/>
            <w:vAlign w:val="bottom"/>
            <w:vMerge w:val="restart"/>
            <w:shd w:val="clear" w:color="auto" w:fill="00548B"/>
          </w:tcPr>
          <w:p>
            <w:pPr>
              <w:spacing w:after="0"/>
              <w:rPr>
                <w:sz w:val="20"/>
                <w:szCs w:val="20"/>
                <w:color w:val="auto"/>
              </w:rPr>
            </w:pPr>
            <w:r>
              <w:rPr>
                <w:rFonts w:ascii="Arial" w:cs="Arial" w:eastAsia="Arial" w:hAnsi="Arial"/>
                <w:sz w:val="13"/>
                <w:szCs w:val="13"/>
                <w:b w:val="1"/>
                <w:bCs w:val="1"/>
                <w:color w:val="D8D8D8"/>
              </w:rPr>
              <w:t>Name</w:t>
            </w:r>
          </w:p>
        </w:tc>
        <w:tc>
          <w:tcPr>
            <w:tcW w:w="100" w:type="dxa"/>
            <w:vAlign w:val="bottom"/>
            <w:shd w:val="clear" w:color="auto" w:fill="00548B"/>
          </w:tcPr>
          <w:p>
            <w:pPr>
              <w:spacing w:after="0"/>
              <w:rPr>
                <w:sz w:val="12"/>
                <w:szCs w:val="12"/>
                <w:color w:val="auto"/>
              </w:rPr>
            </w:pPr>
          </w:p>
        </w:tc>
        <w:tc>
          <w:tcPr>
            <w:tcW w:w="5080" w:type="dxa"/>
            <w:vAlign w:val="bottom"/>
            <w:vMerge w:val="restart"/>
            <w:shd w:val="clear" w:color="auto" w:fill="00548B"/>
          </w:tcPr>
          <w:p>
            <w:pPr>
              <w:spacing w:after="0"/>
              <w:rPr>
                <w:sz w:val="20"/>
                <w:szCs w:val="20"/>
                <w:color w:val="auto"/>
              </w:rPr>
            </w:pPr>
            <w:r>
              <w:rPr>
                <w:rFonts w:ascii="Arial" w:cs="Arial" w:eastAsia="Arial" w:hAnsi="Arial"/>
                <w:sz w:val="13"/>
                <w:szCs w:val="13"/>
                <w:b w:val="1"/>
                <w:bCs w:val="1"/>
                <w:color w:val="D8D8D8"/>
              </w:rPr>
              <w:t>Principal Occupation</w:t>
            </w:r>
          </w:p>
        </w:tc>
        <w:tc>
          <w:tcPr>
            <w:tcW w:w="120" w:type="dxa"/>
            <w:vAlign w:val="bottom"/>
            <w:shd w:val="clear" w:color="auto" w:fill="00548B"/>
          </w:tcPr>
          <w:p>
            <w:pPr>
              <w:spacing w:after="0"/>
              <w:rPr>
                <w:sz w:val="12"/>
                <w:szCs w:val="12"/>
                <w:color w:val="auto"/>
              </w:rPr>
            </w:pPr>
          </w:p>
        </w:tc>
        <w:tc>
          <w:tcPr>
            <w:tcW w:w="640" w:type="dxa"/>
            <w:vAlign w:val="bottom"/>
            <w:vMerge w:val="restart"/>
            <w:shd w:val="clear" w:color="auto" w:fill="00548B"/>
          </w:tcPr>
          <w:p>
            <w:pPr>
              <w:ind w:left="140"/>
              <w:spacing w:after="0"/>
              <w:rPr>
                <w:sz w:val="20"/>
                <w:szCs w:val="20"/>
                <w:color w:val="auto"/>
              </w:rPr>
            </w:pPr>
            <w:r>
              <w:rPr>
                <w:rFonts w:ascii="Arial" w:cs="Arial" w:eastAsia="Arial" w:hAnsi="Arial"/>
                <w:sz w:val="13"/>
                <w:szCs w:val="13"/>
                <w:b w:val="1"/>
                <w:bCs w:val="1"/>
                <w:color w:val="D8D8D8"/>
              </w:rPr>
              <w:t>Class</w:t>
            </w:r>
          </w:p>
        </w:tc>
        <w:tc>
          <w:tcPr>
            <w:tcW w:w="120" w:type="dxa"/>
            <w:vAlign w:val="bottom"/>
            <w:shd w:val="clear" w:color="auto" w:fill="00548B"/>
          </w:tcPr>
          <w:p>
            <w:pPr>
              <w:spacing w:after="0"/>
              <w:rPr>
                <w:sz w:val="12"/>
                <w:szCs w:val="12"/>
                <w:color w:val="auto"/>
              </w:rPr>
            </w:pPr>
          </w:p>
        </w:tc>
        <w:tc>
          <w:tcPr>
            <w:tcW w:w="1100" w:type="dxa"/>
            <w:vAlign w:val="bottom"/>
            <w:vMerge w:val="restart"/>
            <w:shd w:val="clear" w:color="auto" w:fill="00548B"/>
          </w:tcPr>
          <w:p>
            <w:pPr>
              <w:ind w:left="140"/>
              <w:spacing w:after="0"/>
              <w:rPr>
                <w:sz w:val="20"/>
                <w:szCs w:val="20"/>
                <w:color w:val="auto"/>
              </w:rPr>
            </w:pPr>
            <w:r>
              <w:rPr>
                <w:rFonts w:ascii="Arial" w:cs="Arial" w:eastAsia="Arial" w:hAnsi="Arial"/>
                <w:sz w:val="13"/>
                <w:szCs w:val="13"/>
                <w:b w:val="1"/>
                <w:bCs w:val="1"/>
                <w:color w:val="D8D8D8"/>
              </w:rPr>
              <w:t>Independent</w:t>
            </w:r>
          </w:p>
        </w:tc>
        <w:tc>
          <w:tcPr>
            <w:tcW w:w="340" w:type="dxa"/>
            <w:vAlign w:val="bottom"/>
            <w:shd w:val="clear" w:color="auto" w:fill="00548B"/>
          </w:tcPr>
          <w:p>
            <w:pPr>
              <w:spacing w:after="0"/>
              <w:rPr>
                <w:sz w:val="12"/>
                <w:szCs w:val="12"/>
                <w:color w:val="auto"/>
              </w:rPr>
            </w:pPr>
          </w:p>
        </w:tc>
        <w:tc>
          <w:tcPr>
            <w:tcW w:w="1000" w:type="dxa"/>
            <w:vAlign w:val="bottom"/>
            <w:shd w:val="clear" w:color="auto" w:fill="00548B"/>
          </w:tcPr>
          <w:p>
            <w:pPr>
              <w:spacing w:after="0"/>
              <w:rPr>
                <w:sz w:val="20"/>
                <w:szCs w:val="20"/>
                <w:color w:val="auto"/>
              </w:rPr>
            </w:pPr>
            <w:r>
              <w:rPr>
                <w:rFonts w:ascii="Arial" w:cs="Arial" w:eastAsia="Arial" w:hAnsi="Arial"/>
                <w:sz w:val="13"/>
                <w:szCs w:val="13"/>
                <w:b w:val="1"/>
                <w:bCs w:val="1"/>
                <w:color w:val="D8D8D8"/>
              </w:rPr>
              <w:t>Committees</w:t>
            </w:r>
          </w:p>
        </w:tc>
        <w:tc>
          <w:tcPr>
            <w:tcW w:w="0" w:type="dxa"/>
            <w:vAlign w:val="bottom"/>
          </w:tcPr>
          <w:p>
            <w:pPr>
              <w:spacing w:after="0"/>
              <w:rPr>
                <w:sz w:val="1"/>
                <w:szCs w:val="1"/>
                <w:color w:val="auto"/>
              </w:rPr>
            </w:pPr>
          </w:p>
        </w:tc>
      </w:tr>
      <w:tr>
        <w:trPr>
          <w:trHeight w:val="175"/>
        </w:trPr>
        <w:tc>
          <w:tcPr>
            <w:tcW w:w="2520" w:type="dxa"/>
            <w:vAlign w:val="bottom"/>
            <w:vMerge w:val="continue"/>
            <w:shd w:val="clear" w:color="auto" w:fill="00548B"/>
          </w:tcPr>
          <w:p>
            <w:pPr>
              <w:spacing w:after="0"/>
              <w:rPr>
                <w:sz w:val="15"/>
                <w:szCs w:val="15"/>
                <w:color w:val="auto"/>
              </w:rPr>
            </w:pPr>
          </w:p>
        </w:tc>
        <w:tc>
          <w:tcPr>
            <w:tcW w:w="100" w:type="dxa"/>
            <w:vAlign w:val="bottom"/>
            <w:shd w:val="clear" w:color="auto" w:fill="00548B"/>
          </w:tcPr>
          <w:p>
            <w:pPr>
              <w:spacing w:after="0"/>
              <w:rPr>
                <w:sz w:val="15"/>
                <w:szCs w:val="15"/>
                <w:color w:val="auto"/>
              </w:rPr>
            </w:pPr>
          </w:p>
        </w:tc>
        <w:tc>
          <w:tcPr>
            <w:tcW w:w="5080" w:type="dxa"/>
            <w:vAlign w:val="bottom"/>
            <w:vMerge w:val="continue"/>
            <w:shd w:val="clear" w:color="auto" w:fill="00548B"/>
          </w:tcPr>
          <w:p>
            <w:pPr>
              <w:spacing w:after="0"/>
              <w:rPr>
                <w:sz w:val="15"/>
                <w:szCs w:val="15"/>
                <w:color w:val="auto"/>
              </w:rPr>
            </w:pPr>
          </w:p>
        </w:tc>
        <w:tc>
          <w:tcPr>
            <w:tcW w:w="120" w:type="dxa"/>
            <w:vAlign w:val="bottom"/>
            <w:shd w:val="clear" w:color="auto" w:fill="00548B"/>
          </w:tcPr>
          <w:p>
            <w:pPr>
              <w:spacing w:after="0"/>
              <w:rPr>
                <w:sz w:val="15"/>
                <w:szCs w:val="15"/>
                <w:color w:val="auto"/>
              </w:rPr>
            </w:pPr>
          </w:p>
        </w:tc>
        <w:tc>
          <w:tcPr>
            <w:tcW w:w="640" w:type="dxa"/>
            <w:vAlign w:val="bottom"/>
            <w:vMerge w:val="continue"/>
            <w:shd w:val="clear" w:color="auto" w:fill="00548B"/>
          </w:tcPr>
          <w:p>
            <w:pPr>
              <w:spacing w:after="0"/>
              <w:rPr>
                <w:sz w:val="15"/>
                <w:szCs w:val="15"/>
                <w:color w:val="auto"/>
              </w:rPr>
            </w:pPr>
          </w:p>
        </w:tc>
        <w:tc>
          <w:tcPr>
            <w:tcW w:w="120" w:type="dxa"/>
            <w:vAlign w:val="bottom"/>
            <w:shd w:val="clear" w:color="auto" w:fill="00548B"/>
          </w:tcPr>
          <w:p>
            <w:pPr>
              <w:spacing w:after="0"/>
              <w:rPr>
                <w:sz w:val="15"/>
                <w:szCs w:val="15"/>
                <w:color w:val="auto"/>
              </w:rPr>
            </w:pPr>
          </w:p>
        </w:tc>
        <w:tc>
          <w:tcPr>
            <w:tcW w:w="1100" w:type="dxa"/>
            <w:vAlign w:val="bottom"/>
            <w:vMerge w:val="continue"/>
            <w:shd w:val="clear" w:color="auto" w:fill="00548B"/>
          </w:tcPr>
          <w:p>
            <w:pPr>
              <w:spacing w:after="0"/>
              <w:rPr>
                <w:sz w:val="15"/>
                <w:szCs w:val="15"/>
                <w:color w:val="auto"/>
              </w:rPr>
            </w:pPr>
          </w:p>
        </w:tc>
        <w:tc>
          <w:tcPr>
            <w:tcW w:w="340" w:type="dxa"/>
            <w:vAlign w:val="bottom"/>
            <w:shd w:val="clear" w:color="auto" w:fill="00548B"/>
          </w:tcPr>
          <w:p>
            <w:pPr>
              <w:ind w:left="240"/>
              <w:spacing w:after="0"/>
              <w:rPr>
                <w:sz w:val="20"/>
                <w:szCs w:val="20"/>
                <w:color w:val="auto"/>
              </w:rPr>
            </w:pPr>
            <w:r>
              <w:rPr>
                <w:rFonts w:ascii="Arial" w:cs="Arial" w:eastAsia="Arial" w:hAnsi="Arial"/>
                <w:sz w:val="13"/>
                <w:szCs w:val="13"/>
                <w:b w:val="1"/>
                <w:bCs w:val="1"/>
                <w:color w:val="D8D8D8"/>
                <w:w w:val="84"/>
              </w:rPr>
              <w:t>A</w:t>
            </w:r>
          </w:p>
        </w:tc>
        <w:tc>
          <w:tcPr>
            <w:tcW w:w="1000" w:type="dxa"/>
            <w:vAlign w:val="bottom"/>
            <w:shd w:val="clear" w:color="auto" w:fill="00548B"/>
          </w:tcPr>
          <w:p>
            <w:pPr>
              <w:ind w:left="280"/>
              <w:spacing w:after="0"/>
              <w:rPr>
                <w:sz w:val="20"/>
                <w:szCs w:val="20"/>
                <w:color w:val="auto"/>
              </w:rPr>
            </w:pPr>
            <w:r>
              <w:rPr>
                <w:rFonts w:ascii="Arial" w:cs="Arial" w:eastAsia="Arial" w:hAnsi="Arial"/>
                <w:sz w:val="13"/>
                <w:szCs w:val="13"/>
                <w:b w:val="1"/>
                <w:bCs w:val="1"/>
                <w:color w:val="D8D8D8"/>
              </w:rPr>
              <w:t>C   N&amp;CG</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156"/>
        </w:trPr>
        <w:tc>
          <w:tcPr>
            <w:tcW w:w="2360" w:type="dxa"/>
            <w:vAlign w:val="bottom"/>
          </w:tcPr>
          <w:p>
            <w:pPr>
              <w:spacing w:after="0" w:line="156" w:lineRule="exact"/>
              <w:rPr>
                <w:sz w:val="20"/>
                <w:szCs w:val="20"/>
                <w:color w:val="auto"/>
              </w:rPr>
            </w:pPr>
            <w:r>
              <w:rPr>
                <w:rFonts w:ascii="Arial" w:cs="Arial" w:eastAsia="Arial" w:hAnsi="Arial"/>
                <w:sz w:val="14"/>
                <w:szCs w:val="14"/>
                <w:b w:val="1"/>
                <w:bCs w:val="1"/>
                <w:color w:val="00548B"/>
              </w:rPr>
              <w:t>H. Eugene Lockhart</w:t>
            </w:r>
          </w:p>
        </w:tc>
        <w:tc>
          <w:tcPr>
            <w:tcW w:w="5420" w:type="dxa"/>
            <w:vAlign w:val="bottom"/>
          </w:tcPr>
          <w:p>
            <w:pPr>
              <w:ind w:left="260"/>
              <w:spacing w:after="0" w:line="156" w:lineRule="exact"/>
              <w:rPr>
                <w:sz w:val="20"/>
                <w:szCs w:val="20"/>
                <w:color w:val="auto"/>
              </w:rPr>
            </w:pPr>
            <w:r>
              <w:rPr>
                <w:rFonts w:ascii="Arial" w:cs="Arial" w:eastAsia="Arial" w:hAnsi="Arial"/>
                <w:sz w:val="14"/>
                <w:szCs w:val="14"/>
                <w:color w:val="auto"/>
              </w:rPr>
              <w:t>Chairman and Managing Partner of MissionOG LLC</w:t>
            </w:r>
          </w:p>
        </w:tc>
        <w:tc>
          <w:tcPr>
            <w:tcW w:w="1400" w:type="dxa"/>
            <w:vAlign w:val="bottom"/>
          </w:tcPr>
          <w:p>
            <w:pPr>
              <w:jc w:val="center"/>
              <w:ind w:right="611"/>
              <w:spacing w:after="0" w:line="156" w:lineRule="exact"/>
              <w:rPr>
                <w:sz w:val="20"/>
                <w:szCs w:val="20"/>
                <w:color w:val="auto"/>
              </w:rPr>
            </w:pPr>
            <w:r>
              <w:rPr>
                <w:rFonts w:ascii="Arial" w:cs="Arial" w:eastAsia="Arial" w:hAnsi="Arial"/>
                <w:sz w:val="14"/>
                <w:szCs w:val="14"/>
                <w:color w:val="auto"/>
              </w:rPr>
              <w:t>Class I</w:t>
            </w:r>
          </w:p>
        </w:tc>
        <w:tc>
          <w:tcPr>
            <w:tcW w:w="1840" w:type="dxa"/>
            <w:vAlign w:val="bottom"/>
          </w:tcPr>
          <w:p>
            <w:pPr>
              <w:ind w:left="800"/>
              <w:spacing w:after="0"/>
              <w:rPr>
                <w:sz w:val="20"/>
                <w:szCs w:val="20"/>
                <w:color w:val="auto"/>
              </w:rPr>
            </w:pPr>
            <w:r>
              <w:rPr>
                <w:rFonts w:ascii="Arial" w:cs="Arial" w:eastAsia="Arial" w:hAnsi="Arial"/>
                <w:sz w:val="12"/>
                <w:szCs w:val="12"/>
                <w:color w:val="00548B"/>
              </w:rPr>
              <w:t>c</w:t>
            </w:r>
          </w:p>
        </w:tc>
      </w:tr>
      <w:tr>
        <w:trPr>
          <w:trHeight w:val="153"/>
        </w:trPr>
        <w:tc>
          <w:tcPr>
            <w:tcW w:w="2360" w:type="dxa"/>
            <w:vAlign w:val="bottom"/>
            <w:tcBorders>
              <w:bottom w:val="single" w:sz="8" w:color="999999"/>
            </w:tcBorders>
          </w:tcPr>
          <w:p>
            <w:pPr>
              <w:spacing w:after="0"/>
              <w:rPr>
                <w:sz w:val="20"/>
                <w:szCs w:val="20"/>
                <w:color w:val="auto"/>
              </w:rPr>
            </w:pPr>
            <w:r>
              <w:rPr>
                <w:rFonts w:ascii="Arial" w:cs="Arial" w:eastAsia="Arial" w:hAnsi="Arial"/>
                <w:sz w:val="13"/>
                <w:szCs w:val="13"/>
                <w:color w:val="auto"/>
              </w:rPr>
              <w:t>Age 70, Director since 2006</w:t>
            </w:r>
          </w:p>
        </w:tc>
        <w:tc>
          <w:tcPr>
            <w:tcW w:w="5420" w:type="dxa"/>
            <w:vAlign w:val="bottom"/>
            <w:tcBorders>
              <w:bottom w:val="single" w:sz="8" w:color="999999"/>
            </w:tcBorders>
          </w:tcPr>
          <w:p>
            <w:pPr>
              <w:spacing w:after="0"/>
              <w:rPr>
                <w:sz w:val="13"/>
                <w:szCs w:val="13"/>
                <w:color w:val="auto"/>
              </w:rPr>
            </w:pPr>
          </w:p>
        </w:tc>
        <w:tc>
          <w:tcPr>
            <w:tcW w:w="1400" w:type="dxa"/>
            <w:vAlign w:val="bottom"/>
            <w:tcBorders>
              <w:bottom w:val="single" w:sz="8" w:color="999999"/>
            </w:tcBorders>
          </w:tcPr>
          <w:p>
            <w:pPr>
              <w:spacing w:after="0"/>
              <w:rPr>
                <w:sz w:val="13"/>
                <w:szCs w:val="13"/>
                <w:color w:val="auto"/>
              </w:rPr>
            </w:pPr>
          </w:p>
        </w:tc>
        <w:tc>
          <w:tcPr>
            <w:tcW w:w="1840" w:type="dxa"/>
            <w:vAlign w:val="bottom"/>
            <w:tcBorders>
              <w:bottom w:val="single" w:sz="8" w:color="999999"/>
            </w:tcBorders>
          </w:tcPr>
          <w:p>
            <w:pPr>
              <w:spacing w:after="0"/>
              <w:rPr>
                <w:sz w:val="13"/>
                <w:szCs w:val="13"/>
                <w:color w:val="auto"/>
              </w:rPr>
            </w:pPr>
          </w:p>
        </w:tc>
      </w:tr>
      <w:tr>
        <w:trPr>
          <w:trHeight w:val="151"/>
        </w:trPr>
        <w:tc>
          <w:tcPr>
            <w:tcW w:w="2360" w:type="dxa"/>
            <w:vAlign w:val="bottom"/>
          </w:tcPr>
          <w:p>
            <w:pPr>
              <w:spacing w:after="0" w:line="151" w:lineRule="exact"/>
              <w:rPr>
                <w:sz w:val="20"/>
                <w:szCs w:val="20"/>
                <w:color w:val="auto"/>
              </w:rPr>
            </w:pPr>
            <w:r>
              <w:rPr>
                <w:rFonts w:ascii="Arial" w:cs="Arial" w:eastAsia="Arial" w:hAnsi="Arial"/>
                <w:sz w:val="14"/>
                <w:szCs w:val="14"/>
                <w:b w:val="1"/>
                <w:bCs w:val="1"/>
                <w:color w:val="00548B"/>
              </w:rPr>
              <w:t>James H. Roth</w:t>
            </w:r>
          </w:p>
        </w:tc>
        <w:tc>
          <w:tcPr>
            <w:tcW w:w="5420" w:type="dxa"/>
            <w:vAlign w:val="bottom"/>
          </w:tcPr>
          <w:p>
            <w:pPr>
              <w:ind w:left="260"/>
              <w:spacing w:after="0" w:line="151" w:lineRule="exact"/>
              <w:rPr>
                <w:sz w:val="20"/>
                <w:szCs w:val="20"/>
                <w:color w:val="auto"/>
              </w:rPr>
            </w:pPr>
            <w:r>
              <w:rPr>
                <w:rFonts w:ascii="Arial" w:cs="Arial" w:eastAsia="Arial" w:hAnsi="Arial"/>
                <w:sz w:val="14"/>
                <w:szCs w:val="14"/>
                <w:color w:val="auto"/>
              </w:rPr>
              <w:t>Chief Executive Officer of Huron Consulting Group Inc. and Huron Consulting</w:t>
            </w:r>
          </w:p>
        </w:tc>
        <w:tc>
          <w:tcPr>
            <w:tcW w:w="1400" w:type="dxa"/>
            <w:vAlign w:val="bottom"/>
          </w:tcPr>
          <w:p>
            <w:pPr>
              <w:jc w:val="center"/>
              <w:ind w:right="611"/>
              <w:spacing w:after="0" w:line="151" w:lineRule="exact"/>
              <w:rPr>
                <w:sz w:val="20"/>
                <w:szCs w:val="20"/>
                <w:color w:val="auto"/>
              </w:rPr>
            </w:pPr>
            <w:r>
              <w:rPr>
                <w:rFonts w:ascii="Arial" w:cs="Arial" w:eastAsia="Arial" w:hAnsi="Arial"/>
                <w:sz w:val="11"/>
                <w:szCs w:val="11"/>
                <w:color w:val="auto"/>
              </w:rPr>
              <w:t>Class I</w:t>
            </w:r>
            <w:r>
              <w:rPr>
                <w:rFonts w:ascii="Arial" w:cs="Arial" w:eastAsia="Arial" w:hAnsi="Arial"/>
                <w:sz w:val="17"/>
                <w:szCs w:val="17"/>
                <w:color w:val="auto"/>
                <w:vertAlign w:val="superscript"/>
              </w:rPr>
              <w:t>1</w:t>
            </w:r>
          </w:p>
        </w:tc>
        <w:tc>
          <w:tcPr>
            <w:tcW w:w="1840" w:type="dxa"/>
            <w:vAlign w:val="bottom"/>
          </w:tcPr>
          <w:p>
            <w:pPr>
              <w:spacing w:after="0"/>
              <w:rPr>
                <w:sz w:val="13"/>
                <w:szCs w:val="13"/>
                <w:color w:val="auto"/>
              </w:rPr>
            </w:pPr>
          </w:p>
        </w:tc>
      </w:tr>
      <w:tr>
        <w:trPr>
          <w:trHeight w:val="168"/>
        </w:trPr>
        <w:tc>
          <w:tcPr>
            <w:tcW w:w="2360" w:type="dxa"/>
            <w:vAlign w:val="bottom"/>
          </w:tcPr>
          <w:p>
            <w:pPr>
              <w:spacing w:after="0"/>
              <w:rPr>
                <w:sz w:val="20"/>
                <w:szCs w:val="20"/>
                <w:color w:val="auto"/>
              </w:rPr>
            </w:pPr>
            <w:r>
              <w:rPr>
                <w:rFonts w:ascii="Arial" w:cs="Arial" w:eastAsia="Arial" w:hAnsi="Arial"/>
                <w:sz w:val="13"/>
                <w:szCs w:val="13"/>
                <w:color w:val="auto"/>
              </w:rPr>
              <w:t>Age 62, Director since 2009</w:t>
            </w:r>
          </w:p>
        </w:tc>
        <w:tc>
          <w:tcPr>
            <w:tcW w:w="5420" w:type="dxa"/>
            <w:vAlign w:val="bottom"/>
          </w:tcPr>
          <w:p>
            <w:pPr>
              <w:ind w:left="260"/>
              <w:spacing w:after="0"/>
              <w:rPr>
                <w:sz w:val="20"/>
                <w:szCs w:val="20"/>
                <w:color w:val="auto"/>
              </w:rPr>
            </w:pPr>
            <w:r>
              <w:rPr>
                <w:rFonts w:ascii="Arial" w:cs="Arial" w:eastAsia="Arial" w:hAnsi="Arial"/>
                <w:sz w:val="14"/>
                <w:szCs w:val="14"/>
                <w:color w:val="auto"/>
              </w:rPr>
              <w:t>Services LLC, our principal operating subsidiary</w:t>
            </w:r>
          </w:p>
        </w:tc>
        <w:tc>
          <w:tcPr>
            <w:tcW w:w="140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75"/>
        </w:trPr>
        <w:tc>
          <w:tcPr>
            <w:tcW w:w="2360" w:type="dxa"/>
            <w:vAlign w:val="bottom"/>
            <w:shd w:val="clear" w:color="auto" w:fill="00548B"/>
          </w:tcPr>
          <w:p>
            <w:pPr>
              <w:spacing w:after="0"/>
              <w:rPr>
                <w:sz w:val="20"/>
                <w:szCs w:val="20"/>
                <w:color w:val="auto"/>
              </w:rPr>
            </w:pPr>
            <w:r>
              <w:rPr>
                <w:rFonts w:ascii="Arial" w:cs="Arial" w:eastAsia="Arial" w:hAnsi="Arial"/>
                <w:sz w:val="14"/>
                <w:szCs w:val="14"/>
                <w:b w:val="1"/>
                <w:bCs w:val="1"/>
                <w:color w:val="D8D8D8"/>
              </w:rPr>
              <w:t>Not Standing for Election</w:t>
            </w:r>
          </w:p>
        </w:tc>
        <w:tc>
          <w:tcPr>
            <w:tcW w:w="5420" w:type="dxa"/>
            <w:vAlign w:val="bottom"/>
            <w:shd w:val="clear" w:color="auto" w:fill="00548B"/>
          </w:tcPr>
          <w:p>
            <w:pPr>
              <w:spacing w:after="0"/>
              <w:rPr>
                <w:sz w:val="15"/>
                <w:szCs w:val="15"/>
                <w:color w:val="auto"/>
              </w:rPr>
            </w:pPr>
          </w:p>
        </w:tc>
        <w:tc>
          <w:tcPr>
            <w:tcW w:w="1400" w:type="dxa"/>
            <w:vAlign w:val="bottom"/>
            <w:shd w:val="clear" w:color="auto" w:fill="00548B"/>
          </w:tcPr>
          <w:p>
            <w:pPr>
              <w:spacing w:after="0"/>
              <w:rPr>
                <w:sz w:val="15"/>
                <w:szCs w:val="15"/>
                <w:color w:val="auto"/>
              </w:rPr>
            </w:pPr>
          </w:p>
        </w:tc>
        <w:tc>
          <w:tcPr>
            <w:tcW w:w="1840" w:type="dxa"/>
            <w:vAlign w:val="bottom"/>
            <w:shd w:val="clear" w:color="auto" w:fill="00548B"/>
          </w:tcPr>
          <w:p>
            <w:pPr>
              <w:spacing w:after="0"/>
              <w:rPr>
                <w:sz w:val="15"/>
                <w:szCs w:val="15"/>
                <w:color w:val="auto"/>
              </w:rPr>
            </w:pPr>
          </w:p>
        </w:tc>
      </w:tr>
      <w:tr>
        <w:trPr>
          <w:trHeight w:val="156"/>
        </w:trPr>
        <w:tc>
          <w:tcPr>
            <w:tcW w:w="2360" w:type="dxa"/>
            <w:vAlign w:val="bottom"/>
          </w:tcPr>
          <w:p>
            <w:pPr>
              <w:spacing w:after="0" w:line="156" w:lineRule="exact"/>
              <w:rPr>
                <w:sz w:val="20"/>
                <w:szCs w:val="20"/>
                <w:color w:val="auto"/>
              </w:rPr>
            </w:pPr>
            <w:r>
              <w:rPr>
                <w:rFonts w:ascii="Arial" w:cs="Arial" w:eastAsia="Arial" w:hAnsi="Arial"/>
                <w:sz w:val="14"/>
                <w:szCs w:val="14"/>
                <w:b w:val="1"/>
                <w:bCs w:val="1"/>
                <w:color w:val="00548B"/>
              </w:rPr>
              <w:t>Hugh E. Sawyer</w:t>
            </w:r>
          </w:p>
        </w:tc>
        <w:tc>
          <w:tcPr>
            <w:tcW w:w="5420" w:type="dxa"/>
            <w:vAlign w:val="bottom"/>
          </w:tcPr>
          <w:p>
            <w:pPr>
              <w:ind w:left="260"/>
              <w:spacing w:after="0" w:line="156" w:lineRule="exact"/>
              <w:rPr>
                <w:sz w:val="20"/>
                <w:szCs w:val="20"/>
                <w:color w:val="auto"/>
              </w:rPr>
            </w:pPr>
            <w:r>
              <w:rPr>
                <w:rFonts w:ascii="Arial" w:cs="Arial" w:eastAsia="Arial" w:hAnsi="Arial"/>
                <w:sz w:val="14"/>
                <w:szCs w:val="14"/>
                <w:color w:val="auto"/>
              </w:rPr>
              <w:t>President and Chief Executive Officer, Regis Corporation</w:t>
            </w:r>
          </w:p>
        </w:tc>
        <w:tc>
          <w:tcPr>
            <w:tcW w:w="1400" w:type="dxa"/>
            <w:vAlign w:val="bottom"/>
          </w:tcPr>
          <w:p>
            <w:pPr>
              <w:jc w:val="center"/>
              <w:ind w:right="611"/>
              <w:spacing w:after="0" w:line="156" w:lineRule="exact"/>
              <w:rPr>
                <w:sz w:val="20"/>
                <w:szCs w:val="20"/>
                <w:color w:val="auto"/>
              </w:rPr>
            </w:pPr>
            <w:r>
              <w:rPr>
                <w:rFonts w:ascii="Arial" w:cs="Arial" w:eastAsia="Arial" w:hAnsi="Arial"/>
                <w:sz w:val="14"/>
                <w:szCs w:val="14"/>
                <w:color w:val="auto"/>
              </w:rPr>
              <w:t>Class II</w:t>
            </w:r>
          </w:p>
        </w:tc>
        <w:tc>
          <w:tcPr>
            <w:tcW w:w="1840" w:type="dxa"/>
            <w:vAlign w:val="bottom"/>
          </w:tcPr>
          <w:p>
            <w:pPr>
              <w:spacing w:after="0"/>
              <w:rPr>
                <w:sz w:val="13"/>
                <w:szCs w:val="13"/>
                <w:color w:val="auto"/>
              </w:rPr>
            </w:pPr>
          </w:p>
        </w:tc>
      </w:tr>
      <w:tr>
        <w:trPr>
          <w:trHeight w:val="153"/>
        </w:trPr>
        <w:tc>
          <w:tcPr>
            <w:tcW w:w="2360" w:type="dxa"/>
            <w:vAlign w:val="bottom"/>
            <w:tcBorders>
              <w:bottom w:val="single" w:sz="8" w:color="999999"/>
            </w:tcBorders>
          </w:tcPr>
          <w:p>
            <w:pPr>
              <w:spacing w:after="0"/>
              <w:rPr>
                <w:sz w:val="20"/>
                <w:szCs w:val="20"/>
                <w:color w:val="auto"/>
              </w:rPr>
            </w:pPr>
            <w:r>
              <w:rPr>
                <w:rFonts w:ascii="Arial" w:cs="Arial" w:eastAsia="Arial" w:hAnsi="Arial"/>
                <w:sz w:val="13"/>
                <w:szCs w:val="13"/>
                <w:color w:val="auto"/>
              </w:rPr>
              <w:t>Age 65, Director since 2018</w:t>
            </w:r>
          </w:p>
        </w:tc>
        <w:tc>
          <w:tcPr>
            <w:tcW w:w="5420" w:type="dxa"/>
            <w:vAlign w:val="bottom"/>
            <w:tcBorders>
              <w:bottom w:val="single" w:sz="8" w:color="999999"/>
            </w:tcBorders>
          </w:tcPr>
          <w:p>
            <w:pPr>
              <w:spacing w:after="0"/>
              <w:rPr>
                <w:sz w:val="13"/>
                <w:szCs w:val="13"/>
                <w:color w:val="auto"/>
              </w:rPr>
            </w:pPr>
          </w:p>
        </w:tc>
        <w:tc>
          <w:tcPr>
            <w:tcW w:w="1400" w:type="dxa"/>
            <w:vAlign w:val="bottom"/>
            <w:tcBorders>
              <w:bottom w:val="single" w:sz="8" w:color="999999"/>
            </w:tcBorders>
          </w:tcPr>
          <w:p>
            <w:pPr>
              <w:spacing w:after="0"/>
              <w:rPr>
                <w:sz w:val="13"/>
                <w:szCs w:val="13"/>
                <w:color w:val="auto"/>
              </w:rPr>
            </w:pPr>
          </w:p>
        </w:tc>
        <w:tc>
          <w:tcPr>
            <w:tcW w:w="1840" w:type="dxa"/>
            <w:vAlign w:val="bottom"/>
            <w:tcBorders>
              <w:bottom w:val="single" w:sz="8" w:color="999999"/>
            </w:tcBorders>
          </w:tcPr>
          <w:p>
            <w:pPr>
              <w:spacing w:after="0"/>
              <w:rPr>
                <w:sz w:val="13"/>
                <w:szCs w:val="13"/>
                <w:color w:val="auto"/>
              </w:rPr>
            </w:pPr>
          </w:p>
        </w:tc>
      </w:tr>
      <w:tr>
        <w:trPr>
          <w:trHeight w:val="151"/>
        </w:trPr>
        <w:tc>
          <w:tcPr>
            <w:tcW w:w="2360" w:type="dxa"/>
            <w:vAlign w:val="bottom"/>
          </w:tcPr>
          <w:p>
            <w:pPr>
              <w:spacing w:after="0" w:line="151" w:lineRule="exact"/>
              <w:rPr>
                <w:sz w:val="20"/>
                <w:szCs w:val="20"/>
                <w:color w:val="auto"/>
              </w:rPr>
            </w:pPr>
            <w:r>
              <w:rPr>
                <w:rFonts w:ascii="Arial" w:cs="Arial" w:eastAsia="Arial" w:hAnsi="Arial"/>
                <w:sz w:val="14"/>
                <w:szCs w:val="14"/>
                <w:b w:val="1"/>
                <w:bCs w:val="1"/>
                <w:color w:val="00548B"/>
              </w:rPr>
              <w:t>Debra Zumwalt</w:t>
            </w:r>
          </w:p>
        </w:tc>
        <w:tc>
          <w:tcPr>
            <w:tcW w:w="5420" w:type="dxa"/>
            <w:vAlign w:val="bottom"/>
          </w:tcPr>
          <w:p>
            <w:pPr>
              <w:ind w:left="260"/>
              <w:spacing w:after="0" w:line="151" w:lineRule="exact"/>
              <w:rPr>
                <w:sz w:val="20"/>
                <w:szCs w:val="20"/>
                <w:color w:val="auto"/>
              </w:rPr>
            </w:pPr>
            <w:r>
              <w:rPr>
                <w:rFonts w:ascii="Arial" w:cs="Arial" w:eastAsia="Arial" w:hAnsi="Arial"/>
                <w:sz w:val="14"/>
                <w:szCs w:val="14"/>
                <w:color w:val="auto"/>
              </w:rPr>
              <w:t>Vice President and General Counsel, Stanford University</w:t>
            </w:r>
          </w:p>
        </w:tc>
        <w:tc>
          <w:tcPr>
            <w:tcW w:w="1400" w:type="dxa"/>
            <w:vAlign w:val="bottom"/>
          </w:tcPr>
          <w:p>
            <w:pPr>
              <w:jc w:val="center"/>
              <w:ind w:right="611"/>
              <w:spacing w:after="0" w:line="151" w:lineRule="exact"/>
              <w:rPr>
                <w:sz w:val="20"/>
                <w:szCs w:val="20"/>
                <w:color w:val="auto"/>
              </w:rPr>
            </w:pPr>
            <w:r>
              <w:rPr>
                <w:rFonts w:ascii="Arial" w:cs="Arial" w:eastAsia="Arial" w:hAnsi="Arial"/>
                <w:sz w:val="14"/>
                <w:szCs w:val="14"/>
                <w:color w:val="auto"/>
              </w:rPr>
              <w:t>Class II</w:t>
            </w:r>
          </w:p>
        </w:tc>
        <w:tc>
          <w:tcPr>
            <w:tcW w:w="1840" w:type="dxa"/>
            <w:vAlign w:val="bottom"/>
          </w:tcPr>
          <w:p>
            <w:pPr>
              <w:ind w:left="1200"/>
              <w:spacing w:after="0"/>
              <w:rPr>
                <w:sz w:val="20"/>
                <w:szCs w:val="20"/>
                <w:color w:val="auto"/>
              </w:rPr>
            </w:pPr>
            <w:r>
              <w:rPr>
                <w:rFonts w:ascii="Arial" w:cs="Arial" w:eastAsia="Arial" w:hAnsi="Arial"/>
                <w:sz w:val="12"/>
                <w:szCs w:val="12"/>
                <w:color w:val="00548B"/>
              </w:rPr>
              <w:t>c</w:t>
            </w:r>
          </w:p>
        </w:tc>
      </w:tr>
      <w:tr>
        <w:trPr>
          <w:trHeight w:val="153"/>
        </w:trPr>
        <w:tc>
          <w:tcPr>
            <w:tcW w:w="2360" w:type="dxa"/>
            <w:vAlign w:val="bottom"/>
            <w:tcBorders>
              <w:bottom w:val="single" w:sz="8" w:color="999999"/>
            </w:tcBorders>
          </w:tcPr>
          <w:p>
            <w:pPr>
              <w:spacing w:after="0"/>
              <w:rPr>
                <w:sz w:val="20"/>
                <w:szCs w:val="20"/>
                <w:color w:val="auto"/>
              </w:rPr>
            </w:pPr>
            <w:r>
              <w:rPr>
                <w:rFonts w:ascii="Arial" w:cs="Arial" w:eastAsia="Arial" w:hAnsi="Arial"/>
                <w:sz w:val="13"/>
                <w:szCs w:val="13"/>
                <w:color w:val="auto"/>
              </w:rPr>
              <w:t>Age 64, Director since 2014</w:t>
            </w:r>
          </w:p>
        </w:tc>
        <w:tc>
          <w:tcPr>
            <w:tcW w:w="5420" w:type="dxa"/>
            <w:vAlign w:val="bottom"/>
            <w:tcBorders>
              <w:bottom w:val="single" w:sz="8" w:color="999999"/>
            </w:tcBorders>
          </w:tcPr>
          <w:p>
            <w:pPr>
              <w:spacing w:after="0"/>
              <w:rPr>
                <w:sz w:val="13"/>
                <w:szCs w:val="13"/>
                <w:color w:val="auto"/>
              </w:rPr>
            </w:pPr>
          </w:p>
        </w:tc>
        <w:tc>
          <w:tcPr>
            <w:tcW w:w="1400" w:type="dxa"/>
            <w:vAlign w:val="bottom"/>
            <w:tcBorders>
              <w:bottom w:val="single" w:sz="8" w:color="999999"/>
            </w:tcBorders>
          </w:tcPr>
          <w:p>
            <w:pPr>
              <w:spacing w:after="0"/>
              <w:rPr>
                <w:sz w:val="13"/>
                <w:szCs w:val="13"/>
                <w:color w:val="auto"/>
              </w:rPr>
            </w:pPr>
          </w:p>
        </w:tc>
        <w:tc>
          <w:tcPr>
            <w:tcW w:w="1840" w:type="dxa"/>
            <w:vAlign w:val="bottom"/>
            <w:tcBorders>
              <w:bottom w:val="single" w:sz="8" w:color="999999"/>
            </w:tcBorders>
          </w:tcPr>
          <w:p>
            <w:pPr>
              <w:spacing w:after="0"/>
              <w:rPr>
                <w:sz w:val="13"/>
                <w:szCs w:val="13"/>
                <w:color w:val="auto"/>
              </w:rPr>
            </w:pPr>
          </w:p>
        </w:tc>
      </w:tr>
      <w:tr>
        <w:trPr>
          <w:trHeight w:val="151"/>
        </w:trPr>
        <w:tc>
          <w:tcPr>
            <w:tcW w:w="2360" w:type="dxa"/>
            <w:vAlign w:val="bottom"/>
          </w:tcPr>
          <w:p>
            <w:pPr>
              <w:spacing w:after="0" w:line="151" w:lineRule="exact"/>
              <w:rPr>
                <w:sz w:val="20"/>
                <w:szCs w:val="20"/>
                <w:color w:val="auto"/>
              </w:rPr>
            </w:pPr>
            <w:r>
              <w:rPr>
                <w:rFonts w:ascii="Arial" w:cs="Arial" w:eastAsia="Arial" w:hAnsi="Arial"/>
                <w:sz w:val="14"/>
                <w:szCs w:val="14"/>
                <w:b w:val="1"/>
                <w:bCs w:val="1"/>
                <w:color w:val="00548B"/>
              </w:rPr>
              <w:t>John McCartney</w:t>
            </w:r>
          </w:p>
        </w:tc>
        <w:tc>
          <w:tcPr>
            <w:tcW w:w="5420" w:type="dxa"/>
            <w:vAlign w:val="bottom"/>
          </w:tcPr>
          <w:p>
            <w:pPr>
              <w:ind w:left="260"/>
              <w:spacing w:after="0" w:line="151" w:lineRule="exact"/>
              <w:rPr>
                <w:sz w:val="20"/>
                <w:szCs w:val="20"/>
                <w:color w:val="auto"/>
              </w:rPr>
            </w:pPr>
            <w:r>
              <w:rPr>
                <w:rFonts w:ascii="Arial" w:cs="Arial" w:eastAsia="Arial" w:hAnsi="Arial"/>
                <w:sz w:val="14"/>
                <w:szCs w:val="14"/>
                <w:color w:val="auto"/>
              </w:rPr>
              <w:t>Non-executive Chairman, Huron Consulting Group Inc.</w:t>
            </w:r>
          </w:p>
        </w:tc>
        <w:tc>
          <w:tcPr>
            <w:tcW w:w="1400" w:type="dxa"/>
            <w:vAlign w:val="bottom"/>
          </w:tcPr>
          <w:p>
            <w:pPr>
              <w:jc w:val="center"/>
              <w:ind w:right="611"/>
              <w:spacing w:after="0" w:line="151" w:lineRule="exact"/>
              <w:rPr>
                <w:sz w:val="20"/>
                <w:szCs w:val="20"/>
                <w:color w:val="auto"/>
              </w:rPr>
            </w:pPr>
            <w:r>
              <w:rPr>
                <w:rFonts w:ascii="Arial" w:cs="Arial" w:eastAsia="Arial" w:hAnsi="Arial"/>
                <w:sz w:val="14"/>
                <w:szCs w:val="14"/>
                <w:color w:val="auto"/>
              </w:rPr>
              <w:t>Class III</w:t>
            </w:r>
          </w:p>
        </w:tc>
        <w:tc>
          <w:tcPr>
            <w:tcW w:w="1840" w:type="dxa"/>
            <w:vAlign w:val="bottom"/>
          </w:tcPr>
          <w:p>
            <w:pPr>
              <w:ind w:left="1640"/>
              <w:spacing w:after="0"/>
              <w:rPr>
                <w:sz w:val="20"/>
                <w:szCs w:val="20"/>
                <w:color w:val="auto"/>
              </w:rPr>
            </w:pPr>
            <w:r>
              <w:rPr>
                <w:rFonts w:ascii="Arial" w:cs="Arial" w:eastAsia="Arial" w:hAnsi="Arial"/>
                <w:sz w:val="12"/>
                <w:szCs w:val="12"/>
                <w:color w:val="00548B"/>
              </w:rPr>
              <w:t>c</w:t>
            </w:r>
          </w:p>
        </w:tc>
      </w:tr>
      <w:tr>
        <w:trPr>
          <w:trHeight w:val="153"/>
        </w:trPr>
        <w:tc>
          <w:tcPr>
            <w:tcW w:w="2360" w:type="dxa"/>
            <w:vAlign w:val="bottom"/>
            <w:tcBorders>
              <w:bottom w:val="single" w:sz="8" w:color="999999"/>
            </w:tcBorders>
          </w:tcPr>
          <w:p>
            <w:pPr>
              <w:spacing w:after="0"/>
              <w:rPr>
                <w:sz w:val="20"/>
                <w:szCs w:val="20"/>
                <w:color w:val="auto"/>
              </w:rPr>
            </w:pPr>
            <w:r>
              <w:rPr>
                <w:rFonts w:ascii="Arial" w:cs="Arial" w:eastAsia="Arial" w:hAnsi="Arial"/>
                <w:sz w:val="13"/>
                <w:szCs w:val="13"/>
                <w:color w:val="auto"/>
              </w:rPr>
              <w:t>Age 67, Director since 2004</w:t>
            </w:r>
          </w:p>
        </w:tc>
        <w:tc>
          <w:tcPr>
            <w:tcW w:w="5420" w:type="dxa"/>
            <w:vAlign w:val="bottom"/>
            <w:tcBorders>
              <w:bottom w:val="single" w:sz="8" w:color="999999"/>
            </w:tcBorders>
          </w:tcPr>
          <w:p>
            <w:pPr>
              <w:spacing w:after="0"/>
              <w:rPr>
                <w:sz w:val="13"/>
                <w:szCs w:val="13"/>
                <w:color w:val="auto"/>
              </w:rPr>
            </w:pPr>
          </w:p>
        </w:tc>
        <w:tc>
          <w:tcPr>
            <w:tcW w:w="1400" w:type="dxa"/>
            <w:vAlign w:val="bottom"/>
            <w:tcBorders>
              <w:bottom w:val="single" w:sz="8" w:color="999999"/>
            </w:tcBorders>
          </w:tcPr>
          <w:p>
            <w:pPr>
              <w:spacing w:after="0"/>
              <w:rPr>
                <w:sz w:val="13"/>
                <w:szCs w:val="13"/>
                <w:color w:val="auto"/>
              </w:rPr>
            </w:pPr>
          </w:p>
        </w:tc>
        <w:tc>
          <w:tcPr>
            <w:tcW w:w="1840" w:type="dxa"/>
            <w:vAlign w:val="bottom"/>
            <w:tcBorders>
              <w:bottom w:val="single" w:sz="8" w:color="999999"/>
            </w:tcBorders>
          </w:tcPr>
          <w:p>
            <w:pPr>
              <w:spacing w:after="0"/>
              <w:rPr>
                <w:sz w:val="13"/>
                <w:szCs w:val="13"/>
                <w:color w:val="auto"/>
              </w:rPr>
            </w:pPr>
          </w:p>
        </w:tc>
      </w:tr>
      <w:tr>
        <w:trPr>
          <w:trHeight w:val="151"/>
        </w:trPr>
        <w:tc>
          <w:tcPr>
            <w:tcW w:w="2360" w:type="dxa"/>
            <w:vAlign w:val="bottom"/>
          </w:tcPr>
          <w:p>
            <w:pPr>
              <w:spacing w:after="0" w:line="151" w:lineRule="exact"/>
              <w:rPr>
                <w:sz w:val="20"/>
                <w:szCs w:val="20"/>
                <w:color w:val="auto"/>
              </w:rPr>
            </w:pPr>
            <w:r>
              <w:rPr>
                <w:rFonts w:ascii="Arial" w:cs="Arial" w:eastAsia="Arial" w:hAnsi="Arial"/>
                <w:sz w:val="14"/>
                <w:szCs w:val="14"/>
                <w:b w:val="1"/>
                <w:bCs w:val="1"/>
                <w:color w:val="00548B"/>
              </w:rPr>
              <w:t>Ekta Singh-Bushell</w:t>
            </w:r>
          </w:p>
        </w:tc>
        <w:tc>
          <w:tcPr>
            <w:tcW w:w="5420" w:type="dxa"/>
            <w:vAlign w:val="bottom"/>
          </w:tcPr>
          <w:p>
            <w:pPr>
              <w:ind w:left="260"/>
              <w:spacing w:after="0" w:line="151" w:lineRule="exact"/>
              <w:rPr>
                <w:sz w:val="20"/>
                <w:szCs w:val="20"/>
                <w:color w:val="auto"/>
              </w:rPr>
            </w:pPr>
            <w:r>
              <w:rPr>
                <w:rFonts w:ascii="Arial" w:cs="Arial" w:eastAsia="Arial" w:hAnsi="Arial"/>
                <w:sz w:val="14"/>
                <w:szCs w:val="14"/>
                <w:color w:val="auto"/>
              </w:rPr>
              <w:t>Strategic adviser to DecisionGPS, LLC</w:t>
            </w:r>
          </w:p>
        </w:tc>
        <w:tc>
          <w:tcPr>
            <w:tcW w:w="1400" w:type="dxa"/>
            <w:vAlign w:val="bottom"/>
          </w:tcPr>
          <w:p>
            <w:pPr>
              <w:jc w:val="center"/>
              <w:ind w:right="611"/>
              <w:spacing w:after="0" w:line="151" w:lineRule="exact"/>
              <w:rPr>
                <w:sz w:val="20"/>
                <w:szCs w:val="20"/>
                <w:color w:val="auto"/>
              </w:rPr>
            </w:pPr>
            <w:r>
              <w:rPr>
                <w:rFonts w:ascii="Arial" w:cs="Arial" w:eastAsia="Arial" w:hAnsi="Arial"/>
                <w:sz w:val="14"/>
                <w:szCs w:val="14"/>
                <w:color w:val="auto"/>
              </w:rPr>
              <w:t>Class III</w:t>
            </w:r>
          </w:p>
        </w:tc>
        <w:tc>
          <w:tcPr>
            <w:tcW w:w="1840" w:type="dxa"/>
            <w:vAlign w:val="bottom"/>
          </w:tcPr>
          <w:p>
            <w:pPr>
              <w:spacing w:after="0"/>
              <w:rPr>
                <w:sz w:val="13"/>
                <w:szCs w:val="13"/>
                <w:color w:val="auto"/>
              </w:rPr>
            </w:pPr>
          </w:p>
        </w:tc>
      </w:tr>
      <w:tr>
        <w:trPr>
          <w:trHeight w:val="153"/>
        </w:trPr>
        <w:tc>
          <w:tcPr>
            <w:tcW w:w="2360" w:type="dxa"/>
            <w:vAlign w:val="bottom"/>
          </w:tcPr>
          <w:p>
            <w:pPr>
              <w:spacing w:after="0"/>
              <w:rPr>
                <w:sz w:val="20"/>
                <w:szCs w:val="20"/>
                <w:color w:val="auto"/>
              </w:rPr>
            </w:pPr>
            <w:r>
              <w:rPr>
                <w:rFonts w:ascii="Arial" w:cs="Arial" w:eastAsia="Arial" w:hAnsi="Arial"/>
                <w:sz w:val="13"/>
                <w:szCs w:val="13"/>
                <w:color w:val="auto"/>
              </w:rPr>
              <w:t>Age 48, Director since 2019</w:t>
            </w:r>
          </w:p>
        </w:tc>
        <w:tc>
          <w:tcPr>
            <w:tcW w:w="54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840" w:type="dxa"/>
            <w:vAlign w:val="bottom"/>
          </w:tcPr>
          <w:p>
            <w:pPr>
              <w:spacing w:after="0"/>
              <w:rPr>
                <w:sz w:val="13"/>
                <w:szCs w:val="13"/>
                <w:color w:val="auto"/>
              </w:rPr>
            </w:pPr>
          </w:p>
        </w:tc>
      </w:tr>
      <w:tr>
        <w:trPr>
          <w:trHeight w:val="177"/>
        </w:trPr>
        <w:tc>
          <w:tcPr>
            <w:tcW w:w="2360" w:type="dxa"/>
            <w:vAlign w:val="bottom"/>
            <w:shd w:val="clear" w:color="auto" w:fill="00548B"/>
          </w:tcPr>
          <w:p>
            <w:pPr>
              <w:spacing w:after="0"/>
              <w:rPr>
                <w:sz w:val="20"/>
                <w:szCs w:val="20"/>
                <w:color w:val="auto"/>
              </w:rPr>
            </w:pPr>
            <w:r>
              <w:rPr>
                <w:rFonts w:ascii="Arial" w:cs="Arial" w:eastAsia="Arial" w:hAnsi="Arial"/>
                <w:sz w:val="14"/>
                <w:szCs w:val="14"/>
                <w:b w:val="1"/>
                <w:bCs w:val="1"/>
                <w:color w:val="D8D8D8"/>
              </w:rPr>
              <w:t>Retiring at the Annual Meeting</w:t>
            </w:r>
          </w:p>
        </w:tc>
        <w:tc>
          <w:tcPr>
            <w:tcW w:w="5420" w:type="dxa"/>
            <w:vAlign w:val="bottom"/>
            <w:shd w:val="clear" w:color="auto" w:fill="00548B"/>
          </w:tcPr>
          <w:p>
            <w:pPr>
              <w:spacing w:after="0"/>
              <w:rPr>
                <w:sz w:val="15"/>
                <w:szCs w:val="15"/>
                <w:color w:val="auto"/>
              </w:rPr>
            </w:pPr>
          </w:p>
        </w:tc>
        <w:tc>
          <w:tcPr>
            <w:tcW w:w="1400" w:type="dxa"/>
            <w:vAlign w:val="bottom"/>
            <w:shd w:val="clear" w:color="auto" w:fill="00548B"/>
          </w:tcPr>
          <w:p>
            <w:pPr>
              <w:spacing w:after="0"/>
              <w:rPr>
                <w:sz w:val="15"/>
                <w:szCs w:val="15"/>
                <w:color w:val="auto"/>
              </w:rPr>
            </w:pPr>
          </w:p>
        </w:tc>
        <w:tc>
          <w:tcPr>
            <w:tcW w:w="1840" w:type="dxa"/>
            <w:vAlign w:val="bottom"/>
            <w:shd w:val="clear" w:color="auto" w:fill="00548B"/>
          </w:tcPr>
          <w:p>
            <w:pPr>
              <w:spacing w:after="0"/>
              <w:rPr>
                <w:sz w:val="15"/>
                <w:szCs w:val="15"/>
                <w:color w:val="auto"/>
              </w:rPr>
            </w:pPr>
          </w:p>
        </w:tc>
      </w:tr>
      <w:tr>
        <w:trPr>
          <w:trHeight w:val="156"/>
        </w:trPr>
        <w:tc>
          <w:tcPr>
            <w:tcW w:w="2360" w:type="dxa"/>
            <w:vAlign w:val="bottom"/>
          </w:tcPr>
          <w:p>
            <w:pPr>
              <w:spacing w:after="0" w:line="156" w:lineRule="exact"/>
              <w:rPr>
                <w:sz w:val="20"/>
                <w:szCs w:val="20"/>
                <w:color w:val="auto"/>
              </w:rPr>
            </w:pPr>
            <w:r>
              <w:rPr>
                <w:rFonts w:ascii="Arial" w:cs="Arial" w:eastAsia="Arial" w:hAnsi="Arial"/>
                <w:sz w:val="14"/>
                <w:szCs w:val="14"/>
                <w:b w:val="1"/>
                <w:bCs w:val="1"/>
                <w:color w:val="00548B"/>
              </w:rPr>
              <w:t>George E. Massaro</w:t>
            </w:r>
          </w:p>
        </w:tc>
        <w:tc>
          <w:tcPr>
            <w:tcW w:w="5420" w:type="dxa"/>
            <w:vAlign w:val="bottom"/>
          </w:tcPr>
          <w:p>
            <w:pPr>
              <w:ind w:left="260"/>
              <w:spacing w:after="0" w:line="156" w:lineRule="exact"/>
              <w:rPr>
                <w:sz w:val="20"/>
                <w:szCs w:val="20"/>
                <w:color w:val="auto"/>
              </w:rPr>
            </w:pPr>
            <w:r>
              <w:rPr>
                <w:rFonts w:ascii="Arial" w:cs="Arial" w:eastAsia="Arial" w:hAnsi="Arial"/>
                <w:sz w:val="14"/>
                <w:szCs w:val="14"/>
                <w:color w:val="auto"/>
              </w:rPr>
              <w:t>Vice Chairman, Huron Consulting Group Inc.</w:t>
            </w:r>
          </w:p>
        </w:tc>
        <w:tc>
          <w:tcPr>
            <w:tcW w:w="1400" w:type="dxa"/>
            <w:vAlign w:val="bottom"/>
          </w:tcPr>
          <w:p>
            <w:pPr>
              <w:jc w:val="center"/>
              <w:ind w:right="611"/>
              <w:spacing w:after="0" w:line="156" w:lineRule="exact"/>
              <w:rPr>
                <w:sz w:val="20"/>
                <w:szCs w:val="20"/>
                <w:color w:val="auto"/>
              </w:rPr>
            </w:pPr>
            <w:r>
              <w:rPr>
                <w:rFonts w:ascii="Arial" w:cs="Arial" w:eastAsia="Arial" w:hAnsi="Arial"/>
                <w:sz w:val="14"/>
                <w:szCs w:val="14"/>
                <w:color w:val="auto"/>
              </w:rPr>
              <w:t>Class I</w:t>
            </w:r>
          </w:p>
        </w:tc>
        <w:tc>
          <w:tcPr>
            <w:tcW w:w="1840" w:type="dxa"/>
            <w:vAlign w:val="bottom"/>
          </w:tcPr>
          <w:p>
            <w:pPr>
              <w:spacing w:after="0"/>
              <w:rPr>
                <w:sz w:val="13"/>
                <w:szCs w:val="13"/>
                <w:color w:val="auto"/>
              </w:rPr>
            </w:pPr>
          </w:p>
        </w:tc>
      </w:tr>
      <w:tr>
        <w:trPr>
          <w:trHeight w:val="153"/>
        </w:trPr>
        <w:tc>
          <w:tcPr>
            <w:tcW w:w="2360" w:type="dxa"/>
            <w:vAlign w:val="bottom"/>
            <w:tcBorders>
              <w:bottom w:val="single" w:sz="8" w:color="00548B"/>
            </w:tcBorders>
          </w:tcPr>
          <w:p>
            <w:pPr>
              <w:spacing w:after="0"/>
              <w:rPr>
                <w:sz w:val="20"/>
                <w:szCs w:val="20"/>
                <w:color w:val="auto"/>
              </w:rPr>
            </w:pPr>
            <w:r>
              <w:rPr>
                <w:rFonts w:ascii="Arial" w:cs="Arial" w:eastAsia="Arial" w:hAnsi="Arial"/>
                <w:sz w:val="13"/>
                <w:szCs w:val="13"/>
                <w:color w:val="auto"/>
              </w:rPr>
              <w:t>Age 72, Director since 2004</w:t>
            </w:r>
          </w:p>
        </w:tc>
        <w:tc>
          <w:tcPr>
            <w:tcW w:w="5420" w:type="dxa"/>
            <w:vAlign w:val="bottom"/>
            <w:tcBorders>
              <w:bottom w:val="single" w:sz="8" w:color="00548B"/>
            </w:tcBorders>
          </w:tcPr>
          <w:p>
            <w:pPr>
              <w:spacing w:after="0"/>
              <w:rPr>
                <w:sz w:val="13"/>
                <w:szCs w:val="13"/>
                <w:color w:val="auto"/>
              </w:rPr>
            </w:pPr>
          </w:p>
        </w:tc>
        <w:tc>
          <w:tcPr>
            <w:tcW w:w="1400" w:type="dxa"/>
            <w:vAlign w:val="bottom"/>
            <w:tcBorders>
              <w:bottom w:val="single" w:sz="8" w:color="00548B"/>
            </w:tcBorders>
          </w:tcPr>
          <w:p>
            <w:pPr>
              <w:spacing w:after="0"/>
              <w:rPr>
                <w:sz w:val="13"/>
                <w:szCs w:val="13"/>
                <w:color w:val="auto"/>
              </w:rPr>
            </w:pPr>
          </w:p>
        </w:tc>
        <w:tc>
          <w:tcPr>
            <w:tcW w:w="1840" w:type="dxa"/>
            <w:vAlign w:val="bottom"/>
            <w:tcBorders>
              <w:bottom w:val="single" w:sz="8" w:color="00548B"/>
            </w:tcBorders>
          </w:tcPr>
          <w:p>
            <w:pPr>
              <w:spacing w:after="0"/>
              <w:rPr>
                <w:sz w:val="13"/>
                <w:szCs w:val="13"/>
                <w:color w:val="auto"/>
              </w:rPr>
            </w:pPr>
          </w:p>
        </w:tc>
      </w:tr>
      <w:tr>
        <w:trPr>
          <w:trHeight w:val="283"/>
        </w:trPr>
        <w:tc>
          <w:tcPr>
            <w:tcW w:w="2360" w:type="dxa"/>
            <w:vAlign w:val="bottom"/>
          </w:tcPr>
          <w:p>
            <w:pPr>
              <w:spacing w:after="0"/>
              <w:rPr>
                <w:sz w:val="20"/>
                <w:szCs w:val="20"/>
                <w:color w:val="auto"/>
              </w:rPr>
            </w:pPr>
            <w:r>
              <w:rPr>
                <w:rFonts w:ascii="Arial" w:cs="Arial" w:eastAsia="Arial" w:hAnsi="Arial"/>
                <w:sz w:val="14"/>
                <w:szCs w:val="14"/>
                <w:color w:val="auto"/>
              </w:rPr>
              <w:t>A – Audit Committee</w:t>
            </w:r>
          </w:p>
        </w:tc>
        <w:tc>
          <w:tcPr>
            <w:tcW w:w="5420" w:type="dxa"/>
            <w:vAlign w:val="bottom"/>
          </w:tcPr>
          <w:p>
            <w:pPr>
              <w:ind w:left="1960"/>
              <w:spacing w:after="0"/>
              <w:rPr>
                <w:sz w:val="20"/>
                <w:szCs w:val="20"/>
                <w:color w:val="auto"/>
              </w:rPr>
            </w:pPr>
            <w:r>
              <w:rPr>
                <w:rFonts w:ascii="Arial" w:cs="Arial" w:eastAsia="Arial" w:hAnsi="Arial"/>
                <w:sz w:val="14"/>
                <w:szCs w:val="14"/>
                <w:color w:val="auto"/>
              </w:rPr>
              <w:t>c – Chairman</w:t>
            </w:r>
          </w:p>
        </w:tc>
        <w:tc>
          <w:tcPr>
            <w:tcW w:w="14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62"/>
        </w:trPr>
        <w:tc>
          <w:tcPr>
            <w:tcW w:w="2360" w:type="dxa"/>
            <w:vAlign w:val="bottom"/>
          </w:tcPr>
          <w:p>
            <w:pPr>
              <w:spacing w:after="0"/>
              <w:rPr>
                <w:sz w:val="20"/>
                <w:szCs w:val="20"/>
                <w:color w:val="auto"/>
              </w:rPr>
            </w:pPr>
            <w:r>
              <w:rPr>
                <w:rFonts w:ascii="Arial" w:cs="Arial" w:eastAsia="Arial" w:hAnsi="Arial"/>
                <w:sz w:val="14"/>
                <w:szCs w:val="14"/>
                <w:color w:val="auto"/>
              </w:rPr>
              <w:t>C – Compensation Committee</w:t>
            </w:r>
          </w:p>
        </w:tc>
        <w:tc>
          <w:tcPr>
            <w:tcW w:w="5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40" w:type="dxa"/>
            <w:vAlign w:val="bottom"/>
          </w:tcPr>
          <w:p>
            <w:pPr>
              <w:spacing w:after="0"/>
              <w:rPr>
                <w:sz w:val="14"/>
                <w:szCs w:val="14"/>
                <w:color w:val="auto"/>
              </w:rPr>
            </w:pPr>
          </w:p>
        </w:tc>
      </w:tr>
    </w:tbl>
    <w:p>
      <w:pPr>
        <w:ind w:left="120"/>
        <w:spacing w:after="0"/>
        <w:rPr>
          <w:sz w:val="20"/>
          <w:szCs w:val="20"/>
          <w:color w:val="auto"/>
        </w:rPr>
      </w:pPr>
      <w:r>
        <w:rPr>
          <w:rFonts w:ascii="Arial" w:cs="Arial" w:eastAsia="Arial" w:hAnsi="Arial"/>
          <w:sz w:val="14"/>
          <w:szCs w:val="14"/>
          <w:color w:val="auto"/>
        </w:rPr>
        <w:t>N&amp;CG – 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83185</wp:posOffset>
            </wp:positionV>
            <wp:extent cx="11226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142" w:lineRule="exact"/>
        <w:rPr>
          <w:sz w:val="20"/>
          <w:szCs w:val="20"/>
          <w:color w:val="auto"/>
        </w:rPr>
      </w:pPr>
    </w:p>
    <w:p>
      <w:pPr>
        <w:ind w:left="220" w:right="20" w:hanging="104"/>
        <w:spacing w:after="0" w:line="258" w:lineRule="auto"/>
        <w:tabs>
          <w:tab w:leader="none" w:pos="220" w:val="left"/>
        </w:tabs>
        <w:numPr>
          <w:ilvl w:val="0"/>
          <w:numId w:val="15"/>
        </w:numPr>
        <w:rPr>
          <w:rFonts w:ascii="Arial" w:cs="Arial" w:eastAsia="Arial" w:hAnsi="Arial"/>
          <w:sz w:val="12"/>
          <w:szCs w:val="12"/>
          <w:i w:val="1"/>
          <w:iCs w:val="1"/>
          <w:color w:val="auto"/>
        </w:rPr>
      </w:pPr>
      <w:r>
        <w:rPr>
          <w:rFonts w:ascii="Arial" w:cs="Arial" w:eastAsia="Arial" w:hAnsi="Arial"/>
          <w:sz w:val="12"/>
          <w:szCs w:val="12"/>
          <w:i w:val="1"/>
          <w:iCs w:val="1"/>
          <w:color w:val="auto"/>
        </w:rPr>
        <w:t>Mr. Roth is currently serving as a Class III Director serving a term that ends at the 2022 Annual Meeting. The board of directors has nominated Mr. Roth as a Class I Director to be voted upon at the 2020 Annual Meeting.</w:t>
      </w:r>
    </w:p>
    <w:p>
      <w:pPr>
        <w:spacing w:after="0" w:line="13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00548B"/>
        </w:rPr>
        <w:t>2</w:t>
      </w:r>
    </w:p>
    <w:p>
      <w:pPr>
        <w:sectPr>
          <w:pgSz w:w="11900" w:h="16838" w:orient="portrait"/>
          <w:cols w:equalWidth="0" w:num="1">
            <w:col w:w="11140"/>
          </w:cols>
          <w:pgMar w:left="32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120"/>
        <w:spacing w:after="0" w:line="260" w:lineRule="auto"/>
        <w:rPr>
          <w:sz w:val="20"/>
          <w:szCs w:val="20"/>
          <w:color w:val="auto"/>
        </w:rPr>
      </w:pPr>
      <w:r>
        <w:rPr>
          <w:rFonts w:ascii="Arial" w:cs="Arial" w:eastAsia="Arial" w:hAnsi="Arial"/>
          <w:sz w:val="16"/>
          <w:szCs w:val="16"/>
          <w:color w:val="auto"/>
        </w:rPr>
        <w:t>The below table summarizes the core competencies that our directors bring to the board. More detailed information on each of the director’s experience, qualifications, attributes and skills is more thoroughly described in the biographies following this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122555</wp:posOffset>
            </wp:positionV>
            <wp:extent cx="5194935" cy="41148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94935" cy="4114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00548B"/>
        </w:rPr>
        <w:t>3</w:t>
      </w:r>
    </w:p>
    <w:p>
      <w:pPr>
        <w:sectPr>
          <w:pgSz w:w="11900" w:h="16838" w:orient="portrait"/>
          <w:cols w:equalWidth="0" w:num="1">
            <w:col w:w="11120"/>
          </w:cols>
          <w:pgMar w:left="32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Presented below is information regarding the directors of the Company.</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48B"/>
        </w:rPr>
        <w:t>N</w:t>
      </w:r>
      <w:r>
        <w:rPr>
          <w:rFonts w:ascii="Arial" w:cs="Arial" w:eastAsia="Arial" w:hAnsi="Arial"/>
          <w:sz w:val="14"/>
          <w:szCs w:val="14"/>
          <w:b w:val="1"/>
          <w:bCs w:val="1"/>
          <w:color w:val="00548B"/>
        </w:rPr>
        <w:t>OMINEES TO</w:t>
      </w:r>
      <w:r>
        <w:rPr>
          <w:rFonts w:ascii="Arial" w:cs="Arial" w:eastAsia="Arial" w:hAnsi="Arial"/>
          <w:sz w:val="18"/>
          <w:szCs w:val="18"/>
          <w:b w:val="1"/>
          <w:bCs w:val="1"/>
          <w:color w:val="00548B"/>
        </w:rPr>
        <w:t xml:space="preserve"> B</w:t>
      </w:r>
      <w:r>
        <w:rPr>
          <w:rFonts w:ascii="Arial" w:cs="Arial" w:eastAsia="Arial" w:hAnsi="Arial"/>
          <w:sz w:val="14"/>
          <w:szCs w:val="14"/>
          <w:b w:val="1"/>
          <w:bCs w:val="1"/>
          <w:color w:val="00548B"/>
        </w:rPr>
        <w:t>OARD OF</w:t>
      </w:r>
      <w:r>
        <w:rPr>
          <w:rFonts w:ascii="Arial" w:cs="Arial" w:eastAsia="Arial" w:hAnsi="Arial"/>
          <w:sz w:val="18"/>
          <w:szCs w:val="18"/>
          <w:b w:val="1"/>
          <w:bCs w:val="1"/>
          <w:color w:val="00548B"/>
        </w:rPr>
        <w:t xml:space="preserve"> D</w:t>
      </w:r>
      <w:r>
        <w:rPr>
          <w:rFonts w:ascii="Arial" w:cs="Arial" w:eastAsia="Arial" w:hAnsi="Arial"/>
          <w:sz w:val="14"/>
          <w:szCs w:val="14"/>
          <w:b w:val="1"/>
          <w:bCs w:val="1"/>
          <w:color w:val="00548B"/>
        </w:rPr>
        <w:t>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37465</wp:posOffset>
            </wp:positionV>
            <wp:extent cx="6995160" cy="10629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0629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1800"/>
        <w:spacing w:after="0"/>
        <w:rPr>
          <w:sz w:val="20"/>
          <w:szCs w:val="20"/>
          <w:color w:val="auto"/>
        </w:rPr>
      </w:pPr>
      <w:r>
        <w:rPr>
          <w:rFonts w:ascii="Arial" w:cs="Arial" w:eastAsia="Arial" w:hAnsi="Arial"/>
          <w:sz w:val="16"/>
          <w:szCs w:val="16"/>
          <w:b w:val="1"/>
          <w:bCs w:val="1"/>
          <w:color w:val="D8D8D8"/>
        </w:rPr>
        <w:t>H. Eugene Lockhart</w:t>
      </w:r>
    </w:p>
    <w:p>
      <w:pPr>
        <w:spacing w:after="0" w:line="28" w:lineRule="exact"/>
        <w:rPr>
          <w:sz w:val="20"/>
          <w:szCs w:val="20"/>
          <w:color w:val="auto"/>
        </w:rPr>
      </w:pPr>
    </w:p>
    <w:p>
      <w:pPr>
        <w:ind w:left="1800"/>
        <w:spacing w:after="0"/>
        <w:rPr>
          <w:sz w:val="20"/>
          <w:szCs w:val="20"/>
          <w:color w:val="auto"/>
        </w:rPr>
      </w:pPr>
      <w:r>
        <w:rPr>
          <w:rFonts w:ascii="Arial" w:cs="Arial" w:eastAsia="Arial" w:hAnsi="Arial"/>
          <w:sz w:val="14"/>
          <w:szCs w:val="14"/>
          <w:color w:val="D8D8D8"/>
        </w:rPr>
        <w:t>Director since December 2006</w:t>
      </w:r>
    </w:p>
    <w:p>
      <w:pPr>
        <w:spacing w:after="0" w:line="1" w:lineRule="exact"/>
        <w:rPr>
          <w:sz w:val="20"/>
          <w:szCs w:val="20"/>
          <w:color w:val="auto"/>
        </w:rPr>
      </w:pPr>
    </w:p>
    <w:p>
      <w:pPr>
        <w:ind w:left="1800"/>
        <w:spacing w:after="0"/>
        <w:rPr>
          <w:sz w:val="20"/>
          <w:szCs w:val="20"/>
          <w:color w:val="auto"/>
        </w:rPr>
      </w:pPr>
      <w:r>
        <w:rPr>
          <w:rFonts w:ascii="Arial" w:cs="Arial" w:eastAsia="Arial" w:hAnsi="Arial"/>
          <w:sz w:val="14"/>
          <w:szCs w:val="14"/>
          <w:color w:val="D8D8D8"/>
        </w:rPr>
        <w:t>Audit Committee (Chair)</w:t>
      </w:r>
    </w:p>
    <w:p>
      <w:pPr>
        <w:spacing w:after="0" w:line="1" w:lineRule="exact"/>
        <w:rPr>
          <w:sz w:val="20"/>
          <w:szCs w:val="20"/>
          <w:color w:val="auto"/>
        </w:rPr>
      </w:pPr>
    </w:p>
    <w:p>
      <w:pPr>
        <w:ind w:left="1800"/>
        <w:spacing w:after="0"/>
        <w:rPr>
          <w:sz w:val="20"/>
          <w:szCs w:val="20"/>
          <w:color w:val="auto"/>
        </w:rPr>
      </w:pPr>
      <w:r>
        <w:rPr>
          <w:rFonts w:ascii="Arial" w:cs="Arial" w:eastAsia="Arial" w:hAnsi="Arial"/>
          <w:sz w:val="14"/>
          <w:szCs w:val="14"/>
          <w:color w:val="D8D8D8"/>
        </w:rPr>
        <w:t>Compensation Committee (Member)</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Professional Experience</w:t>
      </w:r>
    </w:p>
    <w:p>
      <w:pPr>
        <w:spacing w:after="0" w:line="25" w:lineRule="exact"/>
        <w:rPr>
          <w:sz w:val="20"/>
          <w:szCs w:val="20"/>
          <w:color w:val="auto"/>
        </w:rPr>
      </w:pPr>
    </w:p>
    <w:p>
      <w:pPr>
        <w:jc w:val="both"/>
        <w:ind w:left="220"/>
        <w:spacing w:after="0" w:line="248" w:lineRule="auto"/>
        <w:rPr>
          <w:sz w:val="20"/>
          <w:szCs w:val="20"/>
          <w:color w:val="auto"/>
        </w:rPr>
      </w:pPr>
      <w:r>
        <w:rPr>
          <w:rFonts w:ascii="Arial" w:cs="Arial" w:eastAsia="Arial" w:hAnsi="Arial"/>
          <w:sz w:val="16"/>
          <w:szCs w:val="16"/>
          <w:color w:val="auto"/>
        </w:rPr>
        <w:t>Since October 2014, Mr. Lockhart has been the founder, Chairman and Managing Partner of MissionOG LLC, a venture capital firm with significant operational and investment experience across the financial services and payments industries. He also served as Special Adviser at General Atlantic LLC, a leading global growth investment firm, from 2012 to 2019. From 2002 until 2012, Mr. Lockhart was a venture partner at Oak Investment Partners, a venture capital firm. Through these investment firms, Mr. Lockhart has been actively involved in overseeing the management of high growth companies, including NetSpend, Argus Information, Metro Bank PLC, CLIP, DemystData, Factor Trust, Avant, BillDesk, and others. Prior leadership positions include President of Global Retail Bank at Bank of America, President and Chief Executive Officer of MasterCard International, and CEO of Midland Bank plc.</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Board Service</w:t>
      </w:r>
    </w:p>
    <w:p>
      <w:pPr>
        <w:spacing w:after="0" w:line="25" w:lineRule="exact"/>
        <w:rPr>
          <w:sz w:val="20"/>
          <w:szCs w:val="20"/>
          <w:color w:val="auto"/>
        </w:rPr>
      </w:pPr>
    </w:p>
    <w:p>
      <w:pPr>
        <w:jc w:val="both"/>
        <w:ind w:left="220"/>
        <w:spacing w:after="0" w:line="250" w:lineRule="auto"/>
        <w:rPr>
          <w:sz w:val="20"/>
          <w:szCs w:val="20"/>
          <w:color w:val="auto"/>
        </w:rPr>
      </w:pPr>
      <w:r>
        <w:rPr>
          <w:rFonts w:ascii="Arial" w:cs="Arial" w:eastAsia="Arial" w:hAnsi="Arial"/>
          <w:sz w:val="16"/>
          <w:szCs w:val="16"/>
          <w:color w:val="auto"/>
        </w:rPr>
        <w:t>Mr. Lockhart has served on the board of Metro Bank PLC, a public retail bank operating in the U.K., since 2011 (currently as the Chair of the risk and audit committee). During the last five years, Mr. Lockhart previously served on the board of Aaron’s, Inc., a lease-to-own retailer of furnishings, electronics and appliances, and on the board and as audit committee Chairman of RadioShack Corporation, a retail seller of consumer electronic goods and services. Additionally, Mr. Lockhart has previously served on numerous philanthropic boards, including as Chair of the Thomas Jefferson Foundation (Monticello) and as the Chairman of the Darden School Foundation at the University of Virginia.</w:t>
      </w:r>
    </w:p>
    <w:p>
      <w:pPr>
        <w:spacing w:after="0" w:line="156"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Education</w:t>
      </w:r>
    </w:p>
    <w:p>
      <w:pPr>
        <w:spacing w:after="0" w:line="25" w:lineRule="exact"/>
        <w:rPr>
          <w:sz w:val="20"/>
          <w:szCs w:val="20"/>
          <w:color w:val="auto"/>
        </w:rPr>
      </w:pPr>
    </w:p>
    <w:p>
      <w:pPr>
        <w:jc w:val="both"/>
        <w:ind w:left="220"/>
        <w:spacing w:after="0" w:line="260" w:lineRule="auto"/>
        <w:rPr>
          <w:sz w:val="20"/>
          <w:szCs w:val="20"/>
          <w:color w:val="auto"/>
        </w:rPr>
      </w:pPr>
      <w:r>
        <w:rPr>
          <w:rFonts w:ascii="Arial" w:cs="Arial" w:eastAsia="Arial" w:hAnsi="Arial"/>
          <w:sz w:val="16"/>
          <w:szCs w:val="16"/>
          <w:color w:val="auto"/>
        </w:rPr>
        <w:t>Mr. Lockhart received a B.S. in Mechanical Engineering from the University of Virginia and an M.B.A. from The Darden Graduate School of Business at the University of Virginia. In addition, Mr. Lockhart is a Certified Public Accountant, licensed in the Commonwealth of Virginia.</w:t>
      </w:r>
    </w:p>
    <w:p>
      <w:pPr>
        <w:spacing w:after="0" w:line="148"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Individual Contributions</w:t>
      </w:r>
    </w:p>
    <w:p>
      <w:pPr>
        <w:spacing w:after="0" w:line="25" w:lineRule="exact"/>
        <w:rPr>
          <w:sz w:val="20"/>
          <w:szCs w:val="20"/>
          <w:color w:val="auto"/>
        </w:rPr>
      </w:pPr>
    </w:p>
    <w:p>
      <w:pPr>
        <w:jc w:val="both"/>
        <w:ind w:left="220"/>
        <w:spacing w:after="0" w:line="251" w:lineRule="auto"/>
        <w:rPr>
          <w:sz w:val="20"/>
          <w:szCs w:val="20"/>
          <w:color w:val="auto"/>
        </w:rPr>
      </w:pPr>
      <w:r>
        <w:rPr>
          <w:rFonts w:ascii="Arial" w:cs="Arial" w:eastAsia="Arial" w:hAnsi="Arial"/>
          <w:sz w:val="16"/>
          <w:szCs w:val="16"/>
          <w:color w:val="auto"/>
        </w:rPr>
        <w:t>Mr. Lockhart brings to Huron’s board his considerable experience overseeing and growing companies in which he represents venture capital investors, his experience as chief executive officer of leading corporations, and his service on the boards of companies and foundations in such fields as healthcare, education, pharmaceuticals, and financial services. In addition, as a former executive and chairman of some of the most visible companies in the world, Mr. Lockhart contributes a broad array of contacts to Huron.</w:t>
      </w:r>
    </w:p>
    <w:p>
      <w:pPr>
        <w:spacing w:after="0" w:line="13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00548B"/>
        </w:rPr>
        <w:t>4</w:t>
      </w:r>
    </w:p>
    <w:p>
      <w:pPr>
        <w:sectPr>
          <w:pgSz w:w="11900" w:h="16838" w:orient="portrait"/>
          <w:cols w:equalWidth="0" w:num="1">
            <w:col w:w="11020"/>
          </w:cols>
          <w:pgMar w:left="320" w:top="459" w:right="5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10718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071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800"/>
        <w:spacing w:after="0"/>
        <w:rPr>
          <w:sz w:val="20"/>
          <w:szCs w:val="20"/>
          <w:color w:val="auto"/>
        </w:rPr>
      </w:pPr>
      <w:r>
        <w:rPr>
          <w:rFonts w:ascii="Arial" w:cs="Arial" w:eastAsia="Arial" w:hAnsi="Arial"/>
          <w:sz w:val="16"/>
          <w:szCs w:val="16"/>
          <w:b w:val="1"/>
          <w:bCs w:val="1"/>
          <w:color w:val="D8D8D8"/>
        </w:rPr>
        <w:t>James H. Roth</w:t>
      </w:r>
    </w:p>
    <w:p>
      <w:pPr>
        <w:spacing w:after="0" w:line="28" w:lineRule="exact"/>
        <w:rPr>
          <w:sz w:val="20"/>
          <w:szCs w:val="20"/>
          <w:color w:val="auto"/>
        </w:rPr>
      </w:pPr>
    </w:p>
    <w:p>
      <w:pPr>
        <w:ind w:left="1800"/>
        <w:spacing w:after="0"/>
        <w:rPr>
          <w:sz w:val="20"/>
          <w:szCs w:val="20"/>
          <w:color w:val="auto"/>
        </w:rPr>
      </w:pPr>
      <w:r>
        <w:rPr>
          <w:rFonts w:ascii="Arial" w:cs="Arial" w:eastAsia="Arial" w:hAnsi="Arial"/>
          <w:sz w:val="14"/>
          <w:szCs w:val="14"/>
          <w:color w:val="D8D8D8"/>
        </w:rPr>
        <w:t>Director since November 2009</w:t>
      </w:r>
    </w:p>
    <w:p>
      <w:pPr>
        <w:spacing w:after="0" w:line="1" w:lineRule="exact"/>
        <w:rPr>
          <w:sz w:val="20"/>
          <w:szCs w:val="20"/>
          <w:color w:val="auto"/>
        </w:rPr>
      </w:pPr>
    </w:p>
    <w:p>
      <w:pPr>
        <w:ind w:left="1800"/>
        <w:spacing w:after="0"/>
        <w:rPr>
          <w:sz w:val="20"/>
          <w:szCs w:val="20"/>
          <w:color w:val="auto"/>
        </w:rPr>
      </w:pPr>
      <w:r>
        <w:rPr>
          <w:rFonts w:ascii="Arial" w:cs="Arial" w:eastAsia="Arial" w:hAnsi="Arial"/>
          <w:sz w:val="14"/>
          <w:szCs w:val="14"/>
          <w:color w:val="D8D8D8"/>
        </w:rPr>
        <w:t>Chief Executive Officer of Huron Consulting Group Inc. and Huron Consulting Services LLC (July 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Professional Experience</w:t>
      </w:r>
    </w:p>
    <w:p>
      <w:pPr>
        <w:spacing w:after="0" w:line="25" w:lineRule="exact"/>
        <w:rPr>
          <w:sz w:val="20"/>
          <w:szCs w:val="20"/>
          <w:color w:val="auto"/>
        </w:rPr>
      </w:pPr>
    </w:p>
    <w:p>
      <w:pPr>
        <w:jc w:val="both"/>
        <w:ind w:left="220"/>
        <w:spacing w:after="0" w:line="248" w:lineRule="auto"/>
        <w:rPr>
          <w:sz w:val="20"/>
          <w:szCs w:val="20"/>
          <w:color w:val="auto"/>
        </w:rPr>
      </w:pPr>
      <w:r>
        <w:rPr>
          <w:rFonts w:ascii="Arial" w:cs="Arial" w:eastAsia="Arial" w:hAnsi="Arial"/>
          <w:sz w:val="16"/>
          <w:szCs w:val="16"/>
          <w:color w:val="auto"/>
        </w:rPr>
        <w:t xml:space="preserve">As a founding member of Huron, Mr. Roth guided and grew Huron’s Higher Education consulting practice to a position of preeminence in the industry. He has more than 35 years of consulting experience working with many of the premier research universities and academic medical centers. Under his leadership as CEO, Huron has been named by </w:t>
      </w:r>
      <w:r>
        <w:rPr>
          <w:rFonts w:ascii="Arial" w:cs="Arial" w:eastAsia="Arial" w:hAnsi="Arial"/>
          <w:sz w:val="16"/>
          <w:szCs w:val="16"/>
          <w:i w:val="1"/>
          <w:iCs w:val="1"/>
          <w:color w:val="auto"/>
        </w:rPr>
        <w:t>Forbes</w:t>
      </w:r>
      <w:r>
        <w:rPr>
          <w:rFonts w:ascii="Arial" w:cs="Arial" w:eastAsia="Arial" w:hAnsi="Arial"/>
          <w:sz w:val="16"/>
          <w:szCs w:val="16"/>
          <w:color w:val="auto"/>
        </w:rPr>
        <w:t xml:space="preserve"> as one of the Best Management Consulting Firms for the last four years and one of America’s Best Employers in 2015 and 2016, by </w:t>
      </w:r>
      <w:r>
        <w:rPr>
          <w:rFonts w:ascii="Arial" w:cs="Arial" w:eastAsia="Arial" w:hAnsi="Arial"/>
          <w:sz w:val="16"/>
          <w:szCs w:val="16"/>
          <w:i w:val="1"/>
          <w:iCs w:val="1"/>
          <w:color w:val="auto"/>
        </w:rPr>
        <w:t>Consulting</w:t>
      </w:r>
      <w:r>
        <w:rPr>
          <w:rFonts w:ascii="Arial" w:cs="Arial" w:eastAsia="Arial" w:hAnsi="Arial"/>
          <w:sz w:val="16"/>
          <w:szCs w:val="16"/>
          <w:color w:val="auto"/>
        </w:rPr>
        <w:t xml:space="preserve"> magazine as one of the Best Firms to Work for from 2011 through 2019, and, for eleven years in a row, Huron’s Healthcare practice was ranked in the top five of </w:t>
      </w:r>
      <w:r>
        <w:rPr>
          <w:rFonts w:ascii="Arial" w:cs="Arial" w:eastAsia="Arial" w:hAnsi="Arial"/>
          <w:sz w:val="16"/>
          <w:szCs w:val="16"/>
          <w:i w:val="1"/>
          <w:iCs w:val="1"/>
          <w:color w:val="auto"/>
        </w:rPr>
        <w:t>Modern Healthcare</w:t>
      </w:r>
      <w:r>
        <w:rPr>
          <w:rFonts w:ascii="Arial" w:cs="Arial" w:eastAsia="Arial" w:hAnsi="Arial"/>
          <w:sz w:val="16"/>
          <w:szCs w:val="16"/>
          <w:color w:val="auto"/>
        </w:rPr>
        <w:t>’s list of Largest Healthcare Management Consulting Firms. He served as President of Huron from March 2011 to February 2019. He also served as Vice President, Health and Education Consulting for the Company from January 2007 until July 2009. Since Huron’s inception in 2002, until he became CEO, Mr. Roth was a managing director and practice leader of the Company’s Higher Education consulting practice, which he grew into one of our largest organically grown practices within the Company.</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Board Service</w:t>
      </w:r>
    </w:p>
    <w:p>
      <w:pPr>
        <w:spacing w:after="0" w:line="25" w:lineRule="exact"/>
        <w:rPr>
          <w:sz w:val="20"/>
          <w:szCs w:val="20"/>
          <w:color w:val="auto"/>
        </w:rPr>
      </w:pPr>
    </w:p>
    <w:p>
      <w:pPr>
        <w:jc w:val="both"/>
        <w:ind w:left="220"/>
        <w:spacing w:after="0" w:line="250" w:lineRule="auto"/>
        <w:rPr>
          <w:sz w:val="20"/>
          <w:szCs w:val="20"/>
          <w:color w:val="auto"/>
        </w:rPr>
      </w:pPr>
      <w:r>
        <w:rPr>
          <w:rFonts w:ascii="Arial" w:cs="Arial" w:eastAsia="Arial" w:hAnsi="Arial"/>
          <w:sz w:val="16"/>
          <w:szCs w:val="16"/>
          <w:color w:val="auto"/>
        </w:rPr>
        <w:t>Mr. Roth has served on the boards of Shorelight Holdings LLC, a U.S.-based company focused on partnering with leading nonprofit universities to increase access and retention of international students and boost institutional growth since 2014, of Keypath Education Holdings, LLC, a leading provider of comprehensive marketing and enrollment management services to colleges and universities, since 2014 and Lurie Children’s Pediatric Anesthesia Associates, a Chicago-based medical group practice, since 2019. During the last five years, Mr. Roth previously served on the board of Aviv REIT, a self-administered real estate investment trust specializing in skilled nursing facilities.</w:t>
      </w:r>
    </w:p>
    <w:p>
      <w:pPr>
        <w:spacing w:after="0" w:line="142"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Education</w:t>
      </w:r>
    </w:p>
    <w:p>
      <w:pPr>
        <w:spacing w:after="0" w:line="2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Mr. Roth received a B.A. in Political Science and Economics from Vanderbilt University and an M.B.A. from Southern Methodist University.</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Individual Contributions</w:t>
      </w:r>
    </w:p>
    <w:p>
      <w:pPr>
        <w:spacing w:after="0" w:line="25" w:lineRule="exact"/>
        <w:rPr>
          <w:sz w:val="20"/>
          <w:szCs w:val="20"/>
          <w:color w:val="auto"/>
        </w:rPr>
      </w:pPr>
    </w:p>
    <w:p>
      <w:pPr>
        <w:jc w:val="both"/>
        <w:ind w:left="220"/>
        <w:spacing w:after="0" w:line="251" w:lineRule="auto"/>
        <w:rPr>
          <w:sz w:val="20"/>
          <w:szCs w:val="20"/>
          <w:color w:val="auto"/>
        </w:rPr>
      </w:pPr>
      <w:r>
        <w:rPr>
          <w:rFonts w:ascii="Arial" w:cs="Arial" w:eastAsia="Arial" w:hAnsi="Arial"/>
          <w:sz w:val="16"/>
          <w:szCs w:val="16"/>
          <w:color w:val="auto"/>
        </w:rPr>
        <w:t xml:space="preserve">Through his distinguished career as both an officer and consultant at Huron, Mr. Roth brings to the board his hands-on perspective of the strategy and operations of institutions of higher education and academic medical centers, including their research facilities. Twice named by </w:t>
      </w:r>
      <w:r>
        <w:rPr>
          <w:rFonts w:ascii="Arial" w:cs="Arial" w:eastAsia="Arial" w:hAnsi="Arial"/>
          <w:sz w:val="16"/>
          <w:szCs w:val="16"/>
          <w:i w:val="1"/>
          <w:iCs w:val="1"/>
          <w:color w:val="auto"/>
        </w:rPr>
        <w:t>Consulting</w:t>
      </w:r>
      <w:r>
        <w:rPr>
          <w:rFonts w:ascii="Arial" w:cs="Arial" w:eastAsia="Arial" w:hAnsi="Arial"/>
          <w:sz w:val="16"/>
          <w:szCs w:val="16"/>
          <w:color w:val="auto"/>
        </w:rPr>
        <w:t xml:space="preserve"> magazine as one of the Top 25 Most Influential Consultants, Mr. Roth contributes to the board a unique understanding of the Huron organization, the consulting business, and the businesses of our clients.</w:t>
      </w:r>
    </w:p>
    <w:p>
      <w:pPr>
        <w:spacing w:after="0" w:line="13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00548B"/>
        </w:rPr>
        <w:t>5</w:t>
      </w:r>
    </w:p>
    <w:p>
      <w:pPr>
        <w:sectPr>
          <w:pgSz w:w="11900" w:h="16838" w:orient="portrait"/>
          <w:cols w:equalWidth="0" w:num="1">
            <w:col w:w="11020"/>
          </w:cols>
          <w:pgMar w:left="320" w:top="459" w:right="5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548B"/>
        </w:rPr>
        <w:t>D</w:t>
      </w:r>
      <w:r>
        <w:rPr>
          <w:rFonts w:ascii="Arial" w:cs="Arial" w:eastAsia="Arial" w:hAnsi="Arial"/>
          <w:sz w:val="14"/>
          <w:szCs w:val="14"/>
          <w:b w:val="1"/>
          <w:bCs w:val="1"/>
          <w:color w:val="00548B"/>
        </w:rPr>
        <w:t>IRECTORS</w:t>
      </w:r>
      <w:r>
        <w:rPr>
          <w:rFonts w:ascii="Arial" w:cs="Arial" w:eastAsia="Arial" w:hAnsi="Arial"/>
          <w:sz w:val="18"/>
          <w:szCs w:val="18"/>
          <w:b w:val="1"/>
          <w:bCs w:val="1"/>
          <w:color w:val="00548B"/>
        </w:rPr>
        <w:t xml:space="preserve"> N</w:t>
      </w:r>
      <w:r>
        <w:rPr>
          <w:rFonts w:ascii="Arial" w:cs="Arial" w:eastAsia="Arial" w:hAnsi="Arial"/>
          <w:sz w:val="14"/>
          <w:szCs w:val="14"/>
          <w:b w:val="1"/>
          <w:bCs w:val="1"/>
          <w:color w:val="00548B"/>
        </w:rPr>
        <w:t>OT</w:t>
      </w:r>
      <w:r>
        <w:rPr>
          <w:rFonts w:ascii="Arial" w:cs="Arial" w:eastAsia="Arial" w:hAnsi="Arial"/>
          <w:sz w:val="18"/>
          <w:szCs w:val="18"/>
          <w:b w:val="1"/>
          <w:bCs w:val="1"/>
          <w:color w:val="00548B"/>
        </w:rPr>
        <w:t xml:space="preserve"> S</w:t>
      </w:r>
      <w:r>
        <w:rPr>
          <w:rFonts w:ascii="Arial" w:cs="Arial" w:eastAsia="Arial" w:hAnsi="Arial"/>
          <w:sz w:val="14"/>
          <w:szCs w:val="14"/>
          <w:b w:val="1"/>
          <w:bCs w:val="1"/>
          <w:color w:val="00548B"/>
        </w:rPr>
        <w:t>TANDING FOR</w:t>
      </w:r>
      <w:r>
        <w:rPr>
          <w:rFonts w:ascii="Arial" w:cs="Arial" w:eastAsia="Arial" w:hAnsi="Arial"/>
          <w:sz w:val="18"/>
          <w:szCs w:val="18"/>
          <w:b w:val="1"/>
          <w:bCs w:val="1"/>
          <w:color w:val="00548B"/>
        </w:rPr>
        <w:t xml:space="preserve"> E</w:t>
      </w:r>
      <w:r>
        <w:rPr>
          <w:rFonts w:ascii="Arial" w:cs="Arial" w:eastAsia="Arial" w:hAnsi="Arial"/>
          <w:sz w:val="14"/>
          <w:szCs w:val="14"/>
          <w:b w:val="1"/>
          <w:bCs w:val="1"/>
          <w:color w:val="00548B"/>
        </w:rPr>
        <w:t>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37465</wp:posOffset>
            </wp:positionV>
            <wp:extent cx="6995160" cy="10629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062990"/>
                    </a:xfrm>
                    <a:prstGeom prst="rect">
                      <a:avLst/>
                    </a:prstGeom>
                    <a:noFill/>
                  </pic:spPr>
                </pic:pic>
              </a:graphicData>
            </a:graphic>
          </wp:anchor>
        </w:drawing>
      </w:r>
    </w:p>
    <w:p>
      <w:pPr>
        <w:spacing w:after="0" w:line="331" w:lineRule="exact"/>
        <w:rPr>
          <w:sz w:val="20"/>
          <w:szCs w:val="20"/>
          <w:color w:val="auto"/>
        </w:rPr>
      </w:pPr>
    </w:p>
    <w:p>
      <w:pPr>
        <w:ind w:left="1800"/>
        <w:spacing w:after="0"/>
        <w:rPr>
          <w:sz w:val="20"/>
          <w:szCs w:val="20"/>
          <w:color w:val="auto"/>
        </w:rPr>
      </w:pPr>
      <w:r>
        <w:rPr>
          <w:rFonts w:ascii="Arial" w:cs="Arial" w:eastAsia="Arial" w:hAnsi="Arial"/>
          <w:sz w:val="16"/>
          <w:szCs w:val="16"/>
          <w:b w:val="1"/>
          <w:bCs w:val="1"/>
          <w:color w:val="D8D8D8"/>
        </w:rPr>
        <w:t>John McCartney</w:t>
      </w:r>
    </w:p>
    <w:p>
      <w:pPr>
        <w:spacing w:after="0" w:line="28" w:lineRule="exact"/>
        <w:rPr>
          <w:sz w:val="20"/>
          <w:szCs w:val="20"/>
          <w:color w:val="auto"/>
        </w:rPr>
      </w:pPr>
    </w:p>
    <w:p>
      <w:pPr>
        <w:ind w:left="1800"/>
        <w:spacing w:after="0"/>
        <w:rPr>
          <w:sz w:val="20"/>
          <w:szCs w:val="20"/>
          <w:color w:val="auto"/>
        </w:rPr>
      </w:pPr>
      <w:r>
        <w:rPr>
          <w:rFonts w:ascii="Arial" w:cs="Arial" w:eastAsia="Arial" w:hAnsi="Arial"/>
          <w:sz w:val="14"/>
          <w:szCs w:val="14"/>
          <w:color w:val="D8D8D8"/>
        </w:rPr>
        <w:t>Director since October 2004</w:t>
      </w:r>
    </w:p>
    <w:p>
      <w:pPr>
        <w:spacing w:after="0" w:line="1" w:lineRule="exact"/>
        <w:rPr>
          <w:sz w:val="20"/>
          <w:szCs w:val="20"/>
          <w:color w:val="auto"/>
        </w:rPr>
      </w:pPr>
    </w:p>
    <w:p>
      <w:pPr>
        <w:ind w:left="1800"/>
        <w:spacing w:after="0"/>
        <w:rPr>
          <w:sz w:val="20"/>
          <w:szCs w:val="20"/>
          <w:color w:val="auto"/>
        </w:rPr>
      </w:pPr>
      <w:r>
        <w:rPr>
          <w:rFonts w:ascii="Arial" w:cs="Arial" w:eastAsia="Arial" w:hAnsi="Arial"/>
          <w:sz w:val="14"/>
          <w:szCs w:val="14"/>
          <w:color w:val="D8D8D8"/>
        </w:rPr>
        <w:t>Non-executive Chairman of the Board (May 2010)</w:t>
      </w:r>
    </w:p>
    <w:p>
      <w:pPr>
        <w:spacing w:after="0" w:line="1" w:lineRule="exact"/>
        <w:rPr>
          <w:sz w:val="20"/>
          <w:szCs w:val="20"/>
          <w:color w:val="auto"/>
        </w:rPr>
      </w:pPr>
    </w:p>
    <w:p>
      <w:pPr>
        <w:ind w:left="1800"/>
        <w:spacing w:after="0"/>
        <w:rPr>
          <w:sz w:val="20"/>
          <w:szCs w:val="20"/>
          <w:color w:val="auto"/>
        </w:rPr>
      </w:pPr>
      <w:r>
        <w:rPr>
          <w:rFonts w:ascii="Arial" w:cs="Arial" w:eastAsia="Arial" w:hAnsi="Arial"/>
          <w:sz w:val="14"/>
          <w:szCs w:val="14"/>
          <w:color w:val="D8D8D8"/>
        </w:rPr>
        <w:t>Nominating and Corporate Governance Committee (Chair)</w:t>
      </w:r>
    </w:p>
    <w:p>
      <w:pPr>
        <w:spacing w:after="0" w:line="1" w:lineRule="exact"/>
        <w:rPr>
          <w:sz w:val="20"/>
          <w:szCs w:val="20"/>
          <w:color w:val="auto"/>
        </w:rPr>
      </w:pPr>
    </w:p>
    <w:p>
      <w:pPr>
        <w:ind w:left="1800"/>
        <w:spacing w:after="0"/>
        <w:rPr>
          <w:sz w:val="20"/>
          <w:szCs w:val="20"/>
          <w:color w:val="auto"/>
        </w:rPr>
      </w:pPr>
      <w:r>
        <w:rPr>
          <w:rFonts w:ascii="Arial" w:cs="Arial" w:eastAsia="Arial" w:hAnsi="Arial"/>
          <w:sz w:val="14"/>
          <w:szCs w:val="14"/>
          <w:color w:val="D8D8D8"/>
        </w:rPr>
        <w:t>Audit Committee (Member)</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Professional Experience</w:t>
      </w:r>
    </w:p>
    <w:p>
      <w:pPr>
        <w:spacing w:after="0" w:line="25" w:lineRule="exact"/>
        <w:rPr>
          <w:sz w:val="20"/>
          <w:szCs w:val="20"/>
          <w:color w:val="auto"/>
        </w:rPr>
      </w:pPr>
    </w:p>
    <w:p>
      <w:pPr>
        <w:jc w:val="both"/>
        <w:ind w:left="220"/>
        <w:spacing w:after="0" w:line="251" w:lineRule="auto"/>
        <w:rPr>
          <w:sz w:val="20"/>
          <w:szCs w:val="20"/>
          <w:color w:val="auto"/>
        </w:rPr>
      </w:pPr>
      <w:r>
        <w:rPr>
          <w:rFonts w:ascii="Arial" w:cs="Arial" w:eastAsia="Arial" w:hAnsi="Arial"/>
          <w:sz w:val="16"/>
          <w:szCs w:val="16"/>
          <w:color w:val="auto"/>
        </w:rPr>
        <w:t>Mr. McCartney joined the executive management team of US Robotics in March 1984 as Vice President and Chief Financial Officer. At US Robotics, he served in various executive capacities, including as Executive Vice President, International, until serving as President and Chief Operating Officer from January 1996 until its merger with 3Com Corporation in June 1997. From June 1997 to March 1998, Mr. McCartney held the position of President of 3Com Corporation’s Client Access Unit.</w:t>
      </w:r>
    </w:p>
    <w:p>
      <w:pPr>
        <w:spacing w:after="0" w:line="142"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Board Service</w:t>
      </w:r>
    </w:p>
    <w:p>
      <w:pPr>
        <w:spacing w:after="0" w:line="25" w:lineRule="exact"/>
        <w:rPr>
          <w:sz w:val="20"/>
          <w:szCs w:val="20"/>
          <w:color w:val="auto"/>
        </w:rPr>
      </w:pPr>
    </w:p>
    <w:p>
      <w:pPr>
        <w:jc w:val="both"/>
        <w:ind w:left="220"/>
        <w:spacing w:after="0" w:line="248" w:lineRule="auto"/>
        <w:rPr>
          <w:sz w:val="20"/>
          <w:szCs w:val="20"/>
          <w:color w:val="auto"/>
        </w:rPr>
      </w:pPr>
      <w:r>
        <w:rPr>
          <w:rFonts w:ascii="Arial" w:cs="Arial" w:eastAsia="Arial" w:hAnsi="Arial"/>
          <w:sz w:val="16"/>
          <w:szCs w:val="16"/>
          <w:color w:val="auto"/>
        </w:rPr>
        <w:t>Mr. McCartney has served on the boards of Datatec Limited, a public networking technology and services company, since 2007 (currently as a member of the remuneration committee and as a member of the nominations and audit, risk and compliance committees) and Transco, Inc., a Chicago-based company that provides solutions to customers in the electric utility industry, since 2011. Mr. McCartney also serves as the Board Chair of EQT, Corp., a natural gas exploration and production company and as a member of its management development, compensation and nominating and governance committees. During the last five years, Mr. McCartney previously served on the boards of Westcon Group, Inc., a specialty distributor of networking and communications equipment, Rice Energy Inc., an independent natural gas and oil company, Covance Inc., a public drug development services company, and A.M. Castle &amp; Co., a public global distributor of specialty metal and plastic products. In addition, Mr. McCartney served as Chairman of the board of trustees of Davidson College from 2004 to 2008.</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Education</w:t>
      </w:r>
    </w:p>
    <w:p>
      <w:pPr>
        <w:spacing w:after="0" w:line="2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Mr. McCartney received a B.A. in Philosophy from Davidson College and an M.B.A. from The Wharton School of the University of Pennsylvania.</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Individual Contributions</w:t>
      </w:r>
    </w:p>
    <w:p>
      <w:pPr>
        <w:spacing w:after="0" w:line="25" w:lineRule="exact"/>
        <w:rPr>
          <w:sz w:val="20"/>
          <w:szCs w:val="20"/>
          <w:color w:val="auto"/>
        </w:rPr>
      </w:pPr>
    </w:p>
    <w:p>
      <w:pPr>
        <w:jc w:val="both"/>
        <w:ind w:left="220"/>
        <w:spacing w:after="0" w:line="250" w:lineRule="auto"/>
        <w:rPr>
          <w:sz w:val="20"/>
          <w:szCs w:val="20"/>
          <w:color w:val="auto"/>
        </w:rPr>
      </w:pPr>
      <w:r>
        <w:rPr>
          <w:rFonts w:ascii="Arial" w:cs="Arial" w:eastAsia="Arial" w:hAnsi="Arial"/>
          <w:sz w:val="16"/>
          <w:szCs w:val="16"/>
          <w:color w:val="auto"/>
        </w:rPr>
        <w:t>Mr. McCartney has served as chairman and vice chairman of the boards of a number of public and private organizations, including companies with a focus on healthcare and drug development and an institution of higher education. Mr. McCartney, a former Certified Public Accountant, brings to the Huron board, and the audit committee in particular, his prior experience as chief financial officer and chief operating officer of a public company, which has enabled him to contribute to Huron’s development into a prominent consultancy. Mr. McCartney is based in Chicago, the location of Huron’s principal business offices.</w:t>
      </w:r>
    </w:p>
    <w:p>
      <w:pPr>
        <w:spacing w:after="0" w:line="13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00548B"/>
        </w:rPr>
        <w:t>6</w:t>
      </w:r>
    </w:p>
    <w:p>
      <w:pPr>
        <w:sectPr>
          <w:pgSz w:w="11900" w:h="16838" w:orient="portrait"/>
          <w:cols w:equalWidth="0" w:num="1">
            <w:col w:w="11020"/>
          </w:cols>
          <w:pgMar w:left="320" w:top="459" w:right="5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10629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062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spacing w:after="0"/>
        <w:rPr>
          <w:sz w:val="20"/>
          <w:szCs w:val="20"/>
          <w:color w:val="auto"/>
        </w:rPr>
      </w:pPr>
      <w:r>
        <w:rPr>
          <w:rFonts w:ascii="Arial" w:cs="Arial" w:eastAsia="Arial" w:hAnsi="Arial"/>
          <w:sz w:val="16"/>
          <w:szCs w:val="16"/>
          <w:b w:val="1"/>
          <w:bCs w:val="1"/>
          <w:color w:val="D8D8D8"/>
        </w:rPr>
        <w:t>Hugh E. Sawyer</w:t>
      </w:r>
    </w:p>
    <w:p>
      <w:pPr>
        <w:spacing w:after="0" w:line="28" w:lineRule="exact"/>
        <w:rPr>
          <w:sz w:val="20"/>
          <w:szCs w:val="20"/>
          <w:color w:val="auto"/>
        </w:rPr>
      </w:pPr>
    </w:p>
    <w:p>
      <w:pPr>
        <w:ind w:left="1800"/>
        <w:spacing w:after="0"/>
        <w:rPr>
          <w:sz w:val="20"/>
          <w:szCs w:val="20"/>
          <w:color w:val="auto"/>
        </w:rPr>
      </w:pPr>
      <w:r>
        <w:rPr>
          <w:rFonts w:ascii="Arial" w:cs="Arial" w:eastAsia="Arial" w:hAnsi="Arial"/>
          <w:sz w:val="14"/>
          <w:szCs w:val="14"/>
          <w:color w:val="D8D8D8"/>
        </w:rPr>
        <w:t>Director since February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Professional Experience</w:t>
      </w:r>
    </w:p>
    <w:p>
      <w:pPr>
        <w:spacing w:after="0" w:line="25" w:lineRule="exact"/>
        <w:rPr>
          <w:sz w:val="20"/>
          <w:szCs w:val="20"/>
          <w:color w:val="auto"/>
        </w:rPr>
      </w:pPr>
    </w:p>
    <w:p>
      <w:pPr>
        <w:jc w:val="both"/>
        <w:ind w:left="220"/>
        <w:spacing w:after="0" w:line="248" w:lineRule="auto"/>
        <w:rPr>
          <w:sz w:val="20"/>
          <w:szCs w:val="20"/>
          <w:color w:val="auto"/>
        </w:rPr>
      </w:pPr>
      <w:r>
        <w:rPr>
          <w:rFonts w:ascii="Arial" w:cs="Arial" w:eastAsia="Arial" w:hAnsi="Arial"/>
          <w:sz w:val="16"/>
          <w:szCs w:val="16"/>
          <w:color w:val="auto"/>
        </w:rPr>
        <w:t>Since April 2017, Mr. Sawyer has served as the President and Chief Executive Officer of Regis Corporation, a corporation that owns, franchises and operates beauty salons worldwide. Mr. Sawyer previously served as a managing director at Huron, beginning in January 2010, and led the Operational Improvement Service Line for Huron’s Business Advisory Practice. He has more than 35 years of experience leading operational improvements, turnarounds, mergers and acquisitions and strategic transformations for both public and private companies across a diverse group of industries. While at Huron, he served as Interim President and CEO of JHT Holdings, Inc., a provider of specialized transportation and logistics services, from January 2010 to March 2012; as the Chief Administrative Officer of Fisker Automotive Inc. (now known as Fisker Inc.), a manufacturer of hybrid electric vehicles, from January 2013 to March 2013; as Chief Restructuring Officer of Fisker Automotive from March 2013 to October 2013; and as Interim President of Euramax International, Inc., a global manufacturer of building products, from February 2014 to August 2015. Including Regis, he has served as the president or chief executive officer of nine companies, including Wells Fargo Armored Service Corporation, The Cunningham Group, Inc., National Linen Service, Inc., Aegis Communications Group, Inc., Allied Holdings, Inc., and Legendary Holdings, Inc.</w:t>
      </w:r>
    </w:p>
    <w:p>
      <w:pPr>
        <w:spacing w:after="0" w:line="144"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Board Service</w:t>
      </w:r>
    </w:p>
    <w:p>
      <w:pPr>
        <w:spacing w:after="0" w:line="25" w:lineRule="exact"/>
        <w:rPr>
          <w:sz w:val="20"/>
          <w:szCs w:val="20"/>
          <w:color w:val="auto"/>
        </w:rPr>
      </w:pPr>
    </w:p>
    <w:p>
      <w:pPr>
        <w:jc w:val="both"/>
        <w:ind w:left="220"/>
        <w:spacing w:after="0" w:line="253" w:lineRule="auto"/>
        <w:rPr>
          <w:sz w:val="20"/>
          <w:szCs w:val="20"/>
          <w:color w:val="auto"/>
        </w:rPr>
      </w:pPr>
      <w:r>
        <w:rPr>
          <w:rFonts w:ascii="Arial" w:cs="Arial" w:eastAsia="Arial" w:hAnsi="Arial"/>
          <w:sz w:val="16"/>
          <w:szCs w:val="16"/>
          <w:color w:val="auto"/>
        </w:rPr>
        <w:t>Mr. Sawyer was elected Chairman of the Board of Regis Corporation in February 2020. During the last five years, Mr. Sawyer previously served on the boards of JHT Holdings, Inc., Energy Future Competitive Holdings Company LLC and its subsidiary, Texas Competitive Electric Holdings Company LLC, and on the board of managing trustees of the Edison Mission Energy Reorganization Trust.</w:t>
      </w:r>
    </w:p>
    <w:p>
      <w:pPr>
        <w:spacing w:after="0" w:line="141"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Education</w:t>
      </w:r>
    </w:p>
    <w:p>
      <w:pPr>
        <w:spacing w:after="0" w:line="2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Mr. Sawyer received a B.A. in English with honors from the University of Florida.</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Individual Contributions</w:t>
      </w:r>
    </w:p>
    <w:p>
      <w:pPr>
        <w:spacing w:after="0" w:line="25" w:lineRule="exact"/>
        <w:rPr>
          <w:sz w:val="20"/>
          <w:szCs w:val="20"/>
          <w:color w:val="auto"/>
        </w:rPr>
      </w:pPr>
    </w:p>
    <w:p>
      <w:pPr>
        <w:jc w:val="both"/>
        <w:ind w:left="220"/>
        <w:spacing w:after="0" w:line="251" w:lineRule="auto"/>
        <w:rPr>
          <w:sz w:val="20"/>
          <w:szCs w:val="20"/>
          <w:color w:val="auto"/>
        </w:rPr>
      </w:pPr>
      <w:r>
        <w:rPr>
          <w:rFonts w:ascii="Arial" w:cs="Arial" w:eastAsia="Arial" w:hAnsi="Arial"/>
          <w:sz w:val="16"/>
          <w:szCs w:val="16"/>
          <w:color w:val="auto"/>
        </w:rPr>
        <w:t>Mr. Sawyer has a proven history of providing transformational leadership to companies in a broad range of industries, including consumer retail, utilities, healthcare, transportation and logistics, CRM solutions and telecommunications, automotive, and real estate development. Mr. Sawyer also has an extensive governance background as a board member for numerous businesses with sophisticated constituents facing complex circumstances, and has brought this experience with him to the Huron board.</w:t>
      </w:r>
    </w:p>
    <w:p>
      <w:pPr>
        <w:spacing w:after="0" w:line="13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00548B"/>
        </w:rPr>
        <w:t>7</w:t>
      </w:r>
    </w:p>
    <w:p>
      <w:pPr>
        <w:sectPr>
          <w:pgSz w:w="11900" w:h="16838" w:orient="portrait"/>
          <w:cols w:equalWidth="0" w:num="1">
            <w:col w:w="11020"/>
          </w:cols>
          <w:pgMar w:left="320" w:top="459" w:right="5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10033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003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800"/>
        <w:spacing w:after="0"/>
        <w:rPr>
          <w:sz w:val="20"/>
          <w:szCs w:val="20"/>
          <w:color w:val="auto"/>
        </w:rPr>
      </w:pPr>
      <w:r>
        <w:rPr>
          <w:rFonts w:ascii="Arial" w:cs="Arial" w:eastAsia="Arial" w:hAnsi="Arial"/>
          <w:sz w:val="16"/>
          <w:szCs w:val="16"/>
          <w:b w:val="1"/>
          <w:bCs w:val="1"/>
          <w:color w:val="D8D8D8"/>
        </w:rPr>
        <w:t>Ekta Singh-Bushell</w:t>
      </w:r>
    </w:p>
    <w:p>
      <w:pPr>
        <w:spacing w:after="0" w:line="28" w:lineRule="exact"/>
        <w:rPr>
          <w:sz w:val="20"/>
          <w:szCs w:val="20"/>
          <w:color w:val="auto"/>
        </w:rPr>
      </w:pPr>
    </w:p>
    <w:p>
      <w:pPr>
        <w:ind w:left="1800"/>
        <w:spacing w:after="0"/>
        <w:rPr>
          <w:sz w:val="20"/>
          <w:szCs w:val="20"/>
          <w:color w:val="auto"/>
        </w:rPr>
      </w:pPr>
      <w:r>
        <w:rPr>
          <w:rFonts w:ascii="Arial" w:cs="Arial" w:eastAsia="Arial" w:hAnsi="Arial"/>
          <w:sz w:val="14"/>
          <w:szCs w:val="14"/>
          <w:color w:val="D8D8D8"/>
        </w:rPr>
        <w:t>Director since May 2019</w:t>
      </w:r>
    </w:p>
    <w:p>
      <w:pPr>
        <w:spacing w:after="0" w:line="1" w:lineRule="exact"/>
        <w:rPr>
          <w:sz w:val="20"/>
          <w:szCs w:val="20"/>
          <w:color w:val="auto"/>
        </w:rPr>
      </w:pPr>
    </w:p>
    <w:p>
      <w:pPr>
        <w:ind w:left="1800"/>
        <w:spacing w:after="0"/>
        <w:rPr>
          <w:sz w:val="20"/>
          <w:szCs w:val="20"/>
          <w:color w:val="auto"/>
        </w:rPr>
      </w:pPr>
      <w:r>
        <w:rPr>
          <w:rFonts w:ascii="Arial" w:cs="Arial" w:eastAsia="Arial" w:hAnsi="Arial"/>
          <w:sz w:val="14"/>
          <w:szCs w:val="14"/>
          <w:color w:val="D8D8D8"/>
        </w:rPr>
        <w:t>Compensation Committee (Member)</w:t>
      </w:r>
    </w:p>
    <w:p>
      <w:pPr>
        <w:spacing w:after="0" w:line="1" w:lineRule="exact"/>
        <w:rPr>
          <w:sz w:val="20"/>
          <w:szCs w:val="20"/>
          <w:color w:val="auto"/>
        </w:rPr>
      </w:pPr>
    </w:p>
    <w:p>
      <w:pPr>
        <w:ind w:left="1800"/>
        <w:spacing w:after="0"/>
        <w:rPr>
          <w:sz w:val="20"/>
          <w:szCs w:val="20"/>
          <w:color w:val="auto"/>
        </w:rPr>
      </w:pPr>
      <w:r>
        <w:rPr>
          <w:rFonts w:ascii="Arial" w:cs="Arial" w:eastAsia="Arial" w:hAnsi="Arial"/>
          <w:sz w:val="14"/>
          <w:szCs w:val="14"/>
          <w:color w:val="D8D8D8"/>
        </w:rPr>
        <w:t>Nominating and Corporate Governance Committee (Member)</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Professional Experience</w:t>
      </w:r>
    </w:p>
    <w:p>
      <w:pPr>
        <w:spacing w:after="0" w:line="25" w:lineRule="exact"/>
        <w:rPr>
          <w:sz w:val="20"/>
          <w:szCs w:val="20"/>
          <w:color w:val="auto"/>
        </w:rPr>
      </w:pPr>
    </w:p>
    <w:p>
      <w:pPr>
        <w:jc w:val="both"/>
        <w:ind w:left="220"/>
        <w:spacing w:after="0" w:line="249" w:lineRule="auto"/>
        <w:rPr>
          <w:sz w:val="20"/>
          <w:szCs w:val="20"/>
          <w:color w:val="auto"/>
        </w:rPr>
      </w:pPr>
      <w:r>
        <w:rPr>
          <w:rFonts w:ascii="Arial" w:cs="Arial" w:eastAsia="Arial" w:hAnsi="Arial"/>
          <w:sz w:val="16"/>
          <w:szCs w:val="16"/>
          <w:color w:val="auto"/>
        </w:rPr>
        <w:t>Ms. Singh-Bushell was the Chief Operating Officer, Executive Office at the Federal Reserve Bank of New York from 2016-2017. Prior to that, she spent over 17 years at Ernst &amp; Young (“EY”), where she served in various leadership roles, including Global Coordinating Partner, Americas Innovation &amp; Digital Strategy Leader, Global/Americas Tech Ops Executive, Global Information Security Officer and Northeast Advisory People Leader. During her tenure at EY she led transformations of companies across multiple industries through technological and digital change. Cranfield University nominated her to the 2017 Female FTSE Index: 100 Women to Watch, and in 2013, the Council of Urban Professionals recognized her contributions with a Catalyst Change Agent award.</w:t>
      </w:r>
    </w:p>
    <w:p>
      <w:pPr>
        <w:spacing w:after="0" w:line="144"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Board Service</w:t>
      </w:r>
    </w:p>
    <w:p>
      <w:pPr>
        <w:spacing w:after="0" w:line="25" w:lineRule="exact"/>
        <w:rPr>
          <w:sz w:val="20"/>
          <w:szCs w:val="20"/>
          <w:color w:val="auto"/>
        </w:rPr>
      </w:pPr>
    </w:p>
    <w:p>
      <w:pPr>
        <w:jc w:val="both"/>
        <w:ind w:left="220"/>
        <w:spacing w:after="0" w:line="248" w:lineRule="auto"/>
        <w:rPr>
          <w:sz w:val="20"/>
          <w:szCs w:val="20"/>
          <w:color w:val="auto"/>
        </w:rPr>
      </w:pPr>
      <w:r>
        <w:rPr>
          <w:rFonts w:ascii="Arial" w:cs="Arial" w:eastAsia="Arial" w:hAnsi="Arial"/>
          <w:sz w:val="16"/>
          <w:szCs w:val="16"/>
          <w:color w:val="auto"/>
        </w:rPr>
        <w:t>Ms. Singh-Bushell has served on the boards of NET 1 UEPS Technologies, Inc., a public financial technologies company, since 2018 (currently as Chair of the audit committee and member of the remuneration and nominating and governance committees), Designer Brands Inc., a public footwear and accessories company, since 2018 (currently as a member of the audit and nominating and governance committees), TTEC Holdings, Inc., a public consumer experience technology and services company, since 2017, and as the lead independent director of Datatec Limited, a public networking technology and services company, since 2018 (currently as a member of the audit, risk &amp; compliance, social &amp; ethics and nominations committees). Ms. Singh-Bushell has served as a strategic board adviser to DecisionGPS, LLC since 2015. Singh-Bushell served on the board of directors of the Asian American Federation and as the treasurer and audit committee chair from 2004 to 2014.</w:t>
      </w:r>
    </w:p>
    <w:p>
      <w:pPr>
        <w:spacing w:after="0" w:line="148"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Education</w:t>
      </w:r>
    </w:p>
    <w:p>
      <w:pPr>
        <w:spacing w:after="0" w:line="25" w:lineRule="exact"/>
        <w:rPr>
          <w:sz w:val="20"/>
          <w:szCs w:val="20"/>
          <w:color w:val="auto"/>
        </w:rPr>
      </w:pPr>
    </w:p>
    <w:p>
      <w:pPr>
        <w:jc w:val="both"/>
        <w:ind w:left="220"/>
        <w:spacing w:after="0" w:line="253" w:lineRule="auto"/>
        <w:rPr>
          <w:sz w:val="20"/>
          <w:szCs w:val="20"/>
          <w:color w:val="auto"/>
        </w:rPr>
      </w:pPr>
      <w:r>
        <w:rPr>
          <w:rFonts w:ascii="Arial" w:cs="Arial" w:eastAsia="Arial" w:hAnsi="Arial"/>
          <w:sz w:val="16"/>
          <w:szCs w:val="16"/>
          <w:color w:val="auto"/>
        </w:rPr>
        <w:t>Ms. Singh-Bushell received a Masters in Electrical Engineering &amp; Computer Science from the University of California, Berkeley and a Bachelors of Engineering from the University of Poona, India. In addition, Ms. Singh-Bushell is a licensed Certified Public Accountant and holds advanced international certifications in governance, information systems security, and audit.</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Individual Contributions</w:t>
      </w:r>
    </w:p>
    <w:p>
      <w:pPr>
        <w:spacing w:after="0" w:line="25" w:lineRule="exact"/>
        <w:rPr>
          <w:sz w:val="20"/>
          <w:szCs w:val="20"/>
          <w:color w:val="auto"/>
        </w:rPr>
      </w:pPr>
    </w:p>
    <w:p>
      <w:pPr>
        <w:jc w:val="both"/>
        <w:ind w:left="220"/>
        <w:spacing w:after="0" w:line="251" w:lineRule="auto"/>
        <w:rPr>
          <w:sz w:val="20"/>
          <w:szCs w:val="20"/>
          <w:color w:val="auto"/>
        </w:rPr>
      </w:pPr>
      <w:r>
        <w:rPr>
          <w:rFonts w:ascii="Arial" w:cs="Arial" w:eastAsia="Arial" w:hAnsi="Arial"/>
          <w:sz w:val="16"/>
          <w:szCs w:val="16"/>
          <w:color w:val="auto"/>
        </w:rPr>
        <w:t>Ms. Singh-Bushell’s extensive experience managing and leading a global professional services firm, advising senior executives around the globe, and serving on public company boards from various industries, coupled with her knowledge of technology, finance, and cybersecurity, enables her to bring a broad range of capabilities to the Huron board. She also offers a unique perspective through her diverse global management expertise, age and gender diversity and proven track record working on transformations in the digital and technology space.</w:t>
      </w:r>
    </w:p>
    <w:p>
      <w:pPr>
        <w:spacing w:after="0" w:line="13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00548B"/>
        </w:rPr>
        <w:t>8</w:t>
      </w:r>
    </w:p>
    <w:p>
      <w:pPr>
        <w:sectPr>
          <w:pgSz w:w="11900" w:h="16838" w:orient="portrait"/>
          <w:cols w:equalWidth="0" w:num="1">
            <w:col w:w="11020"/>
          </w:cols>
          <w:pgMar w:left="320" w:top="459" w:right="5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10629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062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800"/>
        <w:spacing w:after="0"/>
        <w:rPr>
          <w:sz w:val="20"/>
          <w:szCs w:val="20"/>
          <w:color w:val="auto"/>
        </w:rPr>
      </w:pPr>
      <w:r>
        <w:rPr>
          <w:rFonts w:ascii="Arial" w:cs="Arial" w:eastAsia="Arial" w:hAnsi="Arial"/>
          <w:sz w:val="16"/>
          <w:szCs w:val="16"/>
          <w:b w:val="1"/>
          <w:bCs w:val="1"/>
          <w:color w:val="D8D8D8"/>
        </w:rPr>
        <w:t>Debra Zumwalt</w:t>
      </w:r>
    </w:p>
    <w:p>
      <w:pPr>
        <w:spacing w:after="0" w:line="28" w:lineRule="exact"/>
        <w:rPr>
          <w:sz w:val="20"/>
          <w:szCs w:val="20"/>
          <w:color w:val="auto"/>
        </w:rPr>
      </w:pPr>
    </w:p>
    <w:p>
      <w:pPr>
        <w:ind w:left="1800"/>
        <w:spacing w:after="0"/>
        <w:rPr>
          <w:sz w:val="20"/>
          <w:szCs w:val="20"/>
          <w:color w:val="auto"/>
        </w:rPr>
      </w:pPr>
      <w:r>
        <w:rPr>
          <w:rFonts w:ascii="Arial" w:cs="Arial" w:eastAsia="Arial" w:hAnsi="Arial"/>
          <w:sz w:val="14"/>
          <w:szCs w:val="14"/>
          <w:color w:val="D8D8D8"/>
        </w:rPr>
        <w:t>Director since October 2014</w:t>
      </w:r>
    </w:p>
    <w:p>
      <w:pPr>
        <w:spacing w:after="0" w:line="1" w:lineRule="exact"/>
        <w:rPr>
          <w:sz w:val="20"/>
          <w:szCs w:val="20"/>
          <w:color w:val="auto"/>
        </w:rPr>
      </w:pPr>
    </w:p>
    <w:p>
      <w:pPr>
        <w:ind w:left="1800"/>
        <w:spacing w:after="0"/>
        <w:rPr>
          <w:sz w:val="20"/>
          <w:szCs w:val="20"/>
          <w:color w:val="auto"/>
        </w:rPr>
      </w:pPr>
      <w:r>
        <w:rPr>
          <w:rFonts w:ascii="Arial" w:cs="Arial" w:eastAsia="Arial" w:hAnsi="Arial"/>
          <w:sz w:val="14"/>
          <w:szCs w:val="14"/>
          <w:color w:val="D8D8D8"/>
        </w:rPr>
        <w:t>Compensation Committee (Chair)</w:t>
      </w:r>
    </w:p>
    <w:p>
      <w:pPr>
        <w:spacing w:after="0" w:line="1" w:lineRule="exact"/>
        <w:rPr>
          <w:sz w:val="20"/>
          <w:szCs w:val="20"/>
          <w:color w:val="auto"/>
        </w:rPr>
      </w:pPr>
    </w:p>
    <w:p>
      <w:pPr>
        <w:ind w:left="1800"/>
        <w:spacing w:after="0"/>
        <w:rPr>
          <w:sz w:val="20"/>
          <w:szCs w:val="20"/>
          <w:color w:val="auto"/>
        </w:rPr>
      </w:pPr>
      <w:r>
        <w:rPr>
          <w:rFonts w:ascii="Arial" w:cs="Arial" w:eastAsia="Arial" w:hAnsi="Arial"/>
          <w:sz w:val="14"/>
          <w:szCs w:val="14"/>
          <w:color w:val="D8D8D8"/>
        </w:rPr>
        <w:t>Nominating and Corporate Governance Committee (Member)</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Professional Experience</w:t>
      </w:r>
    </w:p>
    <w:p>
      <w:pPr>
        <w:spacing w:after="0" w:line="25" w:lineRule="exact"/>
        <w:rPr>
          <w:sz w:val="20"/>
          <w:szCs w:val="20"/>
          <w:color w:val="auto"/>
        </w:rPr>
      </w:pPr>
    </w:p>
    <w:p>
      <w:pPr>
        <w:jc w:val="both"/>
        <w:ind w:left="220"/>
        <w:spacing w:after="0" w:line="247" w:lineRule="auto"/>
        <w:rPr>
          <w:sz w:val="20"/>
          <w:szCs w:val="20"/>
          <w:color w:val="auto"/>
        </w:rPr>
      </w:pPr>
      <w:r>
        <w:rPr>
          <w:rFonts w:ascii="Arial" w:cs="Arial" w:eastAsia="Arial" w:hAnsi="Arial"/>
          <w:sz w:val="16"/>
          <w:szCs w:val="16"/>
          <w:color w:val="auto"/>
        </w:rPr>
        <w:t>Since 2001, Ms. Zumwalt has been the Vice President and General Counsel of Stanford University and is in charge of the legal services provided to the University and its affiliated hospitals with combined annual revenues of over $12 billion. Ms. Zumwalt is a member of the University Cabinet and provides governance, legal and strategic advice to the boards of the University, Stanford Health Care, Lucile Packard Children’s Hospital at Stanford, and Stanford Management Company, which manages over $27 billion in assets. Ms. Zumwalt is also a member of the board of overseers for SLAC National Accelerator Laboratory at Stanford, and a director of SUMIT Holding International, LLC, SUMIT Insurance Company Ltd. and PEAC, a holding company and insurance companies providing insurance coverage for the Stanford hospitals and physicians. From 1993 to 2001, Ms. Zumwalt was a partner at Pillsbury Winthrop LLP, where she specialized in complex civil litigation and higher education law, and served as managing partner of the Silicon Valley office and a member of the firm’s governing board. Previously, from 1987 to 1993, Ms. Zumwalt was Senior University Counsel at Stanford, responsible for advising and representing the University in connection with congressional hearings, criminal and civil investigations, negotiations and litigation matters. Prior to joining Stanford in 1987, Ms. Zumwalt worked as litigation counsel for Chevron Chemical Company and as a litigation associate for Pillsbury Winthrop LLP in San Francisco.</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Board Service</w:t>
      </w:r>
    </w:p>
    <w:p>
      <w:pPr>
        <w:spacing w:after="0" w:line="25" w:lineRule="exact"/>
        <w:rPr>
          <w:sz w:val="20"/>
          <w:szCs w:val="20"/>
          <w:color w:val="auto"/>
        </w:rPr>
      </w:pPr>
    </w:p>
    <w:p>
      <w:pPr>
        <w:jc w:val="both"/>
        <w:ind w:left="220" w:right="20"/>
        <w:spacing w:after="0" w:line="260" w:lineRule="auto"/>
        <w:rPr>
          <w:sz w:val="20"/>
          <w:szCs w:val="20"/>
          <w:color w:val="auto"/>
        </w:rPr>
      </w:pPr>
      <w:r>
        <w:rPr>
          <w:rFonts w:ascii="Arial" w:cs="Arial" w:eastAsia="Arial" w:hAnsi="Arial"/>
          <w:sz w:val="16"/>
          <w:szCs w:val="16"/>
          <w:color w:val="auto"/>
        </w:rPr>
        <w:t>Ms. Zumwalt currently serves on the board of Exponent, Inc., a public engineering and scientific consulting company and on the board of the American University of Afghanistan. Ms. Zumwalt previously served on other nonprofit boards in education and legal services.</w:t>
      </w:r>
    </w:p>
    <w:p>
      <w:pPr>
        <w:spacing w:after="0" w:line="13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Education</w:t>
      </w:r>
    </w:p>
    <w:p>
      <w:pPr>
        <w:spacing w:after="0" w:line="2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Ms. Zumwalt received a B.S. in Political Science from Arizona State University and a J.D. from Stanford Law School.</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Individual Contributions</w:t>
      </w:r>
    </w:p>
    <w:p>
      <w:pPr>
        <w:spacing w:after="0" w:line="25" w:lineRule="exact"/>
        <w:rPr>
          <w:sz w:val="20"/>
          <w:szCs w:val="20"/>
          <w:color w:val="auto"/>
        </w:rPr>
      </w:pPr>
    </w:p>
    <w:p>
      <w:pPr>
        <w:jc w:val="both"/>
        <w:ind w:left="220"/>
        <w:spacing w:after="0" w:line="251" w:lineRule="auto"/>
        <w:rPr>
          <w:sz w:val="20"/>
          <w:szCs w:val="20"/>
          <w:color w:val="auto"/>
        </w:rPr>
      </w:pPr>
      <w:r>
        <w:rPr>
          <w:rFonts w:ascii="Arial" w:cs="Arial" w:eastAsia="Arial" w:hAnsi="Arial"/>
          <w:sz w:val="16"/>
          <w:szCs w:val="16"/>
          <w:color w:val="auto"/>
        </w:rPr>
        <w:t>Given the many roles she serves in connection with her position as chief legal officer of a university with two affiliated hospitals, Ms. Zumwalt is uniquely qualified to share with the Huron board her experience with navigating the challenges faced by both higher education and healthcare organizations. Ms. Zumwalt also contributes to the Huron board a perspective on the law and governance through her background as a former partner of a well-renowned law firm and her current membership on the boards of corporate and academic organizations.</w:t>
      </w:r>
    </w:p>
    <w:p>
      <w:pPr>
        <w:spacing w:after="0" w:line="13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00548B"/>
        </w:rPr>
        <w:t>9</w:t>
      </w:r>
    </w:p>
    <w:p>
      <w:pPr>
        <w:sectPr>
          <w:pgSz w:w="11900" w:h="16838" w:orient="portrait"/>
          <w:cols w:equalWidth="0" w:num="1">
            <w:col w:w="11020"/>
          </w:cols>
          <w:pgMar w:left="320" w:top="459" w:right="5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48B"/>
        </w:rPr>
        <w:t>D</w:t>
      </w:r>
      <w:r>
        <w:rPr>
          <w:rFonts w:ascii="Arial" w:cs="Arial" w:eastAsia="Arial" w:hAnsi="Arial"/>
          <w:sz w:val="14"/>
          <w:szCs w:val="14"/>
          <w:b w:val="1"/>
          <w:bCs w:val="1"/>
          <w:color w:val="00548B"/>
        </w:rPr>
        <w:t>IRECTOR</w:t>
      </w:r>
      <w:r>
        <w:rPr>
          <w:rFonts w:ascii="Arial" w:cs="Arial" w:eastAsia="Arial" w:hAnsi="Arial"/>
          <w:sz w:val="18"/>
          <w:szCs w:val="18"/>
          <w:b w:val="1"/>
          <w:bCs w:val="1"/>
          <w:color w:val="00548B"/>
        </w:rPr>
        <w:t xml:space="preserve"> I</w:t>
      </w:r>
      <w:r>
        <w:rPr>
          <w:rFonts w:ascii="Arial" w:cs="Arial" w:eastAsia="Arial" w:hAnsi="Arial"/>
          <w:sz w:val="14"/>
          <w:szCs w:val="14"/>
          <w:b w:val="1"/>
          <w:bCs w:val="1"/>
          <w:color w:val="00548B"/>
        </w:rPr>
        <w:t>NDEPENDENCE</w:t>
      </w:r>
    </w:p>
    <w:p>
      <w:pPr>
        <w:spacing w:after="0" w:line="20" w:lineRule="exact"/>
        <w:rPr>
          <w:sz w:val="20"/>
          <w:szCs w:val="20"/>
          <w:color w:val="auto"/>
        </w:rPr>
      </w:pPr>
    </w:p>
    <w:p>
      <w:pPr>
        <w:jc w:val="both"/>
        <w:ind w:left="120"/>
        <w:spacing w:after="0" w:line="247" w:lineRule="auto"/>
        <w:rPr>
          <w:sz w:val="20"/>
          <w:szCs w:val="20"/>
          <w:color w:val="auto"/>
        </w:rPr>
      </w:pPr>
      <w:r>
        <w:rPr>
          <w:rFonts w:ascii="Arial" w:cs="Arial" w:eastAsia="Arial" w:hAnsi="Arial"/>
          <w:sz w:val="16"/>
          <w:szCs w:val="16"/>
          <w:color w:val="auto"/>
        </w:rPr>
        <w:t>Our board of directors makes an annual determination regarding the independence of each of our directors. The board also makes this determination for new director nominees. The board of directors has determined that each of Messrs. Lockhart, Massaro, McCartney, Ms. Zumwalt and Ms. Singh-Bushell is “independent” as defined in the applicable listing standards of The NASDAQ Stock Market Inc. (“NASDAQ”). In making its determination, the board of directors considered the standards of independence set forth in the NASDAQ Corporate Governance Listing Standards and all relevant facts and circumstances to ascertain whether there was any relationship between a director and the Company that, in the opinion of the board of directors, would interfere with the exercise of independent judgment in carrying out the responsibilities of the director or any material relationship with the Company (either directly, or as a partner, stockholder or officer of an organization that has a relationship with the Company). In determining that Ms. Zumwalt is independent, the board of directors conducted a thorough review of payments made by Stanford University, which employs Ms. Zumwalt, to the Company for consulting services provided by the Company. After taking into consideration that revenues from Stanford University comprised 0.08% of Huron’s revenues for the year 2019, 0.14% of Huron’s revenues for the year 2018 and 0.12% of Huron’s revenues for the year 2017, the board of directors determined that this relationship would not interfere with Ms. Zumwalt’s exercise of independent judgment in carrying out her responsibilities as a director. Mr. Sawyer previously served as a managing director at Huron, beginning in January 2010, and led the Operational Improvement Service Line for Huron’s Business Advisory Practice until 2017, and, therefore, is not deemed independent.</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548B"/>
        </w:rPr>
        <w:t>CORPORATE GOVERNANCE</w:t>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48B"/>
        </w:rPr>
        <w:t>B</w:t>
      </w:r>
      <w:r>
        <w:rPr>
          <w:rFonts w:ascii="Arial" w:cs="Arial" w:eastAsia="Arial" w:hAnsi="Arial"/>
          <w:sz w:val="14"/>
          <w:szCs w:val="14"/>
          <w:b w:val="1"/>
          <w:bCs w:val="1"/>
          <w:color w:val="00548B"/>
        </w:rPr>
        <w:t>OARD</w:t>
      </w:r>
      <w:r>
        <w:rPr>
          <w:rFonts w:ascii="Arial" w:cs="Arial" w:eastAsia="Arial" w:hAnsi="Arial"/>
          <w:sz w:val="18"/>
          <w:szCs w:val="18"/>
          <w:b w:val="1"/>
          <w:bCs w:val="1"/>
          <w:color w:val="00548B"/>
        </w:rPr>
        <w:t xml:space="preserve"> C</w:t>
      </w:r>
      <w:r>
        <w:rPr>
          <w:rFonts w:ascii="Arial" w:cs="Arial" w:eastAsia="Arial" w:hAnsi="Arial"/>
          <w:sz w:val="14"/>
          <w:szCs w:val="14"/>
          <w:b w:val="1"/>
          <w:bCs w:val="1"/>
          <w:color w:val="00548B"/>
        </w:rPr>
        <w:t>OMPOSITION</w:t>
      </w:r>
      <w:r>
        <w:rPr>
          <w:rFonts w:ascii="Arial" w:cs="Arial" w:eastAsia="Arial" w:hAnsi="Arial"/>
          <w:sz w:val="18"/>
          <w:szCs w:val="18"/>
          <w:b w:val="1"/>
          <w:bCs w:val="1"/>
          <w:color w:val="00548B"/>
        </w:rPr>
        <w:t>, L</w:t>
      </w:r>
      <w:r>
        <w:rPr>
          <w:rFonts w:ascii="Arial" w:cs="Arial" w:eastAsia="Arial" w:hAnsi="Arial"/>
          <w:sz w:val="14"/>
          <w:szCs w:val="14"/>
          <w:b w:val="1"/>
          <w:bCs w:val="1"/>
          <w:color w:val="00548B"/>
        </w:rPr>
        <w:t>EADERSHIP</w:t>
      </w:r>
      <w:r>
        <w:rPr>
          <w:rFonts w:ascii="Arial" w:cs="Arial" w:eastAsia="Arial" w:hAnsi="Arial"/>
          <w:sz w:val="18"/>
          <w:szCs w:val="18"/>
          <w:b w:val="1"/>
          <w:bCs w:val="1"/>
          <w:color w:val="00548B"/>
        </w:rPr>
        <w:t xml:space="preserve"> S</w:t>
      </w:r>
      <w:r>
        <w:rPr>
          <w:rFonts w:ascii="Arial" w:cs="Arial" w:eastAsia="Arial" w:hAnsi="Arial"/>
          <w:sz w:val="14"/>
          <w:szCs w:val="14"/>
          <w:b w:val="1"/>
          <w:bCs w:val="1"/>
          <w:color w:val="00548B"/>
        </w:rPr>
        <w:t>TRUCTURE AND</w:t>
      </w:r>
      <w:r>
        <w:rPr>
          <w:rFonts w:ascii="Arial" w:cs="Arial" w:eastAsia="Arial" w:hAnsi="Arial"/>
          <w:sz w:val="18"/>
          <w:szCs w:val="18"/>
          <w:b w:val="1"/>
          <w:bCs w:val="1"/>
          <w:color w:val="00548B"/>
        </w:rPr>
        <w:t xml:space="preserve"> R</w:t>
      </w:r>
      <w:r>
        <w:rPr>
          <w:rFonts w:ascii="Arial" w:cs="Arial" w:eastAsia="Arial" w:hAnsi="Arial"/>
          <w:sz w:val="14"/>
          <w:szCs w:val="14"/>
          <w:b w:val="1"/>
          <w:bCs w:val="1"/>
          <w:color w:val="00548B"/>
        </w:rPr>
        <w:t>ISK</w:t>
      </w:r>
      <w:r>
        <w:rPr>
          <w:rFonts w:ascii="Arial" w:cs="Arial" w:eastAsia="Arial" w:hAnsi="Arial"/>
          <w:sz w:val="18"/>
          <w:szCs w:val="18"/>
          <w:b w:val="1"/>
          <w:bCs w:val="1"/>
          <w:color w:val="00548B"/>
        </w:rPr>
        <w:t xml:space="preserve"> O</w:t>
      </w:r>
      <w:r>
        <w:rPr>
          <w:rFonts w:ascii="Arial" w:cs="Arial" w:eastAsia="Arial" w:hAnsi="Arial"/>
          <w:sz w:val="14"/>
          <w:szCs w:val="14"/>
          <w:b w:val="1"/>
          <w:bCs w:val="1"/>
          <w:color w:val="00548B"/>
        </w:rPr>
        <w:t>VERSIGHT</w:t>
      </w:r>
    </w:p>
    <w:p>
      <w:pPr>
        <w:spacing w:after="0" w:line="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48B"/>
        </w:rPr>
        <w:t>B</w:t>
      </w:r>
      <w:r>
        <w:rPr>
          <w:rFonts w:ascii="Arial" w:cs="Arial" w:eastAsia="Arial" w:hAnsi="Arial"/>
          <w:sz w:val="14"/>
          <w:szCs w:val="14"/>
          <w:b w:val="1"/>
          <w:bCs w:val="1"/>
          <w:color w:val="00548B"/>
        </w:rPr>
        <w:t>OARD</w:t>
      </w:r>
      <w:r>
        <w:rPr>
          <w:rFonts w:ascii="Arial" w:cs="Arial" w:eastAsia="Arial" w:hAnsi="Arial"/>
          <w:sz w:val="18"/>
          <w:szCs w:val="18"/>
          <w:b w:val="1"/>
          <w:bCs w:val="1"/>
          <w:color w:val="00548B"/>
        </w:rPr>
        <w:t xml:space="preserve"> C</w:t>
      </w:r>
      <w:r>
        <w:rPr>
          <w:rFonts w:ascii="Arial" w:cs="Arial" w:eastAsia="Arial" w:hAnsi="Arial"/>
          <w:sz w:val="14"/>
          <w:szCs w:val="14"/>
          <w:b w:val="1"/>
          <w:bCs w:val="1"/>
          <w:color w:val="00548B"/>
        </w:rPr>
        <w:t>OMPOSITION</w:t>
      </w:r>
    </w:p>
    <w:p>
      <w:pPr>
        <w:jc w:val="both"/>
        <w:ind w:left="120" w:right="20"/>
        <w:spacing w:after="0" w:line="249" w:lineRule="auto"/>
        <w:rPr>
          <w:sz w:val="20"/>
          <w:szCs w:val="20"/>
          <w:color w:val="auto"/>
        </w:rPr>
      </w:pPr>
      <w:r>
        <w:rPr>
          <w:rFonts w:ascii="Arial" w:cs="Arial" w:eastAsia="Arial" w:hAnsi="Arial"/>
          <w:sz w:val="16"/>
          <w:szCs w:val="16"/>
          <w:color w:val="auto"/>
        </w:rPr>
        <w:t>The Nominating and Corporate Governance Committee, in conjunction with the Chair and the full board, is actively evaluating the future composition of the board in light of the age, tenure and experience of its current members. This multi-year refresh process is intended to ensure that the board has the best mix of knowledge, skills and business acumen, derived from high quality professional experience, to evaluate and support the Company’s strategy going forward. The Nominating and Corporate Governance Committee believes that its current directors, several of whom have extensive experience leading and managing professional service businesses, provide significant insight into the Company and its operations and provide valuable contributions to the board. The Committee also recognizes the potential benefits of the fresh perspectives that highly qualified new directors might bring to the board.</w:t>
      </w:r>
    </w:p>
    <w:p>
      <w:pPr>
        <w:spacing w:after="0" w:line="164" w:lineRule="exact"/>
        <w:rPr>
          <w:sz w:val="20"/>
          <w:szCs w:val="20"/>
          <w:color w:val="auto"/>
        </w:rPr>
      </w:pPr>
    </w:p>
    <w:p>
      <w:pPr>
        <w:jc w:val="both"/>
        <w:ind w:left="120"/>
        <w:spacing w:after="0" w:line="251" w:lineRule="auto"/>
        <w:rPr>
          <w:sz w:val="20"/>
          <w:szCs w:val="20"/>
          <w:color w:val="auto"/>
        </w:rPr>
      </w:pPr>
      <w:r>
        <w:rPr>
          <w:rFonts w:ascii="Arial" w:cs="Arial" w:eastAsia="Arial" w:hAnsi="Arial"/>
          <w:sz w:val="16"/>
          <w:szCs w:val="16"/>
          <w:color w:val="auto"/>
        </w:rPr>
        <w:t>The Nominating and Corporate Governance Committee will consider a variety of factors as it works to enhance the composition of the board, increase diversity, reduce average tenure and ensure structured and orderly board succession through a process of both board member additions and retirements. As a result, during the next several years, the board may occasionally expand or contract as the refresh process is executed. It is the expressed desire of the board that it continue to remain relatively small in number and composed principally of non-executive directors.</w:t>
      </w:r>
    </w:p>
    <w:p>
      <w:pPr>
        <w:spacing w:after="0" w:line="162" w:lineRule="exact"/>
        <w:rPr>
          <w:sz w:val="20"/>
          <w:szCs w:val="20"/>
          <w:color w:val="auto"/>
        </w:rPr>
      </w:pPr>
    </w:p>
    <w:p>
      <w:pPr>
        <w:jc w:val="both"/>
        <w:ind w:left="120" w:right="20"/>
        <w:spacing w:after="0" w:line="260" w:lineRule="auto"/>
        <w:rPr>
          <w:sz w:val="20"/>
          <w:szCs w:val="20"/>
          <w:color w:val="auto"/>
        </w:rPr>
      </w:pPr>
      <w:r>
        <w:rPr>
          <w:rFonts w:ascii="Arial" w:cs="Arial" w:eastAsia="Arial" w:hAnsi="Arial"/>
          <w:sz w:val="16"/>
          <w:szCs w:val="16"/>
          <w:color w:val="auto"/>
        </w:rPr>
        <w:t>The Nominating and Corporate Governance Committee will consider as director candidates qualified individuals recommended by stockholders through the process described below and, although it has not done so in the past, may consider candidates identified by professional search firms.</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48B"/>
        </w:rPr>
        <w:t>B</w:t>
      </w:r>
      <w:r>
        <w:rPr>
          <w:rFonts w:ascii="Arial" w:cs="Arial" w:eastAsia="Arial" w:hAnsi="Arial"/>
          <w:sz w:val="14"/>
          <w:szCs w:val="14"/>
          <w:b w:val="1"/>
          <w:bCs w:val="1"/>
          <w:color w:val="00548B"/>
        </w:rPr>
        <w:t>OARD</w:t>
      </w:r>
      <w:r>
        <w:rPr>
          <w:rFonts w:ascii="Arial" w:cs="Arial" w:eastAsia="Arial" w:hAnsi="Arial"/>
          <w:sz w:val="18"/>
          <w:szCs w:val="18"/>
          <w:b w:val="1"/>
          <w:bCs w:val="1"/>
          <w:color w:val="00548B"/>
        </w:rPr>
        <w:t xml:space="preserve"> L</w:t>
      </w:r>
      <w:r>
        <w:rPr>
          <w:rFonts w:ascii="Arial" w:cs="Arial" w:eastAsia="Arial" w:hAnsi="Arial"/>
          <w:sz w:val="14"/>
          <w:szCs w:val="14"/>
          <w:b w:val="1"/>
          <w:bCs w:val="1"/>
          <w:color w:val="00548B"/>
        </w:rPr>
        <w:t>EADERSHIP</w:t>
      </w:r>
    </w:p>
    <w:p>
      <w:pPr>
        <w:spacing w:after="0" w:line="20" w:lineRule="exact"/>
        <w:rPr>
          <w:sz w:val="20"/>
          <w:szCs w:val="20"/>
          <w:color w:val="auto"/>
        </w:rPr>
      </w:pPr>
    </w:p>
    <w:p>
      <w:pPr>
        <w:jc w:val="both"/>
        <w:ind w:left="120"/>
        <w:spacing w:after="0" w:line="248" w:lineRule="auto"/>
        <w:rPr>
          <w:sz w:val="20"/>
          <w:szCs w:val="20"/>
          <w:color w:val="auto"/>
        </w:rPr>
      </w:pPr>
      <w:r>
        <w:rPr>
          <w:rFonts w:ascii="Arial" w:cs="Arial" w:eastAsia="Arial" w:hAnsi="Arial"/>
          <w:sz w:val="16"/>
          <w:szCs w:val="16"/>
          <w:color w:val="auto"/>
        </w:rPr>
        <w:t>Huron formally separated the roles of chairman of the board and chief executive officer in 2010. Our Non-executive Chairman is John McCartney and our Chief Executive Officer is James H. Roth. As Non-executive Chairman, Mr. McCartney, in consultation with Mr. Roth, develops the agendas for board meetings, determines the appropriate scheduling for board meetings, assesses the quality, quantity and timeliness of information provided from management to the board, assists the Nominating and Corporate Governance Committee in monitoring and implementing our Corporate Governance Guidelines and otherwise takes steps to ensure that the board is acting in the long-term best interests of the Company. Mr. McCartney also chairs executive sessions of the board. In addition, George E. Massaro serves as Vice Chairman. As noted above, Mr. Massaro is retiring from the board at the end of his current term.</w:t>
      </w:r>
    </w:p>
    <w:p>
      <w:pPr>
        <w:spacing w:after="0" w:line="168" w:lineRule="exact"/>
        <w:rPr>
          <w:sz w:val="20"/>
          <w:szCs w:val="20"/>
          <w:color w:val="auto"/>
        </w:rPr>
      </w:pPr>
    </w:p>
    <w:p>
      <w:pPr>
        <w:jc w:val="both"/>
        <w:ind w:left="120" w:right="20"/>
        <w:spacing w:after="0" w:line="260" w:lineRule="auto"/>
        <w:rPr>
          <w:sz w:val="20"/>
          <w:szCs w:val="20"/>
          <w:color w:val="auto"/>
        </w:rPr>
      </w:pPr>
      <w:r>
        <w:rPr>
          <w:rFonts w:ascii="Arial" w:cs="Arial" w:eastAsia="Arial" w:hAnsi="Arial"/>
          <w:sz w:val="16"/>
          <w:szCs w:val="16"/>
          <w:color w:val="auto"/>
        </w:rPr>
        <w:t>The board has determined that our current board leadership structure is appropriate for the Company, as it believes the separation of powers is beneficial for our organization.</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00548B"/>
        </w:rPr>
        <w:t>10</w:t>
      </w:r>
    </w:p>
    <w:p>
      <w:pPr>
        <w:sectPr>
          <w:pgSz w:w="11900" w:h="16838" w:orient="portrait"/>
          <w:cols w:equalWidth="0" w:num="1">
            <w:col w:w="11140"/>
          </w:cols>
          <w:pgMar w:left="32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48B"/>
        </w:rPr>
        <w:t>R</w:t>
      </w:r>
      <w:r>
        <w:rPr>
          <w:rFonts w:ascii="Arial" w:cs="Arial" w:eastAsia="Arial" w:hAnsi="Arial"/>
          <w:sz w:val="14"/>
          <w:szCs w:val="14"/>
          <w:b w:val="1"/>
          <w:bCs w:val="1"/>
          <w:color w:val="00548B"/>
        </w:rPr>
        <w:t>ISK</w:t>
      </w:r>
      <w:r>
        <w:rPr>
          <w:rFonts w:ascii="Arial" w:cs="Arial" w:eastAsia="Arial" w:hAnsi="Arial"/>
          <w:sz w:val="18"/>
          <w:szCs w:val="18"/>
          <w:b w:val="1"/>
          <w:bCs w:val="1"/>
          <w:color w:val="00548B"/>
        </w:rPr>
        <w:t xml:space="preserve"> O</w:t>
      </w:r>
      <w:r>
        <w:rPr>
          <w:rFonts w:ascii="Arial" w:cs="Arial" w:eastAsia="Arial" w:hAnsi="Arial"/>
          <w:sz w:val="14"/>
          <w:szCs w:val="14"/>
          <w:b w:val="1"/>
          <w:bCs w:val="1"/>
          <w:color w:val="00548B"/>
        </w:rPr>
        <w:t>VERSIGHT</w:t>
      </w:r>
    </w:p>
    <w:p>
      <w:pPr>
        <w:spacing w:after="0" w:line="20" w:lineRule="exact"/>
        <w:rPr>
          <w:sz w:val="20"/>
          <w:szCs w:val="20"/>
          <w:color w:val="auto"/>
        </w:rPr>
      </w:pPr>
    </w:p>
    <w:p>
      <w:pPr>
        <w:jc w:val="both"/>
        <w:ind w:left="120"/>
        <w:spacing w:after="0" w:line="253" w:lineRule="auto"/>
        <w:rPr>
          <w:sz w:val="20"/>
          <w:szCs w:val="20"/>
          <w:color w:val="auto"/>
        </w:rPr>
      </w:pPr>
      <w:r>
        <w:rPr>
          <w:rFonts w:ascii="Arial" w:cs="Arial" w:eastAsia="Arial" w:hAnsi="Arial"/>
          <w:sz w:val="16"/>
          <w:szCs w:val="16"/>
          <w:color w:val="auto"/>
        </w:rPr>
        <w:t>One of the board’s responsibilities is to review the adequacy of the Company’s systems for compliance with all applicable laws and regulations, for safeguarding the Company’s assets and for managing the major risks it faces. The board executes its responsibility for risk management directly and through its committees in a variety of ways, including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126365</wp:posOffset>
            </wp:positionV>
            <wp:extent cx="5066030" cy="59836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066030" cy="5983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00548B"/>
        </w:rPr>
        <w:t>11</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48B"/>
        </w:rPr>
        <w:t>B</w:t>
      </w:r>
      <w:r>
        <w:rPr>
          <w:rFonts w:ascii="Arial" w:cs="Arial" w:eastAsia="Arial" w:hAnsi="Arial"/>
          <w:sz w:val="14"/>
          <w:szCs w:val="14"/>
          <w:b w:val="1"/>
          <w:bCs w:val="1"/>
          <w:color w:val="00548B"/>
        </w:rPr>
        <w:t>OARD</w:t>
      </w:r>
      <w:r>
        <w:rPr>
          <w:rFonts w:ascii="Arial" w:cs="Arial" w:eastAsia="Arial" w:hAnsi="Arial"/>
          <w:sz w:val="18"/>
          <w:szCs w:val="18"/>
          <w:b w:val="1"/>
          <w:bCs w:val="1"/>
          <w:color w:val="00548B"/>
        </w:rPr>
        <w:t xml:space="preserve"> M</w:t>
      </w:r>
      <w:r>
        <w:rPr>
          <w:rFonts w:ascii="Arial" w:cs="Arial" w:eastAsia="Arial" w:hAnsi="Arial"/>
          <w:sz w:val="14"/>
          <w:szCs w:val="14"/>
          <w:b w:val="1"/>
          <w:bCs w:val="1"/>
          <w:color w:val="00548B"/>
        </w:rPr>
        <w:t>EETINGS AND</w:t>
      </w:r>
      <w:r>
        <w:rPr>
          <w:rFonts w:ascii="Arial" w:cs="Arial" w:eastAsia="Arial" w:hAnsi="Arial"/>
          <w:sz w:val="18"/>
          <w:szCs w:val="18"/>
          <w:b w:val="1"/>
          <w:bCs w:val="1"/>
          <w:color w:val="00548B"/>
        </w:rPr>
        <w:t xml:space="preserve"> C</w:t>
      </w:r>
      <w:r>
        <w:rPr>
          <w:rFonts w:ascii="Arial" w:cs="Arial" w:eastAsia="Arial" w:hAnsi="Arial"/>
          <w:sz w:val="14"/>
          <w:szCs w:val="14"/>
          <w:b w:val="1"/>
          <w:bCs w:val="1"/>
          <w:color w:val="00548B"/>
        </w:rPr>
        <w:t>OMMITTEES</w:t>
      </w:r>
    </w:p>
    <w:p>
      <w:pPr>
        <w:spacing w:after="0" w:line="20" w:lineRule="exact"/>
        <w:rPr>
          <w:sz w:val="20"/>
          <w:szCs w:val="20"/>
          <w:color w:val="auto"/>
        </w:rPr>
      </w:pPr>
    </w:p>
    <w:p>
      <w:pPr>
        <w:jc w:val="both"/>
        <w:ind w:left="120" w:right="20"/>
        <w:spacing w:after="0" w:line="260" w:lineRule="auto"/>
        <w:rPr>
          <w:sz w:val="20"/>
          <w:szCs w:val="20"/>
          <w:color w:val="auto"/>
        </w:rPr>
      </w:pPr>
      <w:r>
        <w:rPr>
          <w:rFonts w:ascii="Arial" w:cs="Arial" w:eastAsia="Arial" w:hAnsi="Arial"/>
          <w:sz w:val="16"/>
          <w:szCs w:val="16"/>
          <w:color w:val="auto"/>
        </w:rPr>
        <w:t>The board of directors conducts its business through meetings of the full board, actions taken by written consent in lieu of meetings, and by the actions of its committees. During 2019, the board of directors held eleven meetings.</w:t>
      </w:r>
    </w:p>
    <w:p>
      <w:pPr>
        <w:spacing w:after="0" w:line="168" w:lineRule="exact"/>
        <w:rPr>
          <w:sz w:val="20"/>
          <w:szCs w:val="20"/>
          <w:color w:val="auto"/>
        </w:rPr>
      </w:pPr>
    </w:p>
    <w:p>
      <w:pPr>
        <w:jc w:val="both"/>
        <w:ind w:left="120" w:right="20"/>
        <w:spacing w:after="0" w:line="251" w:lineRule="auto"/>
        <w:rPr>
          <w:sz w:val="20"/>
          <w:szCs w:val="20"/>
          <w:color w:val="auto"/>
        </w:rPr>
      </w:pPr>
      <w:r>
        <w:rPr>
          <w:rFonts w:ascii="Arial" w:cs="Arial" w:eastAsia="Arial" w:hAnsi="Arial"/>
          <w:sz w:val="16"/>
          <w:szCs w:val="16"/>
          <w:color w:val="auto"/>
        </w:rPr>
        <w:t>During 2019, each board member attended at least 75% of the aggregate number of board meetings and meetings of all the committees on which the director served. Although the Company does not have a formal policy regarding director attendance at our annual meetings, we encourage directors to attend. All of the directors except Mr. Edwards, who retired from the Board at the end of his term at the 2019 annual meeting, attended the 2019 Annual Meeting of Stockholders.</w:t>
      </w:r>
    </w:p>
    <w:p>
      <w:pPr>
        <w:spacing w:after="0" w:line="162" w:lineRule="exact"/>
        <w:rPr>
          <w:sz w:val="20"/>
          <w:szCs w:val="20"/>
          <w:color w:val="auto"/>
        </w:rPr>
      </w:pPr>
    </w:p>
    <w:p>
      <w:pPr>
        <w:jc w:val="both"/>
        <w:ind w:left="120" w:right="20"/>
        <w:spacing w:after="0" w:line="249" w:lineRule="auto"/>
        <w:rPr>
          <w:sz w:val="20"/>
          <w:szCs w:val="20"/>
          <w:color w:val="auto"/>
        </w:rPr>
      </w:pPr>
      <w:r>
        <w:rPr>
          <w:rFonts w:ascii="Arial" w:cs="Arial" w:eastAsia="Arial" w:hAnsi="Arial"/>
          <w:sz w:val="16"/>
          <w:szCs w:val="16"/>
          <w:color w:val="auto"/>
        </w:rPr>
        <w:t xml:space="preserve">The board of directors operates in part through its three committees: Audit, Compensation, and Nominating and Corporate Governance. All committee members are “independent” as defined in the applicable listing standards of NASDAQ. In addition, all Compensation Committee members are “non-employee directors” within the meaning of Rule 16b-3 under the Securities Exchange Act of 1934 (the “1934 Act”) and “outside directors” within the meaning of Section 162(m) of the Internal Revenue Code of 1986, as amended (the “Code”). All Audit Committee members meet the criteria for independence set forth in SEC Rule 10A-3(b)(1). A detailed discussion of each committee’s mission, composition and responsibilities is contained within the committee charters available in the Investor Relations section of the Company’s web site at </w:t>
      </w:r>
      <w:r>
        <w:rPr>
          <w:rFonts w:ascii="Arial" w:cs="Arial" w:eastAsia="Arial" w:hAnsi="Arial"/>
          <w:sz w:val="16"/>
          <w:szCs w:val="16"/>
          <w:i w:val="1"/>
          <w:iCs w:val="1"/>
          <w:color w:val="auto"/>
        </w:rPr>
        <w:t>www.huronconsultinggroup.com</w:t>
      </w:r>
      <w:r>
        <w:rPr>
          <w:rFonts w:ascii="Arial" w:cs="Arial" w:eastAsia="Arial" w:hAnsi="Arial"/>
          <w:sz w:val="16"/>
          <w:szCs w:val="16"/>
          <w:color w:val="auto"/>
        </w:rPr>
        <w:t>.</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48B"/>
        </w:rPr>
        <w:t>Audit Committee</w:t>
      </w:r>
    </w:p>
    <w:p>
      <w:pPr>
        <w:spacing w:after="0" w:line="20" w:lineRule="exact"/>
        <w:rPr>
          <w:sz w:val="20"/>
          <w:szCs w:val="20"/>
          <w:color w:val="auto"/>
        </w:rPr>
      </w:pPr>
    </w:p>
    <w:p>
      <w:pPr>
        <w:jc w:val="both"/>
        <w:ind w:left="120" w:right="20"/>
        <w:spacing w:after="0" w:line="248" w:lineRule="auto"/>
        <w:rPr>
          <w:sz w:val="20"/>
          <w:szCs w:val="20"/>
          <w:color w:val="auto"/>
        </w:rPr>
      </w:pPr>
      <w:r>
        <w:rPr>
          <w:rFonts w:ascii="Arial" w:cs="Arial" w:eastAsia="Arial" w:hAnsi="Arial"/>
          <w:sz w:val="16"/>
          <w:szCs w:val="16"/>
          <w:color w:val="auto"/>
        </w:rPr>
        <w:t>The Audit Committee responsibilities include overseeing our accounting and financial reporting processes, the audits of our financial statements, and the Company’s internal controls over financial reporting. The Audit Committee is also responsible for the appointment, compensation, retention, oversight and evaluation of the work of any registered public accounting firm engaged for the purpose of preparing or issuing an audit report or performing audit, review or attest services for us. As such, the Audit Committee approves audit and permitted non-audit services and applicable fees. The Audit Committee met eight times in 2019. The members of the Audit Committee are Messrs. Lockhart (Chair), McCartney and Massaro. The board of directors has determined that each Audit Committee member has sufficient knowledge in financial and auditing matters to serve on the Audit Committee. The board of directors has also determined that each of Messrs. Lockhart, McCartney and Massaro is an “audit committee financial expert,” as defined by the applicable securities regulations, and that each member of the Audit Committee satisfies the applicable NASDAQ listing standards for audit committee membership.</w:t>
      </w:r>
    </w:p>
    <w:p>
      <w:pPr>
        <w:spacing w:after="0" w:line="207" w:lineRule="exact"/>
        <w:rPr>
          <w:sz w:val="20"/>
          <w:szCs w:val="20"/>
          <w:color w:val="auto"/>
        </w:rPr>
      </w:pPr>
    </w:p>
    <w:p>
      <w:pPr>
        <w:jc w:val="both"/>
        <w:ind w:left="120"/>
        <w:spacing w:after="0" w:line="260" w:lineRule="auto"/>
        <w:rPr>
          <w:sz w:val="20"/>
          <w:szCs w:val="20"/>
          <w:color w:val="auto"/>
        </w:rPr>
      </w:pPr>
      <w:r>
        <w:rPr>
          <w:rFonts w:ascii="Arial" w:cs="Arial" w:eastAsia="Arial" w:hAnsi="Arial"/>
          <w:sz w:val="16"/>
          <w:szCs w:val="16"/>
          <w:color w:val="auto"/>
        </w:rPr>
        <w:t>The Report of the Audit Committee for the fiscal year ended December 31, 2019 appears below under the caption “PROPOSAL 5—RATIFICATION OF APPOINTMENT OF INDEPENDENT REGISTERED PUBLIC ACCOUNTING FIRM—Report of the Audit Committee.”</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48B"/>
        </w:rPr>
        <w:t>Compensation Committee</w:t>
      </w:r>
    </w:p>
    <w:p>
      <w:pPr>
        <w:spacing w:after="0" w:line="20" w:lineRule="exact"/>
        <w:rPr>
          <w:sz w:val="20"/>
          <w:szCs w:val="20"/>
          <w:color w:val="auto"/>
        </w:rPr>
      </w:pPr>
    </w:p>
    <w:p>
      <w:pPr>
        <w:jc w:val="both"/>
        <w:ind w:left="120"/>
        <w:spacing w:after="0" w:line="251" w:lineRule="auto"/>
        <w:rPr>
          <w:sz w:val="20"/>
          <w:szCs w:val="20"/>
          <w:color w:val="auto"/>
        </w:rPr>
      </w:pPr>
      <w:r>
        <w:rPr>
          <w:rFonts w:ascii="Arial" w:cs="Arial" w:eastAsia="Arial" w:hAnsi="Arial"/>
          <w:sz w:val="16"/>
          <w:szCs w:val="16"/>
          <w:color w:val="auto"/>
        </w:rPr>
        <w:t>Pursuant to its charter, the Compensation Committee responsibilities include overseeing our compensation and benefit plans, including all compensation arrangements for executive officers and directors, each of which the Compensation Committee reviews annually and makes changes as it deems appropriate. The Compensation Committee met eight times in 2019. The members of the Compensation Committee are Ms. Zumwalt (Chair), Mr. Lockhart and Ms. Singh-Bushell.</w:t>
      </w:r>
    </w:p>
    <w:p>
      <w:pPr>
        <w:spacing w:after="0" w:line="162" w:lineRule="exact"/>
        <w:rPr>
          <w:sz w:val="20"/>
          <w:szCs w:val="20"/>
          <w:color w:val="auto"/>
        </w:rPr>
      </w:pPr>
    </w:p>
    <w:p>
      <w:pPr>
        <w:jc w:val="both"/>
        <w:ind w:left="120" w:right="20"/>
        <w:spacing w:after="0" w:line="248" w:lineRule="auto"/>
        <w:rPr>
          <w:sz w:val="20"/>
          <w:szCs w:val="20"/>
          <w:color w:val="auto"/>
        </w:rPr>
      </w:pPr>
      <w:r>
        <w:rPr>
          <w:rFonts w:ascii="Arial" w:cs="Arial" w:eastAsia="Arial" w:hAnsi="Arial"/>
          <w:sz w:val="16"/>
          <w:szCs w:val="16"/>
          <w:color w:val="auto"/>
        </w:rPr>
        <w:t>Management assists the Compensation Committee in the performance of its duties as described in more detail below under “EXECUTIVE COMPENSATION—Compensation Discussion and Analysis—Role of Management.” In addition, during 2019, the CEO participated in all of the Compensation Committee’s meetings and in all of the executive sessions, except for those in which the Compensation Committee considered the CEO’s performance, compensation and incentives. The Committee engaged the firm of Pay Governance LLC as its outside compensation advisor to assist the Committee in the execution of its charter. The support provided by the advisor is described in more detail below under “EXECUTIVE COMPENSATION— Compensation Discussion and Analysis—Role of Compensation Advisor.” The Report of the Compensation Committee on Executive Compensation appears below under the caption “EXECUTIVE COMPENSATION—Compensation Committee Report.”</w:t>
      </w:r>
    </w:p>
    <w:p>
      <w:pPr>
        <w:spacing w:after="0" w:line="13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00548B"/>
        </w:rPr>
        <w:t>12</w:t>
      </w:r>
    </w:p>
    <w:p>
      <w:pPr>
        <w:sectPr>
          <w:pgSz w:w="11900" w:h="16838" w:orient="portrait"/>
          <w:cols w:equalWidth="0" w:num="1">
            <w:col w:w="11140"/>
          </w:cols>
          <w:pgMar w:left="32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48B"/>
        </w:rPr>
        <w:t>Nominating and Corporate Governance Committee</w:t>
      </w:r>
    </w:p>
    <w:p>
      <w:pPr>
        <w:spacing w:after="0" w:line="20"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6"/>
          <w:szCs w:val="16"/>
          <w:color w:val="auto"/>
        </w:rPr>
        <w:t>The Nominating and Corporate Governance Committee responsibilities include identifying and recommending to the board of directors appropriate director nominee candidates and providing oversight with respect to corporate governance matters. The Nominating and Corporate Governance Committee met four times in 2019.</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members of the Nominating and Corporate Governance Committee are Mr. McCartney (Chair), Mr. Massaro, Ms. Zumwalt and Ms. Singh-Bushell.</w:t>
      </w:r>
    </w:p>
    <w:p>
      <w:pPr>
        <w:spacing w:after="0" w:line="181" w:lineRule="exact"/>
        <w:rPr>
          <w:sz w:val="20"/>
          <w:szCs w:val="20"/>
          <w:color w:val="auto"/>
        </w:rPr>
      </w:pPr>
    </w:p>
    <w:p>
      <w:pPr>
        <w:jc w:val="both"/>
        <w:ind w:left="120" w:right="20"/>
        <w:spacing w:after="0" w:line="249" w:lineRule="auto"/>
        <w:rPr>
          <w:sz w:val="20"/>
          <w:szCs w:val="20"/>
          <w:color w:val="auto"/>
        </w:rPr>
      </w:pPr>
      <w:r>
        <w:rPr>
          <w:rFonts w:ascii="Arial" w:cs="Arial" w:eastAsia="Arial" w:hAnsi="Arial"/>
          <w:sz w:val="16"/>
          <w:szCs w:val="16"/>
          <w:color w:val="auto"/>
        </w:rPr>
        <w:t>Directors may be nominated by the board of directors or by stockholders in accordance with the bylaws of the Company. The Nominating and Corporate Governance Committee will review all candidates for nomination to the board of directors, including those proposed by stockholders as provided below. The Nominating and Corporate Governance Committee reviews the person’s judgment, experience, independence, understanding of the Company’s business or other related industries, and such other factors as the Nominating and Corporate Governance Committee determines are relevant in light of the needs of the board of directors and the Company. The Nominating and Corporate Governance Committee selects qualified candidates and reviews its recommendations with the board of directors, which will decide whether to invite the candidate to be a nominee for election to the board of directors.</w:t>
      </w:r>
    </w:p>
    <w:p>
      <w:pPr>
        <w:spacing w:after="0" w:line="164" w:lineRule="exact"/>
        <w:rPr>
          <w:sz w:val="20"/>
          <w:szCs w:val="20"/>
          <w:color w:val="auto"/>
        </w:rPr>
      </w:pPr>
    </w:p>
    <w:p>
      <w:pPr>
        <w:jc w:val="both"/>
        <w:ind w:left="120" w:right="20"/>
        <w:spacing w:after="0" w:line="250" w:lineRule="auto"/>
        <w:rPr>
          <w:sz w:val="20"/>
          <w:szCs w:val="20"/>
          <w:color w:val="auto"/>
        </w:rPr>
      </w:pPr>
      <w:r>
        <w:rPr>
          <w:rFonts w:ascii="Arial" w:cs="Arial" w:eastAsia="Arial" w:hAnsi="Arial"/>
          <w:sz w:val="16"/>
          <w:szCs w:val="16"/>
          <w:color w:val="auto"/>
        </w:rPr>
        <w:t>If the Nominating and Corporate Governance Committee receives a nominee recommendation in accordance with the rules of the SEC from a stockholder or group of stockholders that has beneficially owned more than 5% of the Company’s voting common stock for at least one year as of the date of the recommendation, the name of the candidate, the name(s) of the stockholder(s) who recommended the candidate, and whether the Nominating and Corporate Governance Committee chose to nominate the candidate will be disclosed in the proxy statement, if the consent of both the stockholder and the candidate has been received.</w:t>
      </w:r>
    </w:p>
    <w:p>
      <w:pPr>
        <w:spacing w:after="0" w:line="176" w:lineRule="exact"/>
        <w:rPr>
          <w:sz w:val="20"/>
          <w:szCs w:val="20"/>
          <w:color w:val="auto"/>
        </w:rPr>
      </w:pPr>
    </w:p>
    <w:p>
      <w:pPr>
        <w:jc w:val="both"/>
        <w:ind w:left="120" w:right="20"/>
        <w:spacing w:after="0" w:line="249" w:lineRule="auto"/>
        <w:rPr>
          <w:sz w:val="20"/>
          <w:szCs w:val="20"/>
          <w:color w:val="auto"/>
        </w:rPr>
      </w:pPr>
      <w:r>
        <w:rPr>
          <w:rFonts w:ascii="Arial" w:cs="Arial" w:eastAsia="Arial" w:hAnsi="Arial"/>
          <w:sz w:val="16"/>
          <w:szCs w:val="16"/>
          <w:color w:val="auto"/>
        </w:rPr>
        <w:t xml:space="preserve">For a stockholder to submit a candidate for consideration by the Nominating and Corporate Governance Committee, a stockholder must notify the Company’s Corporate Secretary. In addition, the Company’s bylaws permit stockholders to nominate directors at a stockholders’ meeting. To make a director nomination at the annual meeting, a stockholder must notify the Company’s Corporate Secretary within the time periods specified under “SUBMISSION OF STOCKHOLDER PROPOSALS” below. Notices should be sent to: Corporate Secretary, Huron Consulting Group Inc., 550 West Van Buren Street, 17th Floor, Chicago, Illinois 60607, or </w:t>
      </w:r>
      <w:r>
        <w:rPr>
          <w:rFonts w:ascii="Arial" w:cs="Arial" w:eastAsia="Arial" w:hAnsi="Arial"/>
          <w:sz w:val="16"/>
          <w:szCs w:val="16"/>
          <w:i w:val="1"/>
          <w:iCs w:val="1"/>
          <w:color w:val="auto"/>
        </w:rPr>
        <w:t>corporatesecretary@huronconsultinggroup.com</w:t>
      </w:r>
      <w:r>
        <w:rPr>
          <w:rFonts w:ascii="Arial" w:cs="Arial" w:eastAsia="Arial" w:hAnsi="Arial"/>
          <w:sz w:val="16"/>
          <w:szCs w:val="16"/>
          <w:color w:val="auto"/>
        </w:rPr>
        <w:t>. In either case, the notice must meet all of the requirements contained in the bylaws.</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48B"/>
        </w:rPr>
        <w:t>D</w:t>
      </w:r>
      <w:r>
        <w:rPr>
          <w:rFonts w:ascii="Arial" w:cs="Arial" w:eastAsia="Arial" w:hAnsi="Arial"/>
          <w:sz w:val="14"/>
          <w:szCs w:val="14"/>
          <w:b w:val="1"/>
          <w:bCs w:val="1"/>
          <w:color w:val="00548B"/>
        </w:rPr>
        <w:t>IRECTOR</w:t>
      </w:r>
      <w:r>
        <w:rPr>
          <w:rFonts w:ascii="Arial" w:cs="Arial" w:eastAsia="Arial" w:hAnsi="Arial"/>
          <w:sz w:val="18"/>
          <w:szCs w:val="18"/>
          <w:b w:val="1"/>
          <w:bCs w:val="1"/>
          <w:color w:val="00548B"/>
        </w:rPr>
        <w:t xml:space="preserve"> R</w:t>
      </w:r>
      <w:r>
        <w:rPr>
          <w:rFonts w:ascii="Arial" w:cs="Arial" w:eastAsia="Arial" w:hAnsi="Arial"/>
          <w:sz w:val="14"/>
          <w:szCs w:val="14"/>
          <w:b w:val="1"/>
          <w:bCs w:val="1"/>
          <w:color w:val="00548B"/>
        </w:rPr>
        <w:t>ESIGNATION</w:t>
      </w:r>
      <w:r>
        <w:rPr>
          <w:rFonts w:ascii="Arial" w:cs="Arial" w:eastAsia="Arial" w:hAnsi="Arial"/>
          <w:sz w:val="18"/>
          <w:szCs w:val="18"/>
          <w:b w:val="1"/>
          <w:bCs w:val="1"/>
          <w:color w:val="00548B"/>
        </w:rPr>
        <w:t xml:space="preserve"> P</w:t>
      </w:r>
      <w:r>
        <w:rPr>
          <w:rFonts w:ascii="Arial" w:cs="Arial" w:eastAsia="Arial" w:hAnsi="Arial"/>
          <w:sz w:val="14"/>
          <w:szCs w:val="14"/>
          <w:b w:val="1"/>
          <w:bCs w:val="1"/>
          <w:color w:val="00548B"/>
        </w:rPr>
        <w:t>OLICY</w:t>
      </w:r>
    </w:p>
    <w:p>
      <w:pPr>
        <w:spacing w:after="0" w:line="20" w:lineRule="exact"/>
        <w:rPr>
          <w:sz w:val="20"/>
          <w:szCs w:val="20"/>
          <w:color w:val="auto"/>
        </w:rPr>
      </w:pPr>
    </w:p>
    <w:p>
      <w:pPr>
        <w:jc w:val="both"/>
        <w:ind w:left="120" w:right="20"/>
        <w:spacing w:after="0" w:line="249" w:lineRule="auto"/>
        <w:rPr>
          <w:sz w:val="20"/>
          <w:szCs w:val="20"/>
          <w:color w:val="auto"/>
        </w:rPr>
      </w:pPr>
      <w:r>
        <w:rPr>
          <w:rFonts w:ascii="Arial" w:cs="Arial" w:eastAsia="Arial" w:hAnsi="Arial"/>
          <w:sz w:val="16"/>
          <w:szCs w:val="16"/>
          <w:color w:val="auto"/>
        </w:rPr>
        <w:t>The Company’s Corporate Governance Guidelines provide that in an uncontested election, any nominee for director who receives a greater number of votes “withheld” from his or her election than “for” his or her election shall promptly tender his or her resignation to the board of directors following certification of the election results, subject to acceptance by the board of directors. For purposes of this policy, (i) an “uncontested” election is one in which the number of persons properly nominated for election as directors as of the date that is ten (10) days before the record date for determining stockholders entitled to notice of or to vote at such meeting is not greater than the number of directors to be elected, and (ii) broker non-votes will not be counted as either votes “withheld” from or “for” such person’s election.</w:t>
      </w:r>
    </w:p>
    <w:p>
      <w:pPr>
        <w:spacing w:after="0" w:line="164" w:lineRule="exact"/>
        <w:rPr>
          <w:sz w:val="20"/>
          <w:szCs w:val="20"/>
          <w:color w:val="auto"/>
        </w:rPr>
      </w:pPr>
    </w:p>
    <w:p>
      <w:pPr>
        <w:jc w:val="both"/>
        <w:ind w:left="120" w:right="20"/>
        <w:spacing w:after="0" w:line="249" w:lineRule="auto"/>
        <w:rPr>
          <w:sz w:val="20"/>
          <w:szCs w:val="20"/>
          <w:color w:val="auto"/>
        </w:rPr>
      </w:pPr>
      <w:r>
        <w:rPr>
          <w:rFonts w:ascii="Arial" w:cs="Arial" w:eastAsia="Arial" w:hAnsi="Arial"/>
          <w:sz w:val="16"/>
          <w:szCs w:val="16"/>
          <w:color w:val="auto"/>
        </w:rPr>
        <w:t>The Nominating and Corporate Governance Committee shall make a recommendation to the board of directors as to whether to accept or reject the tendered resignation, or whether other action should be taken. The board of directors shall determine whether to accept or reject the tendered resignation, or whether other action should be taken, in its sole discretion, and publicly disclose its decision regarding the tendered resignation within ninety (90) days from the date of the certification of the election results. The Nominating and Corporate Governance Committee in making its recommendation and the board of directors in making its decision may each consider any factors or other information that they consider appropriate and relevant.</w:t>
      </w:r>
    </w:p>
    <w:p>
      <w:pPr>
        <w:spacing w:after="0" w:line="369" w:lineRule="exact"/>
        <w:rPr>
          <w:sz w:val="20"/>
          <w:szCs w:val="20"/>
          <w:color w:val="auto"/>
        </w:rPr>
      </w:pPr>
    </w:p>
    <w:p>
      <w:pPr>
        <w:jc w:val="both"/>
        <w:ind w:left="120"/>
        <w:spacing w:after="0" w:line="250" w:lineRule="auto"/>
        <w:rPr>
          <w:sz w:val="20"/>
          <w:szCs w:val="20"/>
          <w:color w:val="auto"/>
        </w:rPr>
      </w:pPr>
      <w:r>
        <w:rPr>
          <w:rFonts w:ascii="Arial" w:cs="Arial" w:eastAsia="Arial" w:hAnsi="Arial"/>
          <w:sz w:val="16"/>
          <w:szCs w:val="16"/>
          <w:color w:val="auto"/>
        </w:rPr>
        <w:t>If any director’s resignation is not accepted by the board of directors, such director shall continue to serve until such director’s successor is duly elected and qualified, or until such director’s earlier death, resignation, retirement, disqualification or removal. If a director’s resignation is accepted by the board of directors pursuant to this policy, then the board of directors, in its sole discretion, may fill any resulting vacancy pursuant to the provisions of Section 2 of Article III of the bylaws of the Company or may decrease the size of the board of directors pursuant to Section 1 of Article III of the bylaws of the Company.</w:t>
      </w:r>
    </w:p>
    <w:p>
      <w:pPr>
        <w:spacing w:after="0" w:line="3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00548B"/>
        </w:rPr>
        <w:t>13</w:t>
      </w:r>
    </w:p>
    <w:p>
      <w:pPr>
        <w:sectPr>
          <w:pgSz w:w="11900" w:h="16838" w:orient="portrait"/>
          <w:cols w:equalWidth="0" w:num="1">
            <w:col w:w="11140"/>
          </w:cols>
          <w:pgMar w:left="32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48B"/>
        </w:rPr>
        <w:t>D</w:t>
      </w:r>
      <w:r>
        <w:rPr>
          <w:rFonts w:ascii="Arial" w:cs="Arial" w:eastAsia="Arial" w:hAnsi="Arial"/>
          <w:sz w:val="14"/>
          <w:szCs w:val="14"/>
          <w:b w:val="1"/>
          <w:bCs w:val="1"/>
          <w:color w:val="00548B"/>
        </w:rPr>
        <w:t>IVERSITY OF</w:t>
      </w:r>
      <w:r>
        <w:rPr>
          <w:rFonts w:ascii="Arial" w:cs="Arial" w:eastAsia="Arial" w:hAnsi="Arial"/>
          <w:sz w:val="18"/>
          <w:szCs w:val="18"/>
          <w:b w:val="1"/>
          <w:bCs w:val="1"/>
          <w:color w:val="00548B"/>
        </w:rPr>
        <w:t xml:space="preserve"> B</w:t>
      </w:r>
      <w:r>
        <w:rPr>
          <w:rFonts w:ascii="Arial" w:cs="Arial" w:eastAsia="Arial" w:hAnsi="Arial"/>
          <w:sz w:val="14"/>
          <w:szCs w:val="14"/>
          <w:b w:val="1"/>
          <w:bCs w:val="1"/>
          <w:color w:val="00548B"/>
        </w:rPr>
        <w:t>OARD</w:t>
      </w:r>
      <w:r>
        <w:rPr>
          <w:rFonts w:ascii="Arial" w:cs="Arial" w:eastAsia="Arial" w:hAnsi="Arial"/>
          <w:sz w:val="18"/>
          <w:szCs w:val="18"/>
          <w:b w:val="1"/>
          <w:bCs w:val="1"/>
          <w:color w:val="00548B"/>
        </w:rPr>
        <w:t xml:space="preserve"> S</w:t>
      </w:r>
      <w:r>
        <w:rPr>
          <w:rFonts w:ascii="Arial" w:cs="Arial" w:eastAsia="Arial" w:hAnsi="Arial"/>
          <w:sz w:val="14"/>
          <w:szCs w:val="14"/>
          <w:b w:val="1"/>
          <w:bCs w:val="1"/>
          <w:color w:val="00548B"/>
        </w:rPr>
        <w:t>KILLS AND</w:t>
      </w:r>
      <w:r>
        <w:rPr>
          <w:rFonts w:ascii="Arial" w:cs="Arial" w:eastAsia="Arial" w:hAnsi="Arial"/>
          <w:sz w:val="18"/>
          <w:szCs w:val="18"/>
          <w:b w:val="1"/>
          <w:bCs w:val="1"/>
          <w:color w:val="00548B"/>
        </w:rPr>
        <w:t xml:space="preserve"> E</w:t>
      </w:r>
      <w:r>
        <w:rPr>
          <w:rFonts w:ascii="Arial" w:cs="Arial" w:eastAsia="Arial" w:hAnsi="Arial"/>
          <w:sz w:val="14"/>
          <w:szCs w:val="14"/>
          <w:b w:val="1"/>
          <w:bCs w:val="1"/>
          <w:color w:val="00548B"/>
        </w:rPr>
        <w:t>XPERIENCE</w:t>
      </w:r>
    </w:p>
    <w:p>
      <w:pPr>
        <w:spacing w:after="0" w:line="20" w:lineRule="exact"/>
        <w:rPr>
          <w:sz w:val="20"/>
          <w:szCs w:val="20"/>
          <w:color w:val="auto"/>
        </w:rPr>
      </w:pPr>
    </w:p>
    <w:p>
      <w:pPr>
        <w:jc w:val="both"/>
        <w:ind w:left="120" w:right="20"/>
        <w:spacing w:after="0" w:line="250" w:lineRule="auto"/>
        <w:rPr>
          <w:sz w:val="20"/>
          <w:szCs w:val="20"/>
          <w:color w:val="auto"/>
        </w:rPr>
      </w:pPr>
      <w:r>
        <w:rPr>
          <w:rFonts w:ascii="Arial" w:cs="Arial" w:eastAsia="Arial" w:hAnsi="Arial"/>
          <w:sz w:val="16"/>
          <w:szCs w:val="16"/>
          <w:color w:val="auto"/>
        </w:rPr>
        <w:t>Huron does not have a formal policy on board member diversity. The Nominating and Corporate Governance Committee, in discussing board composition, has focused on diversity of experience in relation to the development of the business, and believes it should reflect over time a diversity of gender, race, ethnicity and age, although the committee follows no strict criteria when making decisions. In addition to the considerations mentioned above under the “Nominating and Corporate Governance Committee” section, the Nominating and Corporate Governance Committee seeks candidates with prior management experience, experience on public company boards and in relevant industries.</w:t>
      </w:r>
    </w:p>
    <w:p>
      <w:pPr>
        <w:spacing w:after="0" w:line="15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48B"/>
        </w:rPr>
        <w:t>C</w:t>
      </w:r>
      <w:r>
        <w:rPr>
          <w:rFonts w:ascii="Arial" w:cs="Arial" w:eastAsia="Arial" w:hAnsi="Arial"/>
          <w:sz w:val="14"/>
          <w:szCs w:val="14"/>
          <w:b w:val="1"/>
          <w:bCs w:val="1"/>
          <w:color w:val="00548B"/>
        </w:rPr>
        <w:t>OMPENSATION OF</w:t>
      </w:r>
      <w:r>
        <w:rPr>
          <w:rFonts w:ascii="Arial" w:cs="Arial" w:eastAsia="Arial" w:hAnsi="Arial"/>
          <w:sz w:val="18"/>
          <w:szCs w:val="18"/>
          <w:b w:val="1"/>
          <w:bCs w:val="1"/>
          <w:color w:val="00548B"/>
        </w:rPr>
        <w:t xml:space="preserve"> D</w:t>
      </w:r>
      <w:r>
        <w:rPr>
          <w:rFonts w:ascii="Arial" w:cs="Arial" w:eastAsia="Arial" w:hAnsi="Arial"/>
          <w:sz w:val="14"/>
          <w:szCs w:val="14"/>
          <w:b w:val="1"/>
          <w:bCs w:val="1"/>
          <w:color w:val="00548B"/>
        </w:rPr>
        <w:t>IRECTORS</w:t>
      </w:r>
    </w:p>
    <w:p>
      <w:pPr>
        <w:spacing w:after="0" w:line="20" w:lineRule="exact"/>
        <w:rPr>
          <w:sz w:val="20"/>
          <w:szCs w:val="20"/>
          <w:color w:val="auto"/>
        </w:rPr>
      </w:pPr>
    </w:p>
    <w:p>
      <w:pPr>
        <w:jc w:val="both"/>
        <w:ind w:left="120" w:right="20"/>
        <w:spacing w:after="0" w:line="251" w:lineRule="auto"/>
        <w:rPr>
          <w:sz w:val="20"/>
          <w:szCs w:val="20"/>
          <w:color w:val="auto"/>
        </w:rPr>
      </w:pPr>
      <w:r>
        <w:rPr>
          <w:rFonts w:ascii="Arial" w:cs="Arial" w:eastAsia="Arial" w:hAnsi="Arial"/>
          <w:sz w:val="16"/>
          <w:szCs w:val="16"/>
          <w:color w:val="auto"/>
        </w:rPr>
        <w:t>The Huron non-employee director compensation program is designed to enhance our ability to attract and retain highly qualified directors and to align their interests with the long-term interests of our stockholders. The program consists of both a cash component, designed to compensate non-employee directors for their service on the board and its committees, and an equity component, designed to align the interests of non-employee directors and stockholders. Mr. Roth receives no compensation for his service on the board.</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Effective as of July 1, 2016, the director compensation program is comprised of the following elements:</w:t>
      </w:r>
    </w:p>
    <w:p>
      <w:pPr>
        <w:spacing w:after="0" w:line="226" w:lineRule="exact"/>
        <w:rPr>
          <w:sz w:val="20"/>
          <w:szCs w:val="20"/>
          <w:color w:val="auto"/>
        </w:rPr>
      </w:pPr>
    </w:p>
    <w:tbl>
      <w:tblPr>
        <w:tblLayout w:type="fixed"/>
        <w:tblInd w:w="130" w:type="dxa"/>
        <w:tblCellMar>
          <w:top w:w="0" w:type="dxa"/>
          <w:left w:w="0" w:type="dxa"/>
          <w:bottom w:w="0" w:type="dxa"/>
          <w:right w:w="0" w:type="dxa"/>
        </w:tblCellMar>
      </w:tblPr>
      <w:tr>
        <w:trPr>
          <w:trHeight w:val="203"/>
        </w:trPr>
        <w:tc>
          <w:tcPr>
            <w:tcW w:w="5520" w:type="dxa"/>
            <w:vAlign w:val="bottom"/>
            <w:tcBorders>
              <w:top w:val="single" w:sz="8" w:color="00548B"/>
              <w:left w:val="single" w:sz="8" w:color="00548B"/>
              <w:right w:val="single" w:sz="8" w:color="999999"/>
            </w:tcBorders>
            <w:shd w:val="clear" w:color="auto" w:fill="00548B"/>
          </w:tcPr>
          <w:p>
            <w:pPr>
              <w:ind w:left="160"/>
              <w:spacing w:after="0"/>
              <w:rPr>
                <w:sz w:val="20"/>
                <w:szCs w:val="20"/>
                <w:color w:val="auto"/>
              </w:rPr>
            </w:pPr>
            <w:r>
              <w:rPr>
                <w:rFonts w:ascii="Arial" w:cs="Arial" w:eastAsia="Arial" w:hAnsi="Arial"/>
                <w:sz w:val="16"/>
                <w:szCs w:val="16"/>
                <w:b w:val="1"/>
                <w:bCs w:val="1"/>
                <w:color w:val="E5E5E5"/>
              </w:rPr>
              <w:t>Compensation Element</w:t>
            </w:r>
          </w:p>
        </w:tc>
        <w:tc>
          <w:tcPr>
            <w:tcW w:w="5520" w:type="dxa"/>
            <w:vAlign w:val="bottom"/>
            <w:tcBorders>
              <w:top w:val="single" w:sz="8" w:color="00548B"/>
              <w:right w:val="single" w:sz="8" w:color="00548B"/>
            </w:tcBorders>
            <w:shd w:val="clear" w:color="auto" w:fill="00548B"/>
          </w:tcPr>
          <w:p>
            <w:pPr>
              <w:ind w:left="2260"/>
              <w:spacing w:after="0"/>
              <w:rPr>
                <w:sz w:val="20"/>
                <w:szCs w:val="20"/>
                <w:color w:val="auto"/>
              </w:rPr>
            </w:pPr>
            <w:r>
              <w:rPr>
                <w:rFonts w:ascii="Arial" w:cs="Arial" w:eastAsia="Arial" w:hAnsi="Arial"/>
                <w:sz w:val="16"/>
                <w:szCs w:val="16"/>
                <w:b w:val="1"/>
                <w:bCs w:val="1"/>
                <w:color w:val="E5E5E5"/>
              </w:rPr>
              <w:t>Compensation</w:t>
            </w:r>
          </w:p>
        </w:tc>
        <w:tc>
          <w:tcPr>
            <w:tcW w:w="0" w:type="dxa"/>
            <w:vAlign w:val="bottom"/>
          </w:tcPr>
          <w:p>
            <w:pPr>
              <w:spacing w:after="0"/>
              <w:rPr>
                <w:sz w:val="1"/>
                <w:szCs w:val="1"/>
                <w:color w:val="auto"/>
              </w:rPr>
            </w:pPr>
          </w:p>
        </w:tc>
      </w:tr>
      <w:tr>
        <w:trPr>
          <w:trHeight w:val="191"/>
        </w:trPr>
        <w:tc>
          <w:tcPr>
            <w:tcW w:w="5520" w:type="dxa"/>
            <w:vAlign w:val="bottom"/>
            <w:tcBorders>
              <w:left w:val="single" w:sz="8" w:color="00548B"/>
              <w:right w:val="single" w:sz="8" w:color="999999"/>
            </w:tcBorders>
          </w:tcPr>
          <w:p>
            <w:pPr>
              <w:spacing w:after="0"/>
              <w:rPr>
                <w:sz w:val="16"/>
                <w:szCs w:val="16"/>
                <w:color w:val="auto"/>
              </w:rPr>
            </w:pPr>
          </w:p>
        </w:tc>
        <w:tc>
          <w:tcPr>
            <w:tcW w:w="5520" w:type="dxa"/>
            <w:vAlign w:val="bottom"/>
            <w:tcBorders>
              <w:right w:val="single" w:sz="8" w:color="00548B"/>
            </w:tcBorders>
          </w:tcPr>
          <w:p>
            <w:pPr>
              <w:ind w:left="200"/>
              <w:spacing w:after="0"/>
              <w:rPr>
                <w:sz w:val="20"/>
                <w:szCs w:val="20"/>
                <w:color w:val="auto"/>
              </w:rPr>
            </w:pPr>
            <w:r>
              <w:rPr>
                <w:rFonts w:ascii="Arial" w:cs="Arial" w:eastAsia="Arial" w:hAnsi="Arial"/>
                <w:sz w:val="16"/>
                <w:szCs w:val="16"/>
                <w:color w:val="auto"/>
              </w:rPr>
              <w:t>Non-executive Chairman - $235,000</w:t>
            </w:r>
          </w:p>
        </w:tc>
        <w:tc>
          <w:tcPr>
            <w:tcW w:w="0" w:type="dxa"/>
            <w:vAlign w:val="bottom"/>
          </w:tcPr>
          <w:p>
            <w:pPr>
              <w:spacing w:after="0"/>
              <w:rPr>
                <w:sz w:val="1"/>
                <w:szCs w:val="1"/>
                <w:color w:val="auto"/>
              </w:rPr>
            </w:pPr>
          </w:p>
        </w:tc>
      </w:tr>
      <w:tr>
        <w:trPr>
          <w:trHeight w:val="189"/>
        </w:trPr>
        <w:tc>
          <w:tcPr>
            <w:tcW w:w="5520" w:type="dxa"/>
            <w:vAlign w:val="bottom"/>
            <w:tcBorders>
              <w:left w:val="single" w:sz="8" w:color="00548B"/>
              <w:right w:val="single" w:sz="8" w:color="999999"/>
            </w:tcBorders>
          </w:tcPr>
          <w:p>
            <w:pPr>
              <w:ind w:left="160"/>
              <w:spacing w:after="0"/>
              <w:rPr>
                <w:sz w:val="20"/>
                <w:szCs w:val="20"/>
                <w:color w:val="auto"/>
              </w:rPr>
            </w:pPr>
            <w:r>
              <w:rPr>
                <w:rFonts w:ascii="Arial" w:cs="Arial" w:eastAsia="Arial" w:hAnsi="Arial"/>
                <w:sz w:val="16"/>
                <w:szCs w:val="16"/>
                <w:color w:val="auto"/>
              </w:rPr>
              <w:t>Annual cash retainer</w:t>
            </w:r>
          </w:p>
        </w:tc>
        <w:tc>
          <w:tcPr>
            <w:tcW w:w="5520" w:type="dxa"/>
            <w:vAlign w:val="bottom"/>
            <w:tcBorders>
              <w:right w:val="single" w:sz="8" w:color="00548B"/>
            </w:tcBorders>
          </w:tcPr>
          <w:p>
            <w:pPr>
              <w:ind w:left="200"/>
              <w:spacing w:after="0"/>
              <w:rPr>
                <w:sz w:val="20"/>
                <w:szCs w:val="20"/>
                <w:color w:val="auto"/>
              </w:rPr>
            </w:pPr>
            <w:r>
              <w:rPr>
                <w:rFonts w:ascii="Arial" w:cs="Arial" w:eastAsia="Arial" w:hAnsi="Arial"/>
                <w:sz w:val="16"/>
                <w:szCs w:val="16"/>
                <w:color w:val="auto"/>
              </w:rPr>
              <w:t>Vice Chairman - $85,000</w:t>
            </w:r>
          </w:p>
        </w:tc>
        <w:tc>
          <w:tcPr>
            <w:tcW w:w="0" w:type="dxa"/>
            <w:vAlign w:val="bottom"/>
          </w:tcPr>
          <w:p>
            <w:pPr>
              <w:spacing w:after="0"/>
              <w:rPr>
                <w:sz w:val="1"/>
                <w:szCs w:val="1"/>
                <w:color w:val="auto"/>
              </w:rPr>
            </w:pPr>
          </w:p>
        </w:tc>
      </w:tr>
      <w:tr>
        <w:trPr>
          <w:trHeight w:val="198"/>
        </w:trPr>
        <w:tc>
          <w:tcPr>
            <w:tcW w:w="5520" w:type="dxa"/>
            <w:vAlign w:val="bottom"/>
            <w:tcBorders>
              <w:left w:val="single" w:sz="8" w:color="00548B"/>
              <w:bottom w:val="single" w:sz="8" w:color="999999"/>
              <w:right w:val="single" w:sz="8" w:color="999999"/>
            </w:tcBorders>
          </w:tcPr>
          <w:p>
            <w:pPr>
              <w:spacing w:after="0"/>
              <w:rPr>
                <w:sz w:val="17"/>
                <w:szCs w:val="17"/>
                <w:color w:val="auto"/>
              </w:rPr>
            </w:pPr>
          </w:p>
        </w:tc>
        <w:tc>
          <w:tcPr>
            <w:tcW w:w="5520" w:type="dxa"/>
            <w:vAlign w:val="bottom"/>
            <w:tcBorders>
              <w:bottom w:val="single" w:sz="8" w:color="999999"/>
              <w:right w:val="single" w:sz="8" w:color="00548B"/>
            </w:tcBorders>
          </w:tcPr>
          <w:p>
            <w:pPr>
              <w:ind w:left="200"/>
              <w:spacing w:after="0"/>
              <w:rPr>
                <w:sz w:val="20"/>
                <w:szCs w:val="20"/>
                <w:color w:val="auto"/>
              </w:rPr>
            </w:pPr>
            <w:r>
              <w:rPr>
                <w:rFonts w:ascii="Arial" w:cs="Arial" w:eastAsia="Arial" w:hAnsi="Arial"/>
                <w:sz w:val="16"/>
                <w:szCs w:val="16"/>
                <w:color w:val="auto"/>
              </w:rPr>
              <w:t>Other non-employee directors - $60,000</w:t>
            </w:r>
          </w:p>
        </w:tc>
        <w:tc>
          <w:tcPr>
            <w:tcW w:w="0" w:type="dxa"/>
            <w:vAlign w:val="bottom"/>
          </w:tcPr>
          <w:p>
            <w:pPr>
              <w:spacing w:after="0"/>
              <w:rPr>
                <w:sz w:val="1"/>
                <w:szCs w:val="1"/>
                <w:color w:val="auto"/>
              </w:rPr>
            </w:pPr>
          </w:p>
        </w:tc>
      </w:tr>
      <w:tr>
        <w:trPr>
          <w:trHeight w:val="185"/>
        </w:trPr>
        <w:tc>
          <w:tcPr>
            <w:tcW w:w="5520" w:type="dxa"/>
            <w:vAlign w:val="bottom"/>
            <w:tcBorders>
              <w:left w:val="single" w:sz="8" w:color="00548B"/>
              <w:bottom w:val="single" w:sz="8" w:color="999999"/>
              <w:right w:val="single" w:sz="8" w:color="999999"/>
            </w:tcBorders>
          </w:tcPr>
          <w:p>
            <w:pPr>
              <w:ind w:left="160"/>
              <w:spacing w:after="0"/>
              <w:rPr>
                <w:sz w:val="20"/>
                <w:szCs w:val="20"/>
                <w:color w:val="auto"/>
              </w:rPr>
            </w:pPr>
            <w:r>
              <w:rPr>
                <w:rFonts w:ascii="Arial" w:cs="Arial" w:eastAsia="Arial" w:hAnsi="Arial"/>
                <w:sz w:val="16"/>
                <w:szCs w:val="16"/>
                <w:color w:val="auto"/>
              </w:rPr>
              <w:t>Annual restricted stock grant</w:t>
            </w:r>
          </w:p>
        </w:tc>
        <w:tc>
          <w:tcPr>
            <w:tcW w:w="5520" w:type="dxa"/>
            <w:vAlign w:val="bottom"/>
            <w:tcBorders>
              <w:bottom w:val="single" w:sz="8" w:color="999999"/>
              <w:right w:val="single" w:sz="8" w:color="00548B"/>
            </w:tcBorders>
          </w:tcPr>
          <w:p>
            <w:pPr>
              <w:ind w:left="200"/>
              <w:spacing w:after="0"/>
              <w:rPr>
                <w:sz w:val="20"/>
                <w:szCs w:val="20"/>
                <w:color w:val="auto"/>
              </w:rPr>
            </w:pPr>
            <w:r>
              <w:rPr>
                <w:rFonts w:ascii="Arial" w:cs="Arial" w:eastAsia="Arial" w:hAnsi="Arial"/>
                <w:sz w:val="16"/>
                <w:szCs w:val="16"/>
                <w:color w:val="auto"/>
              </w:rPr>
              <w:t>$170,000 in the form of restricted stock (1)</w:t>
            </w:r>
          </w:p>
        </w:tc>
        <w:tc>
          <w:tcPr>
            <w:tcW w:w="0" w:type="dxa"/>
            <w:vAlign w:val="bottom"/>
          </w:tcPr>
          <w:p>
            <w:pPr>
              <w:spacing w:after="0"/>
              <w:rPr>
                <w:sz w:val="1"/>
                <w:szCs w:val="1"/>
                <w:color w:val="auto"/>
              </w:rPr>
            </w:pPr>
          </w:p>
        </w:tc>
      </w:tr>
      <w:tr>
        <w:trPr>
          <w:trHeight w:val="183"/>
        </w:trPr>
        <w:tc>
          <w:tcPr>
            <w:tcW w:w="5520" w:type="dxa"/>
            <w:vAlign w:val="bottom"/>
            <w:tcBorders>
              <w:left w:val="single" w:sz="8" w:color="00548B"/>
              <w:bottom w:val="single" w:sz="8" w:color="999999"/>
              <w:right w:val="single" w:sz="8" w:color="999999"/>
            </w:tcBorders>
          </w:tcPr>
          <w:p>
            <w:pPr>
              <w:ind w:left="160"/>
              <w:spacing w:after="0" w:line="183" w:lineRule="exact"/>
              <w:rPr>
                <w:sz w:val="20"/>
                <w:szCs w:val="20"/>
                <w:color w:val="auto"/>
              </w:rPr>
            </w:pPr>
            <w:r>
              <w:rPr>
                <w:rFonts w:ascii="Arial" w:cs="Arial" w:eastAsia="Arial" w:hAnsi="Arial"/>
                <w:sz w:val="16"/>
                <w:szCs w:val="16"/>
                <w:color w:val="auto"/>
              </w:rPr>
              <w:t>Initial grant to a new non-employee director</w:t>
            </w:r>
          </w:p>
        </w:tc>
        <w:tc>
          <w:tcPr>
            <w:tcW w:w="5520" w:type="dxa"/>
            <w:vAlign w:val="bottom"/>
            <w:tcBorders>
              <w:bottom w:val="single" w:sz="8" w:color="999999"/>
              <w:right w:val="single" w:sz="8" w:color="00548B"/>
            </w:tcBorders>
          </w:tcPr>
          <w:p>
            <w:pPr>
              <w:ind w:left="200"/>
              <w:spacing w:after="0" w:line="183" w:lineRule="exact"/>
              <w:rPr>
                <w:sz w:val="20"/>
                <w:szCs w:val="20"/>
                <w:color w:val="auto"/>
              </w:rPr>
            </w:pPr>
            <w:r>
              <w:rPr>
                <w:rFonts w:ascii="Arial" w:cs="Arial" w:eastAsia="Arial" w:hAnsi="Arial"/>
                <w:sz w:val="16"/>
                <w:szCs w:val="16"/>
                <w:color w:val="auto"/>
              </w:rPr>
              <w:t>Restricted stock grant equal to $200,000 (2)</w:t>
            </w:r>
          </w:p>
        </w:tc>
        <w:tc>
          <w:tcPr>
            <w:tcW w:w="0" w:type="dxa"/>
            <w:vAlign w:val="bottom"/>
          </w:tcPr>
          <w:p>
            <w:pPr>
              <w:spacing w:after="0"/>
              <w:rPr>
                <w:sz w:val="1"/>
                <w:szCs w:val="1"/>
                <w:color w:val="auto"/>
              </w:rPr>
            </w:pPr>
          </w:p>
        </w:tc>
      </w:tr>
      <w:tr>
        <w:trPr>
          <w:trHeight w:val="184"/>
        </w:trPr>
        <w:tc>
          <w:tcPr>
            <w:tcW w:w="5520" w:type="dxa"/>
            <w:vAlign w:val="bottom"/>
            <w:tcBorders>
              <w:left w:val="single" w:sz="8" w:color="00548B"/>
              <w:right w:val="single" w:sz="8" w:color="999999"/>
            </w:tcBorders>
          </w:tcPr>
          <w:p>
            <w:pPr>
              <w:spacing w:after="0"/>
              <w:rPr>
                <w:sz w:val="16"/>
                <w:szCs w:val="16"/>
                <w:color w:val="auto"/>
              </w:rPr>
            </w:pPr>
          </w:p>
        </w:tc>
        <w:tc>
          <w:tcPr>
            <w:tcW w:w="5520" w:type="dxa"/>
            <w:vAlign w:val="bottom"/>
            <w:tcBorders>
              <w:right w:val="single" w:sz="8" w:color="00548B"/>
            </w:tcBorders>
          </w:tcPr>
          <w:p>
            <w:pPr>
              <w:ind w:left="200"/>
              <w:spacing w:after="0"/>
              <w:rPr>
                <w:sz w:val="20"/>
                <w:szCs w:val="20"/>
                <w:color w:val="auto"/>
              </w:rPr>
            </w:pPr>
            <w:r>
              <w:rPr>
                <w:rFonts w:ascii="Arial" w:cs="Arial" w:eastAsia="Arial" w:hAnsi="Arial"/>
                <w:sz w:val="16"/>
                <w:szCs w:val="16"/>
                <w:color w:val="auto"/>
              </w:rPr>
              <w:t>Audit - $15,000</w:t>
            </w:r>
          </w:p>
        </w:tc>
        <w:tc>
          <w:tcPr>
            <w:tcW w:w="0" w:type="dxa"/>
            <w:vAlign w:val="bottom"/>
          </w:tcPr>
          <w:p>
            <w:pPr>
              <w:spacing w:after="0"/>
              <w:rPr>
                <w:sz w:val="1"/>
                <w:szCs w:val="1"/>
                <w:color w:val="auto"/>
              </w:rPr>
            </w:pPr>
          </w:p>
        </w:tc>
      </w:tr>
      <w:tr>
        <w:trPr>
          <w:trHeight w:val="189"/>
        </w:trPr>
        <w:tc>
          <w:tcPr>
            <w:tcW w:w="5520" w:type="dxa"/>
            <w:vAlign w:val="bottom"/>
            <w:tcBorders>
              <w:left w:val="single" w:sz="8" w:color="00548B"/>
              <w:right w:val="single" w:sz="8" w:color="999999"/>
            </w:tcBorders>
          </w:tcPr>
          <w:p>
            <w:pPr>
              <w:ind w:left="160"/>
              <w:spacing w:after="0"/>
              <w:rPr>
                <w:sz w:val="20"/>
                <w:szCs w:val="20"/>
                <w:color w:val="auto"/>
              </w:rPr>
            </w:pPr>
            <w:r>
              <w:rPr>
                <w:rFonts w:ascii="Arial" w:cs="Arial" w:eastAsia="Arial" w:hAnsi="Arial"/>
                <w:sz w:val="16"/>
                <w:szCs w:val="16"/>
                <w:color w:val="auto"/>
              </w:rPr>
              <w:t>Annual committee chairperson retainer</w:t>
            </w:r>
          </w:p>
        </w:tc>
        <w:tc>
          <w:tcPr>
            <w:tcW w:w="5520" w:type="dxa"/>
            <w:vAlign w:val="bottom"/>
            <w:tcBorders>
              <w:right w:val="single" w:sz="8" w:color="00548B"/>
            </w:tcBorders>
          </w:tcPr>
          <w:p>
            <w:pPr>
              <w:ind w:left="200"/>
              <w:spacing w:after="0"/>
              <w:rPr>
                <w:sz w:val="20"/>
                <w:szCs w:val="20"/>
                <w:color w:val="auto"/>
              </w:rPr>
            </w:pPr>
            <w:r>
              <w:rPr>
                <w:rFonts w:ascii="Arial" w:cs="Arial" w:eastAsia="Arial" w:hAnsi="Arial"/>
                <w:sz w:val="16"/>
                <w:szCs w:val="16"/>
                <w:color w:val="auto"/>
              </w:rPr>
              <w:t>Compensation - $15,000</w:t>
            </w:r>
          </w:p>
        </w:tc>
        <w:tc>
          <w:tcPr>
            <w:tcW w:w="0" w:type="dxa"/>
            <w:vAlign w:val="bottom"/>
          </w:tcPr>
          <w:p>
            <w:pPr>
              <w:spacing w:after="0"/>
              <w:rPr>
                <w:sz w:val="1"/>
                <w:szCs w:val="1"/>
                <w:color w:val="auto"/>
              </w:rPr>
            </w:pPr>
          </w:p>
        </w:tc>
      </w:tr>
      <w:tr>
        <w:trPr>
          <w:trHeight w:val="198"/>
        </w:trPr>
        <w:tc>
          <w:tcPr>
            <w:tcW w:w="5520" w:type="dxa"/>
            <w:vAlign w:val="bottom"/>
            <w:tcBorders>
              <w:left w:val="single" w:sz="8" w:color="00548B"/>
              <w:bottom w:val="single" w:sz="8" w:color="999999"/>
              <w:right w:val="single" w:sz="8" w:color="999999"/>
            </w:tcBorders>
          </w:tcPr>
          <w:p>
            <w:pPr>
              <w:spacing w:after="0"/>
              <w:rPr>
                <w:sz w:val="17"/>
                <w:szCs w:val="17"/>
                <w:color w:val="auto"/>
              </w:rPr>
            </w:pPr>
          </w:p>
        </w:tc>
        <w:tc>
          <w:tcPr>
            <w:tcW w:w="5520" w:type="dxa"/>
            <w:vAlign w:val="bottom"/>
            <w:tcBorders>
              <w:bottom w:val="single" w:sz="8" w:color="999999"/>
              <w:right w:val="single" w:sz="8" w:color="00548B"/>
            </w:tcBorders>
          </w:tcPr>
          <w:p>
            <w:pPr>
              <w:ind w:left="200"/>
              <w:spacing w:after="0"/>
              <w:rPr>
                <w:sz w:val="20"/>
                <w:szCs w:val="20"/>
                <w:color w:val="auto"/>
              </w:rPr>
            </w:pPr>
            <w:r>
              <w:rPr>
                <w:rFonts w:ascii="Arial" w:cs="Arial" w:eastAsia="Arial" w:hAnsi="Arial"/>
                <w:sz w:val="16"/>
                <w:szCs w:val="16"/>
                <w:color w:val="auto"/>
              </w:rPr>
              <w:t>Nominating and Corporate Governance - $10,000 (3)</w:t>
            </w:r>
          </w:p>
        </w:tc>
        <w:tc>
          <w:tcPr>
            <w:tcW w:w="0" w:type="dxa"/>
            <w:vAlign w:val="bottom"/>
          </w:tcPr>
          <w:p>
            <w:pPr>
              <w:spacing w:after="0"/>
              <w:rPr>
                <w:sz w:val="1"/>
                <w:szCs w:val="1"/>
                <w:color w:val="auto"/>
              </w:rPr>
            </w:pPr>
          </w:p>
        </w:tc>
      </w:tr>
      <w:tr>
        <w:trPr>
          <w:trHeight w:val="186"/>
        </w:trPr>
        <w:tc>
          <w:tcPr>
            <w:tcW w:w="5520" w:type="dxa"/>
            <w:vAlign w:val="bottom"/>
            <w:tcBorders>
              <w:left w:val="single" w:sz="8" w:color="00548B"/>
              <w:bottom w:val="single" w:sz="8" w:color="999999"/>
              <w:right w:val="single" w:sz="8" w:color="999999"/>
            </w:tcBorders>
          </w:tcPr>
          <w:p>
            <w:pPr>
              <w:ind w:left="160"/>
              <w:spacing w:after="0"/>
              <w:rPr>
                <w:sz w:val="20"/>
                <w:szCs w:val="20"/>
                <w:color w:val="auto"/>
              </w:rPr>
            </w:pPr>
            <w:r>
              <w:rPr>
                <w:rFonts w:ascii="Arial" w:cs="Arial" w:eastAsia="Arial" w:hAnsi="Arial"/>
                <w:sz w:val="16"/>
                <w:szCs w:val="16"/>
                <w:color w:val="auto"/>
              </w:rPr>
              <w:t>Board and committee meeting fee</w:t>
            </w:r>
          </w:p>
        </w:tc>
        <w:tc>
          <w:tcPr>
            <w:tcW w:w="5520" w:type="dxa"/>
            <w:vAlign w:val="bottom"/>
            <w:tcBorders>
              <w:bottom w:val="single" w:sz="8" w:color="999999"/>
              <w:right w:val="single" w:sz="8" w:color="00548B"/>
            </w:tcBorders>
          </w:tcPr>
          <w:p>
            <w:pPr>
              <w:ind w:left="200"/>
              <w:spacing w:after="0"/>
              <w:rPr>
                <w:sz w:val="20"/>
                <w:szCs w:val="20"/>
                <w:color w:val="auto"/>
              </w:rPr>
            </w:pPr>
            <w:r>
              <w:rPr>
                <w:rFonts w:ascii="Arial" w:cs="Arial" w:eastAsia="Arial" w:hAnsi="Arial"/>
                <w:sz w:val="16"/>
                <w:szCs w:val="16"/>
                <w:color w:val="auto"/>
              </w:rPr>
              <w:t>$1,000 per meeting (3) (4)</w:t>
            </w:r>
          </w:p>
        </w:tc>
        <w:tc>
          <w:tcPr>
            <w:tcW w:w="0" w:type="dxa"/>
            <w:vAlign w:val="bottom"/>
          </w:tcPr>
          <w:p>
            <w:pPr>
              <w:spacing w:after="0"/>
              <w:rPr>
                <w:sz w:val="1"/>
                <w:szCs w:val="1"/>
                <w:color w:val="auto"/>
              </w:rPr>
            </w:pPr>
          </w:p>
        </w:tc>
      </w:tr>
      <w:tr>
        <w:trPr>
          <w:trHeight w:val="184"/>
        </w:trPr>
        <w:tc>
          <w:tcPr>
            <w:tcW w:w="5520" w:type="dxa"/>
            <w:vAlign w:val="bottom"/>
            <w:tcBorders>
              <w:left w:val="single" w:sz="8" w:color="00548B"/>
              <w:right w:val="single" w:sz="8" w:color="999999"/>
            </w:tcBorders>
            <w:vMerge w:val="restart"/>
          </w:tcPr>
          <w:p>
            <w:pPr>
              <w:ind w:left="160"/>
              <w:spacing w:after="0"/>
              <w:rPr>
                <w:sz w:val="20"/>
                <w:szCs w:val="20"/>
                <w:color w:val="auto"/>
              </w:rPr>
            </w:pPr>
            <w:r>
              <w:rPr>
                <w:rFonts w:ascii="Arial" w:cs="Arial" w:eastAsia="Arial" w:hAnsi="Arial"/>
                <w:sz w:val="16"/>
                <w:szCs w:val="16"/>
                <w:color w:val="auto"/>
              </w:rPr>
              <w:t>Stock ownership requirement</w:t>
            </w:r>
          </w:p>
        </w:tc>
        <w:tc>
          <w:tcPr>
            <w:tcW w:w="5520" w:type="dxa"/>
            <w:vAlign w:val="bottom"/>
            <w:tcBorders>
              <w:right w:val="single" w:sz="8" w:color="00548B"/>
            </w:tcBorders>
          </w:tcPr>
          <w:p>
            <w:pPr>
              <w:ind w:left="200"/>
              <w:spacing w:after="0"/>
              <w:rPr>
                <w:sz w:val="20"/>
                <w:szCs w:val="20"/>
                <w:color w:val="auto"/>
              </w:rPr>
            </w:pPr>
            <w:r>
              <w:rPr>
                <w:rFonts w:ascii="Arial" w:cs="Arial" w:eastAsia="Arial" w:hAnsi="Arial"/>
                <w:sz w:val="16"/>
                <w:szCs w:val="16"/>
                <w:color w:val="auto"/>
              </w:rPr>
              <w:t>Non-employee directors are expected to own Huron stock equal to five</w:t>
            </w:r>
          </w:p>
        </w:tc>
        <w:tc>
          <w:tcPr>
            <w:tcW w:w="0" w:type="dxa"/>
            <w:vAlign w:val="bottom"/>
          </w:tcPr>
          <w:p>
            <w:pPr>
              <w:spacing w:after="0"/>
              <w:rPr>
                <w:sz w:val="1"/>
                <w:szCs w:val="1"/>
                <w:color w:val="auto"/>
              </w:rPr>
            </w:pPr>
          </w:p>
        </w:tc>
      </w:tr>
      <w:tr>
        <w:trPr>
          <w:trHeight w:val="100"/>
        </w:trPr>
        <w:tc>
          <w:tcPr>
            <w:tcW w:w="5520" w:type="dxa"/>
            <w:vAlign w:val="bottom"/>
            <w:tcBorders>
              <w:left w:val="single" w:sz="8" w:color="00548B"/>
              <w:right w:val="single" w:sz="8" w:color="999999"/>
            </w:tcBorders>
            <w:vMerge w:val="continue"/>
          </w:tcPr>
          <w:p>
            <w:pPr>
              <w:spacing w:after="0"/>
              <w:rPr>
                <w:sz w:val="8"/>
                <w:szCs w:val="8"/>
                <w:color w:val="auto"/>
              </w:rPr>
            </w:pPr>
          </w:p>
        </w:tc>
        <w:tc>
          <w:tcPr>
            <w:tcW w:w="5520" w:type="dxa"/>
            <w:vAlign w:val="bottom"/>
            <w:tcBorders>
              <w:right w:val="single" w:sz="8" w:color="00548B"/>
            </w:tcBorders>
            <w:vMerge w:val="restart"/>
          </w:tcPr>
          <w:p>
            <w:pPr>
              <w:ind w:left="200"/>
              <w:spacing w:after="0"/>
              <w:rPr>
                <w:sz w:val="20"/>
                <w:szCs w:val="20"/>
                <w:color w:val="auto"/>
              </w:rPr>
            </w:pPr>
            <w:r>
              <w:rPr>
                <w:rFonts w:ascii="Arial" w:cs="Arial" w:eastAsia="Arial" w:hAnsi="Arial"/>
                <w:sz w:val="16"/>
                <w:szCs w:val="16"/>
                <w:color w:val="auto"/>
              </w:rPr>
              <w:t>times the annual cash retainer of $60,000</w:t>
            </w:r>
          </w:p>
        </w:tc>
        <w:tc>
          <w:tcPr>
            <w:tcW w:w="0" w:type="dxa"/>
            <w:vAlign w:val="bottom"/>
          </w:tcPr>
          <w:p>
            <w:pPr>
              <w:spacing w:after="0"/>
              <w:rPr>
                <w:sz w:val="1"/>
                <w:szCs w:val="1"/>
                <w:color w:val="auto"/>
              </w:rPr>
            </w:pPr>
          </w:p>
        </w:tc>
      </w:tr>
      <w:tr>
        <w:trPr>
          <w:trHeight w:val="87"/>
        </w:trPr>
        <w:tc>
          <w:tcPr>
            <w:tcW w:w="5520" w:type="dxa"/>
            <w:vAlign w:val="bottom"/>
            <w:tcBorders>
              <w:left w:val="single" w:sz="8" w:color="00548B"/>
              <w:bottom w:val="single" w:sz="8" w:color="00548B"/>
              <w:right w:val="single" w:sz="8" w:color="999999"/>
            </w:tcBorders>
          </w:tcPr>
          <w:p>
            <w:pPr>
              <w:spacing w:after="0"/>
              <w:rPr>
                <w:sz w:val="7"/>
                <w:szCs w:val="7"/>
                <w:color w:val="auto"/>
              </w:rPr>
            </w:pPr>
          </w:p>
        </w:tc>
        <w:tc>
          <w:tcPr>
            <w:tcW w:w="5520" w:type="dxa"/>
            <w:vAlign w:val="bottom"/>
            <w:tcBorders>
              <w:bottom w:val="single" w:sz="8" w:color="00548B"/>
              <w:right w:val="single" w:sz="8" w:color="00548B"/>
            </w:tcBorders>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ind w:left="660" w:hanging="544"/>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Granted on the date of the Company’s annual meeting and priced based upon the closing stock price on the date of grant which vests ratably over</w:t>
      </w:r>
    </w:p>
    <w:p>
      <w:pPr>
        <w:spacing w:after="0" w:line="5"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6"/>
          <w:szCs w:val="16"/>
          <w:color w:val="auto"/>
        </w:rPr>
        <w:t>12 quarters. If a new non-employee director joins the board after the Company’s annual meeting, the award is prorated as follows:</w:t>
      </w:r>
    </w:p>
    <w:p>
      <w:pPr>
        <w:spacing w:after="0" w:line="126" w:lineRule="exact"/>
        <w:rPr>
          <w:rFonts w:ascii="Arial" w:cs="Arial" w:eastAsia="Arial" w:hAnsi="Arial"/>
          <w:sz w:val="16"/>
          <w:szCs w:val="16"/>
          <w:color w:val="auto"/>
        </w:rPr>
      </w:pPr>
    </w:p>
    <w:p>
      <w:pPr>
        <w:ind w:left="1200" w:hanging="544"/>
        <w:spacing w:after="0"/>
        <w:tabs>
          <w:tab w:leader="none" w:pos="1200" w:val="left"/>
        </w:tabs>
        <w:numPr>
          <w:ilvl w:val="1"/>
          <w:numId w:val="16"/>
        </w:numPr>
        <w:rPr>
          <w:rFonts w:ascii="Arial" w:cs="Arial" w:eastAsia="Arial" w:hAnsi="Arial"/>
          <w:sz w:val="16"/>
          <w:szCs w:val="16"/>
          <w:color w:val="00548B"/>
        </w:rPr>
      </w:pPr>
      <w:r>
        <w:rPr>
          <w:rFonts w:ascii="Arial" w:cs="Arial" w:eastAsia="Arial" w:hAnsi="Arial"/>
          <w:sz w:val="16"/>
          <w:szCs w:val="16"/>
          <w:color w:val="auto"/>
        </w:rPr>
        <w:t>If the new director joins within six months of the Company’s annual meeting, the director will receive half of the annual grant.</w:t>
      </w:r>
    </w:p>
    <w:p>
      <w:pPr>
        <w:spacing w:after="0" w:line="5" w:lineRule="exact"/>
        <w:rPr>
          <w:rFonts w:ascii="Arial" w:cs="Arial" w:eastAsia="Arial" w:hAnsi="Arial"/>
          <w:sz w:val="16"/>
          <w:szCs w:val="16"/>
          <w:color w:val="00548B"/>
        </w:rPr>
      </w:pPr>
    </w:p>
    <w:p>
      <w:pPr>
        <w:ind w:left="1200" w:hanging="544"/>
        <w:spacing w:after="0"/>
        <w:tabs>
          <w:tab w:leader="none" w:pos="1200" w:val="left"/>
        </w:tabs>
        <w:numPr>
          <w:ilvl w:val="1"/>
          <w:numId w:val="16"/>
        </w:numPr>
        <w:rPr>
          <w:rFonts w:ascii="Arial" w:cs="Arial" w:eastAsia="Arial" w:hAnsi="Arial"/>
          <w:sz w:val="16"/>
          <w:szCs w:val="16"/>
          <w:color w:val="00548B"/>
        </w:rPr>
      </w:pPr>
      <w:r>
        <w:rPr>
          <w:rFonts w:ascii="Arial" w:cs="Arial" w:eastAsia="Arial" w:hAnsi="Arial"/>
          <w:sz w:val="16"/>
          <w:szCs w:val="16"/>
          <w:color w:val="auto"/>
        </w:rPr>
        <w:t>If the new director joins over six months after the Company’s annual meeting, no grant will be made.</w:t>
      </w:r>
    </w:p>
    <w:p>
      <w:pPr>
        <w:spacing w:after="0" w:line="126" w:lineRule="exact"/>
        <w:rPr>
          <w:rFonts w:ascii="Arial" w:cs="Arial" w:eastAsia="Arial" w:hAnsi="Arial"/>
          <w:sz w:val="16"/>
          <w:szCs w:val="16"/>
          <w:color w:val="00548B"/>
        </w:rPr>
      </w:pPr>
    </w:p>
    <w:p>
      <w:pPr>
        <w:ind w:left="660" w:hanging="544"/>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Will vest ratably over 12 quarters.</w:t>
      </w:r>
    </w:p>
    <w:p>
      <w:pPr>
        <w:spacing w:after="0" w:line="126" w:lineRule="exact"/>
        <w:rPr>
          <w:rFonts w:ascii="Arial" w:cs="Arial" w:eastAsia="Arial" w:hAnsi="Arial"/>
          <w:sz w:val="16"/>
          <w:szCs w:val="16"/>
          <w:color w:val="auto"/>
        </w:rPr>
      </w:pPr>
    </w:p>
    <w:p>
      <w:pPr>
        <w:ind w:left="660" w:hanging="544"/>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Chairman of the board does not receive board, committee chair or committee meeting fees.</w:t>
      </w:r>
    </w:p>
    <w:p>
      <w:pPr>
        <w:spacing w:after="0" w:line="126" w:lineRule="exact"/>
        <w:rPr>
          <w:rFonts w:ascii="Arial" w:cs="Arial" w:eastAsia="Arial" w:hAnsi="Arial"/>
          <w:sz w:val="16"/>
          <w:szCs w:val="16"/>
          <w:color w:val="auto"/>
        </w:rPr>
      </w:pPr>
    </w:p>
    <w:p>
      <w:pPr>
        <w:ind w:left="660" w:hanging="544"/>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All directors are reimbursed for out-of-pocket expenses for attending board and committee meetings.</w:t>
      </w:r>
    </w:p>
    <w:p>
      <w:pPr>
        <w:spacing w:after="0" w:line="181" w:lineRule="exact"/>
        <w:rPr>
          <w:sz w:val="20"/>
          <w:szCs w:val="20"/>
          <w:color w:val="auto"/>
        </w:rPr>
      </w:pPr>
    </w:p>
    <w:p>
      <w:pPr>
        <w:ind w:left="120" w:right="20"/>
        <w:spacing w:after="0" w:line="260" w:lineRule="auto"/>
        <w:rPr>
          <w:sz w:val="20"/>
          <w:szCs w:val="20"/>
          <w:color w:val="auto"/>
        </w:rPr>
      </w:pPr>
      <w:r>
        <w:rPr>
          <w:rFonts w:ascii="Arial" w:cs="Arial" w:eastAsia="Arial" w:hAnsi="Arial"/>
          <w:sz w:val="16"/>
          <w:szCs w:val="16"/>
          <w:color w:val="auto"/>
        </w:rPr>
        <w:t>Directors are eligible to participate in our deferred compensation plan, which is described under the caption “EXECUTIVE COMPENSATION—2019 Nonqualified Deferred Compensation.” One director participated from 2013 through 2018, and a second director elected to participate beginning in 2015.</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00548B"/>
        </w:rPr>
        <w:t>14</w:t>
      </w:r>
    </w:p>
    <w:p>
      <w:pPr>
        <w:sectPr>
          <w:pgSz w:w="11900" w:h="16838" w:orient="portrait"/>
          <w:cols w:equalWidth="0" w:num="1">
            <w:col w:w="11140"/>
          </w:cols>
          <w:pgMar w:left="32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48B"/>
        </w:rPr>
        <w:t>D</w:t>
      </w:r>
      <w:r>
        <w:rPr>
          <w:rFonts w:ascii="Arial" w:cs="Arial" w:eastAsia="Arial" w:hAnsi="Arial"/>
          <w:sz w:val="14"/>
          <w:szCs w:val="14"/>
          <w:b w:val="1"/>
          <w:bCs w:val="1"/>
          <w:color w:val="00548B"/>
        </w:rPr>
        <w:t>IRECTOR</w:t>
      </w:r>
      <w:r>
        <w:rPr>
          <w:rFonts w:ascii="Arial" w:cs="Arial" w:eastAsia="Arial" w:hAnsi="Arial"/>
          <w:sz w:val="18"/>
          <w:szCs w:val="18"/>
          <w:b w:val="1"/>
          <w:bCs w:val="1"/>
          <w:color w:val="00548B"/>
        </w:rPr>
        <w:t xml:space="preserve"> C</w:t>
      </w:r>
      <w:r>
        <w:rPr>
          <w:rFonts w:ascii="Arial" w:cs="Arial" w:eastAsia="Arial" w:hAnsi="Arial"/>
          <w:sz w:val="14"/>
          <w:szCs w:val="14"/>
          <w:b w:val="1"/>
          <w:bCs w:val="1"/>
          <w:color w:val="00548B"/>
        </w:rPr>
        <w:t>OMPENSATION</w:t>
      </w:r>
      <w:r>
        <w:rPr>
          <w:rFonts w:ascii="Arial" w:cs="Arial" w:eastAsia="Arial" w:hAnsi="Arial"/>
          <w:sz w:val="18"/>
          <w:szCs w:val="18"/>
          <w:b w:val="1"/>
          <w:bCs w:val="1"/>
          <w:color w:val="00548B"/>
        </w:rPr>
        <w:t xml:space="preserve"> T</w:t>
      </w:r>
      <w:r>
        <w:rPr>
          <w:rFonts w:ascii="Arial" w:cs="Arial" w:eastAsia="Arial" w:hAnsi="Arial"/>
          <w:sz w:val="14"/>
          <w:szCs w:val="14"/>
          <w:b w:val="1"/>
          <w:bCs w:val="1"/>
          <w:color w:val="00548B"/>
        </w:rPr>
        <w:t>ABLE</w:t>
      </w:r>
    </w:p>
    <w:p>
      <w:pPr>
        <w:spacing w:after="0" w:line="2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summarizes the fees paid and the aggregate grant date fair value of shares granted to each of the non-employee directors in 2019.</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Directors who are also officers or employees of the Company receive no compensation for duties performed as a director.</w:t>
      </w:r>
    </w:p>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380" w:type="dxa"/>
            <w:vAlign w:val="bottom"/>
            <w:shd w:val="clear" w:color="auto" w:fill="00548B"/>
          </w:tcPr>
          <w:p>
            <w:pPr>
              <w:spacing w:after="0"/>
              <w:rPr>
                <w:sz w:val="14"/>
                <w:szCs w:val="14"/>
                <w:color w:val="auto"/>
              </w:rPr>
            </w:pPr>
          </w:p>
        </w:tc>
        <w:tc>
          <w:tcPr>
            <w:tcW w:w="1280" w:type="dxa"/>
            <w:vAlign w:val="bottom"/>
            <w:shd w:val="clear" w:color="auto" w:fill="00548B"/>
          </w:tcPr>
          <w:p>
            <w:pPr>
              <w:spacing w:after="0"/>
              <w:rPr>
                <w:sz w:val="14"/>
                <w:szCs w:val="14"/>
                <w:color w:val="auto"/>
              </w:rPr>
            </w:pPr>
          </w:p>
        </w:tc>
        <w:tc>
          <w:tcPr>
            <w:tcW w:w="1100" w:type="dxa"/>
            <w:vAlign w:val="bottom"/>
            <w:shd w:val="clear" w:color="auto" w:fill="00548B"/>
          </w:tcPr>
          <w:p>
            <w:pPr>
              <w:spacing w:after="0"/>
              <w:rPr>
                <w:sz w:val="14"/>
                <w:szCs w:val="14"/>
                <w:color w:val="auto"/>
              </w:rPr>
            </w:pPr>
          </w:p>
        </w:tc>
        <w:tc>
          <w:tcPr>
            <w:tcW w:w="150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rPr>
              <w:t>Change in Pension</w:t>
            </w:r>
          </w:p>
        </w:tc>
        <w:tc>
          <w:tcPr>
            <w:tcW w:w="760" w:type="dxa"/>
            <w:vAlign w:val="bottom"/>
            <w:shd w:val="clear" w:color="auto" w:fill="00548B"/>
          </w:tcPr>
          <w:p>
            <w:pPr>
              <w:spacing w:after="0"/>
              <w:rPr>
                <w:sz w:val="14"/>
                <w:szCs w:val="14"/>
                <w:color w:val="auto"/>
              </w:rPr>
            </w:pPr>
          </w:p>
        </w:tc>
      </w:tr>
      <w:tr>
        <w:trPr>
          <w:trHeight w:val="162"/>
        </w:trPr>
        <w:tc>
          <w:tcPr>
            <w:tcW w:w="6380" w:type="dxa"/>
            <w:vAlign w:val="bottom"/>
            <w:shd w:val="clear" w:color="auto" w:fill="00548B"/>
          </w:tcPr>
          <w:p>
            <w:pPr>
              <w:spacing w:after="0"/>
              <w:rPr>
                <w:sz w:val="14"/>
                <w:szCs w:val="14"/>
                <w:color w:val="auto"/>
              </w:rPr>
            </w:pPr>
          </w:p>
        </w:tc>
        <w:tc>
          <w:tcPr>
            <w:tcW w:w="1280" w:type="dxa"/>
            <w:vAlign w:val="bottom"/>
            <w:shd w:val="clear" w:color="auto" w:fill="00548B"/>
          </w:tcPr>
          <w:p>
            <w:pPr>
              <w:spacing w:after="0"/>
              <w:rPr>
                <w:sz w:val="14"/>
                <w:szCs w:val="14"/>
                <w:color w:val="auto"/>
              </w:rPr>
            </w:pPr>
          </w:p>
        </w:tc>
        <w:tc>
          <w:tcPr>
            <w:tcW w:w="1100" w:type="dxa"/>
            <w:vAlign w:val="bottom"/>
            <w:shd w:val="clear" w:color="auto" w:fill="00548B"/>
          </w:tcPr>
          <w:p>
            <w:pPr>
              <w:spacing w:after="0"/>
              <w:rPr>
                <w:sz w:val="14"/>
                <w:szCs w:val="14"/>
                <w:color w:val="auto"/>
              </w:rPr>
            </w:pPr>
          </w:p>
        </w:tc>
        <w:tc>
          <w:tcPr>
            <w:tcW w:w="150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w w:val="99"/>
              </w:rPr>
              <w:t>Value and</w:t>
            </w:r>
          </w:p>
        </w:tc>
        <w:tc>
          <w:tcPr>
            <w:tcW w:w="760" w:type="dxa"/>
            <w:vAlign w:val="bottom"/>
            <w:shd w:val="clear" w:color="auto" w:fill="00548B"/>
          </w:tcPr>
          <w:p>
            <w:pPr>
              <w:spacing w:after="0"/>
              <w:rPr>
                <w:sz w:val="14"/>
                <w:szCs w:val="14"/>
                <w:color w:val="auto"/>
              </w:rPr>
            </w:pPr>
          </w:p>
        </w:tc>
      </w:tr>
      <w:tr>
        <w:trPr>
          <w:trHeight w:val="162"/>
        </w:trPr>
        <w:tc>
          <w:tcPr>
            <w:tcW w:w="6380" w:type="dxa"/>
            <w:vAlign w:val="bottom"/>
            <w:shd w:val="clear" w:color="auto" w:fill="00548B"/>
          </w:tcPr>
          <w:p>
            <w:pPr>
              <w:spacing w:after="0"/>
              <w:rPr>
                <w:sz w:val="14"/>
                <w:szCs w:val="14"/>
                <w:color w:val="auto"/>
              </w:rPr>
            </w:pPr>
          </w:p>
        </w:tc>
        <w:tc>
          <w:tcPr>
            <w:tcW w:w="1280" w:type="dxa"/>
            <w:vAlign w:val="bottom"/>
            <w:shd w:val="clear" w:color="auto" w:fill="00548B"/>
          </w:tcPr>
          <w:p>
            <w:pPr>
              <w:spacing w:after="0"/>
              <w:rPr>
                <w:sz w:val="14"/>
                <w:szCs w:val="14"/>
                <w:color w:val="auto"/>
              </w:rPr>
            </w:pPr>
          </w:p>
        </w:tc>
        <w:tc>
          <w:tcPr>
            <w:tcW w:w="1100" w:type="dxa"/>
            <w:vAlign w:val="bottom"/>
            <w:shd w:val="clear" w:color="auto" w:fill="00548B"/>
          </w:tcPr>
          <w:p>
            <w:pPr>
              <w:spacing w:after="0"/>
              <w:rPr>
                <w:sz w:val="14"/>
                <w:szCs w:val="14"/>
                <w:color w:val="auto"/>
              </w:rPr>
            </w:pPr>
          </w:p>
        </w:tc>
        <w:tc>
          <w:tcPr>
            <w:tcW w:w="150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rPr>
              <w:t>Nonqualified</w:t>
            </w:r>
          </w:p>
        </w:tc>
        <w:tc>
          <w:tcPr>
            <w:tcW w:w="760" w:type="dxa"/>
            <w:vAlign w:val="bottom"/>
            <w:shd w:val="clear" w:color="auto" w:fill="00548B"/>
          </w:tcPr>
          <w:p>
            <w:pPr>
              <w:spacing w:after="0"/>
              <w:rPr>
                <w:sz w:val="14"/>
                <w:szCs w:val="14"/>
                <w:color w:val="auto"/>
              </w:rPr>
            </w:pPr>
          </w:p>
        </w:tc>
      </w:tr>
      <w:tr>
        <w:trPr>
          <w:trHeight w:val="162"/>
        </w:trPr>
        <w:tc>
          <w:tcPr>
            <w:tcW w:w="6380" w:type="dxa"/>
            <w:vAlign w:val="bottom"/>
            <w:shd w:val="clear" w:color="auto" w:fill="00548B"/>
          </w:tcPr>
          <w:p>
            <w:pPr>
              <w:spacing w:after="0"/>
              <w:rPr>
                <w:sz w:val="14"/>
                <w:szCs w:val="14"/>
                <w:color w:val="auto"/>
              </w:rPr>
            </w:pPr>
          </w:p>
        </w:tc>
        <w:tc>
          <w:tcPr>
            <w:tcW w:w="1280" w:type="dxa"/>
            <w:vAlign w:val="bottom"/>
            <w:shd w:val="clear" w:color="auto" w:fill="00548B"/>
          </w:tcPr>
          <w:p>
            <w:pPr>
              <w:jc w:val="right"/>
              <w:ind w:right="41"/>
              <w:spacing w:after="0"/>
              <w:rPr>
                <w:sz w:val="20"/>
                <w:szCs w:val="20"/>
                <w:color w:val="auto"/>
              </w:rPr>
            </w:pPr>
            <w:r>
              <w:rPr>
                <w:rFonts w:ascii="Arial" w:cs="Arial" w:eastAsia="Arial" w:hAnsi="Arial"/>
                <w:sz w:val="14"/>
                <w:szCs w:val="14"/>
                <w:b w:val="1"/>
                <w:bCs w:val="1"/>
                <w:color w:val="D8D8D8"/>
              </w:rPr>
              <w:t>Fees Earned or</w:t>
            </w:r>
          </w:p>
        </w:tc>
        <w:tc>
          <w:tcPr>
            <w:tcW w:w="1100" w:type="dxa"/>
            <w:vAlign w:val="bottom"/>
            <w:shd w:val="clear" w:color="auto" w:fill="00548B"/>
          </w:tcPr>
          <w:p>
            <w:pPr>
              <w:jc w:val="right"/>
              <w:ind w:right="281"/>
              <w:spacing w:after="0"/>
              <w:rPr>
                <w:sz w:val="20"/>
                <w:szCs w:val="20"/>
                <w:color w:val="auto"/>
              </w:rPr>
            </w:pPr>
            <w:r>
              <w:rPr>
                <w:rFonts w:ascii="Arial" w:cs="Arial" w:eastAsia="Arial" w:hAnsi="Arial"/>
                <w:sz w:val="14"/>
                <w:szCs w:val="14"/>
                <w:b w:val="1"/>
                <w:bCs w:val="1"/>
                <w:color w:val="D8D8D8"/>
              </w:rPr>
              <w:t>Stock</w:t>
            </w:r>
          </w:p>
        </w:tc>
        <w:tc>
          <w:tcPr>
            <w:tcW w:w="150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rPr>
              <w:t>Compensation</w:t>
            </w:r>
          </w:p>
        </w:tc>
        <w:tc>
          <w:tcPr>
            <w:tcW w:w="760" w:type="dxa"/>
            <w:vAlign w:val="bottom"/>
            <w:shd w:val="clear" w:color="auto" w:fill="00548B"/>
          </w:tcPr>
          <w:p>
            <w:pPr>
              <w:spacing w:after="0"/>
              <w:rPr>
                <w:sz w:val="14"/>
                <w:szCs w:val="14"/>
                <w:color w:val="auto"/>
              </w:rPr>
            </w:pPr>
          </w:p>
        </w:tc>
      </w:tr>
      <w:tr>
        <w:trPr>
          <w:trHeight w:val="202"/>
        </w:trPr>
        <w:tc>
          <w:tcPr>
            <w:tcW w:w="6380" w:type="dxa"/>
            <w:vAlign w:val="bottom"/>
            <w:shd w:val="clear" w:color="auto" w:fill="00548B"/>
          </w:tcPr>
          <w:p>
            <w:pPr>
              <w:spacing w:after="0"/>
              <w:rPr>
                <w:sz w:val="20"/>
                <w:szCs w:val="20"/>
                <w:color w:val="auto"/>
              </w:rPr>
            </w:pPr>
            <w:r>
              <w:rPr>
                <w:rFonts w:ascii="Arial" w:cs="Arial" w:eastAsia="Arial" w:hAnsi="Arial"/>
                <w:sz w:val="14"/>
                <w:szCs w:val="14"/>
                <w:b w:val="1"/>
                <w:bCs w:val="1"/>
                <w:color w:val="D8D8D8"/>
              </w:rPr>
              <w:t>Name</w:t>
            </w:r>
          </w:p>
        </w:tc>
        <w:tc>
          <w:tcPr>
            <w:tcW w:w="1280" w:type="dxa"/>
            <w:vAlign w:val="bottom"/>
            <w:shd w:val="clear" w:color="auto" w:fill="00548B"/>
          </w:tcPr>
          <w:p>
            <w:pPr>
              <w:jc w:val="right"/>
              <w:ind w:right="21"/>
              <w:spacing w:after="0"/>
              <w:rPr>
                <w:sz w:val="20"/>
                <w:szCs w:val="20"/>
                <w:color w:val="auto"/>
              </w:rPr>
            </w:pPr>
            <w:r>
              <w:rPr>
                <w:rFonts w:ascii="Arial" w:cs="Arial" w:eastAsia="Arial" w:hAnsi="Arial"/>
                <w:sz w:val="14"/>
                <w:szCs w:val="14"/>
                <w:b w:val="1"/>
                <w:bCs w:val="1"/>
                <w:color w:val="D8D8D8"/>
              </w:rPr>
              <w:t>Paid in Cash ($)</w:t>
            </w:r>
          </w:p>
        </w:tc>
        <w:tc>
          <w:tcPr>
            <w:tcW w:w="1100" w:type="dxa"/>
            <w:vAlign w:val="bottom"/>
            <w:shd w:val="clear" w:color="auto" w:fill="00548B"/>
          </w:tcPr>
          <w:p>
            <w:pPr>
              <w:jc w:val="right"/>
              <w:ind w:right="21"/>
              <w:spacing w:after="0"/>
              <w:rPr>
                <w:sz w:val="20"/>
                <w:szCs w:val="20"/>
                <w:color w:val="auto"/>
              </w:rPr>
            </w:pPr>
            <w:r>
              <w:rPr>
                <w:rFonts w:ascii="Arial" w:cs="Arial" w:eastAsia="Arial" w:hAnsi="Arial"/>
                <w:sz w:val="14"/>
                <w:szCs w:val="14"/>
                <w:b w:val="1"/>
                <w:bCs w:val="1"/>
                <w:color w:val="D8D8D8"/>
              </w:rPr>
              <w:t>Awards ($)(1)</w:t>
            </w:r>
          </w:p>
        </w:tc>
        <w:tc>
          <w:tcPr>
            <w:tcW w:w="150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rPr>
              <w:t>Earnings ($)(2)</w:t>
            </w:r>
          </w:p>
        </w:tc>
        <w:tc>
          <w:tcPr>
            <w:tcW w:w="760" w:type="dxa"/>
            <w:vAlign w:val="bottom"/>
            <w:shd w:val="clear" w:color="auto" w:fill="00548B"/>
          </w:tcPr>
          <w:p>
            <w:pPr>
              <w:jc w:val="right"/>
              <w:spacing w:after="0"/>
              <w:rPr>
                <w:sz w:val="20"/>
                <w:szCs w:val="20"/>
                <w:color w:val="auto"/>
              </w:rPr>
            </w:pPr>
            <w:r>
              <w:rPr>
                <w:rFonts w:ascii="Arial" w:cs="Arial" w:eastAsia="Arial" w:hAnsi="Arial"/>
                <w:sz w:val="14"/>
                <w:szCs w:val="14"/>
                <w:b w:val="1"/>
                <w:bCs w:val="1"/>
                <w:color w:val="D8D8D8"/>
              </w:rPr>
              <w:t>Total ($)</w:t>
            </w:r>
          </w:p>
        </w:tc>
      </w:tr>
      <w:tr>
        <w:trPr>
          <w:trHeight w:val="189"/>
        </w:trPr>
        <w:tc>
          <w:tcPr>
            <w:tcW w:w="6380" w:type="dxa"/>
            <w:vAlign w:val="bottom"/>
            <w:tcBorders>
              <w:bottom w:val="single" w:sz="8" w:color="999999"/>
            </w:tcBorders>
          </w:tcPr>
          <w:p>
            <w:pPr>
              <w:spacing w:after="0"/>
              <w:rPr>
                <w:sz w:val="20"/>
                <w:szCs w:val="20"/>
                <w:color w:val="auto"/>
              </w:rPr>
            </w:pPr>
            <w:r>
              <w:rPr>
                <w:rFonts w:ascii="Arial" w:cs="Arial" w:eastAsia="Arial" w:hAnsi="Arial"/>
                <w:sz w:val="16"/>
                <w:szCs w:val="16"/>
                <w:color w:val="auto"/>
              </w:rPr>
              <w:t>James D. Edwards (6)</w:t>
            </w:r>
          </w:p>
        </w:tc>
        <w:tc>
          <w:tcPr>
            <w:tcW w:w="1280" w:type="dxa"/>
            <w:vAlign w:val="bottom"/>
            <w:tcBorders>
              <w:bottom w:val="single" w:sz="8" w:color="999999"/>
            </w:tcBorders>
          </w:tcPr>
          <w:p>
            <w:pPr>
              <w:jc w:val="right"/>
              <w:ind w:right="21"/>
              <w:spacing w:after="0"/>
              <w:rPr>
                <w:sz w:val="20"/>
                <w:szCs w:val="20"/>
                <w:color w:val="auto"/>
              </w:rPr>
            </w:pPr>
            <w:r>
              <w:rPr>
                <w:rFonts w:ascii="Arial" w:cs="Arial" w:eastAsia="Arial" w:hAnsi="Arial"/>
                <w:sz w:val="16"/>
                <w:szCs w:val="16"/>
                <w:color w:val="auto"/>
              </w:rPr>
              <w:t>43,000</w:t>
            </w:r>
          </w:p>
        </w:tc>
        <w:tc>
          <w:tcPr>
            <w:tcW w:w="1100" w:type="dxa"/>
            <w:vAlign w:val="bottom"/>
            <w:tcBorders>
              <w:bottom w:val="single" w:sz="8" w:color="999999"/>
            </w:tcBorders>
          </w:tcPr>
          <w:p>
            <w:pPr>
              <w:jc w:val="right"/>
              <w:ind w:right="21"/>
              <w:spacing w:after="0"/>
              <w:rPr>
                <w:sz w:val="20"/>
                <w:szCs w:val="20"/>
                <w:color w:val="auto"/>
              </w:rPr>
            </w:pPr>
            <w:r>
              <w:rPr>
                <w:rFonts w:ascii="Arial" w:cs="Arial" w:eastAsia="Arial" w:hAnsi="Arial"/>
                <w:sz w:val="16"/>
                <w:szCs w:val="16"/>
                <w:color w:val="auto"/>
              </w:rPr>
              <w:t>0</w:t>
            </w:r>
          </w:p>
        </w:tc>
        <w:tc>
          <w:tcPr>
            <w:tcW w:w="1500" w:type="dxa"/>
            <w:vAlign w:val="bottom"/>
            <w:tcBorders>
              <w:bottom w:val="single" w:sz="8" w:color="999999"/>
            </w:tcBorders>
          </w:tcPr>
          <w:p>
            <w:pPr>
              <w:jc w:val="right"/>
              <w:ind w:right="142"/>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43,000</w:t>
            </w:r>
          </w:p>
        </w:tc>
      </w:tr>
      <w:tr>
        <w:trPr>
          <w:trHeight w:val="183"/>
        </w:trPr>
        <w:tc>
          <w:tcPr>
            <w:tcW w:w="6380" w:type="dxa"/>
            <w:vAlign w:val="bottom"/>
            <w:tcBorders>
              <w:bottom w:val="single" w:sz="8" w:color="999999"/>
            </w:tcBorders>
          </w:tcPr>
          <w:p>
            <w:pPr>
              <w:spacing w:after="0" w:line="183" w:lineRule="exact"/>
              <w:rPr>
                <w:sz w:val="20"/>
                <w:szCs w:val="20"/>
                <w:color w:val="auto"/>
              </w:rPr>
            </w:pPr>
            <w:r>
              <w:rPr>
                <w:rFonts w:ascii="Arial" w:cs="Arial" w:eastAsia="Arial" w:hAnsi="Arial"/>
                <w:sz w:val="16"/>
                <w:szCs w:val="16"/>
                <w:color w:val="auto"/>
              </w:rPr>
              <w:t>H. Eugene Lockhart (3)</w:t>
            </w:r>
          </w:p>
        </w:tc>
        <w:tc>
          <w:tcPr>
            <w:tcW w:w="1280" w:type="dxa"/>
            <w:vAlign w:val="bottom"/>
            <w:tcBorders>
              <w:bottom w:val="single" w:sz="8" w:color="999999"/>
            </w:tcBorders>
          </w:tcPr>
          <w:p>
            <w:pPr>
              <w:jc w:val="right"/>
              <w:ind w:right="21"/>
              <w:spacing w:after="0" w:line="183" w:lineRule="exact"/>
              <w:rPr>
                <w:sz w:val="20"/>
                <w:szCs w:val="20"/>
                <w:color w:val="auto"/>
              </w:rPr>
            </w:pPr>
            <w:r>
              <w:rPr>
                <w:rFonts w:ascii="Arial" w:cs="Arial" w:eastAsia="Arial" w:hAnsi="Arial"/>
                <w:sz w:val="16"/>
                <w:szCs w:val="16"/>
                <w:color w:val="auto"/>
              </w:rPr>
              <w:t>97,000</w:t>
            </w:r>
          </w:p>
        </w:tc>
        <w:tc>
          <w:tcPr>
            <w:tcW w:w="1100" w:type="dxa"/>
            <w:vAlign w:val="bottom"/>
            <w:tcBorders>
              <w:bottom w:val="single" w:sz="8" w:color="999999"/>
            </w:tcBorders>
          </w:tcPr>
          <w:p>
            <w:pPr>
              <w:jc w:val="right"/>
              <w:ind w:right="21"/>
              <w:spacing w:after="0" w:line="183" w:lineRule="exact"/>
              <w:rPr>
                <w:sz w:val="20"/>
                <w:szCs w:val="20"/>
                <w:color w:val="auto"/>
              </w:rPr>
            </w:pPr>
            <w:r>
              <w:rPr>
                <w:rFonts w:ascii="Arial" w:cs="Arial" w:eastAsia="Arial" w:hAnsi="Arial"/>
                <w:sz w:val="16"/>
                <w:szCs w:val="16"/>
                <w:color w:val="auto"/>
              </w:rPr>
              <w:t>169,983</w:t>
            </w:r>
          </w:p>
        </w:tc>
        <w:tc>
          <w:tcPr>
            <w:tcW w:w="1500" w:type="dxa"/>
            <w:vAlign w:val="bottom"/>
            <w:tcBorders>
              <w:bottom w:val="single" w:sz="8" w:color="999999"/>
            </w:tcBorders>
          </w:tcPr>
          <w:p>
            <w:pPr>
              <w:jc w:val="right"/>
              <w:ind w:right="142"/>
              <w:spacing w:after="0" w:line="183" w:lineRule="exact"/>
              <w:rPr>
                <w:sz w:val="20"/>
                <w:szCs w:val="20"/>
                <w:color w:val="auto"/>
              </w:rPr>
            </w:pPr>
            <w:r>
              <w:rPr>
                <w:rFonts w:ascii="Arial" w:cs="Arial" w:eastAsia="Arial" w:hAnsi="Arial"/>
                <w:sz w:val="16"/>
                <w:szCs w:val="16"/>
                <w:color w:val="auto"/>
              </w:rPr>
              <w:t>—</w:t>
            </w:r>
          </w:p>
        </w:tc>
        <w:tc>
          <w:tcPr>
            <w:tcW w:w="760" w:type="dxa"/>
            <w:vAlign w:val="bottom"/>
            <w:tcBorders>
              <w:bottom w:val="single" w:sz="8" w:color="999999"/>
            </w:tcBorders>
          </w:tcPr>
          <w:p>
            <w:pPr>
              <w:jc w:val="right"/>
              <w:spacing w:after="0" w:line="183" w:lineRule="exact"/>
              <w:rPr>
                <w:sz w:val="20"/>
                <w:szCs w:val="20"/>
                <w:color w:val="auto"/>
              </w:rPr>
            </w:pPr>
            <w:r>
              <w:rPr>
                <w:rFonts w:ascii="Arial" w:cs="Arial" w:eastAsia="Arial" w:hAnsi="Arial"/>
                <w:sz w:val="16"/>
                <w:szCs w:val="16"/>
                <w:color w:val="auto"/>
              </w:rPr>
              <w:t>266,983</w:t>
            </w:r>
          </w:p>
        </w:tc>
      </w:tr>
      <w:tr>
        <w:trPr>
          <w:trHeight w:val="183"/>
        </w:trPr>
        <w:tc>
          <w:tcPr>
            <w:tcW w:w="6380" w:type="dxa"/>
            <w:vAlign w:val="bottom"/>
            <w:tcBorders>
              <w:bottom w:val="single" w:sz="8" w:color="999999"/>
            </w:tcBorders>
          </w:tcPr>
          <w:p>
            <w:pPr>
              <w:spacing w:after="0" w:line="183" w:lineRule="exact"/>
              <w:rPr>
                <w:sz w:val="20"/>
                <w:szCs w:val="20"/>
                <w:color w:val="auto"/>
              </w:rPr>
            </w:pPr>
            <w:r>
              <w:rPr>
                <w:rFonts w:ascii="Arial" w:cs="Arial" w:eastAsia="Arial" w:hAnsi="Arial"/>
                <w:sz w:val="16"/>
                <w:szCs w:val="16"/>
                <w:color w:val="auto"/>
              </w:rPr>
              <w:t>George E. Massaro (3)</w:t>
            </w:r>
          </w:p>
        </w:tc>
        <w:tc>
          <w:tcPr>
            <w:tcW w:w="1280" w:type="dxa"/>
            <w:vAlign w:val="bottom"/>
            <w:tcBorders>
              <w:bottom w:val="single" w:sz="8" w:color="999999"/>
            </w:tcBorders>
          </w:tcPr>
          <w:p>
            <w:pPr>
              <w:jc w:val="right"/>
              <w:ind w:right="21"/>
              <w:spacing w:after="0" w:line="183" w:lineRule="exact"/>
              <w:rPr>
                <w:sz w:val="20"/>
                <w:szCs w:val="20"/>
                <w:color w:val="auto"/>
              </w:rPr>
            </w:pPr>
            <w:r>
              <w:rPr>
                <w:rFonts w:ascii="Arial" w:cs="Arial" w:eastAsia="Arial" w:hAnsi="Arial"/>
                <w:sz w:val="16"/>
                <w:szCs w:val="16"/>
                <w:color w:val="auto"/>
              </w:rPr>
              <w:t>98,000</w:t>
            </w:r>
          </w:p>
        </w:tc>
        <w:tc>
          <w:tcPr>
            <w:tcW w:w="1100" w:type="dxa"/>
            <w:vAlign w:val="bottom"/>
            <w:tcBorders>
              <w:bottom w:val="single" w:sz="8" w:color="999999"/>
            </w:tcBorders>
          </w:tcPr>
          <w:p>
            <w:pPr>
              <w:jc w:val="right"/>
              <w:ind w:right="21"/>
              <w:spacing w:after="0" w:line="183" w:lineRule="exact"/>
              <w:rPr>
                <w:sz w:val="20"/>
                <w:szCs w:val="20"/>
                <w:color w:val="auto"/>
              </w:rPr>
            </w:pPr>
            <w:r>
              <w:rPr>
                <w:rFonts w:ascii="Arial" w:cs="Arial" w:eastAsia="Arial" w:hAnsi="Arial"/>
                <w:sz w:val="16"/>
                <w:szCs w:val="16"/>
                <w:color w:val="auto"/>
              </w:rPr>
              <w:t>169,983</w:t>
            </w:r>
          </w:p>
        </w:tc>
        <w:tc>
          <w:tcPr>
            <w:tcW w:w="1500" w:type="dxa"/>
            <w:vAlign w:val="bottom"/>
            <w:tcBorders>
              <w:bottom w:val="single" w:sz="8" w:color="999999"/>
            </w:tcBorders>
          </w:tcPr>
          <w:p>
            <w:pPr>
              <w:jc w:val="right"/>
              <w:ind w:right="142"/>
              <w:spacing w:after="0" w:line="183" w:lineRule="exact"/>
              <w:rPr>
                <w:sz w:val="20"/>
                <w:szCs w:val="20"/>
                <w:color w:val="auto"/>
              </w:rPr>
            </w:pPr>
            <w:r>
              <w:rPr>
                <w:rFonts w:ascii="Arial" w:cs="Arial" w:eastAsia="Arial" w:hAnsi="Arial"/>
                <w:sz w:val="16"/>
                <w:szCs w:val="16"/>
                <w:color w:val="auto"/>
              </w:rPr>
              <w:t>—</w:t>
            </w:r>
          </w:p>
        </w:tc>
        <w:tc>
          <w:tcPr>
            <w:tcW w:w="760" w:type="dxa"/>
            <w:vAlign w:val="bottom"/>
            <w:tcBorders>
              <w:bottom w:val="single" w:sz="8" w:color="999999"/>
            </w:tcBorders>
          </w:tcPr>
          <w:p>
            <w:pPr>
              <w:jc w:val="right"/>
              <w:spacing w:after="0" w:line="183" w:lineRule="exact"/>
              <w:rPr>
                <w:sz w:val="20"/>
                <w:szCs w:val="20"/>
                <w:color w:val="auto"/>
              </w:rPr>
            </w:pPr>
            <w:r>
              <w:rPr>
                <w:rFonts w:ascii="Arial" w:cs="Arial" w:eastAsia="Arial" w:hAnsi="Arial"/>
                <w:sz w:val="16"/>
                <w:szCs w:val="16"/>
                <w:color w:val="auto"/>
              </w:rPr>
              <w:t>267,983</w:t>
            </w:r>
          </w:p>
        </w:tc>
      </w:tr>
      <w:tr>
        <w:trPr>
          <w:trHeight w:val="183"/>
        </w:trPr>
        <w:tc>
          <w:tcPr>
            <w:tcW w:w="6380" w:type="dxa"/>
            <w:vAlign w:val="bottom"/>
            <w:tcBorders>
              <w:bottom w:val="single" w:sz="8" w:color="999999"/>
            </w:tcBorders>
          </w:tcPr>
          <w:p>
            <w:pPr>
              <w:spacing w:after="0" w:line="183" w:lineRule="exact"/>
              <w:rPr>
                <w:sz w:val="20"/>
                <w:szCs w:val="20"/>
                <w:color w:val="auto"/>
              </w:rPr>
            </w:pPr>
            <w:r>
              <w:rPr>
                <w:rFonts w:ascii="Arial" w:cs="Arial" w:eastAsia="Arial" w:hAnsi="Arial"/>
                <w:sz w:val="16"/>
                <w:szCs w:val="16"/>
                <w:color w:val="auto"/>
              </w:rPr>
              <w:t>John McCartney (3)(4)</w:t>
            </w:r>
          </w:p>
        </w:tc>
        <w:tc>
          <w:tcPr>
            <w:tcW w:w="1280" w:type="dxa"/>
            <w:vAlign w:val="bottom"/>
            <w:tcBorders>
              <w:bottom w:val="single" w:sz="8" w:color="999999"/>
            </w:tcBorders>
          </w:tcPr>
          <w:p>
            <w:pPr>
              <w:jc w:val="right"/>
              <w:ind w:right="21"/>
              <w:spacing w:after="0" w:line="183" w:lineRule="exact"/>
              <w:rPr>
                <w:sz w:val="20"/>
                <w:szCs w:val="20"/>
                <w:color w:val="auto"/>
              </w:rPr>
            </w:pPr>
            <w:r>
              <w:rPr>
                <w:rFonts w:ascii="Arial" w:cs="Arial" w:eastAsia="Arial" w:hAnsi="Arial"/>
                <w:sz w:val="16"/>
                <w:szCs w:val="16"/>
                <w:color w:val="auto"/>
              </w:rPr>
              <w:t>235,000</w:t>
            </w:r>
          </w:p>
        </w:tc>
        <w:tc>
          <w:tcPr>
            <w:tcW w:w="1100" w:type="dxa"/>
            <w:vAlign w:val="bottom"/>
            <w:tcBorders>
              <w:bottom w:val="single" w:sz="8" w:color="999999"/>
            </w:tcBorders>
          </w:tcPr>
          <w:p>
            <w:pPr>
              <w:jc w:val="right"/>
              <w:ind w:right="21"/>
              <w:spacing w:after="0" w:line="183" w:lineRule="exact"/>
              <w:rPr>
                <w:sz w:val="20"/>
                <w:szCs w:val="20"/>
                <w:color w:val="auto"/>
              </w:rPr>
            </w:pPr>
            <w:r>
              <w:rPr>
                <w:rFonts w:ascii="Arial" w:cs="Arial" w:eastAsia="Arial" w:hAnsi="Arial"/>
                <w:sz w:val="16"/>
                <w:szCs w:val="16"/>
                <w:color w:val="auto"/>
              </w:rPr>
              <w:t>169,983</w:t>
            </w:r>
          </w:p>
        </w:tc>
        <w:tc>
          <w:tcPr>
            <w:tcW w:w="1500" w:type="dxa"/>
            <w:vAlign w:val="bottom"/>
            <w:tcBorders>
              <w:bottom w:val="single" w:sz="8" w:color="999999"/>
            </w:tcBorders>
          </w:tcPr>
          <w:p>
            <w:pPr>
              <w:jc w:val="right"/>
              <w:ind w:right="142"/>
              <w:spacing w:after="0" w:line="183" w:lineRule="exact"/>
              <w:rPr>
                <w:sz w:val="20"/>
                <w:szCs w:val="20"/>
                <w:color w:val="auto"/>
              </w:rPr>
            </w:pPr>
            <w:r>
              <w:rPr>
                <w:rFonts w:ascii="Arial" w:cs="Arial" w:eastAsia="Arial" w:hAnsi="Arial"/>
                <w:sz w:val="16"/>
                <w:szCs w:val="16"/>
                <w:color w:val="auto"/>
              </w:rPr>
              <w:t>161,360</w:t>
            </w:r>
          </w:p>
        </w:tc>
        <w:tc>
          <w:tcPr>
            <w:tcW w:w="760" w:type="dxa"/>
            <w:vAlign w:val="bottom"/>
            <w:tcBorders>
              <w:bottom w:val="single" w:sz="8" w:color="999999"/>
            </w:tcBorders>
          </w:tcPr>
          <w:p>
            <w:pPr>
              <w:jc w:val="right"/>
              <w:spacing w:after="0" w:line="183" w:lineRule="exact"/>
              <w:rPr>
                <w:sz w:val="20"/>
                <w:szCs w:val="20"/>
                <w:color w:val="auto"/>
              </w:rPr>
            </w:pPr>
            <w:r>
              <w:rPr>
                <w:rFonts w:ascii="Arial" w:cs="Arial" w:eastAsia="Arial" w:hAnsi="Arial"/>
                <w:sz w:val="16"/>
                <w:szCs w:val="16"/>
                <w:color w:val="auto"/>
              </w:rPr>
              <w:t>566,343</w:t>
            </w:r>
          </w:p>
        </w:tc>
      </w:tr>
      <w:tr>
        <w:trPr>
          <w:trHeight w:val="183"/>
        </w:trPr>
        <w:tc>
          <w:tcPr>
            <w:tcW w:w="6380" w:type="dxa"/>
            <w:vAlign w:val="bottom"/>
            <w:tcBorders>
              <w:bottom w:val="single" w:sz="8" w:color="999999"/>
            </w:tcBorders>
          </w:tcPr>
          <w:p>
            <w:pPr>
              <w:spacing w:after="0" w:line="183" w:lineRule="exact"/>
              <w:rPr>
                <w:sz w:val="20"/>
                <w:szCs w:val="20"/>
                <w:color w:val="auto"/>
              </w:rPr>
            </w:pPr>
            <w:r>
              <w:rPr>
                <w:rFonts w:ascii="Arial" w:cs="Arial" w:eastAsia="Arial" w:hAnsi="Arial"/>
                <w:sz w:val="16"/>
                <w:szCs w:val="16"/>
                <w:color w:val="auto"/>
              </w:rPr>
              <w:t>John S. Moody (7)</w:t>
            </w:r>
          </w:p>
        </w:tc>
        <w:tc>
          <w:tcPr>
            <w:tcW w:w="1280" w:type="dxa"/>
            <w:vAlign w:val="bottom"/>
            <w:tcBorders>
              <w:bottom w:val="single" w:sz="8" w:color="999999"/>
            </w:tcBorders>
          </w:tcPr>
          <w:p>
            <w:pPr>
              <w:jc w:val="right"/>
              <w:ind w:right="21"/>
              <w:spacing w:after="0" w:line="183" w:lineRule="exact"/>
              <w:rPr>
                <w:sz w:val="20"/>
                <w:szCs w:val="20"/>
                <w:color w:val="auto"/>
              </w:rPr>
            </w:pPr>
            <w:r>
              <w:rPr>
                <w:rFonts w:ascii="Arial" w:cs="Arial" w:eastAsia="Arial" w:hAnsi="Arial"/>
                <w:sz w:val="16"/>
                <w:szCs w:val="16"/>
                <w:color w:val="auto"/>
              </w:rPr>
              <w:t>72,000</w:t>
            </w:r>
          </w:p>
        </w:tc>
        <w:tc>
          <w:tcPr>
            <w:tcW w:w="1100" w:type="dxa"/>
            <w:vAlign w:val="bottom"/>
            <w:tcBorders>
              <w:bottom w:val="single" w:sz="8" w:color="999999"/>
            </w:tcBorders>
          </w:tcPr>
          <w:p>
            <w:pPr>
              <w:jc w:val="right"/>
              <w:ind w:right="21"/>
              <w:spacing w:after="0" w:line="183" w:lineRule="exact"/>
              <w:rPr>
                <w:sz w:val="20"/>
                <w:szCs w:val="20"/>
                <w:color w:val="auto"/>
              </w:rPr>
            </w:pPr>
            <w:r>
              <w:rPr>
                <w:rFonts w:ascii="Arial" w:cs="Arial" w:eastAsia="Arial" w:hAnsi="Arial"/>
                <w:sz w:val="16"/>
                <w:szCs w:val="16"/>
                <w:color w:val="auto"/>
              </w:rPr>
              <w:t>169,983</w:t>
            </w:r>
          </w:p>
        </w:tc>
        <w:tc>
          <w:tcPr>
            <w:tcW w:w="1500" w:type="dxa"/>
            <w:vAlign w:val="bottom"/>
            <w:tcBorders>
              <w:bottom w:val="single" w:sz="8" w:color="999999"/>
            </w:tcBorders>
          </w:tcPr>
          <w:p>
            <w:pPr>
              <w:jc w:val="right"/>
              <w:ind w:right="142"/>
              <w:spacing w:after="0" w:line="183" w:lineRule="exact"/>
              <w:rPr>
                <w:sz w:val="20"/>
                <w:szCs w:val="20"/>
                <w:color w:val="auto"/>
              </w:rPr>
            </w:pPr>
            <w:r>
              <w:rPr>
                <w:rFonts w:ascii="Arial" w:cs="Arial" w:eastAsia="Arial" w:hAnsi="Arial"/>
                <w:sz w:val="16"/>
                <w:szCs w:val="16"/>
                <w:color w:val="auto"/>
              </w:rPr>
              <w:t>—</w:t>
            </w:r>
          </w:p>
        </w:tc>
        <w:tc>
          <w:tcPr>
            <w:tcW w:w="760" w:type="dxa"/>
            <w:vAlign w:val="bottom"/>
            <w:tcBorders>
              <w:bottom w:val="single" w:sz="8" w:color="999999"/>
            </w:tcBorders>
          </w:tcPr>
          <w:p>
            <w:pPr>
              <w:jc w:val="right"/>
              <w:spacing w:after="0" w:line="183" w:lineRule="exact"/>
              <w:rPr>
                <w:sz w:val="20"/>
                <w:szCs w:val="20"/>
                <w:color w:val="auto"/>
              </w:rPr>
            </w:pPr>
            <w:r>
              <w:rPr>
                <w:rFonts w:ascii="Arial" w:cs="Arial" w:eastAsia="Arial" w:hAnsi="Arial"/>
                <w:sz w:val="16"/>
                <w:szCs w:val="16"/>
                <w:color w:val="auto"/>
              </w:rPr>
              <w:t>241,983</w:t>
            </w:r>
          </w:p>
        </w:tc>
      </w:tr>
      <w:tr>
        <w:trPr>
          <w:trHeight w:val="183"/>
        </w:trPr>
        <w:tc>
          <w:tcPr>
            <w:tcW w:w="6380" w:type="dxa"/>
            <w:vAlign w:val="bottom"/>
            <w:tcBorders>
              <w:bottom w:val="single" w:sz="8" w:color="999999"/>
            </w:tcBorders>
          </w:tcPr>
          <w:p>
            <w:pPr>
              <w:spacing w:after="0" w:line="183" w:lineRule="exact"/>
              <w:rPr>
                <w:sz w:val="20"/>
                <w:szCs w:val="20"/>
                <w:color w:val="auto"/>
              </w:rPr>
            </w:pPr>
            <w:r>
              <w:rPr>
                <w:rFonts w:ascii="Arial" w:cs="Arial" w:eastAsia="Arial" w:hAnsi="Arial"/>
                <w:sz w:val="16"/>
                <w:szCs w:val="16"/>
                <w:color w:val="auto"/>
              </w:rPr>
              <w:t>Hugh E. Sawyer (3)</w:t>
            </w:r>
          </w:p>
        </w:tc>
        <w:tc>
          <w:tcPr>
            <w:tcW w:w="1280" w:type="dxa"/>
            <w:vAlign w:val="bottom"/>
            <w:tcBorders>
              <w:bottom w:val="single" w:sz="8" w:color="999999"/>
            </w:tcBorders>
          </w:tcPr>
          <w:p>
            <w:pPr>
              <w:jc w:val="right"/>
              <w:ind w:right="21"/>
              <w:spacing w:after="0" w:line="183" w:lineRule="exact"/>
              <w:rPr>
                <w:sz w:val="20"/>
                <w:szCs w:val="20"/>
                <w:color w:val="auto"/>
              </w:rPr>
            </w:pPr>
            <w:r>
              <w:rPr>
                <w:rFonts w:ascii="Arial" w:cs="Arial" w:eastAsia="Arial" w:hAnsi="Arial"/>
                <w:sz w:val="16"/>
                <w:szCs w:val="16"/>
                <w:color w:val="auto"/>
              </w:rPr>
              <w:t>71,000</w:t>
            </w:r>
          </w:p>
        </w:tc>
        <w:tc>
          <w:tcPr>
            <w:tcW w:w="1100" w:type="dxa"/>
            <w:vAlign w:val="bottom"/>
            <w:tcBorders>
              <w:bottom w:val="single" w:sz="8" w:color="999999"/>
            </w:tcBorders>
          </w:tcPr>
          <w:p>
            <w:pPr>
              <w:jc w:val="right"/>
              <w:ind w:right="21"/>
              <w:spacing w:after="0" w:line="183" w:lineRule="exact"/>
              <w:rPr>
                <w:sz w:val="20"/>
                <w:szCs w:val="20"/>
                <w:color w:val="auto"/>
              </w:rPr>
            </w:pPr>
            <w:r>
              <w:rPr>
                <w:rFonts w:ascii="Arial" w:cs="Arial" w:eastAsia="Arial" w:hAnsi="Arial"/>
                <w:sz w:val="16"/>
                <w:szCs w:val="16"/>
                <w:color w:val="auto"/>
              </w:rPr>
              <w:t>169,983</w:t>
            </w:r>
          </w:p>
        </w:tc>
        <w:tc>
          <w:tcPr>
            <w:tcW w:w="1500" w:type="dxa"/>
            <w:vAlign w:val="bottom"/>
            <w:tcBorders>
              <w:bottom w:val="single" w:sz="8" w:color="999999"/>
            </w:tcBorders>
          </w:tcPr>
          <w:p>
            <w:pPr>
              <w:jc w:val="right"/>
              <w:ind w:right="142"/>
              <w:spacing w:after="0" w:line="183" w:lineRule="exact"/>
              <w:rPr>
                <w:sz w:val="20"/>
                <w:szCs w:val="20"/>
                <w:color w:val="auto"/>
              </w:rPr>
            </w:pPr>
            <w:r>
              <w:rPr>
                <w:rFonts w:ascii="Arial" w:cs="Arial" w:eastAsia="Arial" w:hAnsi="Arial"/>
                <w:sz w:val="16"/>
                <w:szCs w:val="16"/>
                <w:color w:val="auto"/>
              </w:rPr>
              <w:t>—</w:t>
            </w:r>
          </w:p>
        </w:tc>
        <w:tc>
          <w:tcPr>
            <w:tcW w:w="760" w:type="dxa"/>
            <w:vAlign w:val="bottom"/>
            <w:tcBorders>
              <w:bottom w:val="single" w:sz="8" w:color="999999"/>
            </w:tcBorders>
          </w:tcPr>
          <w:p>
            <w:pPr>
              <w:jc w:val="right"/>
              <w:spacing w:after="0" w:line="183" w:lineRule="exact"/>
              <w:rPr>
                <w:sz w:val="20"/>
                <w:szCs w:val="20"/>
                <w:color w:val="auto"/>
              </w:rPr>
            </w:pPr>
            <w:r>
              <w:rPr>
                <w:rFonts w:ascii="Arial" w:cs="Arial" w:eastAsia="Arial" w:hAnsi="Arial"/>
                <w:sz w:val="16"/>
                <w:szCs w:val="16"/>
                <w:color w:val="auto"/>
              </w:rPr>
              <w:t>240,983</w:t>
            </w:r>
          </w:p>
        </w:tc>
      </w:tr>
      <w:tr>
        <w:trPr>
          <w:trHeight w:val="183"/>
        </w:trPr>
        <w:tc>
          <w:tcPr>
            <w:tcW w:w="6380" w:type="dxa"/>
            <w:vAlign w:val="bottom"/>
            <w:tcBorders>
              <w:bottom w:val="single" w:sz="8" w:color="999999"/>
            </w:tcBorders>
          </w:tcPr>
          <w:p>
            <w:pPr>
              <w:spacing w:after="0" w:line="183" w:lineRule="exact"/>
              <w:rPr>
                <w:sz w:val="20"/>
                <w:szCs w:val="20"/>
                <w:color w:val="auto"/>
              </w:rPr>
            </w:pPr>
            <w:r>
              <w:rPr>
                <w:rFonts w:ascii="Arial" w:cs="Arial" w:eastAsia="Arial" w:hAnsi="Arial"/>
                <w:sz w:val="16"/>
                <w:szCs w:val="16"/>
                <w:color w:val="auto"/>
              </w:rPr>
              <w:t>Ekta Singh-Bushell (5)</w:t>
            </w:r>
          </w:p>
        </w:tc>
        <w:tc>
          <w:tcPr>
            <w:tcW w:w="1280" w:type="dxa"/>
            <w:vAlign w:val="bottom"/>
            <w:tcBorders>
              <w:bottom w:val="single" w:sz="8" w:color="999999"/>
            </w:tcBorders>
          </w:tcPr>
          <w:p>
            <w:pPr>
              <w:jc w:val="right"/>
              <w:ind w:right="21"/>
              <w:spacing w:after="0" w:line="183" w:lineRule="exact"/>
              <w:rPr>
                <w:sz w:val="20"/>
                <w:szCs w:val="20"/>
                <w:color w:val="auto"/>
              </w:rPr>
            </w:pPr>
            <w:r>
              <w:rPr>
                <w:rFonts w:ascii="Arial" w:cs="Arial" w:eastAsia="Arial" w:hAnsi="Arial"/>
                <w:sz w:val="16"/>
                <w:szCs w:val="16"/>
                <w:color w:val="auto"/>
              </w:rPr>
              <w:t>33,000</w:t>
            </w:r>
          </w:p>
        </w:tc>
        <w:tc>
          <w:tcPr>
            <w:tcW w:w="1100" w:type="dxa"/>
            <w:vAlign w:val="bottom"/>
            <w:tcBorders>
              <w:bottom w:val="single" w:sz="8" w:color="999999"/>
            </w:tcBorders>
          </w:tcPr>
          <w:p>
            <w:pPr>
              <w:jc w:val="right"/>
              <w:ind w:right="21"/>
              <w:spacing w:after="0" w:line="183" w:lineRule="exact"/>
              <w:rPr>
                <w:sz w:val="20"/>
                <w:szCs w:val="20"/>
                <w:color w:val="auto"/>
              </w:rPr>
            </w:pPr>
            <w:r>
              <w:rPr>
                <w:rFonts w:ascii="Arial" w:cs="Arial" w:eastAsia="Arial" w:hAnsi="Arial"/>
                <w:sz w:val="16"/>
                <w:szCs w:val="16"/>
                <w:color w:val="auto"/>
              </w:rPr>
              <w:t>370,004</w:t>
            </w:r>
          </w:p>
        </w:tc>
        <w:tc>
          <w:tcPr>
            <w:tcW w:w="1500" w:type="dxa"/>
            <w:vAlign w:val="bottom"/>
            <w:tcBorders>
              <w:bottom w:val="single" w:sz="8" w:color="999999"/>
            </w:tcBorders>
          </w:tcPr>
          <w:p>
            <w:pPr>
              <w:jc w:val="right"/>
              <w:ind w:right="142"/>
              <w:spacing w:after="0" w:line="183" w:lineRule="exact"/>
              <w:rPr>
                <w:sz w:val="20"/>
                <w:szCs w:val="20"/>
                <w:color w:val="auto"/>
              </w:rPr>
            </w:pPr>
            <w:r>
              <w:rPr>
                <w:rFonts w:ascii="Arial" w:cs="Arial" w:eastAsia="Arial" w:hAnsi="Arial"/>
                <w:sz w:val="16"/>
                <w:szCs w:val="16"/>
                <w:color w:val="auto"/>
              </w:rPr>
              <w:t>—</w:t>
            </w:r>
          </w:p>
        </w:tc>
        <w:tc>
          <w:tcPr>
            <w:tcW w:w="760" w:type="dxa"/>
            <w:vAlign w:val="bottom"/>
            <w:tcBorders>
              <w:bottom w:val="single" w:sz="8" w:color="999999"/>
            </w:tcBorders>
          </w:tcPr>
          <w:p>
            <w:pPr>
              <w:jc w:val="right"/>
              <w:spacing w:after="0" w:line="183" w:lineRule="exact"/>
              <w:rPr>
                <w:sz w:val="20"/>
                <w:szCs w:val="20"/>
                <w:color w:val="auto"/>
              </w:rPr>
            </w:pPr>
            <w:r>
              <w:rPr>
                <w:rFonts w:ascii="Arial" w:cs="Arial" w:eastAsia="Arial" w:hAnsi="Arial"/>
                <w:sz w:val="16"/>
                <w:szCs w:val="16"/>
                <w:color w:val="auto"/>
              </w:rPr>
              <w:t>403,004</w:t>
            </w:r>
          </w:p>
        </w:tc>
      </w:tr>
      <w:tr>
        <w:trPr>
          <w:trHeight w:val="183"/>
        </w:trPr>
        <w:tc>
          <w:tcPr>
            <w:tcW w:w="6380" w:type="dxa"/>
            <w:vAlign w:val="bottom"/>
            <w:tcBorders>
              <w:bottom w:val="single" w:sz="8" w:color="00548B"/>
            </w:tcBorders>
          </w:tcPr>
          <w:p>
            <w:pPr>
              <w:spacing w:after="0" w:line="183" w:lineRule="exact"/>
              <w:rPr>
                <w:sz w:val="20"/>
                <w:szCs w:val="20"/>
                <w:color w:val="auto"/>
              </w:rPr>
            </w:pPr>
            <w:r>
              <w:rPr>
                <w:rFonts w:ascii="Arial" w:cs="Arial" w:eastAsia="Arial" w:hAnsi="Arial"/>
                <w:sz w:val="16"/>
                <w:szCs w:val="16"/>
                <w:color w:val="auto"/>
              </w:rPr>
              <w:t>Debra Zumwalt (3)</w:t>
            </w:r>
          </w:p>
        </w:tc>
        <w:tc>
          <w:tcPr>
            <w:tcW w:w="1280" w:type="dxa"/>
            <w:vAlign w:val="bottom"/>
            <w:tcBorders>
              <w:bottom w:val="single" w:sz="8" w:color="00548B"/>
            </w:tcBorders>
          </w:tcPr>
          <w:p>
            <w:pPr>
              <w:jc w:val="right"/>
              <w:ind w:right="21"/>
              <w:spacing w:after="0" w:line="183" w:lineRule="exact"/>
              <w:rPr>
                <w:sz w:val="20"/>
                <w:szCs w:val="20"/>
                <w:color w:val="auto"/>
              </w:rPr>
            </w:pPr>
            <w:r>
              <w:rPr>
                <w:rFonts w:ascii="Arial" w:cs="Arial" w:eastAsia="Arial" w:hAnsi="Arial"/>
                <w:sz w:val="16"/>
                <w:szCs w:val="16"/>
                <w:color w:val="auto"/>
              </w:rPr>
              <w:t>95,000</w:t>
            </w:r>
          </w:p>
        </w:tc>
        <w:tc>
          <w:tcPr>
            <w:tcW w:w="1100" w:type="dxa"/>
            <w:vAlign w:val="bottom"/>
            <w:tcBorders>
              <w:bottom w:val="single" w:sz="8" w:color="00548B"/>
            </w:tcBorders>
          </w:tcPr>
          <w:p>
            <w:pPr>
              <w:jc w:val="right"/>
              <w:ind w:right="21"/>
              <w:spacing w:after="0" w:line="183" w:lineRule="exact"/>
              <w:rPr>
                <w:sz w:val="20"/>
                <w:szCs w:val="20"/>
                <w:color w:val="auto"/>
              </w:rPr>
            </w:pPr>
            <w:r>
              <w:rPr>
                <w:rFonts w:ascii="Arial" w:cs="Arial" w:eastAsia="Arial" w:hAnsi="Arial"/>
                <w:sz w:val="16"/>
                <w:szCs w:val="16"/>
                <w:color w:val="auto"/>
              </w:rPr>
              <w:t>169,983</w:t>
            </w:r>
          </w:p>
        </w:tc>
        <w:tc>
          <w:tcPr>
            <w:tcW w:w="1500" w:type="dxa"/>
            <w:vAlign w:val="bottom"/>
            <w:tcBorders>
              <w:bottom w:val="single" w:sz="8" w:color="00548B"/>
            </w:tcBorders>
          </w:tcPr>
          <w:p>
            <w:pPr>
              <w:jc w:val="right"/>
              <w:ind w:right="142"/>
              <w:spacing w:after="0" w:line="183" w:lineRule="exact"/>
              <w:rPr>
                <w:sz w:val="20"/>
                <w:szCs w:val="20"/>
                <w:color w:val="auto"/>
              </w:rPr>
            </w:pPr>
            <w:r>
              <w:rPr>
                <w:rFonts w:ascii="Arial" w:cs="Arial" w:eastAsia="Arial" w:hAnsi="Arial"/>
                <w:sz w:val="16"/>
                <w:szCs w:val="16"/>
                <w:color w:val="auto"/>
              </w:rPr>
              <w:t>98,136</w:t>
            </w:r>
          </w:p>
        </w:tc>
        <w:tc>
          <w:tcPr>
            <w:tcW w:w="760" w:type="dxa"/>
            <w:vAlign w:val="bottom"/>
            <w:tcBorders>
              <w:bottom w:val="single" w:sz="8" w:color="00548B"/>
            </w:tcBorders>
          </w:tcPr>
          <w:p>
            <w:pPr>
              <w:jc w:val="right"/>
              <w:spacing w:after="0" w:line="183" w:lineRule="exact"/>
              <w:rPr>
                <w:sz w:val="20"/>
                <w:szCs w:val="20"/>
                <w:color w:val="auto"/>
              </w:rPr>
            </w:pPr>
            <w:r>
              <w:rPr>
                <w:rFonts w:ascii="Arial" w:cs="Arial" w:eastAsia="Arial" w:hAnsi="Arial"/>
                <w:sz w:val="16"/>
                <w:szCs w:val="16"/>
                <w:color w:val="auto"/>
              </w:rPr>
              <w:t>363,119</w:t>
            </w:r>
          </w:p>
        </w:tc>
      </w:tr>
    </w:tbl>
    <w:p>
      <w:pPr>
        <w:spacing w:after="0" w:line="218" w:lineRule="exact"/>
        <w:rPr>
          <w:sz w:val="20"/>
          <w:szCs w:val="20"/>
          <w:color w:val="auto"/>
        </w:rPr>
      </w:pPr>
    </w:p>
    <w:p>
      <w:pPr>
        <w:ind w:left="660" w:right="20" w:hanging="544"/>
        <w:spacing w:after="0" w:line="246"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This column represents the aggregate grant date fair value of shares granted to our directors in 2019. Grant date fair value is based on the closing price of Huron stock on the day of grant. Each of these grants vests ratably over the 12 calendar quarters following the grant.</w:t>
      </w:r>
    </w:p>
    <w:p>
      <w:pPr>
        <w:jc w:val="both"/>
        <w:ind w:left="660" w:hanging="544"/>
        <w:spacing w:after="0" w:line="246"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amount in this column represents investment gains in the deferred compensation plan. Huron does not offer a pension plan. The amount shown above represents that portion of the account earnings that exceeded the SEC benchmark “market” rate equal to 120% of the long-term applicable federal rate (based on the average rate for 2019 of 3.04%). For 2019, the actual earnings for Mr. McCartney and Ms. Zumwalt were $201,105 and $121,494, respectively.</w:t>
      </w:r>
    </w:p>
    <w:p>
      <w:pPr>
        <w:spacing w:after="0" w:line="1" w:lineRule="exact"/>
        <w:rPr>
          <w:rFonts w:ascii="Arial" w:cs="Arial" w:eastAsia="Arial" w:hAnsi="Arial"/>
          <w:sz w:val="16"/>
          <w:szCs w:val="16"/>
          <w:color w:val="auto"/>
        </w:rPr>
      </w:pPr>
    </w:p>
    <w:p>
      <w:pPr>
        <w:ind w:left="660" w:right="20" w:hanging="544"/>
        <w:spacing w:after="0" w:line="246"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At December 31, 2019, each of Messrs. Lockhart, Massaro, McCartney, and Ms. Zumwalt held 5,952 shares of restricted common stock and Mr. Sawyer held 7,680 shares of restricted common stock.</w:t>
      </w:r>
    </w:p>
    <w:p>
      <w:pPr>
        <w:ind w:left="660" w:right="20" w:hanging="544"/>
        <w:spacing w:after="0" w:line="246"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Mr. McCartney has access to office space at the Company’s principal business offices in Chicago. The Company does not incur any incremental costs in connection with the provision of this office space.</w:t>
      </w:r>
    </w:p>
    <w:p>
      <w:pPr>
        <w:jc w:val="both"/>
        <w:ind w:left="660" w:right="20" w:hanging="544"/>
        <w:spacing w:after="0" w:line="246"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Ms. Singh-Bushell was elected to the board on May 3, 2019. The amount reported in the stock awards column for Ms. Singh-Bushell includes the aggregate grant date fair value of the new director restricted stock award granted to her upon her election to the board. At December 31, 2019, Ms. Singh-Bushell held 6,241 shares of restricted common stock.</w:t>
      </w:r>
    </w:p>
    <w:p>
      <w:pPr>
        <w:spacing w:after="0" w:line="1" w:lineRule="exact"/>
        <w:rPr>
          <w:rFonts w:ascii="Arial" w:cs="Arial" w:eastAsia="Arial" w:hAnsi="Arial"/>
          <w:sz w:val="16"/>
          <w:szCs w:val="16"/>
          <w:color w:val="auto"/>
        </w:rPr>
      </w:pPr>
    </w:p>
    <w:p>
      <w:pPr>
        <w:ind w:left="660" w:right="20" w:hanging="544"/>
        <w:spacing w:after="0" w:line="246"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shares reflected are as of May 3, 2019 at which time Mr. Edwards retired from the board at the end of his term at the conclusion of the 2019 Annual Meeting of Stockholders held on May 3, 2019.</w:t>
      </w:r>
    </w:p>
    <w:p>
      <w:pPr>
        <w:ind w:left="660" w:hanging="544"/>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shares reflected are as of August 30, 2019 at which time Mr. Moody retired from the board effective August 30, 2019.</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48B"/>
        </w:rPr>
        <w:t>E</w:t>
      </w:r>
      <w:r>
        <w:rPr>
          <w:rFonts w:ascii="Arial" w:cs="Arial" w:eastAsia="Arial" w:hAnsi="Arial"/>
          <w:sz w:val="14"/>
          <w:szCs w:val="14"/>
          <w:b w:val="1"/>
          <w:bCs w:val="1"/>
          <w:color w:val="00548B"/>
        </w:rPr>
        <w:t>XECUTIVE</w:t>
      </w:r>
      <w:r>
        <w:rPr>
          <w:rFonts w:ascii="Arial" w:cs="Arial" w:eastAsia="Arial" w:hAnsi="Arial"/>
          <w:sz w:val="18"/>
          <w:szCs w:val="18"/>
          <w:b w:val="1"/>
          <w:bCs w:val="1"/>
          <w:color w:val="00548B"/>
        </w:rPr>
        <w:t xml:space="preserve"> O</w:t>
      </w:r>
      <w:r>
        <w:rPr>
          <w:rFonts w:ascii="Arial" w:cs="Arial" w:eastAsia="Arial" w:hAnsi="Arial"/>
          <w:sz w:val="14"/>
          <w:szCs w:val="14"/>
          <w:b w:val="1"/>
          <w:bCs w:val="1"/>
          <w:color w:val="00548B"/>
        </w:rPr>
        <w:t>FFICERS</w:t>
      </w:r>
    </w:p>
    <w:p>
      <w:pPr>
        <w:spacing w:after="0" w:line="2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Company’s executive officers are as follows:</w:t>
      </w: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000" w:type="dxa"/>
            <w:vAlign w:val="bottom"/>
            <w:shd w:val="clear" w:color="auto" w:fill="00548B"/>
          </w:tcPr>
          <w:p>
            <w:pPr>
              <w:ind w:left="80"/>
              <w:spacing w:after="0"/>
              <w:rPr>
                <w:sz w:val="20"/>
                <w:szCs w:val="20"/>
                <w:color w:val="auto"/>
              </w:rPr>
            </w:pPr>
            <w:r>
              <w:rPr>
                <w:rFonts w:ascii="Arial" w:cs="Arial" w:eastAsia="Arial" w:hAnsi="Arial"/>
                <w:sz w:val="14"/>
                <w:szCs w:val="14"/>
                <w:b w:val="1"/>
                <w:bCs w:val="1"/>
                <w:color w:val="D8D8D8"/>
              </w:rPr>
              <w:t>Name</w:t>
            </w:r>
          </w:p>
        </w:tc>
        <w:tc>
          <w:tcPr>
            <w:tcW w:w="920" w:type="dxa"/>
            <w:vAlign w:val="bottom"/>
            <w:shd w:val="clear" w:color="auto" w:fill="00548B"/>
          </w:tcPr>
          <w:p>
            <w:pPr>
              <w:jc w:val="right"/>
              <w:ind w:right="161"/>
              <w:spacing w:after="0"/>
              <w:rPr>
                <w:sz w:val="20"/>
                <w:szCs w:val="20"/>
                <w:color w:val="auto"/>
              </w:rPr>
            </w:pPr>
            <w:r>
              <w:rPr>
                <w:rFonts w:ascii="Arial" w:cs="Arial" w:eastAsia="Arial" w:hAnsi="Arial"/>
                <w:sz w:val="14"/>
                <w:szCs w:val="14"/>
                <w:b w:val="1"/>
                <w:bCs w:val="1"/>
                <w:color w:val="D8D8D8"/>
              </w:rPr>
              <w:t>Age</w:t>
            </w:r>
          </w:p>
        </w:tc>
        <w:tc>
          <w:tcPr>
            <w:tcW w:w="8100" w:type="dxa"/>
            <w:vAlign w:val="bottom"/>
            <w:shd w:val="clear" w:color="auto" w:fill="00548B"/>
          </w:tcPr>
          <w:p>
            <w:pPr>
              <w:ind w:left="160"/>
              <w:spacing w:after="0"/>
              <w:rPr>
                <w:sz w:val="20"/>
                <w:szCs w:val="20"/>
                <w:color w:val="auto"/>
              </w:rPr>
            </w:pPr>
            <w:r>
              <w:rPr>
                <w:rFonts w:ascii="Arial" w:cs="Arial" w:eastAsia="Arial" w:hAnsi="Arial"/>
                <w:sz w:val="14"/>
                <w:szCs w:val="14"/>
                <w:b w:val="1"/>
                <w:bCs w:val="1"/>
                <w:color w:val="D8D8D8"/>
              </w:rPr>
              <w:t>Position</w:t>
            </w:r>
          </w:p>
        </w:tc>
      </w:tr>
      <w:tr>
        <w:trPr>
          <w:trHeight w:val="189"/>
        </w:trPr>
        <w:tc>
          <w:tcPr>
            <w:tcW w:w="2000" w:type="dxa"/>
            <w:vAlign w:val="bottom"/>
            <w:tcBorders>
              <w:bottom w:val="single" w:sz="8" w:color="999999"/>
            </w:tcBorders>
          </w:tcPr>
          <w:p>
            <w:pPr>
              <w:ind w:left="80"/>
              <w:spacing w:after="0"/>
              <w:rPr>
                <w:sz w:val="20"/>
                <w:szCs w:val="20"/>
                <w:color w:val="auto"/>
              </w:rPr>
            </w:pPr>
            <w:r>
              <w:rPr>
                <w:rFonts w:ascii="Arial" w:cs="Arial" w:eastAsia="Arial" w:hAnsi="Arial"/>
                <w:sz w:val="16"/>
                <w:szCs w:val="16"/>
                <w:color w:val="auto"/>
              </w:rPr>
              <w:t>James H. Roth</w:t>
            </w:r>
          </w:p>
        </w:tc>
        <w:tc>
          <w:tcPr>
            <w:tcW w:w="920" w:type="dxa"/>
            <w:vAlign w:val="bottom"/>
            <w:tcBorders>
              <w:bottom w:val="single" w:sz="8" w:color="999999"/>
            </w:tcBorders>
          </w:tcPr>
          <w:p>
            <w:pPr>
              <w:jc w:val="right"/>
              <w:ind w:right="81"/>
              <w:spacing w:after="0"/>
              <w:rPr>
                <w:sz w:val="20"/>
                <w:szCs w:val="20"/>
                <w:color w:val="auto"/>
              </w:rPr>
            </w:pPr>
            <w:r>
              <w:rPr>
                <w:rFonts w:ascii="Arial" w:cs="Arial" w:eastAsia="Arial" w:hAnsi="Arial"/>
                <w:sz w:val="16"/>
                <w:szCs w:val="16"/>
                <w:color w:val="auto"/>
              </w:rPr>
              <w:t>62</w:t>
            </w:r>
          </w:p>
        </w:tc>
        <w:tc>
          <w:tcPr>
            <w:tcW w:w="8100" w:type="dxa"/>
            <w:vAlign w:val="bottom"/>
            <w:tcBorders>
              <w:bottom w:val="single" w:sz="8" w:color="999999"/>
            </w:tcBorders>
          </w:tcPr>
          <w:p>
            <w:pPr>
              <w:ind w:left="160"/>
              <w:spacing w:after="0"/>
              <w:rPr>
                <w:sz w:val="20"/>
                <w:szCs w:val="20"/>
                <w:color w:val="auto"/>
              </w:rPr>
            </w:pPr>
            <w:r>
              <w:rPr>
                <w:rFonts w:ascii="Arial" w:cs="Arial" w:eastAsia="Arial" w:hAnsi="Arial"/>
                <w:sz w:val="16"/>
                <w:szCs w:val="16"/>
                <w:color w:val="auto"/>
              </w:rPr>
              <w:t>Chief Executive Officer and Director</w:t>
            </w:r>
          </w:p>
        </w:tc>
      </w:tr>
      <w:tr>
        <w:trPr>
          <w:trHeight w:val="183"/>
        </w:trPr>
        <w:tc>
          <w:tcPr>
            <w:tcW w:w="2000" w:type="dxa"/>
            <w:vAlign w:val="bottom"/>
            <w:tcBorders>
              <w:bottom w:val="single" w:sz="8" w:color="999999"/>
            </w:tcBorders>
          </w:tcPr>
          <w:p>
            <w:pPr>
              <w:ind w:left="80"/>
              <w:spacing w:after="0" w:line="183" w:lineRule="exact"/>
              <w:rPr>
                <w:sz w:val="20"/>
                <w:szCs w:val="20"/>
                <w:color w:val="auto"/>
              </w:rPr>
            </w:pPr>
            <w:r>
              <w:rPr>
                <w:rFonts w:ascii="Arial" w:cs="Arial" w:eastAsia="Arial" w:hAnsi="Arial"/>
                <w:sz w:val="16"/>
                <w:szCs w:val="16"/>
                <w:color w:val="auto"/>
              </w:rPr>
              <w:t>C. Mark Hussey</w:t>
            </w:r>
          </w:p>
        </w:tc>
        <w:tc>
          <w:tcPr>
            <w:tcW w:w="920" w:type="dxa"/>
            <w:vAlign w:val="bottom"/>
            <w:tcBorders>
              <w:bottom w:val="single" w:sz="8" w:color="999999"/>
            </w:tcBorders>
          </w:tcPr>
          <w:p>
            <w:pPr>
              <w:jc w:val="right"/>
              <w:ind w:right="81"/>
              <w:spacing w:after="0" w:line="183" w:lineRule="exact"/>
              <w:rPr>
                <w:sz w:val="20"/>
                <w:szCs w:val="20"/>
                <w:color w:val="auto"/>
              </w:rPr>
            </w:pPr>
            <w:r>
              <w:rPr>
                <w:rFonts w:ascii="Arial" w:cs="Arial" w:eastAsia="Arial" w:hAnsi="Arial"/>
                <w:sz w:val="16"/>
                <w:szCs w:val="16"/>
                <w:color w:val="auto"/>
              </w:rPr>
              <w:t>59</w:t>
            </w:r>
          </w:p>
        </w:tc>
        <w:tc>
          <w:tcPr>
            <w:tcW w:w="8100" w:type="dxa"/>
            <w:vAlign w:val="bottom"/>
            <w:tcBorders>
              <w:bottom w:val="single" w:sz="8" w:color="999999"/>
            </w:tcBorders>
          </w:tcPr>
          <w:p>
            <w:pPr>
              <w:ind w:left="160"/>
              <w:spacing w:after="0" w:line="183" w:lineRule="exact"/>
              <w:rPr>
                <w:sz w:val="20"/>
                <w:szCs w:val="20"/>
                <w:color w:val="auto"/>
              </w:rPr>
            </w:pPr>
            <w:r>
              <w:rPr>
                <w:rFonts w:ascii="Arial" w:cs="Arial" w:eastAsia="Arial" w:hAnsi="Arial"/>
                <w:sz w:val="16"/>
                <w:szCs w:val="16"/>
                <w:color w:val="auto"/>
              </w:rPr>
              <w:t>President and Chief Operating Officer</w:t>
            </w:r>
          </w:p>
        </w:tc>
      </w:tr>
      <w:tr>
        <w:trPr>
          <w:trHeight w:val="183"/>
        </w:trPr>
        <w:tc>
          <w:tcPr>
            <w:tcW w:w="2000" w:type="dxa"/>
            <w:vAlign w:val="bottom"/>
            <w:tcBorders>
              <w:bottom w:val="single" w:sz="8" w:color="999999"/>
            </w:tcBorders>
          </w:tcPr>
          <w:p>
            <w:pPr>
              <w:ind w:left="80"/>
              <w:spacing w:after="0" w:line="183" w:lineRule="exact"/>
              <w:rPr>
                <w:sz w:val="20"/>
                <w:szCs w:val="20"/>
                <w:color w:val="auto"/>
              </w:rPr>
            </w:pPr>
            <w:r>
              <w:rPr>
                <w:rFonts w:ascii="Arial" w:cs="Arial" w:eastAsia="Arial" w:hAnsi="Arial"/>
                <w:sz w:val="16"/>
                <w:szCs w:val="16"/>
                <w:color w:val="auto"/>
              </w:rPr>
              <w:t>John D. Kelly</w:t>
            </w:r>
          </w:p>
        </w:tc>
        <w:tc>
          <w:tcPr>
            <w:tcW w:w="920" w:type="dxa"/>
            <w:vAlign w:val="bottom"/>
            <w:tcBorders>
              <w:bottom w:val="single" w:sz="8" w:color="999999"/>
            </w:tcBorders>
          </w:tcPr>
          <w:p>
            <w:pPr>
              <w:jc w:val="right"/>
              <w:ind w:right="81"/>
              <w:spacing w:after="0" w:line="183" w:lineRule="exact"/>
              <w:rPr>
                <w:sz w:val="20"/>
                <w:szCs w:val="20"/>
                <w:color w:val="auto"/>
              </w:rPr>
            </w:pPr>
            <w:r>
              <w:rPr>
                <w:rFonts w:ascii="Arial" w:cs="Arial" w:eastAsia="Arial" w:hAnsi="Arial"/>
                <w:sz w:val="16"/>
                <w:szCs w:val="16"/>
                <w:color w:val="auto"/>
              </w:rPr>
              <w:t>44</w:t>
            </w:r>
          </w:p>
        </w:tc>
        <w:tc>
          <w:tcPr>
            <w:tcW w:w="8100" w:type="dxa"/>
            <w:vAlign w:val="bottom"/>
            <w:tcBorders>
              <w:bottom w:val="single" w:sz="8" w:color="999999"/>
            </w:tcBorders>
          </w:tcPr>
          <w:p>
            <w:pPr>
              <w:ind w:left="160"/>
              <w:spacing w:after="0" w:line="183" w:lineRule="exact"/>
              <w:rPr>
                <w:sz w:val="20"/>
                <w:szCs w:val="20"/>
                <w:color w:val="auto"/>
              </w:rPr>
            </w:pPr>
            <w:r>
              <w:rPr>
                <w:rFonts w:ascii="Arial" w:cs="Arial" w:eastAsia="Arial" w:hAnsi="Arial"/>
                <w:sz w:val="16"/>
                <w:szCs w:val="16"/>
                <w:color w:val="auto"/>
              </w:rPr>
              <w:t>Executive Vice President, Chief Financial Officer and Treasurer</w:t>
            </w:r>
          </w:p>
        </w:tc>
      </w:tr>
      <w:tr>
        <w:trPr>
          <w:trHeight w:val="183"/>
        </w:trPr>
        <w:tc>
          <w:tcPr>
            <w:tcW w:w="2000" w:type="dxa"/>
            <w:vAlign w:val="bottom"/>
            <w:tcBorders>
              <w:bottom w:val="single" w:sz="8" w:color="00548B"/>
            </w:tcBorders>
          </w:tcPr>
          <w:p>
            <w:pPr>
              <w:ind w:left="80"/>
              <w:spacing w:after="0" w:line="183" w:lineRule="exact"/>
              <w:rPr>
                <w:sz w:val="20"/>
                <w:szCs w:val="20"/>
                <w:color w:val="auto"/>
              </w:rPr>
            </w:pPr>
            <w:r>
              <w:rPr>
                <w:rFonts w:ascii="Arial" w:cs="Arial" w:eastAsia="Arial" w:hAnsi="Arial"/>
                <w:sz w:val="13"/>
                <w:szCs w:val="13"/>
                <w:color w:val="auto"/>
              </w:rPr>
              <w:t>Ernest W. Torain, Jr.</w:t>
            </w:r>
            <w:r>
              <w:rPr>
                <w:rFonts w:ascii="Arial" w:cs="Arial" w:eastAsia="Arial" w:hAnsi="Arial"/>
                <w:sz w:val="21"/>
                <w:szCs w:val="21"/>
                <w:color w:val="auto"/>
                <w:vertAlign w:val="superscript"/>
              </w:rPr>
              <w:t>2</w:t>
            </w:r>
          </w:p>
        </w:tc>
        <w:tc>
          <w:tcPr>
            <w:tcW w:w="920" w:type="dxa"/>
            <w:vAlign w:val="bottom"/>
            <w:tcBorders>
              <w:bottom w:val="single" w:sz="8" w:color="00548B"/>
            </w:tcBorders>
          </w:tcPr>
          <w:p>
            <w:pPr>
              <w:jc w:val="right"/>
              <w:ind w:right="81"/>
              <w:spacing w:after="0" w:line="183" w:lineRule="exact"/>
              <w:rPr>
                <w:sz w:val="20"/>
                <w:szCs w:val="20"/>
                <w:color w:val="auto"/>
              </w:rPr>
            </w:pPr>
            <w:r>
              <w:rPr>
                <w:rFonts w:ascii="Arial" w:cs="Arial" w:eastAsia="Arial" w:hAnsi="Arial"/>
                <w:sz w:val="16"/>
                <w:szCs w:val="16"/>
                <w:color w:val="auto"/>
              </w:rPr>
              <w:t>55</w:t>
            </w:r>
          </w:p>
        </w:tc>
        <w:tc>
          <w:tcPr>
            <w:tcW w:w="8100" w:type="dxa"/>
            <w:vAlign w:val="bottom"/>
            <w:tcBorders>
              <w:bottom w:val="single" w:sz="8" w:color="00548B"/>
            </w:tcBorders>
          </w:tcPr>
          <w:p>
            <w:pPr>
              <w:ind w:left="160"/>
              <w:spacing w:after="0" w:line="183" w:lineRule="exact"/>
              <w:rPr>
                <w:sz w:val="20"/>
                <w:szCs w:val="20"/>
                <w:color w:val="auto"/>
              </w:rPr>
            </w:pPr>
            <w:r>
              <w:rPr>
                <w:rFonts w:ascii="Arial" w:cs="Arial" w:eastAsia="Arial" w:hAnsi="Arial"/>
                <w:sz w:val="16"/>
                <w:szCs w:val="16"/>
                <w:color w:val="auto"/>
              </w:rPr>
              <w:t>Executive Vice President, General Counsel and Corporate Secretary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11226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146" w:lineRule="exact"/>
        <w:rPr>
          <w:sz w:val="20"/>
          <w:szCs w:val="20"/>
          <w:color w:val="auto"/>
        </w:rPr>
      </w:pPr>
    </w:p>
    <w:p>
      <w:pPr>
        <w:ind w:left="340" w:right="260" w:hanging="224"/>
        <w:spacing w:after="0" w:line="258" w:lineRule="auto"/>
        <w:tabs>
          <w:tab w:leader="none" w:pos="340" w:val="left"/>
        </w:tabs>
        <w:numPr>
          <w:ilvl w:val="0"/>
          <w:numId w:val="18"/>
        </w:numPr>
        <w:rPr>
          <w:rFonts w:ascii="Arial" w:cs="Arial" w:eastAsia="Arial" w:hAnsi="Arial"/>
          <w:sz w:val="12"/>
          <w:szCs w:val="12"/>
          <w:i w:val="1"/>
          <w:iCs w:val="1"/>
          <w:color w:val="auto"/>
        </w:rPr>
      </w:pPr>
      <w:r>
        <w:rPr>
          <w:rFonts w:ascii="Arial" w:cs="Arial" w:eastAsia="Arial" w:hAnsi="Arial"/>
          <w:sz w:val="12"/>
          <w:szCs w:val="12"/>
          <w:i w:val="1"/>
          <w:iCs w:val="1"/>
          <w:color w:val="auto"/>
        </w:rPr>
        <w:t>Effective March 1, 2020, Ernest W. Torain, Jr. was appointed Executive Vice President, General Counsel and Corporate Secretary succeeding Diane E. Ratekin who transitioned to the role of Advisor to the Board of Directors and the successor General Counsel.</w:t>
      </w:r>
    </w:p>
    <w:p>
      <w:pPr>
        <w:spacing w:after="0" w:line="13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00548B"/>
        </w:rPr>
        <w:t>15</w:t>
      </w:r>
    </w:p>
    <w:p>
      <w:pPr>
        <w:sectPr>
          <w:pgSz w:w="11900" w:h="16838" w:orient="portrait"/>
          <w:cols w:equalWidth="0" w:num="1">
            <w:col w:w="11140"/>
          </w:cols>
          <w:pgMar w:left="32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James H. Roth</w:t>
      </w:r>
      <w:r>
        <w:rPr>
          <w:rFonts w:ascii="Arial" w:cs="Arial" w:eastAsia="Arial" w:hAnsi="Arial"/>
          <w:sz w:val="16"/>
          <w:szCs w:val="16"/>
          <w:color w:val="auto"/>
        </w:rPr>
        <w:t>’s biographical information is provided above under the caption “Nominees to Board of Directors.”</w:t>
      </w:r>
    </w:p>
    <w:p>
      <w:pPr>
        <w:spacing w:after="0" w:line="194" w:lineRule="exact"/>
        <w:rPr>
          <w:sz w:val="20"/>
          <w:szCs w:val="20"/>
          <w:color w:val="auto"/>
        </w:rPr>
      </w:pPr>
    </w:p>
    <w:p>
      <w:pPr>
        <w:jc w:val="both"/>
        <w:ind w:left="120"/>
        <w:spacing w:after="0" w:line="250" w:lineRule="auto"/>
        <w:rPr>
          <w:sz w:val="20"/>
          <w:szCs w:val="20"/>
          <w:color w:val="auto"/>
        </w:rPr>
      </w:pPr>
      <w:r>
        <w:rPr>
          <w:rFonts w:ascii="Arial" w:cs="Arial" w:eastAsia="Arial" w:hAnsi="Arial"/>
          <w:sz w:val="16"/>
          <w:szCs w:val="16"/>
          <w:i w:val="1"/>
          <w:iCs w:val="1"/>
          <w:color w:val="auto"/>
        </w:rPr>
        <w:t xml:space="preserve">C. Mark Hussey </w:t>
      </w:r>
      <w:r>
        <w:rPr>
          <w:rFonts w:ascii="Arial" w:cs="Arial" w:eastAsia="Arial" w:hAnsi="Arial"/>
          <w:sz w:val="16"/>
          <w:szCs w:val="16"/>
          <w:color w:val="auto"/>
        </w:rPr>
        <w:t>was appointed President of Huron in February 2019 and was appointed Chief Operating Officer of Huron in February 2014. He served as</w:t>
      </w:r>
      <w:r>
        <w:rPr>
          <w:rFonts w:ascii="Arial" w:cs="Arial" w:eastAsia="Arial" w:hAnsi="Arial"/>
          <w:sz w:val="16"/>
          <w:szCs w:val="16"/>
          <w:i w:val="1"/>
          <w:iCs w:val="1"/>
          <w:color w:val="auto"/>
        </w:rPr>
        <w:t xml:space="preserve"> </w:t>
      </w:r>
      <w:r>
        <w:rPr>
          <w:rFonts w:ascii="Arial" w:cs="Arial" w:eastAsia="Arial" w:hAnsi="Arial"/>
          <w:sz w:val="16"/>
          <w:szCs w:val="16"/>
          <w:color w:val="auto"/>
        </w:rPr>
        <w:t>an Executive Vice President from July 2011 until February 2019. He had served as Chief Financial Officer from July 2011 until January 2017, and served as Huron’s Treasurer from July 2011 until February 2016. Prior to joining Huron, from 2002 to 2011, Mr. Hussey served as Chief Financial Officer at Crosscom National, LLC, a privately held professional IT services organization deploying and servicing in-store technology solutions for large, national retailers. In that role, he was responsible for all finance and administrative functions for the company. Prior to that, from 2000 until 2002, he served as Executive Vice President and Chief Financial Officer, North America, at Information Resources, Inc. During his career, Mr. Hussey has held senior finance, accounting and investor relations positions at entities such as EZLinks Golf, Inc., Dominick’s Finer Foods, Inc., and the Quaker Oats Company. Mr. Hussey received a B.S. in Accountancy from the University of Illinois, Urbana-Champaign and an M.B.A. in Finance from the University of Chicago Graduate School of Business. He holds professional designations as a Chartered Financial Analyst, Certified Management Accountant, and Certified Public Accountant.</w:t>
      </w:r>
    </w:p>
    <w:p>
      <w:pPr>
        <w:spacing w:after="0" w:line="341" w:lineRule="exact"/>
        <w:rPr>
          <w:sz w:val="20"/>
          <w:szCs w:val="20"/>
          <w:color w:val="auto"/>
        </w:rPr>
      </w:pPr>
    </w:p>
    <w:p>
      <w:pPr>
        <w:jc w:val="both"/>
        <w:ind w:left="120"/>
        <w:spacing w:after="0" w:line="250" w:lineRule="auto"/>
        <w:rPr>
          <w:sz w:val="20"/>
          <w:szCs w:val="20"/>
          <w:color w:val="auto"/>
        </w:rPr>
      </w:pPr>
      <w:r>
        <w:rPr>
          <w:rFonts w:ascii="Arial" w:cs="Arial" w:eastAsia="Arial" w:hAnsi="Arial"/>
          <w:sz w:val="16"/>
          <w:szCs w:val="16"/>
          <w:i w:val="1"/>
          <w:iCs w:val="1"/>
          <w:color w:val="auto"/>
        </w:rPr>
        <w:t xml:space="preserve">John D. Kelly </w:t>
      </w:r>
      <w:r>
        <w:rPr>
          <w:rFonts w:ascii="Arial" w:cs="Arial" w:eastAsia="Arial" w:hAnsi="Arial"/>
          <w:sz w:val="16"/>
          <w:szCs w:val="16"/>
          <w:color w:val="auto"/>
        </w:rPr>
        <w:t>was appointed Executive Vice President and Chief Financial Officer of Huron effective January 3, 2017. He has served as Huron’s</w:t>
      </w:r>
      <w:r>
        <w:rPr>
          <w:rFonts w:ascii="Arial" w:cs="Arial" w:eastAsia="Arial" w:hAnsi="Arial"/>
          <w:sz w:val="16"/>
          <w:szCs w:val="16"/>
          <w:i w:val="1"/>
          <w:iCs w:val="1"/>
          <w:color w:val="auto"/>
        </w:rPr>
        <w:t xml:space="preserve"> </w:t>
      </w:r>
      <w:r>
        <w:rPr>
          <w:rFonts w:ascii="Arial" w:cs="Arial" w:eastAsia="Arial" w:hAnsi="Arial"/>
          <w:sz w:val="16"/>
          <w:szCs w:val="16"/>
          <w:color w:val="auto"/>
        </w:rPr>
        <w:t>Treasurer since February 2016. He had served as Chief Accounting Officer of Huron from February 2015 until January 2017, and had served as Corporate Vice President from November 2012 until his appointment as Executive Vice President. Previously, Mr. Kelly had served as Controller of Huron from November 2012 until February 2015, and prior to that served as Assistant Controller from October 2009. Mr. Kelly served as Huron’s Assistant Treasurer from February 2015 until February 2016. Prior to joining Huron’s Finance and Accounting department, Mr. Kelly was a Director in the Company’s Disputes and Investigations practice for three years, serving clients in the manufacturing and services industries. Before he joined the Company in December 2006, Mr. Kelly had held several positions within Deloitte &amp; Touche’s Assurance and Advisory Services group, most recently as a Senior Manager. He received both a B.S. and M.S. in Accounting from the University of Notre Dame. Mr. Kelly is a Certified Public Accountant (Illinois). Commencing in February 2020, Mr. Kelly was appointed as a member of the Board of Directors of Shorelight Holdings LLC.</w:t>
      </w:r>
    </w:p>
    <w:p>
      <w:pPr>
        <w:spacing w:after="0" w:line="152" w:lineRule="exact"/>
        <w:rPr>
          <w:sz w:val="20"/>
          <w:szCs w:val="20"/>
          <w:color w:val="auto"/>
        </w:rPr>
      </w:pPr>
    </w:p>
    <w:p>
      <w:pPr>
        <w:jc w:val="both"/>
        <w:ind w:left="120" w:right="20"/>
        <w:spacing w:after="0" w:line="251" w:lineRule="auto"/>
        <w:rPr>
          <w:sz w:val="20"/>
          <w:szCs w:val="20"/>
          <w:color w:val="auto"/>
        </w:rPr>
      </w:pPr>
      <w:r>
        <w:rPr>
          <w:rFonts w:ascii="Arial" w:cs="Arial" w:eastAsia="Arial" w:hAnsi="Arial"/>
          <w:sz w:val="16"/>
          <w:szCs w:val="16"/>
          <w:i w:val="1"/>
          <w:iCs w:val="1"/>
          <w:color w:val="auto"/>
        </w:rPr>
        <w:t xml:space="preserve">Ernest W. Torain, Jr. </w:t>
      </w:r>
      <w:r>
        <w:rPr>
          <w:rFonts w:ascii="Arial" w:cs="Arial" w:eastAsia="Arial" w:hAnsi="Arial"/>
          <w:sz w:val="16"/>
          <w:szCs w:val="16"/>
          <w:color w:val="auto"/>
        </w:rPr>
        <w:t>was appointed Executive Vice President, General Counsel and Corporate Secretary effective March 1, 2020. Before joining Huron,</w:t>
      </w:r>
      <w:r>
        <w:rPr>
          <w:rFonts w:ascii="Arial" w:cs="Arial" w:eastAsia="Arial" w:hAnsi="Arial"/>
          <w:sz w:val="16"/>
          <w:szCs w:val="16"/>
          <w:i w:val="1"/>
          <w:iCs w:val="1"/>
          <w:color w:val="auto"/>
        </w:rPr>
        <w:t xml:space="preserve"> </w:t>
      </w:r>
      <w:r>
        <w:rPr>
          <w:rFonts w:ascii="Arial" w:cs="Arial" w:eastAsia="Arial" w:hAnsi="Arial"/>
          <w:sz w:val="16"/>
          <w:szCs w:val="16"/>
          <w:color w:val="auto"/>
        </w:rPr>
        <w:t>from September 2010 to February 2020, Mr. Torain was in-house counsel at Illinois Tool Works Inc. (ITW), a public manufacturer of industrial equipment, in a variety of roles, most recently serving as Associate General Counsel. At ITW, Mr. Torain counseled business executives in a variety of areas, including mergers and acquisitions, litigation, intellectual property and general commercial matters. Prior to joining ITW, he spent more than six years at Vedder Price P.C., from 2004-2010, where he was a shareholder in the firm’s securities and capital markets practice. Prior to Vedder Price, Mr. Torain was a partner at Katten Muchin Rosenman LLP from 2001-2004 in the firm’s securities and M&amp;A practices. He received his J.D. from the University of Michigan Law School and received his A.B. in economics from Dartmouth College. He is a member of The Executive Leadership Council and The Economic Club of Chicago. He also served as a member of the steering committee for the ITW African American Network.</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48B"/>
        </w:rPr>
        <w:t>S</w:t>
      </w:r>
      <w:r>
        <w:rPr>
          <w:rFonts w:ascii="Arial" w:cs="Arial" w:eastAsia="Arial" w:hAnsi="Arial"/>
          <w:sz w:val="14"/>
          <w:szCs w:val="14"/>
          <w:b w:val="1"/>
          <w:bCs w:val="1"/>
          <w:color w:val="00548B"/>
        </w:rPr>
        <w:t>ECTION</w:t>
      </w:r>
      <w:r>
        <w:rPr>
          <w:rFonts w:ascii="Arial" w:cs="Arial" w:eastAsia="Arial" w:hAnsi="Arial"/>
          <w:sz w:val="18"/>
          <w:szCs w:val="18"/>
          <w:b w:val="1"/>
          <w:bCs w:val="1"/>
          <w:color w:val="00548B"/>
        </w:rPr>
        <w:t xml:space="preserve"> 16(a) B</w:t>
      </w:r>
      <w:r>
        <w:rPr>
          <w:rFonts w:ascii="Arial" w:cs="Arial" w:eastAsia="Arial" w:hAnsi="Arial"/>
          <w:sz w:val="14"/>
          <w:szCs w:val="14"/>
          <w:b w:val="1"/>
          <w:bCs w:val="1"/>
          <w:color w:val="00548B"/>
        </w:rPr>
        <w:t>ENEFICIAL</w:t>
      </w:r>
      <w:r>
        <w:rPr>
          <w:rFonts w:ascii="Arial" w:cs="Arial" w:eastAsia="Arial" w:hAnsi="Arial"/>
          <w:sz w:val="18"/>
          <w:szCs w:val="18"/>
          <w:b w:val="1"/>
          <w:bCs w:val="1"/>
          <w:color w:val="00548B"/>
        </w:rPr>
        <w:t xml:space="preserve"> O</w:t>
      </w:r>
      <w:r>
        <w:rPr>
          <w:rFonts w:ascii="Arial" w:cs="Arial" w:eastAsia="Arial" w:hAnsi="Arial"/>
          <w:sz w:val="14"/>
          <w:szCs w:val="14"/>
          <w:b w:val="1"/>
          <w:bCs w:val="1"/>
          <w:color w:val="00548B"/>
        </w:rPr>
        <w:t>WNERSHIP</w:t>
      </w:r>
      <w:r>
        <w:rPr>
          <w:rFonts w:ascii="Arial" w:cs="Arial" w:eastAsia="Arial" w:hAnsi="Arial"/>
          <w:sz w:val="18"/>
          <w:szCs w:val="18"/>
          <w:b w:val="1"/>
          <w:bCs w:val="1"/>
          <w:color w:val="00548B"/>
        </w:rPr>
        <w:t xml:space="preserve"> R</w:t>
      </w:r>
      <w:r>
        <w:rPr>
          <w:rFonts w:ascii="Arial" w:cs="Arial" w:eastAsia="Arial" w:hAnsi="Arial"/>
          <w:sz w:val="14"/>
          <w:szCs w:val="14"/>
          <w:b w:val="1"/>
          <w:bCs w:val="1"/>
          <w:color w:val="00548B"/>
        </w:rPr>
        <w:t>EPORTING</w:t>
      </w:r>
      <w:r>
        <w:rPr>
          <w:rFonts w:ascii="Arial" w:cs="Arial" w:eastAsia="Arial" w:hAnsi="Arial"/>
          <w:sz w:val="18"/>
          <w:szCs w:val="18"/>
          <w:b w:val="1"/>
          <w:bCs w:val="1"/>
          <w:color w:val="00548B"/>
        </w:rPr>
        <w:t xml:space="preserve"> C</w:t>
      </w:r>
      <w:r>
        <w:rPr>
          <w:rFonts w:ascii="Arial" w:cs="Arial" w:eastAsia="Arial" w:hAnsi="Arial"/>
          <w:sz w:val="14"/>
          <w:szCs w:val="14"/>
          <w:b w:val="1"/>
          <w:bCs w:val="1"/>
          <w:color w:val="00548B"/>
        </w:rPr>
        <w:t>OMPLIANCE</w:t>
      </w:r>
    </w:p>
    <w:p>
      <w:pPr>
        <w:spacing w:after="0" w:line="20" w:lineRule="exact"/>
        <w:rPr>
          <w:sz w:val="20"/>
          <w:szCs w:val="20"/>
          <w:color w:val="auto"/>
        </w:rPr>
      </w:pPr>
    </w:p>
    <w:p>
      <w:pPr>
        <w:jc w:val="both"/>
        <w:ind w:left="120"/>
        <w:spacing w:after="0" w:line="250" w:lineRule="auto"/>
        <w:rPr>
          <w:sz w:val="20"/>
          <w:szCs w:val="20"/>
          <w:color w:val="auto"/>
        </w:rPr>
      </w:pPr>
      <w:r>
        <w:rPr>
          <w:rFonts w:ascii="Arial" w:cs="Arial" w:eastAsia="Arial" w:hAnsi="Arial"/>
          <w:sz w:val="16"/>
          <w:szCs w:val="16"/>
          <w:color w:val="auto"/>
        </w:rPr>
        <w:t>Pursuant to Section 16(a) of the 1934 Act, the Company’s directors, executive officers and persons who beneficially own 10% or more of our common stock (the “Section 16 Reporting Persons”) are required to report their initial ownership of common stock and subsequent changes in that ownership to the SEC. Section 16 Reporting Persons are required to furnish the Company with copies of all Section 16(a) forms that they file. Based upon our review of forms filed by the Section 16 Reporting Persons pursuant to the 1934 Act, we identified one late filing in 2019 by Ekta Singh-Bushell, one of Huron’s directors.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48B"/>
        </w:rPr>
        <w:t>S</w:t>
      </w:r>
      <w:r>
        <w:rPr>
          <w:rFonts w:ascii="Arial" w:cs="Arial" w:eastAsia="Arial" w:hAnsi="Arial"/>
          <w:sz w:val="14"/>
          <w:szCs w:val="14"/>
          <w:b w:val="1"/>
          <w:bCs w:val="1"/>
          <w:color w:val="00548B"/>
        </w:rPr>
        <w:t>TOCK</w:t>
      </w:r>
      <w:r>
        <w:rPr>
          <w:rFonts w:ascii="Arial" w:cs="Arial" w:eastAsia="Arial" w:hAnsi="Arial"/>
          <w:sz w:val="18"/>
          <w:szCs w:val="18"/>
          <w:b w:val="1"/>
          <w:bCs w:val="1"/>
          <w:color w:val="00548B"/>
        </w:rPr>
        <w:t xml:space="preserve"> O</w:t>
      </w:r>
      <w:r>
        <w:rPr>
          <w:rFonts w:ascii="Arial" w:cs="Arial" w:eastAsia="Arial" w:hAnsi="Arial"/>
          <w:sz w:val="14"/>
          <w:szCs w:val="14"/>
          <w:b w:val="1"/>
          <w:bCs w:val="1"/>
          <w:color w:val="00548B"/>
        </w:rPr>
        <w:t>WNERSHIP OF</w:t>
      </w:r>
      <w:r>
        <w:rPr>
          <w:rFonts w:ascii="Arial" w:cs="Arial" w:eastAsia="Arial" w:hAnsi="Arial"/>
          <w:sz w:val="18"/>
          <w:szCs w:val="18"/>
          <w:b w:val="1"/>
          <w:bCs w:val="1"/>
          <w:color w:val="00548B"/>
        </w:rPr>
        <w:t xml:space="preserve"> C</w:t>
      </w:r>
      <w:r>
        <w:rPr>
          <w:rFonts w:ascii="Arial" w:cs="Arial" w:eastAsia="Arial" w:hAnsi="Arial"/>
          <w:sz w:val="14"/>
          <w:szCs w:val="14"/>
          <w:b w:val="1"/>
          <w:bCs w:val="1"/>
          <w:color w:val="00548B"/>
        </w:rPr>
        <w:t>ERTAIN</w:t>
      </w:r>
      <w:r>
        <w:rPr>
          <w:rFonts w:ascii="Arial" w:cs="Arial" w:eastAsia="Arial" w:hAnsi="Arial"/>
          <w:sz w:val="18"/>
          <w:szCs w:val="18"/>
          <w:b w:val="1"/>
          <w:bCs w:val="1"/>
          <w:color w:val="00548B"/>
        </w:rPr>
        <w:t xml:space="preserve"> B</w:t>
      </w:r>
      <w:r>
        <w:rPr>
          <w:rFonts w:ascii="Arial" w:cs="Arial" w:eastAsia="Arial" w:hAnsi="Arial"/>
          <w:sz w:val="14"/>
          <w:szCs w:val="14"/>
          <w:b w:val="1"/>
          <w:bCs w:val="1"/>
          <w:color w:val="00548B"/>
        </w:rPr>
        <w:t>ENEFICIAL</w:t>
      </w:r>
      <w:r>
        <w:rPr>
          <w:rFonts w:ascii="Arial" w:cs="Arial" w:eastAsia="Arial" w:hAnsi="Arial"/>
          <w:sz w:val="18"/>
          <w:szCs w:val="18"/>
          <w:b w:val="1"/>
          <w:bCs w:val="1"/>
          <w:color w:val="00548B"/>
        </w:rPr>
        <w:t xml:space="preserve"> O</w:t>
      </w:r>
      <w:r>
        <w:rPr>
          <w:rFonts w:ascii="Arial" w:cs="Arial" w:eastAsia="Arial" w:hAnsi="Arial"/>
          <w:sz w:val="14"/>
          <w:szCs w:val="14"/>
          <w:b w:val="1"/>
          <w:bCs w:val="1"/>
          <w:color w:val="00548B"/>
        </w:rPr>
        <w:t>WNERS AND</w:t>
      </w:r>
      <w:r>
        <w:rPr>
          <w:rFonts w:ascii="Arial" w:cs="Arial" w:eastAsia="Arial" w:hAnsi="Arial"/>
          <w:sz w:val="18"/>
          <w:szCs w:val="18"/>
          <w:b w:val="1"/>
          <w:bCs w:val="1"/>
          <w:color w:val="00548B"/>
        </w:rPr>
        <w:t xml:space="preserve"> M</w:t>
      </w:r>
      <w:r>
        <w:rPr>
          <w:rFonts w:ascii="Arial" w:cs="Arial" w:eastAsia="Arial" w:hAnsi="Arial"/>
          <w:sz w:val="14"/>
          <w:szCs w:val="14"/>
          <w:b w:val="1"/>
          <w:bCs w:val="1"/>
          <w:color w:val="00548B"/>
        </w:rPr>
        <w:t>ANAGEMENT</w:t>
      </w:r>
    </w:p>
    <w:p>
      <w:pPr>
        <w:spacing w:after="0" w:line="6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sets forth, as of the Record Date, certain information regarding the beneficial ownership of our common stock by:</w:t>
      </w:r>
    </w:p>
    <w:p>
      <w:pPr>
        <w:spacing w:after="0" w:line="221" w:lineRule="exact"/>
        <w:rPr>
          <w:sz w:val="20"/>
          <w:szCs w:val="20"/>
          <w:color w:val="auto"/>
        </w:rPr>
      </w:pPr>
    </w:p>
    <w:p>
      <w:pPr>
        <w:ind w:left="980" w:hanging="432"/>
        <w:spacing w:after="0"/>
        <w:tabs>
          <w:tab w:leader="none" w:pos="980" w:val="left"/>
        </w:tabs>
        <w:numPr>
          <w:ilvl w:val="0"/>
          <w:numId w:val="19"/>
        </w:numPr>
        <w:rPr>
          <w:rFonts w:ascii="Arial" w:cs="Arial" w:eastAsia="Arial" w:hAnsi="Arial"/>
          <w:sz w:val="16"/>
          <w:szCs w:val="16"/>
          <w:color w:val="00548B"/>
        </w:rPr>
      </w:pPr>
      <w:r>
        <w:rPr>
          <w:rFonts w:ascii="Arial" w:cs="Arial" w:eastAsia="Arial" w:hAnsi="Arial"/>
          <w:sz w:val="16"/>
          <w:szCs w:val="16"/>
          <w:color w:val="auto"/>
        </w:rPr>
        <w:t>each person known by us to beneficially own 5% or more of our common stock;</w:t>
      </w:r>
    </w:p>
    <w:p>
      <w:pPr>
        <w:spacing w:after="0" w:line="5" w:lineRule="exact"/>
        <w:rPr>
          <w:rFonts w:ascii="Arial" w:cs="Arial" w:eastAsia="Arial" w:hAnsi="Arial"/>
          <w:sz w:val="16"/>
          <w:szCs w:val="16"/>
          <w:color w:val="00548B"/>
        </w:rPr>
      </w:pPr>
    </w:p>
    <w:p>
      <w:pPr>
        <w:ind w:left="980" w:hanging="432"/>
        <w:spacing w:after="0"/>
        <w:tabs>
          <w:tab w:leader="none" w:pos="980" w:val="left"/>
        </w:tabs>
        <w:numPr>
          <w:ilvl w:val="0"/>
          <w:numId w:val="19"/>
        </w:numPr>
        <w:rPr>
          <w:rFonts w:ascii="Arial" w:cs="Arial" w:eastAsia="Arial" w:hAnsi="Arial"/>
          <w:sz w:val="16"/>
          <w:szCs w:val="16"/>
          <w:color w:val="00548B"/>
        </w:rPr>
      </w:pPr>
      <w:r>
        <w:rPr>
          <w:rFonts w:ascii="Arial" w:cs="Arial" w:eastAsia="Arial" w:hAnsi="Arial"/>
          <w:sz w:val="16"/>
          <w:szCs w:val="16"/>
          <w:color w:val="auto"/>
        </w:rPr>
        <w:t>each of our named executive officers;</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00548B"/>
        </w:rPr>
        <w:t>16</w:t>
      </w:r>
    </w:p>
    <w:p>
      <w:pPr>
        <w:sectPr>
          <w:pgSz w:w="11900" w:h="16838" w:orient="portrait"/>
          <w:cols w:equalWidth="0" w:num="1">
            <w:col w:w="11140"/>
          </w:cols>
          <w:pgMar w:left="32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980" w:hanging="432"/>
        <w:spacing w:after="0"/>
        <w:tabs>
          <w:tab w:leader="none" w:pos="980" w:val="left"/>
        </w:tabs>
        <w:numPr>
          <w:ilvl w:val="0"/>
          <w:numId w:val="20"/>
        </w:numPr>
        <w:rPr>
          <w:rFonts w:ascii="Arial" w:cs="Arial" w:eastAsia="Arial" w:hAnsi="Arial"/>
          <w:sz w:val="16"/>
          <w:szCs w:val="16"/>
          <w:color w:val="00548B"/>
        </w:rPr>
      </w:pPr>
      <w:r>
        <w:rPr>
          <w:rFonts w:ascii="Arial" w:cs="Arial" w:eastAsia="Arial" w:hAnsi="Arial"/>
          <w:sz w:val="16"/>
          <w:szCs w:val="16"/>
          <w:color w:val="auto"/>
        </w:rPr>
        <w:t>each member of our board of directors; and</w:t>
      </w:r>
    </w:p>
    <w:p>
      <w:pPr>
        <w:spacing w:after="0" w:line="5" w:lineRule="exact"/>
        <w:rPr>
          <w:rFonts w:ascii="Arial" w:cs="Arial" w:eastAsia="Arial" w:hAnsi="Arial"/>
          <w:sz w:val="16"/>
          <w:szCs w:val="16"/>
          <w:color w:val="00548B"/>
        </w:rPr>
      </w:pPr>
    </w:p>
    <w:p>
      <w:pPr>
        <w:ind w:left="980" w:hanging="432"/>
        <w:spacing w:after="0"/>
        <w:tabs>
          <w:tab w:leader="none" w:pos="980" w:val="left"/>
        </w:tabs>
        <w:numPr>
          <w:ilvl w:val="0"/>
          <w:numId w:val="20"/>
        </w:numPr>
        <w:rPr>
          <w:rFonts w:ascii="Arial" w:cs="Arial" w:eastAsia="Arial" w:hAnsi="Arial"/>
          <w:sz w:val="16"/>
          <w:szCs w:val="16"/>
          <w:color w:val="00548B"/>
        </w:rPr>
      </w:pPr>
      <w:r>
        <w:rPr>
          <w:rFonts w:ascii="Arial" w:cs="Arial" w:eastAsia="Arial" w:hAnsi="Arial"/>
          <w:sz w:val="16"/>
          <w:szCs w:val="16"/>
          <w:color w:val="auto"/>
        </w:rPr>
        <w:t>all directors and executive officers as a group.</w:t>
      </w:r>
    </w:p>
    <w:p>
      <w:pPr>
        <w:spacing w:after="0" w:line="208" w:lineRule="exact"/>
        <w:rPr>
          <w:sz w:val="20"/>
          <w:szCs w:val="20"/>
          <w:color w:val="auto"/>
        </w:rPr>
      </w:pPr>
    </w:p>
    <w:p>
      <w:pPr>
        <w:jc w:val="both"/>
        <w:ind w:left="120" w:right="20"/>
        <w:spacing w:after="0" w:line="250" w:lineRule="auto"/>
        <w:rPr>
          <w:sz w:val="20"/>
          <w:szCs w:val="20"/>
          <w:color w:val="auto"/>
        </w:rPr>
      </w:pPr>
      <w:r>
        <w:rPr>
          <w:rFonts w:ascii="Arial" w:cs="Arial" w:eastAsia="Arial" w:hAnsi="Arial"/>
          <w:sz w:val="16"/>
          <w:szCs w:val="16"/>
          <w:color w:val="auto"/>
        </w:rPr>
        <w:t>Beneficial ownership is determined according to the rules of the Securities and Exchange Commission (the “SEC”) and generally means that a person has beneficial ownership of a security if he or she possesses sole or shared voting or investment power of that security and includes options that are currently exercisable or exercisable within 60 days. Each director, officer or 5% or more stockholder, as the case may be, has furnished us with information with respect to beneficial ownership. Except as otherwise indicated, beneficial owners of common stock listed below, based on the information each of them has given to us, have sole investment and voting power with respect to their shares, except where community property laws may apply.</w:t>
      </w: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169"/>
        </w:trPr>
        <w:tc>
          <w:tcPr>
            <w:tcW w:w="180" w:type="dxa"/>
            <w:vAlign w:val="bottom"/>
            <w:shd w:val="clear" w:color="auto" w:fill="00548B"/>
          </w:tcPr>
          <w:p>
            <w:pPr>
              <w:spacing w:after="0"/>
              <w:rPr>
                <w:sz w:val="14"/>
                <w:szCs w:val="14"/>
                <w:color w:val="auto"/>
              </w:rPr>
            </w:pPr>
          </w:p>
        </w:tc>
        <w:tc>
          <w:tcPr>
            <w:tcW w:w="7840" w:type="dxa"/>
            <w:vAlign w:val="bottom"/>
            <w:shd w:val="clear" w:color="auto" w:fill="00548B"/>
          </w:tcPr>
          <w:p>
            <w:pPr>
              <w:spacing w:after="0"/>
              <w:rPr>
                <w:sz w:val="14"/>
                <w:szCs w:val="14"/>
                <w:color w:val="auto"/>
              </w:rPr>
            </w:pPr>
          </w:p>
        </w:tc>
        <w:tc>
          <w:tcPr>
            <w:tcW w:w="2140" w:type="dxa"/>
            <w:vAlign w:val="bottom"/>
            <w:shd w:val="clear" w:color="auto" w:fill="00548B"/>
          </w:tcPr>
          <w:p>
            <w:pPr>
              <w:jc w:val="right"/>
              <w:spacing w:after="0"/>
              <w:rPr>
                <w:sz w:val="20"/>
                <w:szCs w:val="20"/>
                <w:color w:val="auto"/>
              </w:rPr>
            </w:pPr>
            <w:r>
              <w:rPr>
                <w:rFonts w:ascii="Arial" w:cs="Arial" w:eastAsia="Arial" w:hAnsi="Arial"/>
                <w:sz w:val="14"/>
                <w:szCs w:val="14"/>
                <w:b w:val="1"/>
                <w:bCs w:val="1"/>
                <w:color w:val="D8D8D8"/>
              </w:rPr>
              <w:t>Beneficial Ownership</w:t>
            </w:r>
          </w:p>
        </w:tc>
        <w:tc>
          <w:tcPr>
            <w:tcW w:w="860" w:type="dxa"/>
            <w:vAlign w:val="bottom"/>
            <w:shd w:val="clear" w:color="auto" w:fill="00548B"/>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8020" w:type="dxa"/>
            <w:vAlign w:val="bottom"/>
            <w:gridSpan w:val="2"/>
            <w:vMerge w:val="restart"/>
            <w:shd w:val="clear" w:color="auto" w:fill="00548B"/>
          </w:tcPr>
          <w:p>
            <w:pPr>
              <w:spacing w:after="0"/>
              <w:rPr>
                <w:sz w:val="20"/>
                <w:szCs w:val="20"/>
                <w:color w:val="auto"/>
              </w:rPr>
            </w:pPr>
            <w:r>
              <w:rPr>
                <w:rFonts w:ascii="Arial" w:cs="Arial" w:eastAsia="Arial" w:hAnsi="Arial"/>
                <w:sz w:val="14"/>
                <w:szCs w:val="14"/>
                <w:b w:val="1"/>
                <w:bCs w:val="1"/>
                <w:color w:val="D8D8D8"/>
              </w:rPr>
              <w:t>Name of beneficial owner (1)</w:t>
            </w:r>
          </w:p>
        </w:tc>
        <w:tc>
          <w:tcPr>
            <w:tcW w:w="2140" w:type="dxa"/>
            <w:vAlign w:val="bottom"/>
            <w:shd w:val="clear" w:color="auto" w:fill="00548B"/>
          </w:tcPr>
          <w:p>
            <w:pPr>
              <w:jc w:val="right"/>
              <w:ind w:right="1040"/>
              <w:spacing w:after="0"/>
              <w:rPr>
                <w:sz w:val="20"/>
                <w:szCs w:val="20"/>
                <w:color w:val="auto"/>
              </w:rPr>
            </w:pPr>
            <w:r>
              <w:rPr>
                <w:rFonts w:ascii="Arial" w:cs="Arial" w:eastAsia="Arial" w:hAnsi="Arial"/>
                <w:sz w:val="14"/>
                <w:szCs w:val="14"/>
                <w:b w:val="1"/>
                <w:bCs w:val="1"/>
                <w:color w:val="D8D8D8"/>
              </w:rPr>
              <w:t>Shares</w:t>
            </w:r>
          </w:p>
        </w:tc>
        <w:tc>
          <w:tcPr>
            <w:tcW w:w="860" w:type="dxa"/>
            <w:vAlign w:val="bottom"/>
            <w:shd w:val="clear" w:color="auto" w:fill="00548B"/>
          </w:tcPr>
          <w:p>
            <w:pPr>
              <w:jc w:val="right"/>
              <w:ind w:right="600"/>
              <w:spacing w:after="0"/>
              <w:rPr>
                <w:sz w:val="20"/>
                <w:szCs w:val="20"/>
                <w:color w:val="auto"/>
              </w:rPr>
            </w:pPr>
            <w:r>
              <w:rPr>
                <w:rFonts w:ascii="Arial" w:cs="Arial" w:eastAsia="Arial" w:hAnsi="Arial"/>
                <w:sz w:val="14"/>
                <w:szCs w:val="14"/>
                <w:b w:val="1"/>
                <w:bCs w:val="1"/>
                <w:color w:val="D8D8D8"/>
              </w:rPr>
              <w:t>%</w:t>
            </w:r>
          </w:p>
        </w:tc>
        <w:tc>
          <w:tcPr>
            <w:tcW w:w="0" w:type="dxa"/>
            <w:vAlign w:val="bottom"/>
          </w:tcPr>
          <w:p>
            <w:pPr>
              <w:spacing w:after="0"/>
              <w:rPr>
                <w:sz w:val="1"/>
                <w:szCs w:val="1"/>
                <w:color w:val="auto"/>
              </w:rPr>
            </w:pPr>
          </w:p>
        </w:tc>
      </w:tr>
      <w:tr>
        <w:trPr>
          <w:trHeight w:val="147"/>
        </w:trPr>
        <w:tc>
          <w:tcPr>
            <w:tcW w:w="8020" w:type="dxa"/>
            <w:vAlign w:val="bottom"/>
            <w:gridSpan w:val="2"/>
            <w:vMerge w:val="continue"/>
            <w:shd w:val="clear" w:color="auto" w:fill="00548B"/>
          </w:tcPr>
          <w:p>
            <w:pPr>
              <w:spacing w:after="0"/>
              <w:rPr>
                <w:sz w:val="12"/>
                <w:szCs w:val="12"/>
                <w:color w:val="auto"/>
              </w:rPr>
            </w:pPr>
          </w:p>
        </w:tc>
        <w:tc>
          <w:tcPr>
            <w:tcW w:w="2140" w:type="dxa"/>
            <w:vAlign w:val="bottom"/>
            <w:shd w:val="clear" w:color="auto" w:fill="00548B"/>
          </w:tcPr>
          <w:p>
            <w:pPr>
              <w:spacing w:after="0"/>
              <w:rPr>
                <w:sz w:val="12"/>
                <w:szCs w:val="12"/>
                <w:color w:val="auto"/>
              </w:rPr>
            </w:pPr>
          </w:p>
        </w:tc>
        <w:tc>
          <w:tcPr>
            <w:tcW w:w="860" w:type="dxa"/>
            <w:vAlign w:val="bottom"/>
            <w:shd w:val="clear" w:color="auto" w:fill="00548B"/>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8020" w:type="dxa"/>
            <w:vAlign w:val="bottom"/>
            <w:tcBorders>
              <w:bottom w:val="single" w:sz="8" w:color="999999"/>
            </w:tcBorders>
            <w:gridSpan w:val="2"/>
          </w:tcPr>
          <w:p>
            <w:pPr>
              <w:spacing w:after="0"/>
              <w:rPr>
                <w:sz w:val="20"/>
                <w:szCs w:val="20"/>
                <w:color w:val="auto"/>
              </w:rPr>
            </w:pPr>
            <w:r>
              <w:rPr>
                <w:rFonts w:ascii="Arial" w:cs="Arial" w:eastAsia="Arial" w:hAnsi="Arial"/>
                <w:sz w:val="16"/>
                <w:szCs w:val="16"/>
                <w:b w:val="1"/>
                <w:bCs w:val="1"/>
                <w:color w:val="00548B"/>
              </w:rPr>
              <w:t>Beneficial owners of 5% or more:</w:t>
            </w:r>
          </w:p>
        </w:tc>
        <w:tc>
          <w:tcPr>
            <w:tcW w:w="2140" w:type="dxa"/>
            <w:vAlign w:val="bottom"/>
            <w:tcBorders>
              <w:bottom w:val="single" w:sz="8" w:color="999999"/>
            </w:tcBorders>
          </w:tcPr>
          <w:p>
            <w:pPr>
              <w:spacing w:after="0"/>
              <w:rPr>
                <w:sz w:val="16"/>
                <w:szCs w:val="16"/>
                <w:color w:val="auto"/>
              </w:rPr>
            </w:pPr>
          </w:p>
        </w:tc>
        <w:tc>
          <w:tcPr>
            <w:tcW w:w="860" w:type="dxa"/>
            <w:vAlign w:val="bottom"/>
            <w:tcBorders>
              <w:bottom w:val="single" w:sz="8" w:color="999999"/>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80" w:type="dxa"/>
            <w:vAlign w:val="bottom"/>
            <w:tcBorders>
              <w:bottom w:val="single" w:sz="8" w:color="999999"/>
            </w:tcBorders>
          </w:tcPr>
          <w:p>
            <w:pPr>
              <w:spacing w:after="0"/>
              <w:rPr>
                <w:sz w:val="15"/>
                <w:szCs w:val="15"/>
                <w:color w:val="auto"/>
              </w:rPr>
            </w:pPr>
          </w:p>
        </w:tc>
        <w:tc>
          <w:tcPr>
            <w:tcW w:w="7840" w:type="dxa"/>
            <w:vAlign w:val="bottom"/>
            <w:tcBorders>
              <w:bottom w:val="single" w:sz="8" w:color="999999"/>
            </w:tcBorders>
          </w:tcPr>
          <w:p>
            <w:pPr>
              <w:ind w:left="140"/>
              <w:spacing w:after="0" w:line="183" w:lineRule="exact"/>
              <w:rPr>
                <w:sz w:val="20"/>
                <w:szCs w:val="20"/>
                <w:color w:val="auto"/>
              </w:rPr>
            </w:pPr>
            <w:r>
              <w:rPr>
                <w:rFonts w:ascii="Arial" w:cs="Arial" w:eastAsia="Arial" w:hAnsi="Arial"/>
                <w:sz w:val="16"/>
                <w:szCs w:val="16"/>
                <w:color w:val="auto"/>
              </w:rPr>
              <w:t>Wellington Management Group LLP (2)</w:t>
            </w:r>
          </w:p>
        </w:tc>
        <w:tc>
          <w:tcPr>
            <w:tcW w:w="2140" w:type="dxa"/>
            <w:vAlign w:val="bottom"/>
            <w:tcBorders>
              <w:bottom w:val="single" w:sz="8" w:color="999999"/>
            </w:tcBorders>
          </w:tcPr>
          <w:p>
            <w:pPr>
              <w:jc w:val="right"/>
              <w:ind w:right="840"/>
              <w:spacing w:after="0" w:line="183" w:lineRule="exact"/>
              <w:rPr>
                <w:sz w:val="20"/>
                <w:szCs w:val="20"/>
                <w:color w:val="auto"/>
              </w:rPr>
            </w:pPr>
            <w:r>
              <w:rPr>
                <w:rFonts w:ascii="Arial" w:cs="Arial" w:eastAsia="Arial" w:hAnsi="Arial"/>
                <w:sz w:val="16"/>
                <w:szCs w:val="16"/>
                <w:color w:val="auto"/>
              </w:rPr>
              <w:t>3,021,188</w:t>
            </w:r>
          </w:p>
        </w:tc>
        <w:tc>
          <w:tcPr>
            <w:tcW w:w="860" w:type="dxa"/>
            <w:vAlign w:val="bottom"/>
            <w:tcBorders>
              <w:bottom w:val="single" w:sz="8" w:color="999999"/>
            </w:tcBorders>
          </w:tcPr>
          <w:p>
            <w:pPr>
              <w:jc w:val="right"/>
              <w:ind w:right="360"/>
              <w:spacing w:after="0" w:line="183" w:lineRule="exact"/>
              <w:rPr>
                <w:sz w:val="20"/>
                <w:szCs w:val="20"/>
                <w:color w:val="auto"/>
              </w:rPr>
            </w:pPr>
            <w:r>
              <w:rPr>
                <w:rFonts w:ascii="Arial" w:cs="Arial" w:eastAsia="Arial" w:hAnsi="Arial"/>
                <w:sz w:val="16"/>
                <w:szCs w:val="16"/>
                <w:color w:val="auto"/>
                <w:w w:val="99"/>
              </w:rPr>
              <w:t>13.19</w:t>
            </w:r>
          </w:p>
        </w:tc>
        <w:tc>
          <w:tcPr>
            <w:tcW w:w="0" w:type="dxa"/>
            <w:vAlign w:val="bottom"/>
          </w:tcPr>
          <w:p>
            <w:pPr>
              <w:spacing w:after="0"/>
              <w:rPr>
                <w:sz w:val="1"/>
                <w:szCs w:val="1"/>
                <w:color w:val="auto"/>
              </w:rPr>
            </w:pPr>
          </w:p>
        </w:tc>
      </w:tr>
      <w:tr>
        <w:trPr>
          <w:trHeight w:val="183"/>
        </w:trPr>
        <w:tc>
          <w:tcPr>
            <w:tcW w:w="180" w:type="dxa"/>
            <w:vAlign w:val="bottom"/>
            <w:tcBorders>
              <w:bottom w:val="single" w:sz="8" w:color="999999"/>
            </w:tcBorders>
          </w:tcPr>
          <w:p>
            <w:pPr>
              <w:spacing w:after="0"/>
              <w:rPr>
                <w:sz w:val="15"/>
                <w:szCs w:val="15"/>
                <w:color w:val="auto"/>
              </w:rPr>
            </w:pPr>
          </w:p>
        </w:tc>
        <w:tc>
          <w:tcPr>
            <w:tcW w:w="7840" w:type="dxa"/>
            <w:vAlign w:val="bottom"/>
            <w:tcBorders>
              <w:bottom w:val="single" w:sz="8" w:color="999999"/>
            </w:tcBorders>
          </w:tcPr>
          <w:p>
            <w:pPr>
              <w:ind w:left="140"/>
              <w:spacing w:after="0" w:line="183" w:lineRule="exact"/>
              <w:rPr>
                <w:sz w:val="20"/>
                <w:szCs w:val="20"/>
                <w:color w:val="auto"/>
              </w:rPr>
            </w:pPr>
            <w:r>
              <w:rPr>
                <w:rFonts w:ascii="Arial" w:cs="Arial" w:eastAsia="Arial" w:hAnsi="Arial"/>
                <w:sz w:val="16"/>
                <w:szCs w:val="16"/>
                <w:color w:val="auto"/>
              </w:rPr>
              <w:t>The Vanguard Group, Inc. (3)</w:t>
            </w:r>
          </w:p>
        </w:tc>
        <w:tc>
          <w:tcPr>
            <w:tcW w:w="2140" w:type="dxa"/>
            <w:vAlign w:val="bottom"/>
            <w:tcBorders>
              <w:bottom w:val="single" w:sz="8" w:color="999999"/>
            </w:tcBorders>
          </w:tcPr>
          <w:p>
            <w:pPr>
              <w:jc w:val="right"/>
              <w:ind w:right="840"/>
              <w:spacing w:after="0" w:line="183" w:lineRule="exact"/>
              <w:rPr>
                <w:sz w:val="20"/>
                <w:szCs w:val="20"/>
                <w:color w:val="auto"/>
              </w:rPr>
            </w:pPr>
            <w:r>
              <w:rPr>
                <w:rFonts w:ascii="Arial" w:cs="Arial" w:eastAsia="Arial" w:hAnsi="Arial"/>
                <w:sz w:val="16"/>
                <w:szCs w:val="16"/>
                <w:color w:val="auto"/>
              </w:rPr>
              <w:t>2,093,294</w:t>
            </w:r>
          </w:p>
        </w:tc>
        <w:tc>
          <w:tcPr>
            <w:tcW w:w="860" w:type="dxa"/>
            <w:vAlign w:val="bottom"/>
            <w:tcBorders>
              <w:bottom w:val="single" w:sz="8" w:color="999999"/>
            </w:tcBorders>
          </w:tcPr>
          <w:p>
            <w:pPr>
              <w:jc w:val="right"/>
              <w:ind w:right="360"/>
              <w:spacing w:after="0" w:line="183" w:lineRule="exact"/>
              <w:rPr>
                <w:sz w:val="20"/>
                <w:szCs w:val="20"/>
                <w:color w:val="auto"/>
              </w:rPr>
            </w:pPr>
            <w:r>
              <w:rPr>
                <w:rFonts w:ascii="Arial" w:cs="Arial" w:eastAsia="Arial" w:hAnsi="Arial"/>
                <w:sz w:val="16"/>
                <w:szCs w:val="16"/>
                <w:color w:val="auto"/>
              </w:rPr>
              <w:t>9.13</w:t>
            </w:r>
          </w:p>
        </w:tc>
        <w:tc>
          <w:tcPr>
            <w:tcW w:w="0" w:type="dxa"/>
            <w:vAlign w:val="bottom"/>
          </w:tcPr>
          <w:p>
            <w:pPr>
              <w:spacing w:after="0"/>
              <w:rPr>
                <w:sz w:val="1"/>
                <w:szCs w:val="1"/>
                <w:color w:val="auto"/>
              </w:rPr>
            </w:pPr>
          </w:p>
        </w:tc>
      </w:tr>
      <w:tr>
        <w:trPr>
          <w:trHeight w:val="183"/>
        </w:trPr>
        <w:tc>
          <w:tcPr>
            <w:tcW w:w="180" w:type="dxa"/>
            <w:vAlign w:val="bottom"/>
            <w:tcBorders>
              <w:bottom w:val="single" w:sz="8" w:color="999999"/>
            </w:tcBorders>
          </w:tcPr>
          <w:p>
            <w:pPr>
              <w:spacing w:after="0"/>
              <w:rPr>
                <w:sz w:val="15"/>
                <w:szCs w:val="15"/>
                <w:color w:val="auto"/>
              </w:rPr>
            </w:pPr>
          </w:p>
        </w:tc>
        <w:tc>
          <w:tcPr>
            <w:tcW w:w="7840" w:type="dxa"/>
            <w:vAlign w:val="bottom"/>
            <w:tcBorders>
              <w:bottom w:val="single" w:sz="8" w:color="999999"/>
            </w:tcBorders>
          </w:tcPr>
          <w:p>
            <w:pPr>
              <w:ind w:left="140"/>
              <w:spacing w:after="0" w:line="183" w:lineRule="exact"/>
              <w:rPr>
                <w:sz w:val="20"/>
                <w:szCs w:val="20"/>
                <w:color w:val="auto"/>
              </w:rPr>
            </w:pPr>
            <w:r>
              <w:rPr>
                <w:rFonts w:ascii="Arial" w:cs="Arial" w:eastAsia="Arial" w:hAnsi="Arial"/>
                <w:sz w:val="16"/>
                <w:szCs w:val="16"/>
                <w:color w:val="auto"/>
              </w:rPr>
              <w:t>BlackRock, Inc. (4)</w:t>
            </w:r>
          </w:p>
        </w:tc>
        <w:tc>
          <w:tcPr>
            <w:tcW w:w="2140" w:type="dxa"/>
            <w:vAlign w:val="bottom"/>
            <w:tcBorders>
              <w:bottom w:val="single" w:sz="8" w:color="999999"/>
            </w:tcBorders>
          </w:tcPr>
          <w:p>
            <w:pPr>
              <w:jc w:val="right"/>
              <w:ind w:right="840"/>
              <w:spacing w:after="0" w:line="183" w:lineRule="exact"/>
              <w:rPr>
                <w:sz w:val="20"/>
                <w:szCs w:val="20"/>
                <w:color w:val="auto"/>
              </w:rPr>
            </w:pPr>
            <w:r>
              <w:rPr>
                <w:rFonts w:ascii="Arial" w:cs="Arial" w:eastAsia="Arial" w:hAnsi="Arial"/>
                <w:sz w:val="16"/>
                <w:szCs w:val="16"/>
                <w:color w:val="auto"/>
              </w:rPr>
              <w:t>1,600,166</w:t>
            </w:r>
          </w:p>
        </w:tc>
        <w:tc>
          <w:tcPr>
            <w:tcW w:w="860" w:type="dxa"/>
            <w:vAlign w:val="bottom"/>
            <w:tcBorders>
              <w:bottom w:val="single" w:sz="8" w:color="999999"/>
            </w:tcBorders>
          </w:tcPr>
          <w:p>
            <w:pPr>
              <w:jc w:val="right"/>
              <w:ind w:right="360"/>
              <w:spacing w:after="0" w:line="183" w:lineRule="exact"/>
              <w:rPr>
                <w:sz w:val="20"/>
                <w:szCs w:val="20"/>
                <w:color w:val="auto"/>
              </w:rPr>
            </w:pPr>
            <w:r>
              <w:rPr>
                <w:rFonts w:ascii="Arial" w:cs="Arial" w:eastAsia="Arial" w:hAnsi="Arial"/>
                <w:sz w:val="16"/>
                <w:szCs w:val="16"/>
                <w:color w:val="auto"/>
              </w:rPr>
              <w:t>7.00</w:t>
            </w:r>
          </w:p>
        </w:tc>
        <w:tc>
          <w:tcPr>
            <w:tcW w:w="0" w:type="dxa"/>
            <w:vAlign w:val="bottom"/>
          </w:tcPr>
          <w:p>
            <w:pPr>
              <w:spacing w:after="0"/>
              <w:rPr>
                <w:sz w:val="1"/>
                <w:szCs w:val="1"/>
                <w:color w:val="auto"/>
              </w:rPr>
            </w:pPr>
          </w:p>
        </w:tc>
      </w:tr>
      <w:tr>
        <w:trPr>
          <w:trHeight w:val="183"/>
        </w:trPr>
        <w:tc>
          <w:tcPr>
            <w:tcW w:w="180" w:type="dxa"/>
            <w:vAlign w:val="bottom"/>
            <w:tcBorders>
              <w:bottom w:val="single" w:sz="8" w:color="999999"/>
            </w:tcBorders>
          </w:tcPr>
          <w:p>
            <w:pPr>
              <w:spacing w:after="0"/>
              <w:rPr>
                <w:sz w:val="15"/>
                <w:szCs w:val="15"/>
                <w:color w:val="auto"/>
              </w:rPr>
            </w:pPr>
          </w:p>
        </w:tc>
        <w:tc>
          <w:tcPr>
            <w:tcW w:w="7840" w:type="dxa"/>
            <w:vAlign w:val="bottom"/>
            <w:tcBorders>
              <w:bottom w:val="single" w:sz="8" w:color="999999"/>
            </w:tcBorders>
          </w:tcPr>
          <w:p>
            <w:pPr>
              <w:ind w:left="140"/>
              <w:spacing w:after="0" w:line="183" w:lineRule="exact"/>
              <w:rPr>
                <w:sz w:val="20"/>
                <w:szCs w:val="20"/>
                <w:color w:val="auto"/>
              </w:rPr>
            </w:pPr>
            <w:r>
              <w:rPr>
                <w:rFonts w:ascii="Arial" w:cs="Arial" w:eastAsia="Arial" w:hAnsi="Arial"/>
                <w:sz w:val="16"/>
                <w:szCs w:val="16"/>
                <w:color w:val="auto"/>
              </w:rPr>
              <w:t>Dimensional Fund Advisors LP (5)</w:t>
            </w:r>
          </w:p>
        </w:tc>
        <w:tc>
          <w:tcPr>
            <w:tcW w:w="2140" w:type="dxa"/>
            <w:vAlign w:val="bottom"/>
            <w:tcBorders>
              <w:bottom w:val="single" w:sz="8" w:color="999999"/>
            </w:tcBorders>
          </w:tcPr>
          <w:p>
            <w:pPr>
              <w:jc w:val="right"/>
              <w:ind w:right="840"/>
              <w:spacing w:after="0" w:line="183" w:lineRule="exact"/>
              <w:rPr>
                <w:sz w:val="20"/>
                <w:szCs w:val="20"/>
                <w:color w:val="auto"/>
              </w:rPr>
            </w:pPr>
            <w:r>
              <w:rPr>
                <w:rFonts w:ascii="Arial" w:cs="Arial" w:eastAsia="Arial" w:hAnsi="Arial"/>
                <w:sz w:val="16"/>
                <w:szCs w:val="16"/>
                <w:color w:val="auto"/>
              </w:rPr>
              <w:t>1,318,738</w:t>
            </w:r>
          </w:p>
        </w:tc>
        <w:tc>
          <w:tcPr>
            <w:tcW w:w="860" w:type="dxa"/>
            <w:vAlign w:val="bottom"/>
            <w:tcBorders>
              <w:bottom w:val="single" w:sz="8" w:color="999999"/>
            </w:tcBorders>
          </w:tcPr>
          <w:p>
            <w:pPr>
              <w:jc w:val="right"/>
              <w:ind w:right="360"/>
              <w:spacing w:after="0" w:line="183" w:lineRule="exact"/>
              <w:rPr>
                <w:sz w:val="20"/>
                <w:szCs w:val="20"/>
                <w:color w:val="auto"/>
              </w:rPr>
            </w:pPr>
            <w:r>
              <w:rPr>
                <w:rFonts w:ascii="Arial" w:cs="Arial" w:eastAsia="Arial" w:hAnsi="Arial"/>
                <w:sz w:val="16"/>
                <w:szCs w:val="16"/>
                <w:color w:val="auto"/>
              </w:rPr>
              <w:t>5.76</w:t>
            </w:r>
          </w:p>
        </w:tc>
        <w:tc>
          <w:tcPr>
            <w:tcW w:w="0" w:type="dxa"/>
            <w:vAlign w:val="bottom"/>
          </w:tcPr>
          <w:p>
            <w:pPr>
              <w:spacing w:after="0"/>
              <w:rPr>
                <w:sz w:val="1"/>
                <w:szCs w:val="1"/>
                <w:color w:val="auto"/>
              </w:rPr>
            </w:pPr>
          </w:p>
        </w:tc>
      </w:tr>
      <w:tr>
        <w:trPr>
          <w:trHeight w:val="183"/>
        </w:trPr>
        <w:tc>
          <w:tcPr>
            <w:tcW w:w="180" w:type="dxa"/>
            <w:vAlign w:val="bottom"/>
            <w:tcBorders>
              <w:bottom w:val="single" w:sz="8" w:color="999999"/>
            </w:tcBorders>
          </w:tcPr>
          <w:p>
            <w:pPr>
              <w:spacing w:after="0"/>
              <w:rPr>
                <w:sz w:val="15"/>
                <w:szCs w:val="15"/>
                <w:color w:val="auto"/>
              </w:rPr>
            </w:pPr>
          </w:p>
        </w:tc>
        <w:tc>
          <w:tcPr>
            <w:tcW w:w="7840" w:type="dxa"/>
            <w:vAlign w:val="bottom"/>
            <w:tcBorders>
              <w:bottom w:val="single" w:sz="8" w:color="999999"/>
            </w:tcBorders>
          </w:tcPr>
          <w:p>
            <w:pPr>
              <w:ind w:left="140"/>
              <w:spacing w:after="0" w:line="183" w:lineRule="exact"/>
              <w:rPr>
                <w:sz w:val="20"/>
                <w:szCs w:val="20"/>
                <w:color w:val="auto"/>
              </w:rPr>
            </w:pPr>
            <w:r>
              <w:rPr>
                <w:rFonts w:ascii="Arial" w:cs="Arial" w:eastAsia="Arial" w:hAnsi="Arial"/>
                <w:sz w:val="16"/>
                <w:szCs w:val="16"/>
                <w:color w:val="auto"/>
              </w:rPr>
              <w:t>T. Rowe Price Associates, Inc. (6)</w:t>
            </w:r>
          </w:p>
        </w:tc>
        <w:tc>
          <w:tcPr>
            <w:tcW w:w="2140" w:type="dxa"/>
            <w:vAlign w:val="bottom"/>
            <w:tcBorders>
              <w:bottom w:val="single" w:sz="8" w:color="999999"/>
            </w:tcBorders>
          </w:tcPr>
          <w:p>
            <w:pPr>
              <w:jc w:val="right"/>
              <w:ind w:right="840"/>
              <w:spacing w:after="0" w:line="183" w:lineRule="exact"/>
              <w:rPr>
                <w:sz w:val="20"/>
                <w:szCs w:val="20"/>
                <w:color w:val="auto"/>
              </w:rPr>
            </w:pPr>
            <w:r>
              <w:rPr>
                <w:rFonts w:ascii="Arial" w:cs="Arial" w:eastAsia="Arial" w:hAnsi="Arial"/>
                <w:sz w:val="16"/>
                <w:szCs w:val="16"/>
                <w:color w:val="auto"/>
              </w:rPr>
              <w:t>1,186,058</w:t>
            </w:r>
          </w:p>
        </w:tc>
        <w:tc>
          <w:tcPr>
            <w:tcW w:w="860" w:type="dxa"/>
            <w:vAlign w:val="bottom"/>
            <w:tcBorders>
              <w:bottom w:val="single" w:sz="8" w:color="999999"/>
            </w:tcBorders>
          </w:tcPr>
          <w:p>
            <w:pPr>
              <w:jc w:val="right"/>
              <w:ind w:right="360"/>
              <w:spacing w:after="0" w:line="183" w:lineRule="exact"/>
              <w:rPr>
                <w:sz w:val="20"/>
                <w:szCs w:val="20"/>
                <w:color w:val="auto"/>
              </w:rPr>
            </w:pPr>
            <w:r>
              <w:rPr>
                <w:rFonts w:ascii="Arial" w:cs="Arial" w:eastAsia="Arial" w:hAnsi="Arial"/>
                <w:sz w:val="16"/>
                <w:szCs w:val="16"/>
                <w:color w:val="auto"/>
              </w:rPr>
              <w:t>5.10</w:t>
            </w:r>
          </w:p>
        </w:tc>
        <w:tc>
          <w:tcPr>
            <w:tcW w:w="0" w:type="dxa"/>
            <w:vAlign w:val="bottom"/>
          </w:tcPr>
          <w:p>
            <w:pPr>
              <w:spacing w:after="0"/>
              <w:rPr>
                <w:sz w:val="1"/>
                <w:szCs w:val="1"/>
                <w:color w:val="auto"/>
              </w:rPr>
            </w:pPr>
          </w:p>
        </w:tc>
      </w:tr>
      <w:tr>
        <w:trPr>
          <w:trHeight w:val="183"/>
        </w:trPr>
        <w:tc>
          <w:tcPr>
            <w:tcW w:w="8020" w:type="dxa"/>
            <w:vAlign w:val="bottom"/>
            <w:tcBorders>
              <w:bottom w:val="single" w:sz="8" w:color="999999"/>
            </w:tcBorders>
            <w:gridSpan w:val="2"/>
          </w:tcPr>
          <w:p>
            <w:pPr>
              <w:spacing w:after="0" w:line="183" w:lineRule="exact"/>
              <w:rPr>
                <w:sz w:val="20"/>
                <w:szCs w:val="20"/>
                <w:color w:val="auto"/>
              </w:rPr>
            </w:pPr>
            <w:r>
              <w:rPr>
                <w:rFonts w:ascii="Arial" w:cs="Arial" w:eastAsia="Arial" w:hAnsi="Arial"/>
                <w:sz w:val="16"/>
                <w:szCs w:val="16"/>
                <w:b w:val="1"/>
                <w:bCs w:val="1"/>
                <w:color w:val="00548B"/>
              </w:rPr>
              <w:t>Directors and Executive Officers:</w:t>
            </w:r>
          </w:p>
        </w:tc>
        <w:tc>
          <w:tcPr>
            <w:tcW w:w="2140" w:type="dxa"/>
            <w:vAlign w:val="bottom"/>
            <w:tcBorders>
              <w:bottom w:val="single" w:sz="8" w:color="999999"/>
            </w:tcBorders>
          </w:tcPr>
          <w:p>
            <w:pPr>
              <w:spacing w:after="0"/>
              <w:rPr>
                <w:sz w:val="15"/>
                <w:szCs w:val="15"/>
                <w:color w:val="auto"/>
              </w:rPr>
            </w:pPr>
          </w:p>
        </w:tc>
        <w:tc>
          <w:tcPr>
            <w:tcW w:w="860" w:type="dxa"/>
            <w:vAlign w:val="bottom"/>
            <w:tcBorders>
              <w:bottom w:val="single" w:sz="8" w:color="999999"/>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80" w:type="dxa"/>
            <w:vAlign w:val="bottom"/>
            <w:tcBorders>
              <w:bottom w:val="single" w:sz="8" w:color="999999"/>
            </w:tcBorders>
          </w:tcPr>
          <w:p>
            <w:pPr>
              <w:spacing w:after="0"/>
              <w:rPr>
                <w:sz w:val="15"/>
                <w:szCs w:val="15"/>
                <w:color w:val="auto"/>
              </w:rPr>
            </w:pPr>
          </w:p>
        </w:tc>
        <w:tc>
          <w:tcPr>
            <w:tcW w:w="7840" w:type="dxa"/>
            <w:vAlign w:val="bottom"/>
            <w:tcBorders>
              <w:bottom w:val="single" w:sz="8" w:color="999999"/>
            </w:tcBorders>
          </w:tcPr>
          <w:p>
            <w:pPr>
              <w:ind w:left="140"/>
              <w:spacing w:after="0" w:line="183" w:lineRule="exact"/>
              <w:rPr>
                <w:sz w:val="20"/>
                <w:szCs w:val="20"/>
                <w:color w:val="auto"/>
              </w:rPr>
            </w:pPr>
            <w:r>
              <w:rPr>
                <w:rFonts w:ascii="Arial" w:cs="Arial" w:eastAsia="Arial" w:hAnsi="Arial"/>
                <w:sz w:val="16"/>
                <w:szCs w:val="16"/>
                <w:color w:val="auto"/>
              </w:rPr>
              <w:t>C. Mark Hussey (7)</w:t>
            </w:r>
          </w:p>
        </w:tc>
        <w:tc>
          <w:tcPr>
            <w:tcW w:w="2140" w:type="dxa"/>
            <w:vAlign w:val="bottom"/>
            <w:tcBorders>
              <w:bottom w:val="single" w:sz="8" w:color="999999"/>
            </w:tcBorders>
          </w:tcPr>
          <w:p>
            <w:pPr>
              <w:jc w:val="right"/>
              <w:ind w:right="840"/>
              <w:spacing w:after="0" w:line="183" w:lineRule="exact"/>
              <w:rPr>
                <w:sz w:val="20"/>
                <w:szCs w:val="20"/>
                <w:color w:val="auto"/>
              </w:rPr>
            </w:pPr>
            <w:r>
              <w:rPr>
                <w:rFonts w:ascii="Arial" w:cs="Arial" w:eastAsia="Arial" w:hAnsi="Arial"/>
                <w:sz w:val="16"/>
                <w:szCs w:val="16"/>
                <w:color w:val="auto"/>
              </w:rPr>
              <w:t>87,187</w:t>
            </w:r>
          </w:p>
        </w:tc>
        <w:tc>
          <w:tcPr>
            <w:tcW w:w="860" w:type="dxa"/>
            <w:vAlign w:val="bottom"/>
            <w:tcBorders>
              <w:bottom w:val="single" w:sz="8" w:color="999999"/>
            </w:tcBorders>
          </w:tcPr>
          <w:p>
            <w:pPr>
              <w:jc w:val="right"/>
              <w:ind w:right="360"/>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180" w:type="dxa"/>
            <w:vAlign w:val="bottom"/>
            <w:tcBorders>
              <w:bottom w:val="single" w:sz="8" w:color="999999"/>
            </w:tcBorders>
          </w:tcPr>
          <w:p>
            <w:pPr>
              <w:spacing w:after="0"/>
              <w:rPr>
                <w:sz w:val="15"/>
                <w:szCs w:val="15"/>
                <w:color w:val="auto"/>
              </w:rPr>
            </w:pPr>
          </w:p>
        </w:tc>
        <w:tc>
          <w:tcPr>
            <w:tcW w:w="7840" w:type="dxa"/>
            <w:vAlign w:val="bottom"/>
            <w:tcBorders>
              <w:bottom w:val="single" w:sz="8" w:color="999999"/>
            </w:tcBorders>
          </w:tcPr>
          <w:p>
            <w:pPr>
              <w:ind w:left="140"/>
              <w:spacing w:after="0" w:line="183" w:lineRule="exact"/>
              <w:rPr>
                <w:sz w:val="20"/>
                <w:szCs w:val="20"/>
                <w:color w:val="auto"/>
              </w:rPr>
            </w:pPr>
            <w:r>
              <w:rPr>
                <w:rFonts w:ascii="Arial" w:cs="Arial" w:eastAsia="Arial" w:hAnsi="Arial"/>
                <w:sz w:val="16"/>
                <w:szCs w:val="16"/>
                <w:color w:val="auto"/>
              </w:rPr>
              <w:t>John D. Kelly (8)</w:t>
            </w:r>
          </w:p>
        </w:tc>
        <w:tc>
          <w:tcPr>
            <w:tcW w:w="2140" w:type="dxa"/>
            <w:vAlign w:val="bottom"/>
            <w:tcBorders>
              <w:bottom w:val="single" w:sz="8" w:color="999999"/>
            </w:tcBorders>
          </w:tcPr>
          <w:p>
            <w:pPr>
              <w:jc w:val="right"/>
              <w:ind w:right="840"/>
              <w:spacing w:after="0" w:line="183" w:lineRule="exact"/>
              <w:rPr>
                <w:sz w:val="20"/>
                <w:szCs w:val="20"/>
                <w:color w:val="auto"/>
              </w:rPr>
            </w:pPr>
            <w:r>
              <w:rPr>
                <w:rFonts w:ascii="Arial" w:cs="Arial" w:eastAsia="Arial" w:hAnsi="Arial"/>
                <w:sz w:val="16"/>
                <w:szCs w:val="16"/>
                <w:color w:val="auto"/>
              </w:rPr>
              <w:t>27,441</w:t>
            </w:r>
          </w:p>
        </w:tc>
        <w:tc>
          <w:tcPr>
            <w:tcW w:w="860" w:type="dxa"/>
            <w:vAlign w:val="bottom"/>
            <w:tcBorders>
              <w:bottom w:val="single" w:sz="8" w:color="999999"/>
            </w:tcBorders>
          </w:tcPr>
          <w:p>
            <w:pPr>
              <w:jc w:val="right"/>
              <w:ind w:right="360"/>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180" w:type="dxa"/>
            <w:vAlign w:val="bottom"/>
            <w:tcBorders>
              <w:bottom w:val="single" w:sz="8" w:color="999999"/>
            </w:tcBorders>
          </w:tcPr>
          <w:p>
            <w:pPr>
              <w:spacing w:after="0"/>
              <w:rPr>
                <w:sz w:val="15"/>
                <w:szCs w:val="15"/>
                <w:color w:val="auto"/>
              </w:rPr>
            </w:pPr>
          </w:p>
        </w:tc>
        <w:tc>
          <w:tcPr>
            <w:tcW w:w="7840" w:type="dxa"/>
            <w:vAlign w:val="bottom"/>
            <w:tcBorders>
              <w:bottom w:val="single" w:sz="8" w:color="999999"/>
            </w:tcBorders>
          </w:tcPr>
          <w:p>
            <w:pPr>
              <w:ind w:left="140"/>
              <w:spacing w:after="0" w:line="183" w:lineRule="exact"/>
              <w:rPr>
                <w:sz w:val="20"/>
                <w:szCs w:val="20"/>
                <w:color w:val="auto"/>
              </w:rPr>
            </w:pPr>
            <w:r>
              <w:rPr>
                <w:rFonts w:ascii="Arial" w:cs="Arial" w:eastAsia="Arial" w:hAnsi="Arial"/>
                <w:sz w:val="16"/>
                <w:szCs w:val="16"/>
                <w:color w:val="auto"/>
              </w:rPr>
              <w:t>H. Eugene Lockhart (9)</w:t>
            </w:r>
          </w:p>
        </w:tc>
        <w:tc>
          <w:tcPr>
            <w:tcW w:w="2140" w:type="dxa"/>
            <w:vAlign w:val="bottom"/>
            <w:tcBorders>
              <w:bottom w:val="single" w:sz="8" w:color="999999"/>
            </w:tcBorders>
          </w:tcPr>
          <w:p>
            <w:pPr>
              <w:jc w:val="right"/>
              <w:ind w:right="840"/>
              <w:spacing w:after="0" w:line="183" w:lineRule="exact"/>
              <w:rPr>
                <w:sz w:val="20"/>
                <w:szCs w:val="20"/>
                <w:color w:val="auto"/>
              </w:rPr>
            </w:pPr>
            <w:r>
              <w:rPr>
                <w:rFonts w:ascii="Arial" w:cs="Arial" w:eastAsia="Arial" w:hAnsi="Arial"/>
                <w:sz w:val="16"/>
                <w:szCs w:val="16"/>
                <w:color w:val="auto"/>
              </w:rPr>
              <w:t>29,923</w:t>
            </w:r>
          </w:p>
        </w:tc>
        <w:tc>
          <w:tcPr>
            <w:tcW w:w="860" w:type="dxa"/>
            <w:vAlign w:val="bottom"/>
            <w:tcBorders>
              <w:bottom w:val="single" w:sz="8" w:color="999999"/>
            </w:tcBorders>
          </w:tcPr>
          <w:p>
            <w:pPr>
              <w:jc w:val="right"/>
              <w:ind w:right="360"/>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180" w:type="dxa"/>
            <w:vAlign w:val="bottom"/>
            <w:tcBorders>
              <w:bottom w:val="single" w:sz="8" w:color="999999"/>
            </w:tcBorders>
          </w:tcPr>
          <w:p>
            <w:pPr>
              <w:spacing w:after="0"/>
              <w:rPr>
                <w:sz w:val="15"/>
                <w:szCs w:val="15"/>
                <w:color w:val="auto"/>
              </w:rPr>
            </w:pPr>
          </w:p>
        </w:tc>
        <w:tc>
          <w:tcPr>
            <w:tcW w:w="7840" w:type="dxa"/>
            <w:vAlign w:val="bottom"/>
            <w:tcBorders>
              <w:bottom w:val="single" w:sz="8" w:color="999999"/>
            </w:tcBorders>
          </w:tcPr>
          <w:p>
            <w:pPr>
              <w:ind w:left="140"/>
              <w:spacing w:after="0" w:line="183" w:lineRule="exact"/>
              <w:rPr>
                <w:sz w:val="20"/>
                <w:szCs w:val="20"/>
                <w:color w:val="auto"/>
              </w:rPr>
            </w:pPr>
            <w:r>
              <w:rPr>
                <w:rFonts w:ascii="Arial" w:cs="Arial" w:eastAsia="Arial" w:hAnsi="Arial"/>
                <w:sz w:val="16"/>
                <w:szCs w:val="16"/>
                <w:color w:val="auto"/>
              </w:rPr>
              <w:t>George E. Massaro (10)</w:t>
            </w:r>
          </w:p>
        </w:tc>
        <w:tc>
          <w:tcPr>
            <w:tcW w:w="2140" w:type="dxa"/>
            <w:vAlign w:val="bottom"/>
            <w:tcBorders>
              <w:bottom w:val="single" w:sz="8" w:color="999999"/>
            </w:tcBorders>
          </w:tcPr>
          <w:p>
            <w:pPr>
              <w:jc w:val="right"/>
              <w:ind w:right="840"/>
              <w:spacing w:after="0" w:line="183" w:lineRule="exact"/>
              <w:rPr>
                <w:sz w:val="20"/>
                <w:szCs w:val="20"/>
                <w:color w:val="auto"/>
              </w:rPr>
            </w:pPr>
            <w:r>
              <w:rPr>
                <w:rFonts w:ascii="Arial" w:cs="Arial" w:eastAsia="Arial" w:hAnsi="Arial"/>
                <w:sz w:val="16"/>
                <w:szCs w:val="16"/>
                <w:color w:val="auto"/>
              </w:rPr>
              <w:t>18,479</w:t>
            </w:r>
          </w:p>
        </w:tc>
        <w:tc>
          <w:tcPr>
            <w:tcW w:w="860" w:type="dxa"/>
            <w:vAlign w:val="bottom"/>
            <w:tcBorders>
              <w:bottom w:val="single" w:sz="8" w:color="999999"/>
            </w:tcBorders>
          </w:tcPr>
          <w:p>
            <w:pPr>
              <w:jc w:val="right"/>
              <w:ind w:right="360"/>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180" w:type="dxa"/>
            <w:vAlign w:val="bottom"/>
            <w:tcBorders>
              <w:bottom w:val="single" w:sz="8" w:color="999999"/>
            </w:tcBorders>
          </w:tcPr>
          <w:p>
            <w:pPr>
              <w:spacing w:after="0"/>
              <w:rPr>
                <w:sz w:val="15"/>
                <w:szCs w:val="15"/>
                <w:color w:val="auto"/>
              </w:rPr>
            </w:pPr>
          </w:p>
        </w:tc>
        <w:tc>
          <w:tcPr>
            <w:tcW w:w="7840" w:type="dxa"/>
            <w:vAlign w:val="bottom"/>
            <w:tcBorders>
              <w:bottom w:val="single" w:sz="8" w:color="999999"/>
            </w:tcBorders>
          </w:tcPr>
          <w:p>
            <w:pPr>
              <w:ind w:left="140"/>
              <w:spacing w:after="0" w:line="183" w:lineRule="exact"/>
              <w:rPr>
                <w:sz w:val="20"/>
                <w:szCs w:val="20"/>
                <w:color w:val="auto"/>
              </w:rPr>
            </w:pPr>
            <w:r>
              <w:rPr>
                <w:rFonts w:ascii="Arial" w:cs="Arial" w:eastAsia="Arial" w:hAnsi="Arial"/>
                <w:sz w:val="16"/>
                <w:szCs w:val="16"/>
                <w:color w:val="auto"/>
              </w:rPr>
              <w:t>John McCartney (11)</w:t>
            </w:r>
          </w:p>
        </w:tc>
        <w:tc>
          <w:tcPr>
            <w:tcW w:w="2140" w:type="dxa"/>
            <w:vAlign w:val="bottom"/>
            <w:tcBorders>
              <w:bottom w:val="single" w:sz="8" w:color="999999"/>
            </w:tcBorders>
          </w:tcPr>
          <w:p>
            <w:pPr>
              <w:jc w:val="right"/>
              <w:ind w:right="840"/>
              <w:spacing w:after="0" w:line="183" w:lineRule="exact"/>
              <w:rPr>
                <w:sz w:val="20"/>
                <w:szCs w:val="20"/>
                <w:color w:val="auto"/>
              </w:rPr>
            </w:pPr>
            <w:r>
              <w:rPr>
                <w:rFonts w:ascii="Arial" w:cs="Arial" w:eastAsia="Arial" w:hAnsi="Arial"/>
                <w:sz w:val="16"/>
                <w:szCs w:val="16"/>
                <w:color w:val="auto"/>
              </w:rPr>
              <w:t>63,500</w:t>
            </w:r>
          </w:p>
        </w:tc>
        <w:tc>
          <w:tcPr>
            <w:tcW w:w="860" w:type="dxa"/>
            <w:vAlign w:val="bottom"/>
            <w:tcBorders>
              <w:bottom w:val="single" w:sz="8" w:color="999999"/>
            </w:tcBorders>
          </w:tcPr>
          <w:p>
            <w:pPr>
              <w:jc w:val="right"/>
              <w:ind w:right="360"/>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180" w:type="dxa"/>
            <w:vAlign w:val="bottom"/>
            <w:tcBorders>
              <w:bottom w:val="single" w:sz="8" w:color="999999"/>
            </w:tcBorders>
          </w:tcPr>
          <w:p>
            <w:pPr>
              <w:spacing w:after="0"/>
              <w:rPr>
                <w:sz w:val="15"/>
                <w:szCs w:val="15"/>
                <w:color w:val="auto"/>
              </w:rPr>
            </w:pPr>
          </w:p>
        </w:tc>
        <w:tc>
          <w:tcPr>
            <w:tcW w:w="7840" w:type="dxa"/>
            <w:vAlign w:val="bottom"/>
            <w:tcBorders>
              <w:bottom w:val="single" w:sz="8" w:color="999999"/>
            </w:tcBorders>
          </w:tcPr>
          <w:p>
            <w:pPr>
              <w:ind w:left="140"/>
              <w:spacing w:after="0" w:line="183" w:lineRule="exact"/>
              <w:rPr>
                <w:sz w:val="20"/>
                <w:szCs w:val="20"/>
                <w:color w:val="auto"/>
              </w:rPr>
            </w:pPr>
            <w:r>
              <w:rPr>
                <w:rFonts w:ascii="Arial" w:cs="Arial" w:eastAsia="Arial" w:hAnsi="Arial"/>
                <w:sz w:val="16"/>
                <w:szCs w:val="16"/>
                <w:color w:val="auto"/>
              </w:rPr>
              <w:t>James H. Roth (12)</w:t>
            </w:r>
          </w:p>
        </w:tc>
        <w:tc>
          <w:tcPr>
            <w:tcW w:w="2140" w:type="dxa"/>
            <w:vAlign w:val="bottom"/>
            <w:tcBorders>
              <w:bottom w:val="single" w:sz="8" w:color="999999"/>
            </w:tcBorders>
          </w:tcPr>
          <w:p>
            <w:pPr>
              <w:jc w:val="right"/>
              <w:ind w:right="840"/>
              <w:spacing w:after="0" w:line="183" w:lineRule="exact"/>
              <w:rPr>
                <w:sz w:val="20"/>
                <w:szCs w:val="20"/>
                <w:color w:val="auto"/>
              </w:rPr>
            </w:pPr>
            <w:r>
              <w:rPr>
                <w:rFonts w:ascii="Arial" w:cs="Arial" w:eastAsia="Arial" w:hAnsi="Arial"/>
                <w:sz w:val="16"/>
                <w:szCs w:val="16"/>
                <w:color w:val="auto"/>
              </w:rPr>
              <w:t>229,734</w:t>
            </w:r>
          </w:p>
        </w:tc>
        <w:tc>
          <w:tcPr>
            <w:tcW w:w="860" w:type="dxa"/>
            <w:vAlign w:val="bottom"/>
            <w:tcBorders>
              <w:bottom w:val="single" w:sz="8" w:color="999999"/>
            </w:tcBorders>
          </w:tcPr>
          <w:p>
            <w:pPr>
              <w:jc w:val="right"/>
              <w:ind w:right="360"/>
              <w:spacing w:after="0" w:line="183" w:lineRule="exact"/>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183"/>
        </w:trPr>
        <w:tc>
          <w:tcPr>
            <w:tcW w:w="180" w:type="dxa"/>
            <w:vAlign w:val="bottom"/>
            <w:tcBorders>
              <w:bottom w:val="single" w:sz="8" w:color="999999"/>
            </w:tcBorders>
          </w:tcPr>
          <w:p>
            <w:pPr>
              <w:spacing w:after="0"/>
              <w:rPr>
                <w:sz w:val="15"/>
                <w:szCs w:val="15"/>
                <w:color w:val="auto"/>
              </w:rPr>
            </w:pPr>
          </w:p>
        </w:tc>
        <w:tc>
          <w:tcPr>
            <w:tcW w:w="7840" w:type="dxa"/>
            <w:vAlign w:val="bottom"/>
            <w:tcBorders>
              <w:bottom w:val="single" w:sz="8" w:color="999999"/>
            </w:tcBorders>
          </w:tcPr>
          <w:p>
            <w:pPr>
              <w:ind w:left="140"/>
              <w:spacing w:after="0" w:line="183" w:lineRule="exact"/>
              <w:rPr>
                <w:sz w:val="20"/>
                <w:szCs w:val="20"/>
                <w:color w:val="auto"/>
              </w:rPr>
            </w:pPr>
            <w:r>
              <w:rPr>
                <w:rFonts w:ascii="Arial" w:cs="Arial" w:eastAsia="Arial" w:hAnsi="Arial"/>
                <w:sz w:val="16"/>
                <w:szCs w:val="16"/>
                <w:color w:val="auto"/>
              </w:rPr>
              <w:t>Hugh E. Sawyer (13)</w:t>
            </w:r>
          </w:p>
        </w:tc>
        <w:tc>
          <w:tcPr>
            <w:tcW w:w="2140" w:type="dxa"/>
            <w:vAlign w:val="bottom"/>
            <w:tcBorders>
              <w:bottom w:val="single" w:sz="8" w:color="999999"/>
            </w:tcBorders>
          </w:tcPr>
          <w:p>
            <w:pPr>
              <w:jc w:val="right"/>
              <w:ind w:right="840"/>
              <w:spacing w:after="0" w:line="183" w:lineRule="exact"/>
              <w:rPr>
                <w:sz w:val="20"/>
                <w:szCs w:val="20"/>
                <w:color w:val="auto"/>
              </w:rPr>
            </w:pPr>
            <w:r>
              <w:rPr>
                <w:rFonts w:ascii="Arial" w:cs="Arial" w:eastAsia="Arial" w:hAnsi="Arial"/>
                <w:sz w:val="16"/>
                <w:szCs w:val="16"/>
                <w:color w:val="auto"/>
              </w:rPr>
              <w:t>20,752</w:t>
            </w:r>
          </w:p>
        </w:tc>
        <w:tc>
          <w:tcPr>
            <w:tcW w:w="860" w:type="dxa"/>
            <w:vAlign w:val="bottom"/>
            <w:tcBorders>
              <w:bottom w:val="single" w:sz="8" w:color="999999"/>
            </w:tcBorders>
          </w:tcPr>
          <w:p>
            <w:pPr>
              <w:jc w:val="right"/>
              <w:ind w:right="360"/>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180" w:type="dxa"/>
            <w:vAlign w:val="bottom"/>
            <w:tcBorders>
              <w:bottom w:val="single" w:sz="8" w:color="999999"/>
            </w:tcBorders>
          </w:tcPr>
          <w:p>
            <w:pPr>
              <w:spacing w:after="0"/>
              <w:rPr>
                <w:sz w:val="15"/>
                <w:szCs w:val="15"/>
                <w:color w:val="auto"/>
              </w:rPr>
            </w:pPr>
          </w:p>
        </w:tc>
        <w:tc>
          <w:tcPr>
            <w:tcW w:w="7840" w:type="dxa"/>
            <w:vAlign w:val="bottom"/>
            <w:tcBorders>
              <w:bottom w:val="single" w:sz="8" w:color="999999"/>
            </w:tcBorders>
          </w:tcPr>
          <w:p>
            <w:pPr>
              <w:ind w:left="140"/>
              <w:spacing w:after="0" w:line="183" w:lineRule="exact"/>
              <w:rPr>
                <w:sz w:val="20"/>
                <w:szCs w:val="20"/>
                <w:color w:val="auto"/>
              </w:rPr>
            </w:pPr>
            <w:r>
              <w:rPr>
                <w:rFonts w:ascii="Arial" w:cs="Arial" w:eastAsia="Arial" w:hAnsi="Arial"/>
                <w:sz w:val="16"/>
                <w:szCs w:val="16"/>
                <w:color w:val="auto"/>
              </w:rPr>
              <w:t>Ekta Singh-Bushell (14)</w:t>
            </w:r>
          </w:p>
        </w:tc>
        <w:tc>
          <w:tcPr>
            <w:tcW w:w="2140" w:type="dxa"/>
            <w:vAlign w:val="bottom"/>
            <w:tcBorders>
              <w:bottom w:val="single" w:sz="8" w:color="999999"/>
            </w:tcBorders>
          </w:tcPr>
          <w:p>
            <w:pPr>
              <w:jc w:val="right"/>
              <w:ind w:right="840"/>
              <w:spacing w:after="0" w:line="183" w:lineRule="exact"/>
              <w:rPr>
                <w:sz w:val="20"/>
                <w:szCs w:val="20"/>
                <w:color w:val="auto"/>
              </w:rPr>
            </w:pPr>
            <w:r>
              <w:rPr>
                <w:rFonts w:ascii="Arial" w:cs="Arial" w:eastAsia="Arial" w:hAnsi="Arial"/>
                <w:sz w:val="16"/>
                <w:szCs w:val="16"/>
                <w:color w:val="auto"/>
              </w:rPr>
              <w:t>7,488</w:t>
            </w:r>
          </w:p>
        </w:tc>
        <w:tc>
          <w:tcPr>
            <w:tcW w:w="860" w:type="dxa"/>
            <w:vAlign w:val="bottom"/>
            <w:tcBorders>
              <w:bottom w:val="single" w:sz="8" w:color="999999"/>
            </w:tcBorders>
          </w:tcPr>
          <w:p>
            <w:pPr>
              <w:jc w:val="right"/>
              <w:ind w:right="360"/>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180" w:type="dxa"/>
            <w:vAlign w:val="bottom"/>
            <w:tcBorders>
              <w:bottom w:val="single" w:sz="8" w:color="999999"/>
            </w:tcBorders>
          </w:tcPr>
          <w:p>
            <w:pPr>
              <w:spacing w:after="0"/>
              <w:rPr>
                <w:sz w:val="15"/>
                <w:szCs w:val="15"/>
                <w:color w:val="auto"/>
              </w:rPr>
            </w:pPr>
          </w:p>
        </w:tc>
        <w:tc>
          <w:tcPr>
            <w:tcW w:w="7840" w:type="dxa"/>
            <w:vAlign w:val="bottom"/>
            <w:tcBorders>
              <w:bottom w:val="single" w:sz="8" w:color="999999"/>
            </w:tcBorders>
          </w:tcPr>
          <w:p>
            <w:pPr>
              <w:ind w:left="140"/>
              <w:spacing w:after="0" w:line="183" w:lineRule="exact"/>
              <w:rPr>
                <w:sz w:val="20"/>
                <w:szCs w:val="20"/>
                <w:color w:val="auto"/>
              </w:rPr>
            </w:pPr>
            <w:r>
              <w:rPr>
                <w:rFonts w:ascii="Arial" w:cs="Arial" w:eastAsia="Arial" w:hAnsi="Arial"/>
                <w:sz w:val="16"/>
                <w:szCs w:val="16"/>
                <w:color w:val="auto"/>
              </w:rPr>
              <w:t>Ernest W. Torain, Jr.</w:t>
            </w:r>
          </w:p>
        </w:tc>
        <w:tc>
          <w:tcPr>
            <w:tcW w:w="2140" w:type="dxa"/>
            <w:vAlign w:val="bottom"/>
            <w:tcBorders>
              <w:bottom w:val="single" w:sz="8" w:color="999999"/>
            </w:tcBorders>
          </w:tcPr>
          <w:p>
            <w:pPr>
              <w:jc w:val="right"/>
              <w:ind w:right="840"/>
              <w:spacing w:after="0" w:line="183" w:lineRule="exact"/>
              <w:rPr>
                <w:sz w:val="20"/>
                <w:szCs w:val="20"/>
                <w:color w:val="auto"/>
              </w:rPr>
            </w:pPr>
            <w:r>
              <w:rPr>
                <w:rFonts w:ascii="Arial" w:cs="Arial" w:eastAsia="Arial" w:hAnsi="Arial"/>
                <w:sz w:val="16"/>
                <w:szCs w:val="16"/>
                <w:color w:val="auto"/>
              </w:rPr>
              <w:t>0</w:t>
            </w:r>
          </w:p>
        </w:tc>
        <w:tc>
          <w:tcPr>
            <w:tcW w:w="860" w:type="dxa"/>
            <w:vAlign w:val="bottom"/>
            <w:tcBorders>
              <w:bottom w:val="single" w:sz="8" w:color="999999"/>
            </w:tcBorders>
          </w:tcPr>
          <w:p>
            <w:pPr>
              <w:jc w:val="right"/>
              <w:ind w:right="360"/>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180" w:type="dxa"/>
            <w:vAlign w:val="bottom"/>
            <w:tcBorders>
              <w:bottom w:val="single" w:sz="8" w:color="999999"/>
            </w:tcBorders>
          </w:tcPr>
          <w:p>
            <w:pPr>
              <w:spacing w:after="0"/>
              <w:rPr>
                <w:sz w:val="15"/>
                <w:szCs w:val="15"/>
                <w:color w:val="auto"/>
              </w:rPr>
            </w:pPr>
          </w:p>
        </w:tc>
        <w:tc>
          <w:tcPr>
            <w:tcW w:w="7840" w:type="dxa"/>
            <w:vAlign w:val="bottom"/>
            <w:tcBorders>
              <w:bottom w:val="single" w:sz="8" w:color="999999"/>
            </w:tcBorders>
          </w:tcPr>
          <w:p>
            <w:pPr>
              <w:ind w:left="140"/>
              <w:spacing w:after="0" w:line="183" w:lineRule="exact"/>
              <w:rPr>
                <w:sz w:val="20"/>
                <w:szCs w:val="20"/>
                <w:color w:val="auto"/>
              </w:rPr>
            </w:pPr>
            <w:r>
              <w:rPr>
                <w:rFonts w:ascii="Arial" w:cs="Arial" w:eastAsia="Arial" w:hAnsi="Arial"/>
                <w:sz w:val="16"/>
                <w:szCs w:val="16"/>
                <w:color w:val="auto"/>
              </w:rPr>
              <w:t>Debra Zumwalt (15)</w:t>
            </w:r>
          </w:p>
        </w:tc>
        <w:tc>
          <w:tcPr>
            <w:tcW w:w="2140" w:type="dxa"/>
            <w:vAlign w:val="bottom"/>
            <w:tcBorders>
              <w:bottom w:val="single" w:sz="8" w:color="999999"/>
            </w:tcBorders>
          </w:tcPr>
          <w:p>
            <w:pPr>
              <w:jc w:val="right"/>
              <w:ind w:right="840"/>
              <w:spacing w:after="0" w:line="183" w:lineRule="exact"/>
              <w:rPr>
                <w:sz w:val="20"/>
                <w:szCs w:val="20"/>
                <w:color w:val="auto"/>
              </w:rPr>
            </w:pPr>
            <w:r>
              <w:rPr>
                <w:rFonts w:ascii="Arial" w:cs="Arial" w:eastAsia="Arial" w:hAnsi="Arial"/>
                <w:sz w:val="16"/>
                <w:szCs w:val="16"/>
                <w:color w:val="auto"/>
              </w:rPr>
              <w:t>17,171</w:t>
            </w:r>
          </w:p>
        </w:tc>
        <w:tc>
          <w:tcPr>
            <w:tcW w:w="860" w:type="dxa"/>
            <w:vAlign w:val="bottom"/>
            <w:tcBorders>
              <w:bottom w:val="single" w:sz="8" w:color="999999"/>
            </w:tcBorders>
          </w:tcPr>
          <w:p>
            <w:pPr>
              <w:jc w:val="right"/>
              <w:ind w:right="360"/>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180" w:type="dxa"/>
            <w:vAlign w:val="bottom"/>
            <w:tcBorders>
              <w:bottom w:val="single" w:sz="8" w:color="00548B"/>
            </w:tcBorders>
          </w:tcPr>
          <w:p>
            <w:pPr>
              <w:spacing w:after="0"/>
              <w:rPr>
                <w:sz w:val="15"/>
                <w:szCs w:val="15"/>
                <w:color w:val="auto"/>
              </w:rPr>
            </w:pPr>
          </w:p>
        </w:tc>
        <w:tc>
          <w:tcPr>
            <w:tcW w:w="7840" w:type="dxa"/>
            <w:vAlign w:val="bottom"/>
            <w:tcBorders>
              <w:bottom w:val="single" w:sz="8" w:color="00548B"/>
            </w:tcBorders>
          </w:tcPr>
          <w:p>
            <w:pPr>
              <w:ind w:left="140"/>
              <w:spacing w:after="0" w:line="183" w:lineRule="exact"/>
              <w:rPr>
                <w:sz w:val="20"/>
                <w:szCs w:val="20"/>
                <w:color w:val="auto"/>
              </w:rPr>
            </w:pPr>
            <w:r>
              <w:rPr>
                <w:rFonts w:ascii="Arial" w:cs="Arial" w:eastAsia="Arial" w:hAnsi="Arial"/>
                <w:sz w:val="16"/>
                <w:szCs w:val="16"/>
                <w:color w:val="auto"/>
              </w:rPr>
              <w:t>All directors and executive officers as a group (10 persons) (16)</w:t>
            </w:r>
          </w:p>
        </w:tc>
        <w:tc>
          <w:tcPr>
            <w:tcW w:w="2140" w:type="dxa"/>
            <w:vAlign w:val="bottom"/>
            <w:tcBorders>
              <w:bottom w:val="single" w:sz="8" w:color="00548B"/>
            </w:tcBorders>
          </w:tcPr>
          <w:p>
            <w:pPr>
              <w:jc w:val="right"/>
              <w:ind w:right="840"/>
              <w:spacing w:after="0" w:line="183" w:lineRule="exact"/>
              <w:rPr>
                <w:sz w:val="20"/>
                <w:szCs w:val="20"/>
                <w:color w:val="auto"/>
              </w:rPr>
            </w:pPr>
            <w:r>
              <w:rPr>
                <w:rFonts w:ascii="Arial" w:cs="Arial" w:eastAsia="Arial" w:hAnsi="Arial"/>
                <w:sz w:val="16"/>
                <w:szCs w:val="16"/>
                <w:color w:val="auto"/>
              </w:rPr>
              <w:t>501,675</w:t>
            </w:r>
          </w:p>
        </w:tc>
        <w:tc>
          <w:tcPr>
            <w:tcW w:w="860" w:type="dxa"/>
            <w:vAlign w:val="bottom"/>
            <w:tcBorders>
              <w:bottom w:val="single" w:sz="8" w:color="00548B"/>
            </w:tcBorders>
          </w:tcPr>
          <w:p>
            <w:pPr>
              <w:jc w:val="right"/>
              <w:ind w:right="360"/>
              <w:spacing w:after="0" w:line="183" w:lineRule="exact"/>
              <w:rPr>
                <w:sz w:val="20"/>
                <w:szCs w:val="20"/>
                <w:color w:val="auto"/>
              </w:rPr>
            </w:pPr>
            <w:r>
              <w:rPr>
                <w:rFonts w:ascii="Arial" w:cs="Arial" w:eastAsia="Arial" w:hAnsi="Arial"/>
                <w:sz w:val="16"/>
                <w:szCs w:val="16"/>
                <w:color w:val="auto"/>
              </w:rPr>
              <w:t>2.20</w:t>
            </w:r>
          </w:p>
        </w:tc>
        <w:tc>
          <w:tcPr>
            <w:tcW w:w="0" w:type="dxa"/>
            <w:vAlign w:val="bottom"/>
          </w:tcPr>
          <w:p>
            <w:pPr>
              <w:spacing w:after="0"/>
              <w:rPr>
                <w:sz w:val="1"/>
                <w:szCs w:val="1"/>
                <w:color w:val="auto"/>
              </w:rPr>
            </w:pPr>
          </w:p>
        </w:tc>
      </w:tr>
      <w:tr>
        <w:trPr>
          <w:trHeight w:val="311"/>
        </w:trPr>
        <w:tc>
          <w:tcPr>
            <w:tcW w:w="180" w:type="dxa"/>
            <w:vAlign w:val="bottom"/>
          </w:tcPr>
          <w:p>
            <w:pPr>
              <w:spacing w:after="0"/>
              <w:rPr>
                <w:sz w:val="20"/>
                <w:szCs w:val="20"/>
                <w:color w:val="auto"/>
              </w:rPr>
            </w:pPr>
            <w:r>
              <w:rPr>
                <w:rFonts w:ascii="Arial" w:cs="Arial" w:eastAsia="Arial" w:hAnsi="Arial"/>
                <w:sz w:val="16"/>
                <w:szCs w:val="16"/>
                <w:color w:val="auto"/>
              </w:rPr>
              <w:t>*</w:t>
            </w:r>
          </w:p>
        </w:tc>
        <w:tc>
          <w:tcPr>
            <w:tcW w:w="7840" w:type="dxa"/>
            <w:vAlign w:val="bottom"/>
          </w:tcPr>
          <w:p>
            <w:pPr>
              <w:ind w:left="360"/>
              <w:spacing w:after="0"/>
              <w:rPr>
                <w:sz w:val="20"/>
                <w:szCs w:val="20"/>
                <w:color w:val="auto"/>
              </w:rPr>
            </w:pPr>
            <w:r>
              <w:rPr>
                <w:rFonts w:ascii="Arial" w:cs="Arial" w:eastAsia="Arial" w:hAnsi="Arial"/>
                <w:sz w:val="16"/>
                <w:szCs w:val="16"/>
                <w:color w:val="auto"/>
              </w:rPr>
              <w:t>Indicates less than 1% ownership.</w:t>
            </w:r>
          </w:p>
        </w:tc>
        <w:tc>
          <w:tcPr>
            <w:tcW w:w="2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jc w:val="both"/>
        <w:ind w:left="660" w:right="20" w:hanging="544"/>
        <w:spacing w:after="0" w:line="253"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principal address for each of the stockholders, other than Wellington Management Group LLP, The Vanguard Group, Inc., BlackRock, Inc., Dimensional Fund Advisors LP and T. Rowe Price Associates, Inc., listed below is c/o Huron Consulting Group Inc., 550 West Van Buren Street, Chicago, Illinois 60607.</w:t>
      </w:r>
    </w:p>
    <w:p>
      <w:pPr>
        <w:spacing w:after="0" w:line="106" w:lineRule="exact"/>
        <w:rPr>
          <w:rFonts w:ascii="Arial" w:cs="Arial" w:eastAsia="Arial" w:hAnsi="Arial"/>
          <w:sz w:val="16"/>
          <w:szCs w:val="16"/>
          <w:color w:val="auto"/>
        </w:rPr>
      </w:pPr>
    </w:p>
    <w:p>
      <w:pPr>
        <w:jc w:val="both"/>
        <w:ind w:left="660" w:hanging="544"/>
        <w:spacing w:after="0" w:line="251"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principal address of Wellington Management Group LLP is 280 Congress Street, Boston, Massachusetts 02210. The shares are owned by Wellington Management Group LLP and the following subsidiaries of Wellington Management Group LLP: Wellington Group Holdings LLP, Wellington Investment Advisors Holdings LLP and Wellington Management Company LLP. Information regarding beneficial ownership of our common stock by Wellington Management Group LLP is included herein in reliance on a Schedule 13G/A filed with the SEC on January 27, 2020.</w:t>
      </w:r>
    </w:p>
    <w:p>
      <w:pPr>
        <w:spacing w:after="0" w:line="107" w:lineRule="exact"/>
        <w:rPr>
          <w:rFonts w:ascii="Arial" w:cs="Arial" w:eastAsia="Arial" w:hAnsi="Arial"/>
          <w:sz w:val="16"/>
          <w:szCs w:val="16"/>
          <w:color w:val="auto"/>
        </w:rPr>
      </w:pPr>
    </w:p>
    <w:p>
      <w:pPr>
        <w:jc w:val="both"/>
        <w:ind w:left="660" w:right="20" w:hanging="544"/>
        <w:spacing w:after="0" w:line="251"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principal address of The Vanguard Group, Inc. is 100 Vanguard Boulevard, Malvern, Pennsylvania 19355. The shares are owned by The Vanguard Group, Inc. and the following subsidiaries of The Vanguard Group, Inc.: Vanguard Fiduciary Trust Company and Vanguard Investments Australia, Ltd. Information regarding beneficial ownership of our common stock by The Vanguard Group, Inc. is included herein in reliance on a Schedule 13G/A filed with the SEC on February 12, 2020.</w:t>
      </w:r>
    </w:p>
    <w:p>
      <w:pPr>
        <w:spacing w:after="0" w:line="13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00548B"/>
        </w:rPr>
        <w:t>17</w:t>
      </w:r>
    </w:p>
    <w:p>
      <w:pPr>
        <w:sectPr>
          <w:pgSz w:w="11900" w:h="16838" w:orient="portrait"/>
          <w:cols w:equalWidth="0" w:num="1">
            <w:col w:w="11140"/>
          </w:cols>
          <w:pgMar w:left="32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both"/>
        <w:ind w:left="660" w:hanging="544"/>
        <w:spacing w:after="0" w:line="249"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principal address of BlackRock, Inc. is 55 East 52nd Street, New York, New York 10055. The shares are owned by the following subsidiaries of BlackRock, Inc.: BlackRock (Netherlands) B.V., BlackRock Advisors, LLC, BlackRock Asset Management Canada Limited, BlackRock Asset Management Ireland Limited, BlackRock Asset Management Schweiz AG, BlackRock Financial Management, Inc., BlackRock Fund Advisors, BlackRock Institutional Trust Company, N.A., BlackRock Investment Management (Australia) Limited, BlackRock Investment Management (UK) Ltd. and BlackRock Investment Management, LLC. Information regarding beneficial ownership of our common stock by BlackRock, Inc. is included herein in reliance on a Schedule 13G/A filed with the SEC on February 5, 2020.</w:t>
      </w:r>
    </w:p>
    <w:p>
      <w:pPr>
        <w:spacing w:after="0" w:line="110" w:lineRule="exact"/>
        <w:rPr>
          <w:rFonts w:ascii="Arial" w:cs="Arial" w:eastAsia="Arial" w:hAnsi="Arial"/>
          <w:sz w:val="16"/>
          <w:szCs w:val="16"/>
          <w:color w:val="auto"/>
        </w:rPr>
      </w:pPr>
    </w:p>
    <w:p>
      <w:pPr>
        <w:jc w:val="both"/>
        <w:ind w:left="660" w:right="20" w:hanging="544"/>
        <w:spacing w:after="0" w:line="253"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principal address of Dimensional Fund Advisors LP is Building One, 6300 Bee Cave Road, Austin, Texas 78746. Information regarding beneficial ownership of our common stock by Dimensional Fund Advisors LP is included herein in reliance on a Schedule 13G/A filed with the SEC on February 12, 2020.</w:t>
      </w:r>
    </w:p>
    <w:p>
      <w:pPr>
        <w:spacing w:after="0" w:line="106" w:lineRule="exact"/>
        <w:rPr>
          <w:rFonts w:ascii="Arial" w:cs="Arial" w:eastAsia="Arial" w:hAnsi="Arial"/>
          <w:sz w:val="16"/>
          <w:szCs w:val="16"/>
          <w:color w:val="auto"/>
        </w:rPr>
      </w:pPr>
    </w:p>
    <w:p>
      <w:pPr>
        <w:jc w:val="both"/>
        <w:ind w:left="660" w:right="20" w:hanging="544"/>
        <w:spacing w:after="0" w:line="253"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principal address of T. Rowe Price Associates, Inc. is 100 E. Pratt Street, Baltimore, Maryland 21202. Information regarding beneficial ownership of our common stock by T. Rowe Price Associates, Inc. is included herein in reliance on a Schedule 13G filed with the SEC on February 14, 2020.</w:t>
      </w:r>
    </w:p>
    <w:p>
      <w:pPr>
        <w:spacing w:after="0" w:line="106" w:lineRule="exact"/>
        <w:rPr>
          <w:rFonts w:ascii="Arial" w:cs="Arial" w:eastAsia="Arial" w:hAnsi="Arial"/>
          <w:sz w:val="16"/>
          <w:szCs w:val="16"/>
          <w:color w:val="auto"/>
        </w:rPr>
      </w:pPr>
    </w:p>
    <w:p>
      <w:pPr>
        <w:ind w:left="660" w:right="20" w:hanging="544"/>
        <w:spacing w:after="0" w:line="260"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Includes 15,647 shares issuable upon exercise of options that are exercisable currently or within 60 days of the Record Date. Also includes 35,514 shares of restricted common stock.</w:t>
      </w:r>
    </w:p>
    <w:p>
      <w:pPr>
        <w:spacing w:after="0" w:line="100" w:lineRule="exact"/>
        <w:rPr>
          <w:rFonts w:ascii="Arial" w:cs="Arial" w:eastAsia="Arial" w:hAnsi="Arial"/>
          <w:sz w:val="16"/>
          <w:szCs w:val="16"/>
          <w:color w:val="auto"/>
        </w:rPr>
      </w:pPr>
    </w:p>
    <w:p>
      <w:pPr>
        <w:ind w:left="660" w:hanging="544"/>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Includes 21,768 shares of restricted common stock.</w:t>
      </w:r>
    </w:p>
    <w:p>
      <w:pPr>
        <w:spacing w:after="0" w:line="126" w:lineRule="exact"/>
        <w:rPr>
          <w:rFonts w:ascii="Arial" w:cs="Arial" w:eastAsia="Arial" w:hAnsi="Arial"/>
          <w:sz w:val="16"/>
          <w:szCs w:val="16"/>
          <w:color w:val="auto"/>
        </w:rPr>
      </w:pPr>
    </w:p>
    <w:p>
      <w:pPr>
        <w:ind w:left="660" w:hanging="544"/>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Includes 4,938 shares of restricted common stock.</w:t>
      </w:r>
    </w:p>
    <w:p>
      <w:pPr>
        <w:spacing w:after="0" w:line="126" w:lineRule="exact"/>
        <w:rPr>
          <w:rFonts w:ascii="Arial" w:cs="Arial" w:eastAsia="Arial" w:hAnsi="Arial"/>
          <w:sz w:val="16"/>
          <w:szCs w:val="16"/>
          <w:color w:val="auto"/>
        </w:rPr>
      </w:pPr>
    </w:p>
    <w:p>
      <w:pPr>
        <w:ind w:left="660" w:hanging="544"/>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Includes 4,938 shares of restricted common stock.</w:t>
      </w:r>
    </w:p>
    <w:p>
      <w:pPr>
        <w:spacing w:after="0" w:line="126" w:lineRule="exact"/>
        <w:rPr>
          <w:rFonts w:ascii="Arial" w:cs="Arial" w:eastAsia="Arial" w:hAnsi="Arial"/>
          <w:sz w:val="16"/>
          <w:szCs w:val="16"/>
          <w:color w:val="auto"/>
        </w:rPr>
      </w:pPr>
    </w:p>
    <w:p>
      <w:pPr>
        <w:ind w:left="660" w:hanging="544"/>
        <w:spacing w:after="0" w:line="260"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Includes 4,938 shares of restricted common stock, as well as 1,259 shares held by a wholly-owned limited liability company of which Mr. McCartney is the sole owner.</w:t>
      </w:r>
    </w:p>
    <w:p>
      <w:pPr>
        <w:spacing w:after="0" w:line="100" w:lineRule="exact"/>
        <w:rPr>
          <w:rFonts w:ascii="Arial" w:cs="Arial" w:eastAsia="Arial" w:hAnsi="Arial"/>
          <w:sz w:val="16"/>
          <w:szCs w:val="16"/>
          <w:color w:val="auto"/>
        </w:rPr>
      </w:pPr>
    </w:p>
    <w:p>
      <w:pPr>
        <w:ind w:left="660" w:right="20" w:hanging="544"/>
        <w:spacing w:after="0" w:line="260"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Includes 70,746 shares issuable upon exercise of options that are exercisable currently or within 60 days of the Record Date. Also includes 33,518 shares of restricted common stock, as well as 3,855 shares held by a family limited liability company.</w:t>
      </w:r>
    </w:p>
    <w:p>
      <w:pPr>
        <w:spacing w:after="0" w:line="100" w:lineRule="exact"/>
        <w:rPr>
          <w:rFonts w:ascii="Arial" w:cs="Arial" w:eastAsia="Arial" w:hAnsi="Arial"/>
          <w:sz w:val="16"/>
          <w:szCs w:val="16"/>
          <w:color w:val="auto"/>
        </w:rPr>
      </w:pPr>
    </w:p>
    <w:p>
      <w:pPr>
        <w:ind w:left="660" w:hanging="544"/>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Includes 6,511 shares of restricted common stock.</w:t>
      </w:r>
    </w:p>
    <w:p>
      <w:pPr>
        <w:spacing w:after="0" w:line="126" w:lineRule="exact"/>
        <w:rPr>
          <w:rFonts w:ascii="Arial" w:cs="Arial" w:eastAsia="Arial" w:hAnsi="Arial"/>
          <w:sz w:val="16"/>
          <w:szCs w:val="16"/>
          <w:color w:val="auto"/>
        </w:rPr>
      </w:pPr>
    </w:p>
    <w:p>
      <w:pPr>
        <w:ind w:left="660" w:hanging="544"/>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Includes 5,617 shares of restricted common stock.</w:t>
      </w:r>
    </w:p>
    <w:p>
      <w:pPr>
        <w:spacing w:after="0" w:line="126" w:lineRule="exact"/>
        <w:rPr>
          <w:rFonts w:ascii="Arial" w:cs="Arial" w:eastAsia="Arial" w:hAnsi="Arial"/>
          <w:sz w:val="16"/>
          <w:szCs w:val="16"/>
          <w:color w:val="auto"/>
        </w:rPr>
      </w:pPr>
    </w:p>
    <w:p>
      <w:pPr>
        <w:ind w:left="660" w:hanging="544"/>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Includes 4,938 shares of restricted common stock.</w:t>
      </w:r>
    </w:p>
    <w:p>
      <w:pPr>
        <w:spacing w:after="0" w:line="126" w:lineRule="exact"/>
        <w:rPr>
          <w:rFonts w:ascii="Arial" w:cs="Arial" w:eastAsia="Arial" w:hAnsi="Arial"/>
          <w:sz w:val="16"/>
          <w:szCs w:val="16"/>
          <w:color w:val="auto"/>
        </w:rPr>
      </w:pPr>
    </w:p>
    <w:p>
      <w:pPr>
        <w:ind w:left="660" w:right="20" w:hanging="544"/>
        <w:spacing w:after="0" w:line="260"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Includes an aggregate of 86,393 shares issuable upon exercise of options held by members of the group that are exercisable currently or within 60 days of the Record Date, as well as 122,680 shares of restricted common stock held by the Directors and Executive Officers listed above.</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48B"/>
        </w:rPr>
        <w:t>C</w:t>
      </w:r>
      <w:r>
        <w:rPr>
          <w:rFonts w:ascii="Arial" w:cs="Arial" w:eastAsia="Arial" w:hAnsi="Arial"/>
          <w:sz w:val="14"/>
          <w:szCs w:val="14"/>
          <w:b w:val="1"/>
          <w:bCs w:val="1"/>
          <w:color w:val="00548B"/>
        </w:rPr>
        <w:t>ORPORATE</w:t>
      </w:r>
      <w:r>
        <w:rPr>
          <w:rFonts w:ascii="Arial" w:cs="Arial" w:eastAsia="Arial" w:hAnsi="Arial"/>
          <w:sz w:val="18"/>
          <w:szCs w:val="18"/>
          <w:b w:val="1"/>
          <w:bCs w:val="1"/>
          <w:color w:val="00548B"/>
        </w:rPr>
        <w:t xml:space="preserve"> S</w:t>
      </w:r>
      <w:r>
        <w:rPr>
          <w:rFonts w:ascii="Arial" w:cs="Arial" w:eastAsia="Arial" w:hAnsi="Arial"/>
          <w:sz w:val="14"/>
          <w:szCs w:val="14"/>
          <w:b w:val="1"/>
          <w:bCs w:val="1"/>
          <w:color w:val="00548B"/>
        </w:rPr>
        <w:t>OCIAL</w:t>
      </w:r>
      <w:r>
        <w:rPr>
          <w:rFonts w:ascii="Arial" w:cs="Arial" w:eastAsia="Arial" w:hAnsi="Arial"/>
          <w:sz w:val="18"/>
          <w:szCs w:val="18"/>
          <w:b w:val="1"/>
          <w:bCs w:val="1"/>
          <w:color w:val="00548B"/>
        </w:rPr>
        <w:t xml:space="preserve"> R</w:t>
      </w:r>
      <w:r>
        <w:rPr>
          <w:rFonts w:ascii="Arial" w:cs="Arial" w:eastAsia="Arial" w:hAnsi="Arial"/>
          <w:sz w:val="14"/>
          <w:szCs w:val="14"/>
          <w:b w:val="1"/>
          <w:bCs w:val="1"/>
          <w:color w:val="00548B"/>
        </w:rPr>
        <w:t>ESPONSIBILITY</w:t>
      </w:r>
    </w:p>
    <w:p>
      <w:pPr>
        <w:spacing w:after="0" w:line="20" w:lineRule="exact"/>
        <w:rPr>
          <w:sz w:val="20"/>
          <w:szCs w:val="20"/>
          <w:color w:val="auto"/>
        </w:rPr>
      </w:pPr>
    </w:p>
    <w:p>
      <w:pPr>
        <w:jc w:val="both"/>
        <w:ind w:left="120"/>
        <w:spacing w:after="0" w:line="249" w:lineRule="auto"/>
        <w:rPr>
          <w:sz w:val="20"/>
          <w:szCs w:val="20"/>
          <w:color w:val="auto"/>
        </w:rPr>
      </w:pPr>
      <w:r>
        <w:rPr>
          <w:rFonts w:ascii="Arial" w:cs="Arial" w:eastAsia="Arial" w:hAnsi="Arial"/>
          <w:sz w:val="16"/>
          <w:szCs w:val="16"/>
          <w:color w:val="auto"/>
        </w:rPr>
        <w:t>As a company, one of our greatest commitments to strengthening our communities is through the work we do each day. From healthcare and life sciences to education institutions and numerous not-for-profit organizations, we serve hundreds of mission-driven businesses that are focused on making the world a better place. Through our work to help clients transform and deliver high quality services, we are supporting their unique missions, which have broad scope beyond the communities and economies in which they operate. These efforts are integrally aligned with our values-driven culture that also embraces our role in strengthening our people, the environment and the communities we serve. We are deeply committed to the ongoing evolution of our business as we expand our programs and initiatives to support a more sustainable future.</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Investing in our People</w:t>
      </w:r>
    </w:p>
    <w:p>
      <w:pPr>
        <w:spacing w:after="0" w:line="25" w:lineRule="exact"/>
        <w:rPr>
          <w:sz w:val="20"/>
          <w:szCs w:val="20"/>
          <w:color w:val="auto"/>
        </w:rPr>
      </w:pPr>
    </w:p>
    <w:p>
      <w:pPr>
        <w:jc w:val="both"/>
        <w:ind w:left="120" w:right="20"/>
        <w:spacing w:after="0" w:line="249" w:lineRule="auto"/>
        <w:rPr>
          <w:sz w:val="20"/>
          <w:szCs w:val="20"/>
          <w:color w:val="auto"/>
        </w:rPr>
      </w:pPr>
      <w:r>
        <w:rPr>
          <w:rFonts w:ascii="Arial" w:cs="Arial" w:eastAsia="Arial" w:hAnsi="Arial"/>
          <w:sz w:val="16"/>
          <w:szCs w:val="16"/>
          <w:color w:val="auto"/>
        </w:rPr>
        <w:t>Our people are our greatest asset and our success as a company depends on our ability to attract, engage, develop and retain talent. As we have grown to 3,750 full-time employees as of December 31, 2019, we have worked to provide career opportunities that enable innovation, creativity and high-value skill sets. We continue to evolve our training, certification and performance management programs and tools to unlock each employee’s potential and provide the necessary skills to thrive now and in the future. For example, in 2019, we redefined the employee experience with the introduction of our talent and culture framework that provides a more robust and personalized employee journey enabling our people to meaningfully advance in their careers at their own pace and aligned to their professional development goals. We are also committed to providing fair</w:t>
      </w:r>
    </w:p>
    <w:p>
      <w:pPr>
        <w:spacing w:after="0" w:line="13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00548B"/>
        </w:rPr>
        <w:t>18</w:t>
      </w:r>
    </w:p>
    <w:p>
      <w:pPr>
        <w:sectPr>
          <w:pgSz w:w="11900" w:h="16838" w:orient="portrait"/>
          <w:cols w:equalWidth="0" w:num="1">
            <w:col w:w="11140"/>
          </w:cols>
          <w:pgMar w:left="32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6"/>
          <w:szCs w:val="16"/>
          <w:color w:val="auto"/>
        </w:rPr>
        <w:t>and equitable compensation to all of our employees. To that end, we regularly review our pay to ensure that it is market competitive, and we also conduct internal reviews to monitor that pay is equitable among employees performing similar jobs. In addition, we have robust processes in place to ensure that starting pay and pay changes that occur at transition points, such as promotions, are commensurate with peers with similar skill sets and experience.</w:t>
      </w:r>
    </w:p>
    <w:p>
      <w:pPr>
        <w:spacing w:after="0" w:line="174" w:lineRule="exact"/>
        <w:rPr>
          <w:sz w:val="20"/>
          <w:szCs w:val="20"/>
          <w:color w:val="auto"/>
        </w:rPr>
      </w:pPr>
    </w:p>
    <w:p>
      <w:pPr>
        <w:jc w:val="both"/>
        <w:ind w:left="120" w:right="20"/>
        <w:spacing w:after="0" w:line="251" w:lineRule="auto"/>
        <w:rPr>
          <w:sz w:val="20"/>
          <w:szCs w:val="20"/>
          <w:color w:val="auto"/>
        </w:rPr>
      </w:pPr>
      <w:r>
        <w:rPr>
          <w:rFonts w:ascii="Arial" w:cs="Arial" w:eastAsia="Arial" w:hAnsi="Arial"/>
          <w:sz w:val="16"/>
          <w:szCs w:val="16"/>
          <w:color w:val="auto"/>
        </w:rPr>
        <w:t>Fundamental to our values is a workplace that embraces diversity and inclusion. In 2019, for the sixth year in a row, we were recognized by the Human Rights Campaign Foundation for receiving a perfect score of 100 on the Corporate Equality Index and the designation as a Best Place to Work for LGBTQ Equality. And, for the ninth year in a row, Consulting magazine named Huron a ‘Best Firm to Work For,’ recognizing our strong commitment to our people, our values, our clients and the communities we serve.</w:t>
      </w:r>
    </w:p>
    <w:p>
      <w:pPr>
        <w:spacing w:after="0" w:line="162" w:lineRule="exact"/>
        <w:rPr>
          <w:sz w:val="20"/>
          <w:szCs w:val="20"/>
          <w:color w:val="auto"/>
        </w:rPr>
      </w:pPr>
    </w:p>
    <w:p>
      <w:pPr>
        <w:jc w:val="both"/>
        <w:ind w:left="120" w:right="20"/>
        <w:spacing w:after="0" w:line="251" w:lineRule="auto"/>
        <w:rPr>
          <w:sz w:val="20"/>
          <w:szCs w:val="20"/>
          <w:color w:val="auto"/>
        </w:rPr>
      </w:pPr>
      <w:r>
        <w:rPr>
          <w:rFonts w:ascii="Arial" w:cs="Arial" w:eastAsia="Arial" w:hAnsi="Arial"/>
          <w:sz w:val="16"/>
          <w:szCs w:val="16"/>
          <w:color w:val="auto"/>
        </w:rPr>
        <w:t>In 2019, our Diversity and Inclusion Council, which was founded in 2011, along with our employee resource groups known as iMatter teams, hosted a series of events aimed at raising awareness on important issues, building a sense of community within Huron and celebrating what makes our colleagues unique. Among these events was our inaugural “Women in Leadership Summit,” which is designed to empower, influence, connect, inspire and encourage our female employees.</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Impacting the Communities We Serve</w:t>
      </w:r>
    </w:p>
    <w:p>
      <w:pPr>
        <w:spacing w:after="0" w:line="25" w:lineRule="exact"/>
        <w:rPr>
          <w:sz w:val="20"/>
          <w:szCs w:val="20"/>
          <w:color w:val="auto"/>
        </w:rPr>
      </w:pPr>
    </w:p>
    <w:p>
      <w:pPr>
        <w:jc w:val="both"/>
        <w:ind w:left="120" w:right="20"/>
        <w:spacing w:after="0" w:line="251" w:lineRule="auto"/>
        <w:rPr>
          <w:sz w:val="20"/>
          <w:szCs w:val="20"/>
          <w:color w:val="auto"/>
        </w:rPr>
      </w:pPr>
      <w:r>
        <w:rPr>
          <w:rFonts w:ascii="Arial" w:cs="Arial" w:eastAsia="Arial" w:hAnsi="Arial"/>
          <w:sz w:val="16"/>
          <w:szCs w:val="16"/>
          <w:color w:val="auto"/>
        </w:rPr>
        <w:t>We are committed to encouraging and supporting the passion our people have for service through our philanthropic program, Huron Helping Hands. Our efforts combine employee-driven causes, corporate-led events and a gift matching program. In 2019, our employees logged over 16,000 community service hours and sponsored over 110 charitable events. Huron also received almost 700 gift matching requests from employees who are actively giving back to their communities and the causes that are important to them.</w:t>
      </w:r>
    </w:p>
    <w:p>
      <w:pPr>
        <w:spacing w:after="0" w:line="175" w:lineRule="exact"/>
        <w:rPr>
          <w:sz w:val="20"/>
          <w:szCs w:val="20"/>
          <w:color w:val="auto"/>
        </w:rPr>
      </w:pPr>
    </w:p>
    <w:p>
      <w:pPr>
        <w:jc w:val="both"/>
        <w:ind w:left="120" w:right="20"/>
        <w:spacing w:after="0" w:line="249" w:lineRule="auto"/>
        <w:rPr>
          <w:sz w:val="20"/>
          <w:szCs w:val="20"/>
          <w:color w:val="auto"/>
        </w:rPr>
      </w:pPr>
      <w:r>
        <w:rPr>
          <w:rFonts w:ascii="Arial" w:cs="Arial" w:eastAsia="Arial" w:hAnsi="Arial"/>
          <w:sz w:val="16"/>
          <w:szCs w:val="16"/>
          <w:color w:val="auto"/>
        </w:rPr>
        <w:t>Since 2011, we have held an annual, company-wide Day of Service where employees participate in volunteer activities in their local communities. In 2019, our Day of Service event saw record participation with more than 2,100 employees volunteering in over 140 projects in 60 locations around the globe. Sixty-eight percent of our employees spent their day participating in meaningful activities, including mentoring young people to improve their literacy, beautifying parks and neighborhoods to preserve our natural areas, and providing families in need with access to food and shelter. We are also proud of our longstanding partnerships with mission-driven organizations such as the American Heart Association and Ladder Up, a nonprofit organization that provides free tax return preparation and other financial resources to residents in underserved communities.</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Managing Sustainably and Responsibly</w:t>
      </w:r>
    </w:p>
    <w:p>
      <w:pPr>
        <w:spacing w:after="0" w:line="25" w:lineRule="exact"/>
        <w:rPr>
          <w:sz w:val="20"/>
          <w:szCs w:val="20"/>
          <w:color w:val="auto"/>
        </w:rPr>
      </w:pPr>
    </w:p>
    <w:p>
      <w:pPr>
        <w:jc w:val="both"/>
        <w:ind w:left="120"/>
        <w:spacing w:after="0" w:line="250" w:lineRule="auto"/>
        <w:rPr>
          <w:sz w:val="20"/>
          <w:szCs w:val="20"/>
          <w:color w:val="auto"/>
        </w:rPr>
      </w:pPr>
      <w:r>
        <w:rPr>
          <w:rFonts w:ascii="Arial" w:cs="Arial" w:eastAsia="Arial" w:hAnsi="Arial"/>
          <w:sz w:val="16"/>
          <w:szCs w:val="16"/>
          <w:color w:val="auto"/>
        </w:rPr>
        <w:t>We recognize the importance of meeting the needs of our clients, our people, our shareholders and our communities in an environmentally sustainable manner. Our Sustainability Council is committed to helping us promote environmentally friendly business practices and reduce our carbon footprint. In 2019, we launched our “Bring It Huron” initiative, which is focused on reducing paper use, improving our recycling efforts, and promoting sustainable practices across all of our offices and project sites. We will continue to build on our progress and expand our “Bring It Huron” campaign in 2020 to further reduce our waste footprint, including with this proxy statement, which we have initially furnished over the internet to reduce our paper usage.</w:t>
      </w:r>
    </w:p>
    <w:p>
      <w:pPr>
        <w:spacing w:after="0" w:line="162" w:lineRule="exact"/>
        <w:rPr>
          <w:sz w:val="20"/>
          <w:szCs w:val="20"/>
          <w:color w:val="auto"/>
        </w:rPr>
      </w:pPr>
    </w:p>
    <w:p>
      <w:pPr>
        <w:jc w:val="both"/>
        <w:ind w:left="120"/>
        <w:spacing w:after="0" w:line="250" w:lineRule="auto"/>
        <w:rPr>
          <w:sz w:val="20"/>
          <w:szCs w:val="20"/>
          <w:color w:val="auto"/>
        </w:rPr>
      </w:pPr>
      <w:r>
        <w:rPr>
          <w:rFonts w:ascii="Arial" w:cs="Arial" w:eastAsia="Arial" w:hAnsi="Arial"/>
          <w:sz w:val="16"/>
          <w:szCs w:val="16"/>
          <w:color w:val="auto"/>
        </w:rPr>
        <w:t>Our Code of Business Conduct and Ethics highlights our ethical way of doing business and sets the expectation for all employees to comply with the laws, rules and regulations that apply to our business and abide by the highest standards of business conduct. We are committed both in culture and in practice to protecting the privacy and data of everyone with whom we interact, from our clients to our employees, and doing so in compliance with the data protection laws where we operate around the world. We have an enterprise-wide privacy program that incorporates best practices and cybersecurity controls aligned with industry standards that are designed to protect our client’s data and our own.</w:t>
      </w:r>
    </w:p>
    <w:p>
      <w:pPr>
        <w:spacing w:after="0" w:line="176" w:lineRule="exact"/>
        <w:rPr>
          <w:sz w:val="20"/>
          <w:szCs w:val="20"/>
          <w:color w:val="auto"/>
        </w:rPr>
      </w:pPr>
    </w:p>
    <w:p>
      <w:pPr>
        <w:jc w:val="both"/>
        <w:ind w:left="120" w:right="20"/>
        <w:spacing w:after="0" w:line="260" w:lineRule="auto"/>
        <w:rPr>
          <w:sz w:val="20"/>
          <w:szCs w:val="20"/>
          <w:color w:val="auto"/>
        </w:rPr>
      </w:pPr>
      <w:r>
        <w:rPr>
          <w:rFonts w:ascii="Arial" w:cs="Arial" w:eastAsia="Arial" w:hAnsi="Arial"/>
          <w:sz w:val="16"/>
          <w:szCs w:val="16"/>
          <w:color w:val="auto"/>
        </w:rPr>
        <w:t>To learn more about our corporate social responsibility efforts, visit our website at https://www.huronconsultinggroup.com/company/corporate-social-responsibility. Please note the information presented on our website is not part of our proxy solicitation materials.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00548B"/>
        </w:rPr>
        <w:t>19</w:t>
      </w:r>
    </w:p>
    <w:p>
      <w:pPr>
        <w:sectPr>
          <w:pgSz w:w="11900" w:h="16838" w:orient="portrait"/>
          <w:cols w:equalWidth="0" w:num="1">
            <w:col w:w="11140"/>
          </w:cols>
          <w:pgMar w:left="32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48B"/>
        </w:rPr>
        <w:t>S</w:t>
      </w:r>
      <w:r>
        <w:rPr>
          <w:rFonts w:ascii="Arial" w:cs="Arial" w:eastAsia="Arial" w:hAnsi="Arial"/>
          <w:sz w:val="14"/>
          <w:szCs w:val="14"/>
          <w:b w:val="1"/>
          <w:bCs w:val="1"/>
          <w:color w:val="00548B"/>
        </w:rPr>
        <w:t>TOCKHOLDER</w:t>
      </w:r>
      <w:r>
        <w:rPr>
          <w:rFonts w:ascii="Arial" w:cs="Arial" w:eastAsia="Arial" w:hAnsi="Arial"/>
          <w:sz w:val="18"/>
          <w:szCs w:val="18"/>
          <w:b w:val="1"/>
          <w:bCs w:val="1"/>
          <w:color w:val="00548B"/>
        </w:rPr>
        <w:t xml:space="preserve"> C</w:t>
      </w:r>
      <w:r>
        <w:rPr>
          <w:rFonts w:ascii="Arial" w:cs="Arial" w:eastAsia="Arial" w:hAnsi="Arial"/>
          <w:sz w:val="14"/>
          <w:szCs w:val="14"/>
          <w:b w:val="1"/>
          <w:bCs w:val="1"/>
          <w:color w:val="00548B"/>
        </w:rPr>
        <w:t>OMMUNICATIONS</w:t>
      </w:r>
      <w:r>
        <w:rPr>
          <w:rFonts w:ascii="Arial" w:cs="Arial" w:eastAsia="Arial" w:hAnsi="Arial"/>
          <w:sz w:val="18"/>
          <w:szCs w:val="18"/>
          <w:b w:val="1"/>
          <w:bCs w:val="1"/>
          <w:color w:val="00548B"/>
        </w:rPr>
        <w:t xml:space="preserve"> P</w:t>
      </w:r>
      <w:r>
        <w:rPr>
          <w:rFonts w:ascii="Arial" w:cs="Arial" w:eastAsia="Arial" w:hAnsi="Arial"/>
          <w:sz w:val="14"/>
          <w:szCs w:val="14"/>
          <w:b w:val="1"/>
          <w:bCs w:val="1"/>
          <w:color w:val="00548B"/>
        </w:rPr>
        <w:t>OLICY</w:t>
      </w:r>
    </w:p>
    <w:p>
      <w:pPr>
        <w:spacing w:after="0" w:line="20" w:lineRule="exact"/>
        <w:rPr>
          <w:sz w:val="20"/>
          <w:szCs w:val="20"/>
          <w:color w:val="auto"/>
        </w:rPr>
      </w:pPr>
    </w:p>
    <w:p>
      <w:pPr>
        <w:jc w:val="both"/>
        <w:ind w:left="120"/>
        <w:spacing w:after="0" w:line="253" w:lineRule="auto"/>
        <w:rPr>
          <w:sz w:val="20"/>
          <w:szCs w:val="20"/>
          <w:color w:val="auto"/>
        </w:rPr>
      </w:pPr>
      <w:r>
        <w:rPr>
          <w:rFonts w:ascii="Arial" w:cs="Arial" w:eastAsia="Arial" w:hAnsi="Arial"/>
          <w:sz w:val="16"/>
          <w:szCs w:val="16"/>
          <w:color w:val="auto"/>
        </w:rPr>
        <w:t>The Company’s board of directors has established a process for stockholders to send communications to the board of directors. Stockholders may communicate with any member of the board of directors, including the chairperson of any committee, an entire committee or the independent directors or all directors as a group, by sending written communications to:</w:t>
      </w:r>
    </w:p>
    <w:p>
      <w:pPr>
        <w:spacing w:after="0" w:line="17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Corporate Secretary</w:t>
      </w:r>
    </w:p>
    <w:p>
      <w:pPr>
        <w:spacing w:after="0" w:line="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Huron Consulting Group Inc.</w:t>
      </w:r>
    </w:p>
    <w:p>
      <w:pPr>
        <w:spacing w:after="0" w:line="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550 West Van Buren Street</w:t>
      </w:r>
    </w:p>
    <w:p>
      <w:pPr>
        <w:ind w:left="560"/>
        <w:spacing w:after="0" w:line="184" w:lineRule="auto"/>
        <w:rPr>
          <w:sz w:val="20"/>
          <w:szCs w:val="20"/>
          <w:color w:val="auto"/>
        </w:rPr>
      </w:pPr>
      <w:r>
        <w:rPr>
          <w:rFonts w:ascii="Arial" w:cs="Arial" w:eastAsia="Arial" w:hAnsi="Arial"/>
          <w:sz w:val="14"/>
          <w:szCs w:val="14"/>
          <w:color w:val="auto"/>
        </w:rPr>
        <w:t>17</w:t>
      </w:r>
      <w:r>
        <w:rPr>
          <w:rFonts w:ascii="Arial" w:cs="Arial" w:eastAsia="Arial" w:hAnsi="Arial"/>
          <w:sz w:val="22"/>
          <w:szCs w:val="22"/>
          <w:color w:val="auto"/>
          <w:vertAlign w:val="superscript"/>
        </w:rPr>
        <w:t>th</w:t>
      </w:r>
      <w:r>
        <w:rPr>
          <w:rFonts w:ascii="Arial" w:cs="Arial" w:eastAsia="Arial" w:hAnsi="Arial"/>
          <w:sz w:val="14"/>
          <w:szCs w:val="14"/>
          <w:color w:val="auto"/>
        </w:rPr>
        <w:t xml:space="preserve"> Floor</w:t>
      </w:r>
    </w:p>
    <w:p>
      <w:pPr>
        <w:ind w:left="560"/>
        <w:spacing w:after="0"/>
        <w:rPr>
          <w:sz w:val="20"/>
          <w:szCs w:val="20"/>
          <w:color w:val="auto"/>
        </w:rPr>
      </w:pPr>
      <w:r>
        <w:rPr>
          <w:rFonts w:ascii="Arial" w:cs="Arial" w:eastAsia="Arial" w:hAnsi="Arial"/>
          <w:sz w:val="16"/>
          <w:szCs w:val="16"/>
          <w:color w:val="auto"/>
        </w:rPr>
        <w:t>Chicago, Illinois 60607</w:t>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E-mail messages should be sent to </w:t>
      </w:r>
      <w:r>
        <w:rPr>
          <w:rFonts w:ascii="Arial" w:cs="Arial" w:eastAsia="Arial" w:hAnsi="Arial"/>
          <w:sz w:val="16"/>
          <w:szCs w:val="16"/>
          <w:i w:val="1"/>
          <w:iCs w:val="1"/>
          <w:color w:val="auto"/>
        </w:rPr>
        <w:t>corporatesecretary@huronconsultinggroup.com</w:t>
      </w:r>
      <w:r>
        <w:rPr>
          <w:rFonts w:ascii="Arial" w:cs="Arial" w:eastAsia="Arial" w:hAnsi="Arial"/>
          <w:sz w:val="16"/>
          <w:szCs w:val="16"/>
          <w:color w:val="auto"/>
        </w:rPr>
        <w:t>.</w:t>
      </w:r>
    </w:p>
    <w:p>
      <w:pPr>
        <w:spacing w:after="0" w:line="197" w:lineRule="exact"/>
        <w:rPr>
          <w:sz w:val="20"/>
          <w:szCs w:val="20"/>
          <w:color w:val="auto"/>
        </w:rPr>
      </w:pPr>
    </w:p>
    <w:p>
      <w:pPr>
        <w:jc w:val="both"/>
        <w:ind w:left="120"/>
        <w:spacing w:after="0" w:line="260" w:lineRule="auto"/>
        <w:rPr>
          <w:sz w:val="20"/>
          <w:szCs w:val="20"/>
          <w:color w:val="auto"/>
        </w:rPr>
      </w:pPr>
      <w:r>
        <w:rPr>
          <w:rFonts w:ascii="Arial" w:cs="Arial" w:eastAsia="Arial" w:hAnsi="Arial"/>
          <w:sz w:val="16"/>
          <w:szCs w:val="16"/>
          <w:color w:val="auto"/>
        </w:rPr>
        <w:t>A stockholder must include his or her name and address in any such written or e-mail communication. The communication must indicate that the sender is a Company stockholder.</w:t>
      </w:r>
    </w:p>
    <w:p>
      <w:pPr>
        <w:spacing w:after="0" w:line="155" w:lineRule="exact"/>
        <w:rPr>
          <w:sz w:val="20"/>
          <w:szCs w:val="20"/>
          <w:color w:val="auto"/>
        </w:rPr>
      </w:pPr>
    </w:p>
    <w:p>
      <w:pPr>
        <w:jc w:val="both"/>
        <w:ind w:left="120"/>
        <w:spacing w:after="0" w:line="253" w:lineRule="auto"/>
        <w:rPr>
          <w:sz w:val="20"/>
          <w:szCs w:val="20"/>
          <w:color w:val="auto"/>
        </w:rPr>
      </w:pPr>
      <w:r>
        <w:rPr>
          <w:rFonts w:ascii="Arial" w:cs="Arial" w:eastAsia="Arial" w:hAnsi="Arial"/>
          <w:sz w:val="16"/>
          <w:szCs w:val="16"/>
          <w:color w:val="auto"/>
        </w:rPr>
        <w:t>Each communication intended for the board of directors and received by the Corporate Secretary that is related to the operation of the Company and is not otherwise commercial in nature will be forwarded to the specified party following its clearance through normal security procedures. If the communication is mailed as personal, it will not be opened, but rather will be forwarded unopened to the intended recipient.</w:t>
      </w:r>
    </w:p>
    <w:p>
      <w:pPr>
        <w:spacing w:after="0" w:line="13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00548B"/>
        </w:rPr>
        <w:t>20</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548B"/>
        </w:rPr>
        <w:t>EXECUTIVE COMPENSATION</w:t>
      </w:r>
    </w:p>
    <w:p>
      <w:pPr>
        <w:spacing w:after="0" w:line="36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48B"/>
        </w:rPr>
        <w:t>C</w:t>
      </w:r>
      <w:r>
        <w:rPr>
          <w:rFonts w:ascii="Arial" w:cs="Arial" w:eastAsia="Arial" w:hAnsi="Arial"/>
          <w:sz w:val="14"/>
          <w:szCs w:val="14"/>
          <w:b w:val="1"/>
          <w:bCs w:val="1"/>
          <w:color w:val="00548B"/>
        </w:rPr>
        <w:t>OMPENSATION</w:t>
      </w:r>
      <w:r>
        <w:rPr>
          <w:rFonts w:ascii="Arial" w:cs="Arial" w:eastAsia="Arial" w:hAnsi="Arial"/>
          <w:sz w:val="18"/>
          <w:szCs w:val="18"/>
          <w:b w:val="1"/>
          <w:bCs w:val="1"/>
          <w:color w:val="00548B"/>
        </w:rPr>
        <w:t xml:space="preserve"> D</w:t>
      </w:r>
      <w:r>
        <w:rPr>
          <w:rFonts w:ascii="Arial" w:cs="Arial" w:eastAsia="Arial" w:hAnsi="Arial"/>
          <w:sz w:val="14"/>
          <w:szCs w:val="14"/>
          <w:b w:val="1"/>
          <w:bCs w:val="1"/>
          <w:color w:val="00548B"/>
        </w:rPr>
        <w:t>ISCUSSION AND</w:t>
      </w:r>
      <w:r>
        <w:rPr>
          <w:rFonts w:ascii="Arial" w:cs="Arial" w:eastAsia="Arial" w:hAnsi="Arial"/>
          <w:sz w:val="18"/>
          <w:szCs w:val="18"/>
          <w:b w:val="1"/>
          <w:bCs w:val="1"/>
          <w:color w:val="00548B"/>
        </w:rPr>
        <w:t xml:space="preserve"> A</w:t>
      </w:r>
      <w:r>
        <w:rPr>
          <w:rFonts w:ascii="Arial" w:cs="Arial" w:eastAsia="Arial" w:hAnsi="Arial"/>
          <w:sz w:val="14"/>
          <w:szCs w:val="14"/>
          <w:b w:val="1"/>
          <w:bCs w:val="1"/>
          <w:color w:val="00548B"/>
        </w:rPr>
        <w:t>NALYSIS</w:t>
      </w:r>
    </w:p>
    <w:p>
      <w:pPr>
        <w:spacing w:after="0" w:line="20"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6"/>
          <w:szCs w:val="16"/>
          <w:color w:val="auto"/>
        </w:rPr>
        <w:t>The Compensation Discussion and Analysis provides information regarding the objectives and elements of our compensation program with respect to the compensation of persons who appear in the Summary Compensation Table (who we refer to collectively throughout this Proxy Statement as our “named executive officers” or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126365</wp:posOffset>
            </wp:positionV>
            <wp:extent cx="6995160" cy="2228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222885"/>
                    </a:xfrm>
                    <a:prstGeom prst="rect">
                      <a:avLst/>
                    </a:prstGeom>
                    <a:noFill/>
                  </pic:spPr>
                </pic:pic>
              </a:graphicData>
            </a:graphic>
          </wp:anchor>
        </w:drawing>
      </w:r>
    </w:p>
    <w:p>
      <w:pPr>
        <w:spacing w:after="0" w:line="27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D8D8D8"/>
        </w:rPr>
        <w:t>SECTION 1 — EXECUTIVE SUMMARY</w:t>
      </w:r>
    </w:p>
    <w:p>
      <w:pPr>
        <w:spacing w:after="0" w:line="169" w:lineRule="exact"/>
        <w:rPr>
          <w:sz w:val="20"/>
          <w:szCs w:val="20"/>
          <w:color w:val="auto"/>
        </w:rPr>
      </w:pPr>
    </w:p>
    <w:p>
      <w:pPr>
        <w:jc w:val="both"/>
        <w:ind w:left="120" w:right="20"/>
        <w:spacing w:after="0" w:line="251" w:lineRule="auto"/>
        <w:rPr>
          <w:sz w:val="20"/>
          <w:szCs w:val="20"/>
          <w:color w:val="auto"/>
        </w:rPr>
      </w:pPr>
      <w:r>
        <w:rPr>
          <w:rFonts w:ascii="Arial" w:cs="Arial" w:eastAsia="Arial" w:hAnsi="Arial"/>
          <w:sz w:val="16"/>
          <w:szCs w:val="16"/>
          <w:color w:val="auto"/>
        </w:rPr>
        <w:t>Huron is a global consultancy that collaborates with clients to drive strategic growth, ignite innovation and navigate constant change. Through a combination of strategy, expertise and creativity, we help clients accelerate operational, digital and cultural transformation, enabling the change they need to own their future. By embracing diverse perspectives, encouraging new ideas and challenging the status quo, we create sustainable results for the organizations we serve.</w:t>
      </w:r>
    </w:p>
    <w:p>
      <w:pPr>
        <w:spacing w:after="0" w:line="88"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Named Executive Officers</w:t>
      </w:r>
    </w:p>
    <w:p>
      <w:pPr>
        <w:spacing w:after="0" w:line="147" w:lineRule="exact"/>
        <w:rPr>
          <w:sz w:val="20"/>
          <w:szCs w:val="20"/>
          <w:color w:val="auto"/>
        </w:rPr>
      </w:pPr>
    </w:p>
    <w:p>
      <w:pPr>
        <w:jc w:val="both"/>
        <w:ind w:left="120" w:right="20"/>
        <w:spacing w:after="0" w:line="260" w:lineRule="auto"/>
        <w:rPr>
          <w:sz w:val="20"/>
          <w:szCs w:val="20"/>
          <w:color w:val="auto"/>
        </w:rPr>
      </w:pPr>
      <w:r>
        <w:rPr>
          <w:rFonts w:ascii="Arial" w:cs="Arial" w:eastAsia="Arial" w:hAnsi="Arial"/>
          <w:sz w:val="16"/>
          <w:szCs w:val="16"/>
          <w:color w:val="auto"/>
        </w:rPr>
        <w:t>Huron’s named executive officers are responsible for our Company-wide business operations and setting overall strategy of the organization. During 2019, Huron’s named executive officer team consisted of the following individuals:</w:t>
      </w:r>
    </w:p>
    <w:p>
      <w:pPr>
        <w:ind w:left="420" w:hanging="304"/>
        <w:spacing w:after="0" w:line="224" w:lineRule="auto"/>
        <w:tabs>
          <w:tab w:leader="none" w:pos="420" w:val="left"/>
        </w:tabs>
        <w:numPr>
          <w:ilvl w:val="0"/>
          <w:numId w:val="23"/>
        </w:numPr>
        <w:rPr>
          <w:rFonts w:ascii="Arial" w:cs="Arial" w:eastAsia="Arial" w:hAnsi="Arial"/>
          <w:sz w:val="16"/>
          <w:szCs w:val="16"/>
          <w:color w:val="00548B"/>
        </w:rPr>
      </w:pPr>
      <w:r>
        <w:rPr>
          <w:rFonts w:ascii="Arial" w:cs="Arial" w:eastAsia="Arial" w:hAnsi="Arial"/>
          <w:sz w:val="16"/>
          <w:szCs w:val="16"/>
          <w:color w:val="auto"/>
        </w:rPr>
        <w:t>Mr. Roth, Chief Executive Officer.</w:t>
      </w:r>
      <w:r>
        <w:rPr>
          <w:rFonts w:ascii="Arial" w:cs="Arial" w:eastAsia="Arial" w:hAnsi="Arial"/>
          <w:sz w:val="27"/>
          <w:szCs w:val="27"/>
          <w:color w:val="auto"/>
          <w:vertAlign w:val="superscript"/>
        </w:rPr>
        <w:t>3</w:t>
      </w:r>
    </w:p>
    <w:p>
      <w:pPr>
        <w:ind w:left="420" w:hanging="304"/>
        <w:spacing w:after="0" w:line="187" w:lineRule="auto"/>
        <w:tabs>
          <w:tab w:leader="none" w:pos="420" w:val="left"/>
        </w:tabs>
        <w:numPr>
          <w:ilvl w:val="0"/>
          <w:numId w:val="23"/>
        </w:numPr>
        <w:rPr>
          <w:rFonts w:ascii="Arial" w:cs="Arial" w:eastAsia="Arial" w:hAnsi="Arial"/>
          <w:sz w:val="13"/>
          <w:szCs w:val="13"/>
          <w:color w:val="00548B"/>
        </w:rPr>
      </w:pPr>
      <w:r>
        <w:rPr>
          <w:rFonts w:ascii="Arial" w:cs="Arial" w:eastAsia="Arial" w:hAnsi="Arial"/>
          <w:sz w:val="13"/>
          <w:szCs w:val="13"/>
          <w:color w:val="auto"/>
        </w:rPr>
        <w:t>Mr. Hussey, President and Chief Operating Officer.</w:t>
      </w:r>
      <w:r>
        <w:rPr>
          <w:rFonts w:ascii="Arial" w:cs="Arial" w:eastAsia="Arial" w:hAnsi="Arial"/>
          <w:sz w:val="21"/>
          <w:szCs w:val="21"/>
          <w:color w:val="auto"/>
          <w:vertAlign w:val="superscript"/>
        </w:rPr>
        <w:t>4</w:t>
      </w:r>
    </w:p>
    <w:p>
      <w:pPr>
        <w:ind w:left="420" w:hanging="304"/>
        <w:spacing w:after="0"/>
        <w:tabs>
          <w:tab w:leader="none" w:pos="420" w:val="left"/>
        </w:tabs>
        <w:numPr>
          <w:ilvl w:val="0"/>
          <w:numId w:val="23"/>
        </w:numPr>
        <w:rPr>
          <w:rFonts w:ascii="Arial" w:cs="Arial" w:eastAsia="Arial" w:hAnsi="Arial"/>
          <w:sz w:val="16"/>
          <w:szCs w:val="16"/>
          <w:color w:val="00548B"/>
        </w:rPr>
      </w:pPr>
      <w:r>
        <w:rPr>
          <w:rFonts w:ascii="Arial" w:cs="Arial" w:eastAsia="Arial" w:hAnsi="Arial"/>
          <w:sz w:val="16"/>
          <w:szCs w:val="16"/>
          <w:color w:val="auto"/>
        </w:rPr>
        <w:t>Mr. Kelly, Executive Vice President, Chief Financial Officer and Treasurer.</w:t>
      </w:r>
    </w:p>
    <w:p>
      <w:pPr>
        <w:spacing w:after="0" w:line="5" w:lineRule="exact"/>
        <w:rPr>
          <w:rFonts w:ascii="Arial" w:cs="Arial" w:eastAsia="Arial" w:hAnsi="Arial"/>
          <w:sz w:val="16"/>
          <w:szCs w:val="16"/>
          <w:color w:val="00548B"/>
        </w:rPr>
      </w:pPr>
    </w:p>
    <w:p>
      <w:pPr>
        <w:ind w:left="420" w:hanging="304"/>
        <w:spacing w:after="0"/>
        <w:tabs>
          <w:tab w:leader="none" w:pos="420" w:val="left"/>
        </w:tabs>
        <w:numPr>
          <w:ilvl w:val="0"/>
          <w:numId w:val="23"/>
        </w:numPr>
        <w:rPr>
          <w:rFonts w:ascii="Arial" w:cs="Arial" w:eastAsia="Arial" w:hAnsi="Arial"/>
          <w:sz w:val="16"/>
          <w:szCs w:val="16"/>
          <w:color w:val="00548B"/>
        </w:rPr>
      </w:pPr>
      <w:r>
        <w:rPr>
          <w:rFonts w:ascii="Arial" w:cs="Arial" w:eastAsia="Arial" w:hAnsi="Arial"/>
          <w:sz w:val="16"/>
          <w:szCs w:val="16"/>
          <w:color w:val="auto"/>
        </w:rPr>
        <w:t>Ms. Ratekin, Executive Vice President, General Counsel and Corporate Secretary.</w:t>
      </w:r>
      <w:r>
        <w:rPr>
          <w:rFonts w:ascii="Arial" w:cs="Arial" w:eastAsia="Arial" w:hAnsi="Arial"/>
          <w:sz w:val="27"/>
          <w:szCs w:val="27"/>
          <w:color w:val="auto"/>
          <w:vertAlign w:val="superscript"/>
        </w:rPr>
        <w:t>5</w:t>
      </w:r>
    </w:p>
    <w:p>
      <w:pPr>
        <w:jc w:val="both"/>
        <w:ind w:left="120" w:right="20"/>
        <w:spacing w:after="0" w:line="253" w:lineRule="auto"/>
        <w:rPr>
          <w:sz w:val="20"/>
          <w:szCs w:val="20"/>
          <w:color w:val="auto"/>
        </w:rPr>
      </w:pPr>
      <w:r>
        <w:rPr>
          <w:rFonts w:ascii="Arial" w:cs="Arial" w:eastAsia="Arial" w:hAnsi="Arial"/>
          <w:sz w:val="16"/>
          <w:szCs w:val="16"/>
          <w:color w:val="auto"/>
        </w:rPr>
        <w:t>This Compensation Discussion and Analysis describes our NEO compensation program. However, our biggest asset is our approximately 3,800 employees who partner directly with our clients to drive transformational change. For this reason, more than 84% of the equity that we awarded in 2019 was granted to non-NEOs, with the largest emphasis on our practice leaders and managing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74930</wp:posOffset>
            </wp:positionV>
            <wp:extent cx="6995160" cy="1885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88595"/>
                    </a:xfrm>
                    <a:prstGeom prst="rect">
                      <a:avLst/>
                    </a:prstGeom>
                    <a:noFill/>
                  </pic:spPr>
                </pic:pic>
              </a:graphicData>
            </a:graphic>
          </wp:anchor>
        </w:drawing>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D8D8D8"/>
        </w:rPr>
        <w:t>Business Strategy</w:t>
      </w:r>
    </w:p>
    <w:p>
      <w:pPr>
        <w:spacing w:after="0" w:line="88"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6"/>
          <w:szCs w:val="16"/>
          <w:color w:val="auto"/>
        </w:rPr>
        <w:t>Our business strategy is to be the premier transformation partner for our clients. Through our integrated capabilities in strategy, operations, and technology, we help organizations face rapid and disruptive change. To ensure the success of our business strategy and our ability to deliver sustained value to our shareholders, Huron focuses on:</w:t>
      </w:r>
    </w:p>
    <w:p>
      <w:pPr>
        <w:spacing w:after="0" w:line="107" w:lineRule="exact"/>
        <w:rPr>
          <w:sz w:val="20"/>
          <w:szCs w:val="20"/>
          <w:color w:val="auto"/>
        </w:rPr>
      </w:pPr>
    </w:p>
    <w:p>
      <w:pPr>
        <w:ind w:left="420" w:hanging="304"/>
        <w:spacing w:after="0"/>
        <w:tabs>
          <w:tab w:leader="none" w:pos="420" w:val="left"/>
        </w:tabs>
        <w:numPr>
          <w:ilvl w:val="0"/>
          <w:numId w:val="24"/>
        </w:numPr>
        <w:rPr>
          <w:rFonts w:ascii="Arial" w:cs="Arial" w:eastAsia="Arial" w:hAnsi="Arial"/>
          <w:sz w:val="16"/>
          <w:szCs w:val="16"/>
          <w:color w:val="00548B"/>
        </w:rPr>
      </w:pPr>
      <w:r>
        <w:rPr>
          <w:rFonts w:ascii="Arial" w:cs="Arial" w:eastAsia="Arial" w:hAnsi="Arial"/>
          <w:sz w:val="16"/>
          <w:szCs w:val="16"/>
          <w:color w:val="auto"/>
        </w:rPr>
        <w:t>Enabling organizations to lead through transformational change by providing integrated offerings built on the strength of our industry knowledge.</w:t>
      </w:r>
    </w:p>
    <w:p>
      <w:pPr>
        <w:spacing w:after="0" w:line="5" w:lineRule="exact"/>
        <w:rPr>
          <w:rFonts w:ascii="Arial" w:cs="Arial" w:eastAsia="Arial" w:hAnsi="Arial"/>
          <w:sz w:val="16"/>
          <w:szCs w:val="16"/>
          <w:color w:val="00548B"/>
        </w:rPr>
      </w:pPr>
    </w:p>
    <w:p>
      <w:pPr>
        <w:ind w:left="420" w:hanging="304"/>
        <w:spacing w:after="0"/>
        <w:tabs>
          <w:tab w:leader="none" w:pos="420" w:val="left"/>
        </w:tabs>
        <w:numPr>
          <w:ilvl w:val="0"/>
          <w:numId w:val="24"/>
        </w:numPr>
        <w:rPr>
          <w:rFonts w:ascii="Arial" w:cs="Arial" w:eastAsia="Arial" w:hAnsi="Arial"/>
          <w:sz w:val="16"/>
          <w:szCs w:val="16"/>
          <w:color w:val="00548B"/>
        </w:rPr>
      </w:pPr>
      <w:r>
        <w:rPr>
          <w:rFonts w:ascii="Arial" w:cs="Arial" w:eastAsia="Arial" w:hAnsi="Arial"/>
          <w:sz w:val="16"/>
          <w:szCs w:val="16"/>
          <w:color w:val="auto"/>
        </w:rPr>
        <w:t>Delivering high-value, quality services to our clients to support their comprehensive needs, from strategy development to execution.</w:t>
      </w:r>
    </w:p>
    <w:p>
      <w:pPr>
        <w:spacing w:after="0" w:line="5" w:lineRule="exact"/>
        <w:rPr>
          <w:rFonts w:ascii="Arial" w:cs="Arial" w:eastAsia="Arial" w:hAnsi="Arial"/>
          <w:sz w:val="16"/>
          <w:szCs w:val="16"/>
          <w:color w:val="00548B"/>
        </w:rPr>
      </w:pPr>
    </w:p>
    <w:p>
      <w:pPr>
        <w:ind w:left="420" w:hanging="304"/>
        <w:spacing w:after="0"/>
        <w:tabs>
          <w:tab w:leader="none" w:pos="420" w:val="left"/>
        </w:tabs>
        <w:numPr>
          <w:ilvl w:val="0"/>
          <w:numId w:val="24"/>
        </w:numPr>
        <w:rPr>
          <w:rFonts w:ascii="Arial" w:cs="Arial" w:eastAsia="Arial" w:hAnsi="Arial"/>
          <w:sz w:val="16"/>
          <w:szCs w:val="16"/>
          <w:color w:val="00548B"/>
        </w:rPr>
      </w:pPr>
      <w:r>
        <w:rPr>
          <w:rFonts w:ascii="Arial" w:cs="Arial" w:eastAsia="Arial" w:hAnsi="Arial"/>
          <w:sz w:val="16"/>
          <w:szCs w:val="16"/>
          <w:color w:val="auto"/>
        </w:rPr>
        <w:t>Broadening and strengthening our capabilities to continue to best serve our clients while maintaining and growing our deep industry expertise.</w:t>
      </w:r>
    </w:p>
    <w:p>
      <w:pPr>
        <w:spacing w:after="0" w:line="5" w:lineRule="exact"/>
        <w:rPr>
          <w:rFonts w:ascii="Arial" w:cs="Arial" w:eastAsia="Arial" w:hAnsi="Arial"/>
          <w:sz w:val="16"/>
          <w:szCs w:val="16"/>
          <w:color w:val="00548B"/>
        </w:rPr>
      </w:pPr>
    </w:p>
    <w:p>
      <w:pPr>
        <w:ind w:left="440" w:hanging="324"/>
        <w:spacing w:after="0" w:line="246" w:lineRule="auto"/>
        <w:tabs>
          <w:tab w:leader="none" w:pos="407" w:val="left"/>
        </w:tabs>
        <w:numPr>
          <w:ilvl w:val="0"/>
          <w:numId w:val="24"/>
        </w:numPr>
        <w:rPr>
          <w:rFonts w:ascii="Arial" w:cs="Arial" w:eastAsia="Arial" w:hAnsi="Arial"/>
          <w:sz w:val="16"/>
          <w:szCs w:val="16"/>
          <w:color w:val="00548B"/>
        </w:rPr>
      </w:pPr>
      <w:r>
        <w:rPr>
          <w:rFonts w:ascii="Arial" w:cs="Arial" w:eastAsia="Arial" w:hAnsi="Arial"/>
          <w:sz w:val="16"/>
          <w:szCs w:val="16"/>
          <w:color w:val="auto"/>
        </w:rPr>
        <w:t>Attracting, retaining, and motivating high caliber employees with diverse perspectives and experience levels, and strong subject matter, functional and/or technical expertise.</w:t>
      </w:r>
    </w:p>
    <w:p>
      <w:pPr>
        <w:ind w:left="440" w:right="20" w:hanging="324"/>
        <w:spacing w:after="0" w:line="246" w:lineRule="auto"/>
        <w:tabs>
          <w:tab w:leader="none" w:pos="416" w:val="left"/>
        </w:tabs>
        <w:numPr>
          <w:ilvl w:val="0"/>
          <w:numId w:val="24"/>
        </w:numPr>
        <w:rPr>
          <w:rFonts w:ascii="Arial" w:cs="Arial" w:eastAsia="Arial" w:hAnsi="Arial"/>
          <w:sz w:val="16"/>
          <w:szCs w:val="16"/>
          <w:color w:val="00548B"/>
        </w:rPr>
      </w:pPr>
      <w:r>
        <w:rPr>
          <w:rFonts w:ascii="Arial" w:cs="Arial" w:eastAsia="Arial" w:hAnsi="Arial"/>
          <w:sz w:val="16"/>
          <w:szCs w:val="16"/>
          <w:color w:val="auto"/>
        </w:rPr>
        <w:t>Supplementing organic growth by successfully identifying, executing and integrating acquisitions that expand our current market offerings and deepen our industry expertise or broaden our capabilities to best serve our clients’ needs.</w:t>
      </w:r>
    </w:p>
    <w:p>
      <w:pPr>
        <w:ind w:left="420" w:hanging="304"/>
        <w:spacing w:after="0"/>
        <w:tabs>
          <w:tab w:leader="none" w:pos="420" w:val="left"/>
        </w:tabs>
        <w:numPr>
          <w:ilvl w:val="0"/>
          <w:numId w:val="24"/>
        </w:numPr>
        <w:rPr>
          <w:rFonts w:ascii="Arial" w:cs="Arial" w:eastAsia="Arial" w:hAnsi="Arial"/>
          <w:sz w:val="16"/>
          <w:szCs w:val="16"/>
          <w:color w:val="00548B"/>
        </w:rPr>
      </w:pPr>
      <w:r>
        <w:rPr>
          <w:rFonts w:ascii="Arial" w:cs="Arial" w:eastAsia="Arial" w:hAnsi="Arial"/>
          <w:sz w:val="16"/>
          <w:szCs w:val="16"/>
          <w:color w:val="auto"/>
        </w:rPr>
        <w:t>Committing to making an impact on the communities in which we live and work and taking action for a more sustainable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96520</wp:posOffset>
            </wp:positionV>
            <wp:extent cx="11226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122680" cy="8890"/>
                    </a:xfrm>
                    <a:prstGeom prst="rect">
                      <a:avLst/>
                    </a:prstGeom>
                    <a:noFill/>
                  </pic:spPr>
                </pic:pic>
              </a:graphicData>
            </a:graphic>
          </wp:anchor>
        </w:drawing>
      </w:r>
    </w:p>
    <w:p>
      <w:pPr>
        <w:spacing w:after="0" w:line="176" w:lineRule="exact"/>
        <w:rPr>
          <w:sz w:val="20"/>
          <w:szCs w:val="20"/>
          <w:color w:val="auto"/>
        </w:rPr>
      </w:pPr>
    </w:p>
    <w:p>
      <w:pPr>
        <w:ind w:left="220" w:hanging="104"/>
        <w:spacing w:after="0"/>
        <w:tabs>
          <w:tab w:leader="none" w:pos="220" w:val="left"/>
        </w:tabs>
        <w:numPr>
          <w:ilvl w:val="0"/>
          <w:numId w:val="25"/>
        </w:numPr>
        <w:rPr>
          <w:rFonts w:ascii="Arial" w:cs="Arial" w:eastAsia="Arial" w:hAnsi="Arial"/>
          <w:sz w:val="12"/>
          <w:szCs w:val="12"/>
          <w:i w:val="1"/>
          <w:iCs w:val="1"/>
          <w:color w:val="auto"/>
        </w:rPr>
      </w:pPr>
      <w:r>
        <w:rPr>
          <w:rFonts w:ascii="Arial" w:cs="Arial" w:eastAsia="Arial" w:hAnsi="Arial"/>
          <w:sz w:val="12"/>
          <w:szCs w:val="12"/>
          <w:i w:val="1"/>
          <w:iCs w:val="1"/>
          <w:color w:val="auto"/>
        </w:rPr>
        <w:t>Mr. Roth also served as President until February 2019.</w:t>
      </w:r>
    </w:p>
    <w:p>
      <w:pPr>
        <w:spacing w:after="0" w:line="9" w:lineRule="exact"/>
        <w:rPr>
          <w:rFonts w:ascii="Arial" w:cs="Arial" w:eastAsia="Arial" w:hAnsi="Arial"/>
          <w:sz w:val="12"/>
          <w:szCs w:val="12"/>
          <w:i w:val="1"/>
          <w:iCs w:val="1"/>
          <w:color w:val="auto"/>
        </w:rPr>
      </w:pPr>
    </w:p>
    <w:p>
      <w:pPr>
        <w:ind w:left="120"/>
        <w:spacing w:after="0" w:line="234" w:lineRule="auto"/>
        <w:rPr>
          <w:rFonts w:ascii="Arial" w:cs="Arial" w:eastAsia="Arial" w:hAnsi="Arial"/>
          <w:sz w:val="12"/>
          <w:szCs w:val="12"/>
          <w:i w:val="1"/>
          <w:iCs w:val="1"/>
          <w:color w:val="auto"/>
        </w:rPr>
      </w:pPr>
      <w:r>
        <w:rPr>
          <w:rFonts w:ascii="Arial" w:cs="Arial" w:eastAsia="Arial" w:hAnsi="Arial"/>
          <w:sz w:val="12"/>
          <w:szCs w:val="12"/>
          <w:i w:val="1"/>
          <w:iCs w:val="1"/>
          <w:color w:val="auto"/>
        </w:rPr>
        <w:t>4 Mr. Hussey was appointed President in February 2019.</w:t>
      </w:r>
    </w:p>
    <w:p>
      <w:pPr>
        <w:ind w:left="220" w:right="20" w:hanging="108"/>
        <w:spacing w:after="0" w:line="281" w:lineRule="auto"/>
        <w:rPr>
          <w:rFonts w:ascii="Arial" w:cs="Arial" w:eastAsia="Arial" w:hAnsi="Arial"/>
          <w:sz w:val="12"/>
          <w:szCs w:val="12"/>
          <w:i w:val="1"/>
          <w:iCs w:val="1"/>
          <w:color w:val="auto"/>
        </w:rPr>
      </w:pPr>
      <w:r>
        <w:rPr>
          <w:rFonts w:ascii="Arial" w:cs="Arial" w:eastAsia="Arial" w:hAnsi="Arial"/>
          <w:sz w:val="11"/>
          <w:szCs w:val="11"/>
          <w:i w:val="1"/>
          <w:iCs w:val="1"/>
          <w:color w:val="auto"/>
        </w:rPr>
        <w:t>5 In connection with her retirement, Ms. Ratekin and the Company entered into a Transitional Retirement Agreement on September 12, 2019. Effective March 1, 2020, Ms. Ratekin transitioned to the role of Advisor to the Board of Directors and will serve in that role through April 1, 2021. Effective March 1, 2020, Ernest W. Torain, Jr. was appointed Executive Vice President, General Counsel and Corporate Secretary.</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00548B"/>
        </w:rPr>
        <w:t>21</w:t>
      </w:r>
    </w:p>
    <w:p>
      <w:pPr>
        <w:sectPr>
          <w:pgSz w:w="11900" w:h="16838" w:orient="portrait"/>
          <w:cols w:equalWidth="0" w:num="1">
            <w:col w:w="11140"/>
          </w:cols>
          <w:pgMar w:left="32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1885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88595"/>
                    </a:xfrm>
                    <a:prstGeom prst="rect">
                      <a:avLst/>
                    </a:prstGeom>
                    <a:noFill/>
                  </pic:spPr>
                </pic:pic>
              </a:graphicData>
            </a:graphic>
          </wp:anchor>
        </w:drawing>
      </w:r>
    </w:p>
    <w:p>
      <w:pPr>
        <w:spacing w:after="0" w:line="3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D8D8D8"/>
        </w:rPr>
        <w:t>Compensation Strategy</w:t>
      </w:r>
    </w:p>
    <w:p>
      <w:pPr>
        <w:spacing w:after="0" w:line="8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Our compensation philosophy has three key elements:</w:t>
      </w:r>
    </w:p>
    <w:p>
      <w:pPr>
        <w:spacing w:after="0" w:line="127" w:lineRule="exact"/>
        <w:rPr>
          <w:sz w:val="20"/>
          <w:szCs w:val="20"/>
          <w:color w:val="auto"/>
        </w:rPr>
      </w:pPr>
    </w:p>
    <w:p>
      <w:pPr>
        <w:ind w:left="420" w:hanging="304"/>
        <w:spacing w:after="0"/>
        <w:tabs>
          <w:tab w:leader="none" w:pos="420" w:val="left"/>
        </w:tabs>
        <w:numPr>
          <w:ilvl w:val="0"/>
          <w:numId w:val="26"/>
        </w:numPr>
        <w:rPr>
          <w:rFonts w:ascii="Arial" w:cs="Arial" w:eastAsia="Arial" w:hAnsi="Arial"/>
          <w:sz w:val="16"/>
          <w:szCs w:val="16"/>
          <w:color w:val="00548B"/>
        </w:rPr>
      </w:pPr>
      <w:r>
        <w:rPr>
          <w:rFonts w:ascii="Arial" w:cs="Arial" w:eastAsia="Arial" w:hAnsi="Arial"/>
          <w:sz w:val="16"/>
          <w:szCs w:val="16"/>
          <w:color w:val="auto"/>
        </w:rPr>
        <w:t>Motivate and reward performance that is in the long-term best interests of shareholders.</w:t>
      </w:r>
    </w:p>
    <w:p>
      <w:pPr>
        <w:spacing w:after="0" w:line="5" w:lineRule="exact"/>
        <w:rPr>
          <w:rFonts w:ascii="Arial" w:cs="Arial" w:eastAsia="Arial" w:hAnsi="Arial"/>
          <w:sz w:val="16"/>
          <w:szCs w:val="16"/>
          <w:color w:val="00548B"/>
        </w:rPr>
      </w:pPr>
    </w:p>
    <w:p>
      <w:pPr>
        <w:ind w:left="420" w:hanging="304"/>
        <w:spacing w:after="0"/>
        <w:tabs>
          <w:tab w:leader="none" w:pos="420" w:val="left"/>
        </w:tabs>
        <w:numPr>
          <w:ilvl w:val="0"/>
          <w:numId w:val="26"/>
        </w:numPr>
        <w:rPr>
          <w:rFonts w:ascii="Arial" w:cs="Arial" w:eastAsia="Arial" w:hAnsi="Arial"/>
          <w:sz w:val="16"/>
          <w:szCs w:val="16"/>
          <w:color w:val="00548B"/>
        </w:rPr>
      </w:pPr>
      <w:r>
        <w:rPr>
          <w:rFonts w:ascii="Arial" w:cs="Arial" w:eastAsia="Arial" w:hAnsi="Arial"/>
          <w:sz w:val="16"/>
          <w:szCs w:val="16"/>
          <w:color w:val="auto"/>
        </w:rPr>
        <w:t>Deliver competitive total compensation generally targeted at the median of our peer group (+/-15%).</w:t>
      </w:r>
    </w:p>
    <w:p>
      <w:pPr>
        <w:spacing w:after="0" w:line="5" w:lineRule="exact"/>
        <w:rPr>
          <w:rFonts w:ascii="Arial" w:cs="Arial" w:eastAsia="Arial" w:hAnsi="Arial"/>
          <w:sz w:val="16"/>
          <w:szCs w:val="16"/>
          <w:color w:val="00548B"/>
        </w:rPr>
      </w:pPr>
    </w:p>
    <w:p>
      <w:pPr>
        <w:jc w:val="both"/>
        <w:ind w:left="440" w:right="20" w:hanging="324"/>
        <w:spacing w:after="0" w:line="253" w:lineRule="auto"/>
        <w:tabs>
          <w:tab w:leader="none" w:pos="416" w:val="left"/>
        </w:tabs>
        <w:numPr>
          <w:ilvl w:val="0"/>
          <w:numId w:val="26"/>
        </w:numPr>
        <w:rPr>
          <w:rFonts w:ascii="Arial" w:cs="Arial" w:eastAsia="Arial" w:hAnsi="Arial"/>
          <w:sz w:val="16"/>
          <w:szCs w:val="16"/>
          <w:color w:val="00548B"/>
        </w:rPr>
      </w:pPr>
      <w:r>
        <w:rPr>
          <w:rFonts w:ascii="Arial" w:cs="Arial" w:eastAsia="Arial" w:hAnsi="Arial"/>
          <w:sz w:val="16"/>
          <w:szCs w:val="16"/>
          <w:color w:val="auto"/>
        </w:rPr>
        <w:t>Place a substantial portion of the compensation of our named executive officers at risk; actual payouts should vary based on the Company’s financial and strategic performance. The performance measures that determine our incentive awards, as approved annually by the Compensation Committee, are directly aligned with our business strategy and drive shareholder value.</w:t>
      </w:r>
    </w:p>
    <w:p>
      <w:pPr>
        <w:spacing w:after="0" w:line="9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D8D8D8"/>
        </w:rPr>
        <w:t>Business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-116205</wp:posOffset>
            </wp:positionV>
            <wp:extent cx="6995160" cy="1631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63195"/>
                    </a:xfrm>
                    <a:prstGeom prst="rect">
                      <a:avLst/>
                    </a:prstGeom>
                    <a:noFill/>
                  </pic:spPr>
                </pic:pic>
              </a:graphicData>
            </a:graphic>
          </wp:anchor>
        </w:drawing>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Company’s financial and strategic performance determines the majority of our NEOs’ compensation.</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2019 business results were as follows</w:t>
      </w:r>
      <w:r>
        <w:rPr>
          <w:rFonts w:ascii="Arial" w:cs="Arial" w:eastAsia="Arial" w:hAnsi="Arial"/>
          <w:sz w:val="27"/>
          <w:szCs w:val="27"/>
          <w:b w:val="1"/>
          <w:bCs w:val="1"/>
          <w:color w:val="auto"/>
          <w:vertAlign w:val="superscript"/>
        </w:rPr>
        <w:t>6</w:t>
      </w:r>
      <w:r>
        <w:rPr>
          <w:rFonts w:ascii="Arial" w:cs="Arial" w:eastAsia="Arial" w:hAnsi="Arial"/>
          <w:sz w:val="16"/>
          <w:szCs w:val="16"/>
          <w:b w:val="1"/>
          <w:bCs w:val="1"/>
          <w:color w:val="auto"/>
        </w:rPr>
        <w:t>:</w:t>
      </w:r>
    </w:p>
    <w:p>
      <w:pPr>
        <w:spacing w:after="0" w:line="102" w:lineRule="exact"/>
        <w:rPr>
          <w:sz w:val="20"/>
          <w:szCs w:val="20"/>
          <w:color w:val="auto"/>
        </w:rPr>
      </w:pPr>
    </w:p>
    <w:p>
      <w:pPr>
        <w:jc w:val="both"/>
        <w:ind w:left="440" w:right="20" w:hanging="324"/>
        <w:spacing w:after="0" w:line="246" w:lineRule="auto"/>
        <w:tabs>
          <w:tab w:leader="none" w:pos="416" w:val="left"/>
        </w:tabs>
        <w:numPr>
          <w:ilvl w:val="0"/>
          <w:numId w:val="27"/>
        </w:numPr>
        <w:rPr>
          <w:rFonts w:ascii="Arial" w:cs="Arial" w:eastAsia="Arial" w:hAnsi="Arial"/>
          <w:sz w:val="16"/>
          <w:szCs w:val="16"/>
          <w:color w:val="00548B"/>
        </w:rPr>
      </w:pPr>
      <w:r>
        <w:rPr>
          <w:rFonts w:ascii="Arial" w:cs="Arial" w:eastAsia="Arial" w:hAnsi="Arial"/>
          <w:sz w:val="16"/>
          <w:szCs w:val="16"/>
          <w:color w:val="auto"/>
        </w:rPr>
        <w:t>In 2019, we continued to execute against our enterprise-wide strategy to drive sustainable organic growth and margin expansion over time. We invested in areas of our business focused on growth, collaboration and efficiency, including investing in new service lines to strengthen and expand our offerings.</w:t>
      </w:r>
    </w:p>
    <w:p>
      <w:pPr>
        <w:spacing w:after="0" w:line="1" w:lineRule="exact"/>
        <w:rPr>
          <w:rFonts w:ascii="Arial" w:cs="Arial" w:eastAsia="Arial" w:hAnsi="Arial"/>
          <w:sz w:val="16"/>
          <w:szCs w:val="16"/>
          <w:color w:val="00548B"/>
        </w:rPr>
      </w:pPr>
    </w:p>
    <w:p>
      <w:pPr>
        <w:jc w:val="both"/>
        <w:ind w:left="440" w:right="20" w:hanging="324"/>
        <w:spacing w:after="0" w:line="246" w:lineRule="auto"/>
        <w:tabs>
          <w:tab w:leader="none" w:pos="416" w:val="left"/>
        </w:tabs>
        <w:numPr>
          <w:ilvl w:val="0"/>
          <w:numId w:val="27"/>
        </w:numPr>
        <w:rPr>
          <w:rFonts w:ascii="Arial" w:cs="Arial" w:eastAsia="Arial" w:hAnsi="Arial"/>
          <w:sz w:val="16"/>
          <w:szCs w:val="16"/>
          <w:color w:val="00548B"/>
        </w:rPr>
      </w:pPr>
      <w:r>
        <w:rPr>
          <w:rFonts w:ascii="Arial" w:cs="Arial" w:eastAsia="Arial" w:hAnsi="Arial"/>
          <w:sz w:val="16"/>
          <w:szCs w:val="16"/>
          <w:color w:val="auto"/>
        </w:rPr>
        <w:t>We continued to evolve our strategic planning process and investment allocation strategy to accelerate our ability to execute and more aggressively strengthen our competitive position. To further support these objectives, we enhanced our performance management process at the practice leader and managing director levels to more closely align individual measures with our enterprise-level strategic objectives.</w:t>
      </w:r>
    </w:p>
    <w:p>
      <w:pPr>
        <w:spacing w:after="0" w:line="1" w:lineRule="exact"/>
        <w:rPr>
          <w:rFonts w:ascii="Arial" w:cs="Arial" w:eastAsia="Arial" w:hAnsi="Arial"/>
          <w:sz w:val="16"/>
          <w:szCs w:val="16"/>
          <w:color w:val="00548B"/>
        </w:rPr>
      </w:pPr>
    </w:p>
    <w:p>
      <w:pPr>
        <w:ind w:left="440" w:right="20" w:hanging="324"/>
        <w:spacing w:after="0" w:line="246" w:lineRule="auto"/>
        <w:tabs>
          <w:tab w:leader="none" w:pos="413" w:val="left"/>
        </w:tabs>
        <w:numPr>
          <w:ilvl w:val="0"/>
          <w:numId w:val="27"/>
        </w:numPr>
        <w:rPr>
          <w:rFonts w:ascii="Arial" w:cs="Arial" w:eastAsia="Arial" w:hAnsi="Arial"/>
          <w:sz w:val="16"/>
          <w:szCs w:val="16"/>
          <w:color w:val="00548B"/>
        </w:rPr>
      </w:pPr>
      <w:r>
        <w:rPr>
          <w:rFonts w:ascii="Arial" w:cs="Arial" w:eastAsia="Arial" w:hAnsi="Arial"/>
          <w:sz w:val="16"/>
          <w:szCs w:val="16"/>
          <w:color w:val="auto"/>
        </w:rPr>
        <w:t>The Compensation Committee set the 2019 NEO compensation targets to align with the Company’s plan for expanding margins based on its revenue growth and efficiency-focused initiatives at the practice level and the continued leveraging of corporate SG&amp;A expenses.</w:t>
      </w:r>
    </w:p>
    <w:p>
      <w:pPr>
        <w:ind w:left="420" w:hanging="304"/>
        <w:spacing w:after="0"/>
        <w:tabs>
          <w:tab w:leader="none" w:pos="420" w:val="left"/>
        </w:tabs>
        <w:numPr>
          <w:ilvl w:val="0"/>
          <w:numId w:val="27"/>
        </w:numPr>
        <w:rPr>
          <w:rFonts w:ascii="Arial" w:cs="Arial" w:eastAsia="Arial" w:hAnsi="Arial"/>
          <w:sz w:val="16"/>
          <w:szCs w:val="16"/>
          <w:color w:val="00548B"/>
        </w:rPr>
      </w:pPr>
      <w:r>
        <w:rPr>
          <w:rFonts w:ascii="Arial" w:cs="Arial" w:eastAsia="Arial" w:hAnsi="Arial"/>
          <w:sz w:val="16"/>
          <w:szCs w:val="16"/>
          <w:color w:val="auto"/>
        </w:rPr>
        <w:t>Net revenues were $876.8 million in 2019, compared to $795.1 million in the prior year, achieving 10.3% organic revenue growth year-over-year.</w:t>
      </w:r>
    </w:p>
    <w:p>
      <w:pPr>
        <w:spacing w:after="0" w:line="5" w:lineRule="exact"/>
        <w:rPr>
          <w:rFonts w:ascii="Arial" w:cs="Arial" w:eastAsia="Arial" w:hAnsi="Arial"/>
          <w:sz w:val="16"/>
          <w:szCs w:val="16"/>
          <w:color w:val="00548B"/>
        </w:rPr>
      </w:pPr>
    </w:p>
    <w:p>
      <w:pPr>
        <w:ind w:left="400" w:hanging="284"/>
        <w:spacing w:after="0"/>
        <w:tabs>
          <w:tab w:leader="none" w:pos="400" w:val="left"/>
        </w:tabs>
        <w:numPr>
          <w:ilvl w:val="0"/>
          <w:numId w:val="27"/>
        </w:numPr>
        <w:rPr>
          <w:rFonts w:ascii="Arial" w:cs="Arial" w:eastAsia="Arial" w:hAnsi="Arial"/>
          <w:sz w:val="16"/>
          <w:szCs w:val="16"/>
          <w:color w:val="00548B"/>
        </w:rPr>
      </w:pPr>
      <w:r>
        <w:rPr>
          <w:rFonts w:ascii="Arial" w:cs="Arial" w:eastAsia="Arial" w:hAnsi="Arial"/>
          <w:sz w:val="16"/>
          <w:szCs w:val="16"/>
          <w:color w:val="auto"/>
        </w:rPr>
        <w:t>Adjusted EBITDA margin was 12.0% in 2019, compared to 11.4% in 2018.</w:t>
      </w:r>
    </w:p>
    <w:p>
      <w:pPr>
        <w:spacing w:after="0" w:line="5" w:lineRule="exact"/>
        <w:rPr>
          <w:rFonts w:ascii="Arial" w:cs="Arial" w:eastAsia="Arial" w:hAnsi="Arial"/>
          <w:sz w:val="16"/>
          <w:szCs w:val="16"/>
          <w:color w:val="00548B"/>
        </w:rPr>
      </w:pPr>
    </w:p>
    <w:p>
      <w:pPr>
        <w:ind w:left="440" w:right="20" w:hanging="324"/>
        <w:spacing w:after="0" w:line="246" w:lineRule="auto"/>
        <w:tabs>
          <w:tab w:leader="none" w:pos="407" w:val="left"/>
        </w:tabs>
        <w:numPr>
          <w:ilvl w:val="0"/>
          <w:numId w:val="27"/>
        </w:numPr>
        <w:rPr>
          <w:rFonts w:ascii="Arial" w:cs="Arial" w:eastAsia="Arial" w:hAnsi="Arial"/>
          <w:sz w:val="16"/>
          <w:szCs w:val="16"/>
          <w:color w:val="00548B"/>
        </w:rPr>
      </w:pPr>
      <w:r>
        <w:rPr>
          <w:rFonts w:ascii="Arial" w:cs="Arial" w:eastAsia="Arial" w:hAnsi="Arial"/>
          <w:sz w:val="16"/>
          <w:szCs w:val="16"/>
          <w:color w:val="auto"/>
        </w:rPr>
        <w:t>Adjusted Diluted EPS was $2.74 in 2019, compared to $2.08 in 2018, driven by organic growth across all three operating segments and a lower effective tax rate.</w:t>
      </w:r>
    </w:p>
    <w:p>
      <w:pPr>
        <w:ind w:left="440" w:right="20" w:hanging="324"/>
        <w:spacing w:after="0" w:line="260" w:lineRule="auto"/>
        <w:tabs>
          <w:tab w:leader="none" w:pos="416" w:val="left"/>
        </w:tabs>
        <w:numPr>
          <w:ilvl w:val="0"/>
          <w:numId w:val="27"/>
        </w:numPr>
        <w:rPr>
          <w:rFonts w:ascii="Arial" w:cs="Arial" w:eastAsia="Arial" w:hAnsi="Arial"/>
          <w:sz w:val="16"/>
          <w:szCs w:val="16"/>
          <w:color w:val="00548B"/>
        </w:rPr>
      </w:pPr>
      <w:r>
        <w:rPr>
          <w:rFonts w:ascii="Arial" w:cs="Arial" w:eastAsia="Arial" w:hAnsi="Arial"/>
          <w:sz w:val="16"/>
          <w:szCs w:val="16"/>
          <w:color w:val="auto"/>
        </w:rPr>
        <w:t>While there continues to be intense competition for talent, we believe we have been successful at retaining our revenue-generating professionals and creating an attractive platform to recruit new talent. We have also benefited from the use of equity to retain our managing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131445</wp:posOffset>
            </wp:positionV>
            <wp:extent cx="11226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231" w:lineRule="exact"/>
        <w:rPr>
          <w:sz w:val="20"/>
          <w:szCs w:val="20"/>
          <w:color w:val="auto"/>
        </w:rPr>
      </w:pPr>
    </w:p>
    <w:p>
      <w:pPr>
        <w:jc w:val="both"/>
        <w:ind w:left="220" w:hanging="107"/>
        <w:spacing w:after="0" w:line="238" w:lineRule="auto"/>
        <w:rPr>
          <w:sz w:val="20"/>
          <w:szCs w:val="20"/>
          <w:color w:val="auto"/>
        </w:rPr>
      </w:pPr>
      <w:r>
        <w:rPr>
          <w:rFonts w:ascii="Arial" w:cs="Arial" w:eastAsia="Arial" w:hAnsi="Arial"/>
          <w:sz w:val="12"/>
          <w:szCs w:val="12"/>
          <w:i w:val="1"/>
          <w:iCs w:val="1"/>
          <w:color w:val="auto"/>
        </w:rPr>
        <w:t>6 In the discussion of the Company’s 2019 performance, the Compensation Committee discusses certain of Huron’s results of operations using non-GAAP financial measures, which are discussed in the Company’s Annual Report on Form 10-K for the year ended December 31, 2019 (the “2019 Annual Report on Form 10-K”), Item 7, Management’s Discussion and Analysis of Financial Condition and Results of Operations under the subheading “Non-GAAP Measures.” These non-GAAP financial measures include adjusted EBITDA, adjusted EBITDA margin, adjusted net income, and adjusted diluted EPS. EBITDA is defined as net income (loss) from continuing operations before interest, income tax expense and depreciation and amortization. Adjusted EBITDA represents EBITDA as adjusted by adding back restructuring charges, litigation and other gains and losses, transaction-related expenses, and foreign currency transaction gains and losses. Adjusted EBITDA margin is adjusted EBITDA expressed as a percentage of net revenues. Adjusted diluted EPS is defined as diluted earnings (loss) per share from continuing operations adjusted by adding back the same items as adjusted EBITDA, in addition to amortization of intangible assets, non-cash interest on convertible notes, all on a tax effected basis, as well as one-time tax benefits.</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00548B"/>
        </w:rPr>
        <w:t>22</w:t>
      </w:r>
    </w:p>
    <w:p>
      <w:pPr>
        <w:sectPr>
          <w:pgSz w:w="11900" w:h="16838" w:orient="portrait"/>
          <w:cols w:equalWidth="0" w:num="1">
            <w:col w:w="11140"/>
          </w:cols>
          <w:pgMar w:left="32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D8D8D8"/>
        </w:rPr>
        <w:t>Impact of Results on NEO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-116205</wp:posOffset>
            </wp:positionV>
            <wp:extent cx="699516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0"/>
                    </a:xfrm>
                    <a:prstGeom prst="rect">
                      <a:avLst/>
                    </a:prstGeom>
                    <a:noFill/>
                  </pic:spPr>
                </pic:pic>
              </a:graphicData>
            </a:graphic>
          </wp:anchor>
        </w:drawing>
      </w:r>
    </w:p>
    <w:p>
      <w:pPr>
        <w:spacing w:after="0" w:line="176" w:lineRule="exact"/>
        <w:rPr>
          <w:sz w:val="20"/>
          <w:szCs w:val="20"/>
          <w:color w:val="auto"/>
        </w:rPr>
      </w:pPr>
    </w:p>
    <w:p>
      <w:pPr>
        <w:jc w:val="both"/>
        <w:ind w:left="120"/>
        <w:spacing w:after="0" w:line="251" w:lineRule="auto"/>
        <w:rPr>
          <w:sz w:val="20"/>
          <w:szCs w:val="20"/>
          <w:color w:val="auto"/>
        </w:rPr>
      </w:pPr>
      <w:r>
        <w:rPr>
          <w:rFonts w:ascii="Arial" w:cs="Arial" w:eastAsia="Arial" w:hAnsi="Arial"/>
          <w:sz w:val="16"/>
          <w:szCs w:val="16"/>
          <w:color w:val="auto"/>
        </w:rPr>
        <w:t>Our compensation philosophy and incentive plan design strive to incentivize management by aligning their interests with those of our shareholders. We made a number of changes to our executive compensation program for 2019 to further align executive pay with shareholder value and evolving best practices. In 2019, approximately 77% of total direct compensation for our Chief Executive Officer, and approximately 68% on average for our other NEOs, was performance-based and not guaranteed. The graphs below illustrate this performance-based mix of pay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1376680</wp:posOffset>
            </wp:positionH>
            <wp:positionV relativeFrom="paragraph">
              <wp:posOffset>127000</wp:posOffset>
            </wp:positionV>
            <wp:extent cx="4397375" cy="26574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397375"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ind w:left="120"/>
        <w:spacing w:after="0" w:line="251" w:lineRule="auto"/>
        <w:rPr>
          <w:sz w:val="20"/>
          <w:szCs w:val="20"/>
          <w:color w:val="auto"/>
        </w:rPr>
      </w:pPr>
      <w:r>
        <w:rPr>
          <w:rFonts w:ascii="Arial" w:cs="Arial" w:eastAsia="Arial" w:hAnsi="Arial"/>
          <w:sz w:val="16"/>
          <w:szCs w:val="16"/>
          <w:color w:val="auto"/>
        </w:rPr>
        <w:t>In 2019, we were able to achieve a number of our annual incentive goals, including outperforming our Organic Revenue Growth goal. As a result, our NEOs earned 130% of their target annual incentive awards. However, our performance-based long-term incentive awards eligible to vest in 2019 were not earned, resulting in our NEOs not realizing their full target equity award values. For 2019, our CEO realized 68% of his target pay, and on average our other NEOs realized 72% of their target pay.</w:t>
      </w:r>
    </w:p>
    <w:p>
      <w:pPr>
        <w:spacing w:after="0" w:line="162" w:lineRule="exact"/>
        <w:rPr>
          <w:sz w:val="20"/>
          <w:szCs w:val="20"/>
          <w:color w:val="auto"/>
        </w:rPr>
      </w:pPr>
    </w:p>
    <w:p>
      <w:pPr>
        <w:jc w:val="both"/>
        <w:ind w:left="120"/>
        <w:spacing w:after="0" w:line="251" w:lineRule="auto"/>
        <w:rPr>
          <w:sz w:val="20"/>
          <w:szCs w:val="20"/>
          <w:color w:val="auto"/>
        </w:rPr>
      </w:pPr>
      <w:r>
        <w:rPr>
          <w:rFonts w:ascii="Arial" w:cs="Arial" w:eastAsia="Arial" w:hAnsi="Arial"/>
          <w:sz w:val="16"/>
          <w:szCs w:val="16"/>
          <w:color w:val="auto"/>
        </w:rPr>
        <w:t>Our executive compensation program is designed to align with shareholder value. This is reflected in a comparison of Mr. Roth’s target and realizable compensation. The graph below illustrates the target compensation opportunity provided to Mr. Roth from 2015-2019, the compensation he has earned, and the compensation he still has the potential to earn over this same period (LTI At-Risk). The realizable compensation values are compared with our TSR performance over the same period.</w:t>
      </w:r>
    </w:p>
    <w:p>
      <w:pPr>
        <w:spacing w:after="0" w:line="13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00548B"/>
        </w:rPr>
        <w:t>23</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both"/>
        <w:ind w:left="120"/>
        <w:spacing w:after="0" w:line="249" w:lineRule="auto"/>
        <w:rPr>
          <w:sz w:val="20"/>
          <w:szCs w:val="20"/>
          <w:color w:val="auto"/>
        </w:rPr>
      </w:pPr>
      <w:r>
        <w:rPr>
          <w:rFonts w:ascii="Arial" w:cs="Arial" w:eastAsia="Arial" w:hAnsi="Arial"/>
          <w:sz w:val="16"/>
          <w:szCs w:val="16"/>
          <w:color w:val="auto"/>
        </w:rPr>
        <w:t>Realizable pay includes salary, actual annual incentive earned, and equity incentives earned or remaining eligible to be earned, valued at the December 31, 2019 share price, which increased 34% over the 2018 year-end share price. Seventy percent of our NEOs’ LTI opportunity is at-risk. Beginning with the LTI grants in 2018, these at-risk awards are only eligible to be earned if the Company achieves rigorous predetermined Adjusted Diluted EPS and Revenue Growth goals over a three-year performance period. 2018 and 2019 at-risk LTI is eligible to be earned after the completion of the 2018-2020 and 2019-2021 performance cycles, respectively, based on actual results. The value of these awards will depend on the portion, if any, earned and the share price at that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128905</wp:posOffset>
            </wp:positionV>
            <wp:extent cx="5194935" cy="16459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94935" cy="164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60" w:right="20" w:hanging="544"/>
        <w:spacing w:after="0" w:line="260"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Target Pay reflects the sum of the target compensation levels, including base salary, target annual incentive and the grant date fair value of equity provided in 2015, 2016, 2017, 2018 and 2019.</w:t>
      </w:r>
    </w:p>
    <w:p>
      <w:pPr>
        <w:spacing w:after="0" w:line="100" w:lineRule="exact"/>
        <w:rPr>
          <w:rFonts w:ascii="Arial" w:cs="Arial" w:eastAsia="Arial" w:hAnsi="Arial"/>
          <w:sz w:val="16"/>
          <w:szCs w:val="16"/>
          <w:color w:val="auto"/>
        </w:rPr>
      </w:pPr>
    </w:p>
    <w:p>
      <w:pPr>
        <w:jc w:val="both"/>
        <w:ind w:left="660" w:right="20" w:hanging="544"/>
        <w:spacing w:after="0" w:line="251"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Realizable Pay reflects the sum of actual base salary paid, actual annual incentive paid, and the value of long-term incentive awards granted in 2015, 2016, 2017, 2018 and 2019. “Vested LTI” includes all time-based RSUs that were vested and the portion, if any, of performance-based RSUs that were vested as of 12/31/19. “LTI At-Risk” includes time-based and performance-based RSUs that were not vested as of 12/31/19, assumed at target. All equity is valued at the $68.72 share price as of 12/31/19. Specifically for the PSUs:</w:t>
      </w:r>
    </w:p>
    <w:p>
      <w:pPr>
        <w:spacing w:after="0" w:line="107" w:lineRule="exact"/>
        <w:rPr>
          <w:rFonts w:ascii="Arial" w:cs="Arial" w:eastAsia="Arial" w:hAnsi="Arial"/>
          <w:sz w:val="16"/>
          <w:szCs w:val="16"/>
          <w:color w:val="auto"/>
        </w:rPr>
      </w:pPr>
    </w:p>
    <w:p>
      <w:pPr>
        <w:ind w:left="1200" w:hanging="544"/>
        <w:spacing w:after="0"/>
        <w:tabs>
          <w:tab w:leader="none" w:pos="12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The performance-based awards granted in 2015 were forfeited.</w:t>
      </w:r>
    </w:p>
    <w:p>
      <w:pPr>
        <w:spacing w:after="0" w:line="126" w:lineRule="exact"/>
        <w:rPr>
          <w:rFonts w:ascii="Arial" w:cs="Arial" w:eastAsia="Arial" w:hAnsi="Arial"/>
          <w:sz w:val="16"/>
          <w:szCs w:val="16"/>
          <w:color w:val="auto"/>
        </w:rPr>
      </w:pPr>
    </w:p>
    <w:p>
      <w:pPr>
        <w:ind w:left="1200" w:right="20" w:hanging="544"/>
        <w:spacing w:after="0" w:line="260" w:lineRule="auto"/>
        <w:tabs>
          <w:tab w:leader="none" w:pos="12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The performance-based awards granted in 2016 had two tranches. The 2016 tranche vested at 55%. The second tranche was forfeited, resulting in a total payout of 25% of the target award value.</w:t>
      </w:r>
    </w:p>
    <w:p>
      <w:pPr>
        <w:spacing w:after="0" w:line="100" w:lineRule="exact"/>
        <w:rPr>
          <w:rFonts w:ascii="Arial" w:cs="Arial" w:eastAsia="Arial" w:hAnsi="Arial"/>
          <w:sz w:val="16"/>
          <w:szCs w:val="16"/>
          <w:color w:val="auto"/>
        </w:rPr>
      </w:pPr>
    </w:p>
    <w:p>
      <w:pPr>
        <w:ind w:left="1200" w:hanging="544"/>
        <w:spacing w:after="0"/>
        <w:tabs>
          <w:tab w:leader="none" w:pos="12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The 2017 and 2019 tranches of the 2017-2019 performance-based awards were forfeited.</w:t>
      </w:r>
    </w:p>
    <w:p>
      <w:pPr>
        <w:spacing w:after="0" w:line="126" w:lineRule="exact"/>
        <w:rPr>
          <w:rFonts w:ascii="Arial" w:cs="Arial" w:eastAsia="Arial" w:hAnsi="Arial"/>
          <w:sz w:val="16"/>
          <w:szCs w:val="16"/>
          <w:color w:val="auto"/>
        </w:rPr>
      </w:pPr>
    </w:p>
    <w:p>
      <w:pPr>
        <w:jc w:val="both"/>
        <w:ind w:left="1200" w:right="20" w:hanging="544"/>
        <w:spacing w:after="0" w:line="253" w:lineRule="auto"/>
        <w:tabs>
          <w:tab w:leader="none" w:pos="12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The 2018-2020 and 2019-2021 awards are shown at target as these awards are subject to three-year performance cycles that have not been completed. In order for these awards to be earned, the Company must achieve significant growth in Adjusted Diluted EPS and revenue.</w:t>
      </w:r>
    </w:p>
    <w:p>
      <w:pPr>
        <w:spacing w:after="0" w:line="13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00548B"/>
        </w:rPr>
        <w:t>24</w:t>
      </w:r>
    </w:p>
    <w:p>
      <w:pPr>
        <w:sectPr>
          <w:pgSz w:w="11900" w:h="16838" w:orient="portrait"/>
          <w:cols w:equalWidth="0" w:num="1">
            <w:col w:w="11140"/>
          </w:cols>
          <w:pgMar w:left="32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03415" cy="2311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003415" cy="231140"/>
                    </a:xfrm>
                    <a:prstGeom prst="rect">
                      <a:avLst/>
                    </a:prstGeom>
                    <a:noFill/>
                  </pic:spPr>
                </pic:pic>
              </a:graphicData>
            </a:graphic>
          </wp:anchor>
        </w:drawing>
      </w:r>
    </w:p>
    <w:p>
      <w:pPr>
        <w:spacing w:after="0" w:line="3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D8D8D8"/>
        </w:rPr>
        <w:t>SECTION 2 - COMPENSATION PROGRAM OVERVIEW</w:t>
      </w:r>
    </w:p>
    <w:p>
      <w:pPr>
        <w:spacing w:after="0" w:line="277" w:lineRule="exact"/>
        <w:rPr>
          <w:sz w:val="20"/>
          <w:szCs w:val="20"/>
          <w:color w:val="auto"/>
        </w:rPr>
      </w:pPr>
    </w:p>
    <w:p>
      <w:pPr>
        <w:ind w:left="120" w:right="20"/>
        <w:spacing w:after="0" w:line="260" w:lineRule="auto"/>
        <w:rPr>
          <w:sz w:val="20"/>
          <w:szCs w:val="20"/>
          <w:color w:val="auto"/>
        </w:rPr>
      </w:pPr>
      <w:r>
        <w:rPr>
          <w:rFonts w:ascii="Arial" w:cs="Arial" w:eastAsia="Arial" w:hAnsi="Arial"/>
          <w:sz w:val="16"/>
          <w:szCs w:val="16"/>
          <w:color w:val="auto"/>
        </w:rPr>
        <w:t>Huron’s executive compensation program is structured to align executive pay with Company performance. We strive to provide compensation to motivate and reward performance that is in the long-term best interests of our shareholders. We define performance as a blend of:</w:t>
      </w:r>
    </w:p>
    <w:p>
      <w:pPr>
        <w:spacing w:after="0" w:line="195" w:lineRule="exact"/>
        <w:rPr>
          <w:sz w:val="20"/>
          <w:szCs w:val="20"/>
          <w:color w:val="auto"/>
        </w:rPr>
      </w:pPr>
    </w:p>
    <w:p>
      <w:pPr>
        <w:ind w:left="1080" w:hanging="424"/>
        <w:spacing w:after="0"/>
        <w:tabs>
          <w:tab w:leader="none" w:pos="1080" w:val="left"/>
        </w:tabs>
        <w:numPr>
          <w:ilvl w:val="0"/>
          <w:numId w:val="29"/>
        </w:numPr>
        <w:rPr>
          <w:rFonts w:ascii="Arial" w:cs="Arial" w:eastAsia="Arial" w:hAnsi="Arial"/>
          <w:sz w:val="16"/>
          <w:szCs w:val="16"/>
          <w:color w:val="00548B"/>
        </w:rPr>
      </w:pPr>
      <w:r>
        <w:rPr>
          <w:rFonts w:ascii="Arial" w:cs="Arial" w:eastAsia="Arial" w:hAnsi="Arial"/>
          <w:sz w:val="16"/>
          <w:szCs w:val="16"/>
          <w:color w:val="auto"/>
        </w:rPr>
        <w:t>Delivering value to shareholders;</w:t>
      </w:r>
    </w:p>
    <w:p>
      <w:pPr>
        <w:spacing w:after="0" w:line="5" w:lineRule="exact"/>
        <w:rPr>
          <w:rFonts w:ascii="Arial" w:cs="Arial" w:eastAsia="Arial" w:hAnsi="Arial"/>
          <w:sz w:val="16"/>
          <w:szCs w:val="16"/>
          <w:color w:val="00548B"/>
        </w:rPr>
      </w:pPr>
    </w:p>
    <w:p>
      <w:pPr>
        <w:ind w:left="1080" w:hanging="424"/>
        <w:spacing w:after="0"/>
        <w:tabs>
          <w:tab w:leader="none" w:pos="1080" w:val="left"/>
        </w:tabs>
        <w:numPr>
          <w:ilvl w:val="0"/>
          <w:numId w:val="29"/>
        </w:numPr>
        <w:rPr>
          <w:rFonts w:ascii="Arial" w:cs="Arial" w:eastAsia="Arial" w:hAnsi="Arial"/>
          <w:sz w:val="16"/>
          <w:szCs w:val="16"/>
          <w:color w:val="00548B"/>
        </w:rPr>
      </w:pPr>
      <w:r>
        <w:rPr>
          <w:rFonts w:ascii="Arial" w:cs="Arial" w:eastAsia="Arial" w:hAnsi="Arial"/>
          <w:sz w:val="16"/>
          <w:szCs w:val="16"/>
          <w:color w:val="auto"/>
        </w:rPr>
        <w:t>Achieving financial performance in comparison to pre-established financial goals; and</w:t>
      </w:r>
    </w:p>
    <w:p>
      <w:pPr>
        <w:spacing w:after="0" w:line="5" w:lineRule="exact"/>
        <w:rPr>
          <w:rFonts w:ascii="Arial" w:cs="Arial" w:eastAsia="Arial" w:hAnsi="Arial"/>
          <w:sz w:val="16"/>
          <w:szCs w:val="16"/>
          <w:color w:val="00548B"/>
        </w:rPr>
      </w:pPr>
    </w:p>
    <w:p>
      <w:pPr>
        <w:ind w:left="1080" w:hanging="424"/>
        <w:spacing w:after="0"/>
        <w:tabs>
          <w:tab w:leader="none" w:pos="1080" w:val="left"/>
        </w:tabs>
        <w:numPr>
          <w:ilvl w:val="0"/>
          <w:numId w:val="29"/>
        </w:numPr>
        <w:rPr>
          <w:rFonts w:ascii="Arial" w:cs="Arial" w:eastAsia="Arial" w:hAnsi="Arial"/>
          <w:sz w:val="16"/>
          <w:szCs w:val="16"/>
          <w:color w:val="00548B"/>
        </w:rPr>
      </w:pPr>
      <w:r>
        <w:rPr>
          <w:rFonts w:ascii="Arial" w:cs="Arial" w:eastAsia="Arial" w:hAnsi="Arial"/>
          <w:sz w:val="16"/>
          <w:szCs w:val="16"/>
          <w:color w:val="auto"/>
        </w:rPr>
        <w:t>Attaining strategic initiatives that we believe are critical to future value creation.</w:t>
      </w:r>
    </w:p>
    <w:p>
      <w:pPr>
        <w:spacing w:after="0" w:line="199" w:lineRule="exact"/>
        <w:rPr>
          <w:sz w:val="20"/>
          <w:szCs w:val="20"/>
          <w:color w:val="auto"/>
        </w:rPr>
      </w:pPr>
    </w:p>
    <w:tbl>
      <w:tblPr>
        <w:tblLayout w:type="fixed"/>
        <w:tblInd w:w="130" w:type="dxa"/>
        <w:tblCellMar>
          <w:top w:w="0" w:type="dxa"/>
          <w:left w:w="0" w:type="dxa"/>
          <w:bottom w:w="0" w:type="dxa"/>
          <w:right w:w="0" w:type="dxa"/>
        </w:tblCellMar>
      </w:tblPr>
      <w:tr>
        <w:trPr>
          <w:trHeight w:val="250"/>
        </w:trPr>
        <w:tc>
          <w:tcPr>
            <w:tcW w:w="320" w:type="dxa"/>
            <w:vAlign w:val="bottom"/>
            <w:tcBorders>
              <w:top w:val="single" w:sz="8" w:color="00548B"/>
              <w:left w:val="single" w:sz="8" w:color="00548B"/>
              <w:bottom w:val="single" w:sz="8" w:color="00548B"/>
              <w:right w:val="single" w:sz="8" w:color="999999"/>
            </w:tcBorders>
            <w:shd w:val="clear" w:color="auto" w:fill="00548B"/>
          </w:tcPr>
          <w:p>
            <w:pPr>
              <w:spacing w:after="0"/>
              <w:rPr>
                <w:sz w:val="21"/>
                <w:szCs w:val="21"/>
                <w:color w:val="auto"/>
              </w:rPr>
            </w:pPr>
          </w:p>
        </w:tc>
        <w:tc>
          <w:tcPr>
            <w:tcW w:w="5300" w:type="dxa"/>
            <w:vAlign w:val="bottom"/>
            <w:tcBorders>
              <w:top w:val="single" w:sz="8" w:color="00548B"/>
              <w:bottom w:val="single" w:sz="8" w:color="00548B"/>
              <w:right w:val="single" w:sz="8" w:color="999999"/>
            </w:tcBorders>
            <w:shd w:val="clear" w:color="auto" w:fill="00548B"/>
          </w:tcPr>
          <w:p>
            <w:pPr>
              <w:ind w:left="2280"/>
              <w:spacing w:after="0"/>
              <w:rPr>
                <w:sz w:val="20"/>
                <w:szCs w:val="20"/>
                <w:color w:val="auto"/>
              </w:rPr>
            </w:pPr>
            <w:r>
              <w:rPr>
                <w:rFonts w:ascii="Arial" w:cs="Arial" w:eastAsia="Arial" w:hAnsi="Arial"/>
                <w:sz w:val="14"/>
                <w:szCs w:val="14"/>
                <w:b w:val="1"/>
                <w:bCs w:val="1"/>
                <w:color w:val="D8D8D8"/>
              </w:rPr>
              <w:t>What We Do</w:t>
            </w:r>
          </w:p>
        </w:tc>
        <w:tc>
          <w:tcPr>
            <w:tcW w:w="220" w:type="dxa"/>
            <w:vAlign w:val="bottom"/>
            <w:tcBorders>
              <w:top w:val="single" w:sz="8" w:color="00548B"/>
              <w:bottom w:val="single" w:sz="8" w:color="00548B"/>
              <w:right w:val="single" w:sz="8" w:color="999999"/>
            </w:tcBorders>
            <w:shd w:val="clear" w:color="auto" w:fill="00548B"/>
          </w:tcPr>
          <w:p>
            <w:pPr>
              <w:spacing w:after="0"/>
              <w:rPr>
                <w:sz w:val="21"/>
                <w:szCs w:val="21"/>
                <w:color w:val="auto"/>
              </w:rPr>
            </w:pPr>
          </w:p>
        </w:tc>
        <w:tc>
          <w:tcPr>
            <w:tcW w:w="5200" w:type="dxa"/>
            <w:vAlign w:val="bottom"/>
            <w:tcBorders>
              <w:top w:val="single" w:sz="8" w:color="00548B"/>
              <w:bottom w:val="single" w:sz="8" w:color="00548B"/>
              <w:right w:val="single" w:sz="8" w:color="00548B"/>
            </w:tcBorders>
            <w:shd w:val="clear" w:color="auto" w:fill="00548B"/>
          </w:tcPr>
          <w:p>
            <w:pPr>
              <w:ind w:left="1940"/>
              <w:spacing w:after="0"/>
              <w:rPr>
                <w:sz w:val="20"/>
                <w:szCs w:val="20"/>
                <w:color w:val="auto"/>
              </w:rPr>
            </w:pPr>
            <w:r>
              <w:rPr>
                <w:rFonts w:ascii="Arial" w:cs="Arial" w:eastAsia="Arial" w:hAnsi="Arial"/>
                <w:sz w:val="14"/>
                <w:szCs w:val="14"/>
                <w:b w:val="1"/>
                <w:bCs w:val="1"/>
                <w:color w:val="D8D8D8"/>
              </w:rPr>
              <w:t>What We Do Not Do</w:t>
            </w:r>
          </w:p>
        </w:tc>
      </w:tr>
      <w:tr>
        <w:trPr>
          <w:trHeight w:val="191"/>
        </w:trPr>
        <w:tc>
          <w:tcPr>
            <w:tcW w:w="320" w:type="dxa"/>
            <w:vAlign w:val="bottom"/>
            <w:tcBorders>
              <w:left w:val="single" w:sz="8" w:color="00548B"/>
              <w:right w:val="single" w:sz="8" w:color="999999"/>
            </w:tcBorders>
          </w:tcPr>
          <w:p>
            <w:pPr>
              <w:ind w:left="160"/>
              <w:spacing w:after="0" w:line="161" w:lineRule="exact"/>
              <w:rPr>
                <w:sz w:val="20"/>
                <w:szCs w:val="20"/>
                <w:color w:val="auto"/>
              </w:rPr>
            </w:pPr>
            <w:r>
              <w:rPr>
                <w:rFonts w:ascii="MS PGothic" w:cs="MS PGothic" w:eastAsia="MS PGothic" w:hAnsi="MS PGothic"/>
                <w:sz w:val="16"/>
                <w:szCs w:val="16"/>
                <w:color w:val="00548B"/>
                <w:w w:val="74"/>
              </w:rPr>
              <w:t>✓</w:t>
            </w:r>
          </w:p>
        </w:tc>
        <w:tc>
          <w:tcPr>
            <w:tcW w:w="5300" w:type="dxa"/>
            <w:vAlign w:val="bottom"/>
            <w:tcBorders>
              <w:right w:val="single" w:sz="8" w:color="999999"/>
            </w:tcBorders>
          </w:tcPr>
          <w:p>
            <w:pPr>
              <w:ind w:left="100"/>
              <w:spacing w:after="0"/>
              <w:rPr>
                <w:sz w:val="20"/>
                <w:szCs w:val="20"/>
                <w:color w:val="auto"/>
              </w:rPr>
            </w:pPr>
            <w:r>
              <w:rPr>
                <w:rFonts w:ascii="Arial" w:cs="Arial" w:eastAsia="Arial" w:hAnsi="Arial"/>
                <w:sz w:val="16"/>
                <w:szCs w:val="16"/>
                <w:color w:val="auto"/>
              </w:rPr>
              <w:t>Provide competitive target pay opportunity - with a significant majority</w:t>
            </w:r>
          </w:p>
        </w:tc>
        <w:tc>
          <w:tcPr>
            <w:tcW w:w="220" w:type="dxa"/>
            <w:vAlign w:val="bottom"/>
            <w:tcBorders>
              <w:right w:val="single" w:sz="8" w:color="999999"/>
            </w:tcBorders>
          </w:tcPr>
          <w:p>
            <w:pPr>
              <w:jc w:val="right"/>
              <w:spacing w:after="0"/>
              <w:rPr>
                <w:sz w:val="20"/>
                <w:szCs w:val="20"/>
                <w:color w:val="auto"/>
              </w:rPr>
            </w:pPr>
            <w:r>
              <w:rPr>
                <w:rFonts w:ascii="Arial" w:cs="Arial" w:eastAsia="Arial" w:hAnsi="Arial"/>
                <w:sz w:val="16"/>
                <w:szCs w:val="16"/>
                <w:color w:val="00548B"/>
              </w:rPr>
              <w:t>û</w:t>
            </w:r>
          </w:p>
        </w:tc>
        <w:tc>
          <w:tcPr>
            <w:tcW w:w="5200" w:type="dxa"/>
            <w:vAlign w:val="bottom"/>
            <w:tcBorders>
              <w:right w:val="single" w:sz="8" w:color="00548B"/>
            </w:tcBorders>
          </w:tcPr>
          <w:p>
            <w:pPr>
              <w:ind w:left="100"/>
              <w:spacing w:after="0"/>
              <w:rPr>
                <w:sz w:val="20"/>
                <w:szCs w:val="20"/>
                <w:color w:val="auto"/>
              </w:rPr>
            </w:pPr>
            <w:r>
              <w:rPr>
                <w:rFonts w:ascii="Arial" w:cs="Arial" w:eastAsia="Arial" w:hAnsi="Arial"/>
                <w:sz w:val="16"/>
                <w:szCs w:val="16"/>
                <w:color w:val="auto"/>
              </w:rPr>
              <w:t>Provide excise tax gross-ups</w:t>
            </w:r>
          </w:p>
        </w:tc>
      </w:tr>
      <w:tr>
        <w:trPr>
          <w:trHeight w:val="187"/>
        </w:trPr>
        <w:tc>
          <w:tcPr>
            <w:tcW w:w="320" w:type="dxa"/>
            <w:vAlign w:val="bottom"/>
            <w:tcBorders>
              <w:left w:val="single" w:sz="8" w:color="00548B"/>
              <w:bottom w:val="single" w:sz="8" w:color="999999"/>
              <w:right w:val="single" w:sz="8" w:color="999999"/>
            </w:tcBorders>
          </w:tcPr>
          <w:p>
            <w:pPr>
              <w:spacing w:after="0"/>
              <w:rPr>
                <w:sz w:val="16"/>
                <w:szCs w:val="16"/>
                <w:color w:val="auto"/>
              </w:rPr>
            </w:pPr>
          </w:p>
        </w:tc>
        <w:tc>
          <w:tcPr>
            <w:tcW w:w="5300" w:type="dxa"/>
            <w:vAlign w:val="bottom"/>
            <w:tcBorders>
              <w:bottom w:val="single" w:sz="8" w:color="999999"/>
              <w:right w:val="single" w:sz="8" w:color="999999"/>
            </w:tcBorders>
          </w:tcPr>
          <w:p>
            <w:pPr>
              <w:ind w:left="100"/>
              <w:spacing w:after="0"/>
              <w:rPr>
                <w:sz w:val="20"/>
                <w:szCs w:val="20"/>
                <w:color w:val="auto"/>
              </w:rPr>
            </w:pPr>
            <w:r>
              <w:rPr>
                <w:rFonts w:ascii="Arial" w:cs="Arial" w:eastAsia="Arial" w:hAnsi="Arial"/>
                <w:sz w:val="16"/>
                <w:szCs w:val="16"/>
                <w:color w:val="auto"/>
              </w:rPr>
              <w:t>at-risk and based on objective financial performance measures</w:t>
            </w:r>
          </w:p>
        </w:tc>
        <w:tc>
          <w:tcPr>
            <w:tcW w:w="220" w:type="dxa"/>
            <w:vAlign w:val="bottom"/>
            <w:tcBorders>
              <w:bottom w:val="single" w:sz="8" w:color="999999"/>
              <w:right w:val="single" w:sz="8" w:color="999999"/>
            </w:tcBorders>
          </w:tcPr>
          <w:p>
            <w:pPr>
              <w:spacing w:after="0"/>
              <w:rPr>
                <w:sz w:val="16"/>
                <w:szCs w:val="16"/>
                <w:color w:val="auto"/>
              </w:rPr>
            </w:pPr>
          </w:p>
        </w:tc>
        <w:tc>
          <w:tcPr>
            <w:tcW w:w="5200" w:type="dxa"/>
            <w:vAlign w:val="bottom"/>
            <w:tcBorders>
              <w:bottom w:val="single" w:sz="8" w:color="999999"/>
              <w:right w:val="single" w:sz="8" w:color="00548B"/>
            </w:tcBorders>
          </w:tcPr>
          <w:p>
            <w:pPr>
              <w:spacing w:after="0"/>
              <w:rPr>
                <w:sz w:val="16"/>
                <w:szCs w:val="16"/>
                <w:color w:val="auto"/>
              </w:rPr>
            </w:pPr>
          </w:p>
        </w:tc>
      </w:tr>
      <w:tr>
        <w:trPr>
          <w:trHeight w:val="196"/>
        </w:trPr>
        <w:tc>
          <w:tcPr>
            <w:tcW w:w="320" w:type="dxa"/>
            <w:vAlign w:val="bottom"/>
            <w:tcBorders>
              <w:left w:val="single" w:sz="8" w:color="00548B"/>
              <w:bottom w:val="single" w:sz="8" w:color="999999"/>
              <w:right w:val="single" w:sz="8" w:color="999999"/>
            </w:tcBorders>
          </w:tcPr>
          <w:p>
            <w:pPr>
              <w:ind w:left="160"/>
              <w:spacing w:after="0" w:line="161" w:lineRule="exact"/>
              <w:rPr>
                <w:sz w:val="20"/>
                <w:szCs w:val="20"/>
                <w:color w:val="auto"/>
              </w:rPr>
            </w:pPr>
            <w:r>
              <w:rPr>
                <w:rFonts w:ascii="MS PGothic" w:cs="MS PGothic" w:eastAsia="MS PGothic" w:hAnsi="MS PGothic"/>
                <w:sz w:val="16"/>
                <w:szCs w:val="16"/>
                <w:color w:val="00548B"/>
                <w:w w:val="74"/>
              </w:rPr>
              <w:t>✓</w:t>
            </w:r>
          </w:p>
        </w:tc>
        <w:tc>
          <w:tcPr>
            <w:tcW w:w="5300" w:type="dxa"/>
            <w:vAlign w:val="bottom"/>
            <w:tcBorders>
              <w:bottom w:val="single" w:sz="8" w:color="999999"/>
              <w:right w:val="single" w:sz="8" w:color="999999"/>
            </w:tcBorders>
          </w:tcPr>
          <w:p>
            <w:pPr>
              <w:ind w:left="100"/>
              <w:spacing w:after="0"/>
              <w:rPr>
                <w:sz w:val="20"/>
                <w:szCs w:val="20"/>
                <w:color w:val="auto"/>
              </w:rPr>
            </w:pPr>
            <w:r>
              <w:rPr>
                <w:rFonts w:ascii="Arial" w:cs="Arial" w:eastAsia="Arial" w:hAnsi="Arial"/>
                <w:sz w:val="16"/>
                <w:szCs w:val="16"/>
                <w:color w:val="auto"/>
              </w:rPr>
              <w:t>Provide only double-trigger benefits in a change of control event</w:t>
            </w:r>
          </w:p>
        </w:tc>
        <w:tc>
          <w:tcPr>
            <w:tcW w:w="220" w:type="dxa"/>
            <w:vAlign w:val="bottom"/>
            <w:tcBorders>
              <w:bottom w:val="single" w:sz="8" w:color="999999"/>
              <w:right w:val="single" w:sz="8" w:color="999999"/>
            </w:tcBorders>
          </w:tcPr>
          <w:p>
            <w:pPr>
              <w:jc w:val="right"/>
              <w:spacing w:after="0"/>
              <w:rPr>
                <w:sz w:val="20"/>
                <w:szCs w:val="20"/>
                <w:color w:val="auto"/>
              </w:rPr>
            </w:pPr>
            <w:r>
              <w:rPr>
                <w:rFonts w:ascii="Arial" w:cs="Arial" w:eastAsia="Arial" w:hAnsi="Arial"/>
                <w:sz w:val="16"/>
                <w:szCs w:val="16"/>
                <w:color w:val="00548B"/>
              </w:rPr>
              <w:t>û</w:t>
            </w:r>
          </w:p>
        </w:tc>
        <w:tc>
          <w:tcPr>
            <w:tcW w:w="5200" w:type="dxa"/>
            <w:vAlign w:val="bottom"/>
            <w:tcBorders>
              <w:bottom w:val="single" w:sz="8" w:color="999999"/>
              <w:right w:val="single" w:sz="8" w:color="00548B"/>
            </w:tcBorders>
          </w:tcPr>
          <w:p>
            <w:pPr>
              <w:ind w:left="100"/>
              <w:spacing w:after="0"/>
              <w:rPr>
                <w:sz w:val="20"/>
                <w:szCs w:val="20"/>
                <w:color w:val="auto"/>
              </w:rPr>
            </w:pPr>
            <w:r>
              <w:rPr>
                <w:rFonts w:ascii="Arial" w:cs="Arial" w:eastAsia="Arial" w:hAnsi="Arial"/>
                <w:sz w:val="16"/>
                <w:szCs w:val="16"/>
                <w:color w:val="auto"/>
              </w:rPr>
              <w:t>Allow any hedging or pledging of Huron stock</w:t>
            </w:r>
          </w:p>
        </w:tc>
      </w:tr>
      <w:tr>
        <w:trPr>
          <w:trHeight w:val="196"/>
        </w:trPr>
        <w:tc>
          <w:tcPr>
            <w:tcW w:w="320" w:type="dxa"/>
            <w:vAlign w:val="bottom"/>
            <w:tcBorders>
              <w:left w:val="single" w:sz="8" w:color="00548B"/>
              <w:bottom w:val="single" w:sz="8" w:color="999999"/>
              <w:right w:val="single" w:sz="8" w:color="999999"/>
            </w:tcBorders>
          </w:tcPr>
          <w:p>
            <w:pPr>
              <w:ind w:left="160"/>
              <w:spacing w:after="0" w:line="161" w:lineRule="exact"/>
              <w:rPr>
                <w:sz w:val="20"/>
                <w:szCs w:val="20"/>
                <w:color w:val="auto"/>
              </w:rPr>
            </w:pPr>
            <w:r>
              <w:rPr>
                <w:rFonts w:ascii="MS PGothic" w:cs="MS PGothic" w:eastAsia="MS PGothic" w:hAnsi="MS PGothic"/>
                <w:sz w:val="16"/>
                <w:szCs w:val="16"/>
                <w:color w:val="00548B"/>
                <w:w w:val="74"/>
              </w:rPr>
              <w:t>✓</w:t>
            </w:r>
          </w:p>
        </w:tc>
        <w:tc>
          <w:tcPr>
            <w:tcW w:w="5300" w:type="dxa"/>
            <w:vAlign w:val="bottom"/>
            <w:tcBorders>
              <w:bottom w:val="single" w:sz="8" w:color="999999"/>
              <w:right w:val="single" w:sz="8" w:color="999999"/>
            </w:tcBorders>
          </w:tcPr>
          <w:p>
            <w:pPr>
              <w:ind w:left="100"/>
              <w:spacing w:after="0"/>
              <w:rPr>
                <w:sz w:val="20"/>
                <w:szCs w:val="20"/>
                <w:color w:val="auto"/>
              </w:rPr>
            </w:pPr>
            <w:r>
              <w:rPr>
                <w:rFonts w:ascii="Arial" w:cs="Arial" w:eastAsia="Arial" w:hAnsi="Arial"/>
                <w:sz w:val="16"/>
                <w:szCs w:val="16"/>
                <w:color w:val="auto"/>
              </w:rPr>
              <w:t>Annually review our programs for inappropriate risk</w:t>
            </w:r>
          </w:p>
        </w:tc>
        <w:tc>
          <w:tcPr>
            <w:tcW w:w="220" w:type="dxa"/>
            <w:vAlign w:val="bottom"/>
            <w:tcBorders>
              <w:bottom w:val="single" w:sz="8" w:color="999999"/>
              <w:right w:val="single" w:sz="8" w:color="999999"/>
            </w:tcBorders>
          </w:tcPr>
          <w:p>
            <w:pPr>
              <w:jc w:val="right"/>
              <w:spacing w:after="0"/>
              <w:rPr>
                <w:sz w:val="20"/>
                <w:szCs w:val="20"/>
                <w:color w:val="auto"/>
              </w:rPr>
            </w:pPr>
            <w:r>
              <w:rPr>
                <w:rFonts w:ascii="Arial" w:cs="Arial" w:eastAsia="Arial" w:hAnsi="Arial"/>
                <w:sz w:val="16"/>
                <w:szCs w:val="16"/>
                <w:color w:val="00548B"/>
              </w:rPr>
              <w:t>û</w:t>
            </w:r>
          </w:p>
        </w:tc>
        <w:tc>
          <w:tcPr>
            <w:tcW w:w="5200" w:type="dxa"/>
            <w:vAlign w:val="bottom"/>
            <w:tcBorders>
              <w:bottom w:val="single" w:sz="8" w:color="999999"/>
              <w:right w:val="single" w:sz="8" w:color="00548B"/>
            </w:tcBorders>
          </w:tcPr>
          <w:p>
            <w:pPr>
              <w:ind w:left="100"/>
              <w:spacing w:after="0"/>
              <w:rPr>
                <w:sz w:val="20"/>
                <w:szCs w:val="20"/>
                <w:color w:val="auto"/>
              </w:rPr>
            </w:pPr>
            <w:r>
              <w:rPr>
                <w:rFonts w:ascii="Arial" w:cs="Arial" w:eastAsia="Arial" w:hAnsi="Arial"/>
                <w:sz w:val="16"/>
                <w:szCs w:val="16"/>
                <w:color w:val="auto"/>
              </w:rPr>
              <w:t>Allow stock grants to be “timed” or awards to be repriced</w:t>
            </w:r>
          </w:p>
        </w:tc>
      </w:tr>
      <w:tr>
        <w:trPr>
          <w:trHeight w:val="184"/>
        </w:trPr>
        <w:tc>
          <w:tcPr>
            <w:tcW w:w="320" w:type="dxa"/>
            <w:vAlign w:val="bottom"/>
            <w:tcBorders>
              <w:left w:val="single" w:sz="8" w:color="00548B"/>
              <w:right w:val="single" w:sz="8" w:color="999999"/>
            </w:tcBorders>
          </w:tcPr>
          <w:p>
            <w:pPr>
              <w:ind w:left="160"/>
              <w:spacing w:after="0" w:line="161" w:lineRule="exact"/>
              <w:rPr>
                <w:sz w:val="20"/>
                <w:szCs w:val="20"/>
                <w:color w:val="auto"/>
              </w:rPr>
            </w:pPr>
            <w:r>
              <w:rPr>
                <w:rFonts w:ascii="MS PGothic" w:cs="MS PGothic" w:eastAsia="MS PGothic" w:hAnsi="MS PGothic"/>
                <w:sz w:val="16"/>
                <w:szCs w:val="16"/>
                <w:color w:val="00548B"/>
                <w:w w:val="74"/>
              </w:rPr>
              <w:t>✓</w:t>
            </w:r>
          </w:p>
        </w:tc>
        <w:tc>
          <w:tcPr>
            <w:tcW w:w="5300" w:type="dxa"/>
            <w:vAlign w:val="bottom"/>
            <w:tcBorders>
              <w:right w:val="single" w:sz="8" w:color="999999"/>
            </w:tcBorders>
          </w:tcPr>
          <w:p>
            <w:pPr>
              <w:ind w:left="100"/>
              <w:spacing w:after="0"/>
              <w:rPr>
                <w:sz w:val="20"/>
                <w:szCs w:val="20"/>
                <w:color w:val="auto"/>
              </w:rPr>
            </w:pPr>
            <w:r>
              <w:rPr>
                <w:rFonts w:ascii="Arial" w:cs="Arial" w:eastAsia="Arial" w:hAnsi="Arial"/>
                <w:sz w:val="16"/>
                <w:szCs w:val="16"/>
                <w:color w:val="auto"/>
              </w:rPr>
              <w:t>Maintain robust, competitive stock ownership guidelines, including an</w:t>
            </w:r>
          </w:p>
        </w:tc>
        <w:tc>
          <w:tcPr>
            <w:tcW w:w="220" w:type="dxa"/>
            <w:vAlign w:val="bottom"/>
            <w:tcBorders>
              <w:right w:val="single" w:sz="8" w:color="999999"/>
            </w:tcBorders>
          </w:tcPr>
          <w:p>
            <w:pPr>
              <w:jc w:val="right"/>
              <w:spacing w:after="0"/>
              <w:rPr>
                <w:sz w:val="20"/>
                <w:szCs w:val="20"/>
                <w:color w:val="auto"/>
              </w:rPr>
            </w:pPr>
            <w:r>
              <w:rPr>
                <w:rFonts w:ascii="Arial" w:cs="Arial" w:eastAsia="Arial" w:hAnsi="Arial"/>
                <w:sz w:val="16"/>
                <w:szCs w:val="16"/>
                <w:color w:val="00548B"/>
              </w:rPr>
              <w:t>û</w:t>
            </w:r>
          </w:p>
        </w:tc>
        <w:tc>
          <w:tcPr>
            <w:tcW w:w="5200" w:type="dxa"/>
            <w:vAlign w:val="bottom"/>
            <w:tcBorders>
              <w:right w:val="single" w:sz="8" w:color="00548B"/>
            </w:tcBorders>
          </w:tcPr>
          <w:p>
            <w:pPr>
              <w:ind w:left="100"/>
              <w:spacing w:after="0"/>
              <w:rPr>
                <w:sz w:val="20"/>
                <w:szCs w:val="20"/>
                <w:color w:val="auto"/>
              </w:rPr>
            </w:pPr>
            <w:r>
              <w:rPr>
                <w:rFonts w:ascii="Arial" w:cs="Arial" w:eastAsia="Arial" w:hAnsi="Arial"/>
                <w:sz w:val="16"/>
                <w:szCs w:val="16"/>
                <w:color w:val="auto"/>
              </w:rPr>
              <w:t>Provide executive perquisites not commonly available to the broader</w:t>
            </w:r>
          </w:p>
        </w:tc>
      </w:tr>
      <w:tr>
        <w:trPr>
          <w:trHeight w:val="189"/>
        </w:trPr>
        <w:tc>
          <w:tcPr>
            <w:tcW w:w="320" w:type="dxa"/>
            <w:vAlign w:val="bottom"/>
            <w:tcBorders>
              <w:left w:val="single" w:sz="8" w:color="00548B"/>
              <w:right w:val="single" w:sz="8" w:color="999999"/>
            </w:tcBorders>
          </w:tcPr>
          <w:p>
            <w:pPr>
              <w:spacing w:after="0"/>
              <w:rPr>
                <w:sz w:val="16"/>
                <w:szCs w:val="16"/>
                <w:color w:val="auto"/>
              </w:rPr>
            </w:pPr>
          </w:p>
        </w:tc>
        <w:tc>
          <w:tcPr>
            <w:tcW w:w="5300" w:type="dxa"/>
            <w:vAlign w:val="bottom"/>
            <w:tcBorders>
              <w:right w:val="single" w:sz="8" w:color="999999"/>
            </w:tcBorders>
          </w:tcPr>
          <w:p>
            <w:pPr>
              <w:ind w:left="100"/>
              <w:spacing w:after="0"/>
              <w:rPr>
                <w:sz w:val="20"/>
                <w:szCs w:val="20"/>
                <w:color w:val="auto"/>
              </w:rPr>
            </w:pPr>
            <w:r>
              <w:rPr>
                <w:rFonts w:ascii="Arial" w:cs="Arial" w:eastAsia="Arial" w:hAnsi="Arial"/>
                <w:sz w:val="16"/>
                <w:szCs w:val="16"/>
                <w:color w:val="auto"/>
              </w:rPr>
              <w:t>increase for 2019 to 5X for the CEO and directors, and a requirement</w:t>
            </w:r>
          </w:p>
        </w:tc>
        <w:tc>
          <w:tcPr>
            <w:tcW w:w="220" w:type="dxa"/>
            <w:vAlign w:val="bottom"/>
            <w:tcBorders>
              <w:right w:val="single" w:sz="8" w:color="999999"/>
            </w:tcBorders>
          </w:tcPr>
          <w:p>
            <w:pPr>
              <w:spacing w:after="0"/>
              <w:rPr>
                <w:sz w:val="16"/>
                <w:szCs w:val="16"/>
                <w:color w:val="auto"/>
              </w:rPr>
            </w:pPr>
          </w:p>
        </w:tc>
        <w:tc>
          <w:tcPr>
            <w:tcW w:w="5200" w:type="dxa"/>
            <w:vAlign w:val="bottom"/>
            <w:tcBorders>
              <w:right w:val="single" w:sz="8" w:color="00548B"/>
            </w:tcBorders>
          </w:tcPr>
          <w:p>
            <w:pPr>
              <w:ind w:left="100"/>
              <w:spacing w:after="0"/>
              <w:rPr>
                <w:sz w:val="20"/>
                <w:szCs w:val="20"/>
                <w:color w:val="auto"/>
              </w:rPr>
            </w:pPr>
            <w:r>
              <w:rPr>
                <w:rFonts w:ascii="Arial" w:cs="Arial" w:eastAsia="Arial" w:hAnsi="Arial"/>
                <w:sz w:val="16"/>
                <w:szCs w:val="16"/>
                <w:color w:val="auto"/>
              </w:rPr>
              <w:t>Huron employee population</w:t>
            </w:r>
          </w:p>
        </w:tc>
      </w:tr>
      <w:tr>
        <w:trPr>
          <w:trHeight w:val="187"/>
        </w:trPr>
        <w:tc>
          <w:tcPr>
            <w:tcW w:w="320" w:type="dxa"/>
            <w:vAlign w:val="bottom"/>
            <w:tcBorders>
              <w:left w:val="single" w:sz="8" w:color="00548B"/>
              <w:bottom w:val="single" w:sz="8" w:color="999999"/>
              <w:right w:val="single" w:sz="8" w:color="999999"/>
            </w:tcBorders>
          </w:tcPr>
          <w:p>
            <w:pPr>
              <w:spacing w:after="0"/>
              <w:rPr>
                <w:sz w:val="16"/>
                <w:szCs w:val="16"/>
                <w:color w:val="auto"/>
              </w:rPr>
            </w:pPr>
          </w:p>
        </w:tc>
        <w:tc>
          <w:tcPr>
            <w:tcW w:w="5300" w:type="dxa"/>
            <w:vAlign w:val="bottom"/>
            <w:tcBorders>
              <w:bottom w:val="single" w:sz="8" w:color="999999"/>
              <w:right w:val="single" w:sz="8" w:color="999999"/>
            </w:tcBorders>
          </w:tcPr>
          <w:p>
            <w:pPr>
              <w:ind w:left="100"/>
              <w:spacing w:after="0"/>
              <w:rPr>
                <w:sz w:val="20"/>
                <w:szCs w:val="20"/>
                <w:color w:val="auto"/>
              </w:rPr>
            </w:pPr>
            <w:r>
              <w:rPr>
                <w:rFonts w:ascii="Arial" w:cs="Arial" w:eastAsia="Arial" w:hAnsi="Arial"/>
                <w:sz w:val="16"/>
                <w:szCs w:val="16"/>
                <w:color w:val="auto"/>
              </w:rPr>
              <w:t>that 60% of after tax shares be held until the guidelines are met</w:t>
            </w:r>
          </w:p>
        </w:tc>
        <w:tc>
          <w:tcPr>
            <w:tcW w:w="220" w:type="dxa"/>
            <w:vAlign w:val="bottom"/>
            <w:tcBorders>
              <w:bottom w:val="single" w:sz="8" w:color="999999"/>
              <w:right w:val="single" w:sz="8" w:color="999999"/>
            </w:tcBorders>
          </w:tcPr>
          <w:p>
            <w:pPr>
              <w:spacing w:after="0"/>
              <w:rPr>
                <w:sz w:val="16"/>
                <w:szCs w:val="16"/>
                <w:color w:val="auto"/>
              </w:rPr>
            </w:pPr>
          </w:p>
        </w:tc>
        <w:tc>
          <w:tcPr>
            <w:tcW w:w="5200" w:type="dxa"/>
            <w:vAlign w:val="bottom"/>
            <w:tcBorders>
              <w:bottom w:val="single" w:sz="8" w:color="999999"/>
              <w:right w:val="single" w:sz="8" w:color="00548B"/>
            </w:tcBorders>
          </w:tcPr>
          <w:p>
            <w:pPr>
              <w:spacing w:after="0"/>
              <w:rPr>
                <w:sz w:val="16"/>
                <w:szCs w:val="16"/>
                <w:color w:val="auto"/>
              </w:rPr>
            </w:pPr>
          </w:p>
        </w:tc>
      </w:tr>
      <w:tr>
        <w:trPr>
          <w:trHeight w:val="184"/>
        </w:trPr>
        <w:tc>
          <w:tcPr>
            <w:tcW w:w="320" w:type="dxa"/>
            <w:vAlign w:val="bottom"/>
            <w:tcBorders>
              <w:left w:val="single" w:sz="8" w:color="00548B"/>
              <w:right w:val="single" w:sz="8" w:color="999999"/>
            </w:tcBorders>
          </w:tcPr>
          <w:p>
            <w:pPr>
              <w:ind w:left="160"/>
              <w:spacing w:after="0" w:line="161" w:lineRule="exact"/>
              <w:rPr>
                <w:sz w:val="20"/>
                <w:szCs w:val="20"/>
                <w:color w:val="auto"/>
              </w:rPr>
            </w:pPr>
            <w:r>
              <w:rPr>
                <w:rFonts w:ascii="MS PGothic" w:cs="MS PGothic" w:eastAsia="MS PGothic" w:hAnsi="MS PGothic"/>
                <w:sz w:val="16"/>
                <w:szCs w:val="16"/>
                <w:color w:val="00548B"/>
                <w:w w:val="74"/>
              </w:rPr>
              <w:t>✓</w:t>
            </w:r>
          </w:p>
        </w:tc>
        <w:tc>
          <w:tcPr>
            <w:tcW w:w="5300" w:type="dxa"/>
            <w:vAlign w:val="bottom"/>
            <w:tcBorders>
              <w:right w:val="single" w:sz="8" w:color="999999"/>
            </w:tcBorders>
          </w:tcPr>
          <w:p>
            <w:pPr>
              <w:ind w:left="100"/>
              <w:spacing w:after="0"/>
              <w:rPr>
                <w:sz w:val="20"/>
                <w:szCs w:val="20"/>
                <w:color w:val="auto"/>
              </w:rPr>
            </w:pPr>
            <w:r>
              <w:rPr>
                <w:rFonts w:ascii="Arial" w:cs="Arial" w:eastAsia="Arial" w:hAnsi="Arial"/>
                <w:sz w:val="16"/>
                <w:szCs w:val="16"/>
                <w:color w:val="auto"/>
              </w:rPr>
              <w:t>Maintain a clawback policy providing for recoupment of incentive-based</w:t>
            </w:r>
          </w:p>
        </w:tc>
        <w:tc>
          <w:tcPr>
            <w:tcW w:w="220" w:type="dxa"/>
            <w:vAlign w:val="bottom"/>
            <w:tcBorders>
              <w:right w:val="single" w:sz="8" w:color="999999"/>
            </w:tcBorders>
          </w:tcPr>
          <w:p>
            <w:pPr>
              <w:spacing w:after="0"/>
              <w:rPr>
                <w:sz w:val="16"/>
                <w:szCs w:val="16"/>
                <w:color w:val="auto"/>
              </w:rPr>
            </w:pPr>
          </w:p>
        </w:tc>
        <w:tc>
          <w:tcPr>
            <w:tcW w:w="5200" w:type="dxa"/>
            <w:vAlign w:val="bottom"/>
            <w:tcBorders>
              <w:right w:val="single" w:sz="8" w:color="00548B"/>
            </w:tcBorders>
          </w:tcPr>
          <w:p>
            <w:pPr>
              <w:spacing w:after="0"/>
              <w:rPr>
                <w:sz w:val="16"/>
                <w:szCs w:val="16"/>
                <w:color w:val="auto"/>
              </w:rPr>
            </w:pPr>
          </w:p>
        </w:tc>
      </w:tr>
      <w:tr>
        <w:trPr>
          <w:trHeight w:val="187"/>
        </w:trPr>
        <w:tc>
          <w:tcPr>
            <w:tcW w:w="320" w:type="dxa"/>
            <w:vAlign w:val="bottom"/>
            <w:tcBorders>
              <w:left w:val="single" w:sz="8" w:color="00548B"/>
              <w:bottom w:val="single" w:sz="8" w:color="999999"/>
              <w:right w:val="single" w:sz="8" w:color="999999"/>
            </w:tcBorders>
          </w:tcPr>
          <w:p>
            <w:pPr>
              <w:spacing w:after="0"/>
              <w:rPr>
                <w:sz w:val="16"/>
                <w:szCs w:val="16"/>
                <w:color w:val="auto"/>
              </w:rPr>
            </w:pPr>
          </w:p>
        </w:tc>
        <w:tc>
          <w:tcPr>
            <w:tcW w:w="5300" w:type="dxa"/>
            <w:vAlign w:val="bottom"/>
            <w:tcBorders>
              <w:bottom w:val="single" w:sz="8" w:color="999999"/>
              <w:right w:val="single" w:sz="8" w:color="999999"/>
            </w:tcBorders>
          </w:tcPr>
          <w:p>
            <w:pPr>
              <w:ind w:left="100"/>
              <w:spacing w:after="0"/>
              <w:rPr>
                <w:sz w:val="20"/>
                <w:szCs w:val="20"/>
                <w:color w:val="auto"/>
              </w:rPr>
            </w:pPr>
            <w:r>
              <w:rPr>
                <w:rFonts w:ascii="Arial" w:cs="Arial" w:eastAsia="Arial" w:hAnsi="Arial"/>
                <w:sz w:val="16"/>
                <w:szCs w:val="16"/>
                <w:color w:val="auto"/>
              </w:rPr>
              <w:t>compensation if payouts were based on misstated financial results</w:t>
            </w:r>
          </w:p>
        </w:tc>
        <w:tc>
          <w:tcPr>
            <w:tcW w:w="220" w:type="dxa"/>
            <w:vAlign w:val="bottom"/>
            <w:tcBorders>
              <w:bottom w:val="single" w:sz="8" w:color="999999"/>
              <w:right w:val="single" w:sz="8" w:color="999999"/>
            </w:tcBorders>
          </w:tcPr>
          <w:p>
            <w:pPr>
              <w:spacing w:after="0"/>
              <w:rPr>
                <w:sz w:val="16"/>
                <w:szCs w:val="16"/>
                <w:color w:val="auto"/>
              </w:rPr>
            </w:pPr>
          </w:p>
        </w:tc>
        <w:tc>
          <w:tcPr>
            <w:tcW w:w="5200" w:type="dxa"/>
            <w:vAlign w:val="bottom"/>
            <w:tcBorders>
              <w:bottom w:val="single" w:sz="8" w:color="999999"/>
              <w:right w:val="single" w:sz="8" w:color="00548B"/>
            </w:tcBorders>
          </w:tcPr>
          <w:p>
            <w:pPr>
              <w:spacing w:after="0"/>
              <w:rPr>
                <w:sz w:val="16"/>
                <w:szCs w:val="16"/>
                <w:color w:val="auto"/>
              </w:rPr>
            </w:pPr>
          </w:p>
        </w:tc>
      </w:tr>
      <w:tr>
        <w:trPr>
          <w:trHeight w:val="196"/>
        </w:trPr>
        <w:tc>
          <w:tcPr>
            <w:tcW w:w="320" w:type="dxa"/>
            <w:vAlign w:val="bottom"/>
            <w:tcBorders>
              <w:left w:val="single" w:sz="8" w:color="00548B"/>
              <w:bottom w:val="single" w:sz="8" w:color="00548B"/>
              <w:right w:val="single" w:sz="8" w:color="999999"/>
            </w:tcBorders>
          </w:tcPr>
          <w:p>
            <w:pPr>
              <w:ind w:left="160"/>
              <w:spacing w:after="0" w:line="161" w:lineRule="exact"/>
              <w:rPr>
                <w:sz w:val="20"/>
                <w:szCs w:val="20"/>
                <w:color w:val="auto"/>
              </w:rPr>
            </w:pPr>
            <w:r>
              <w:rPr>
                <w:rFonts w:ascii="MS PGothic" w:cs="MS PGothic" w:eastAsia="MS PGothic" w:hAnsi="MS PGothic"/>
                <w:sz w:val="16"/>
                <w:szCs w:val="16"/>
                <w:color w:val="00548B"/>
                <w:w w:val="74"/>
              </w:rPr>
              <w:t>✓</w:t>
            </w:r>
          </w:p>
        </w:tc>
        <w:tc>
          <w:tcPr>
            <w:tcW w:w="5300" w:type="dxa"/>
            <w:vAlign w:val="bottom"/>
            <w:tcBorders>
              <w:bottom w:val="single" w:sz="8" w:color="00548B"/>
              <w:right w:val="single" w:sz="8" w:color="999999"/>
            </w:tcBorders>
          </w:tcPr>
          <w:p>
            <w:pPr>
              <w:ind w:left="100"/>
              <w:spacing w:after="0"/>
              <w:rPr>
                <w:sz w:val="20"/>
                <w:szCs w:val="20"/>
                <w:color w:val="auto"/>
              </w:rPr>
            </w:pPr>
            <w:r>
              <w:rPr>
                <w:rFonts w:ascii="Arial" w:cs="Arial" w:eastAsia="Arial" w:hAnsi="Arial"/>
                <w:sz w:val="16"/>
                <w:szCs w:val="16"/>
                <w:color w:val="auto"/>
              </w:rPr>
              <w:t>Retain an independent compensation consultant to the board</w:t>
            </w:r>
          </w:p>
        </w:tc>
        <w:tc>
          <w:tcPr>
            <w:tcW w:w="220" w:type="dxa"/>
            <w:vAlign w:val="bottom"/>
            <w:tcBorders>
              <w:bottom w:val="single" w:sz="8" w:color="00548B"/>
              <w:right w:val="single" w:sz="8" w:color="999999"/>
            </w:tcBorders>
          </w:tcPr>
          <w:p>
            <w:pPr>
              <w:spacing w:after="0"/>
              <w:rPr>
                <w:sz w:val="17"/>
                <w:szCs w:val="17"/>
                <w:color w:val="auto"/>
              </w:rPr>
            </w:pPr>
          </w:p>
        </w:tc>
        <w:tc>
          <w:tcPr>
            <w:tcW w:w="5200" w:type="dxa"/>
            <w:vAlign w:val="bottom"/>
            <w:tcBorders>
              <w:bottom w:val="single" w:sz="8" w:color="00548B"/>
              <w:right w:val="single" w:sz="8" w:color="00548B"/>
            </w:tcBorders>
          </w:tcPr>
          <w:p>
            <w:pPr>
              <w:spacing w:after="0"/>
              <w:rPr>
                <w:sz w:val="17"/>
                <w:szCs w:val="17"/>
                <w:color w:val="auto"/>
              </w:rPr>
            </w:pPr>
          </w:p>
        </w:tc>
      </w:tr>
    </w:tbl>
    <w:p>
      <w:pPr>
        <w:spacing w:after="0" w:line="157"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00548B"/>
        </w:rPr>
        <w:t>Shareholder Outreach</w:t>
      </w:r>
    </w:p>
    <w:p>
      <w:pPr>
        <w:spacing w:after="0" w:line="25" w:lineRule="exact"/>
        <w:rPr>
          <w:sz w:val="20"/>
          <w:szCs w:val="20"/>
          <w:color w:val="auto"/>
        </w:rPr>
      </w:pPr>
    </w:p>
    <w:p>
      <w:pPr>
        <w:jc w:val="both"/>
        <w:ind w:left="120"/>
        <w:spacing w:after="0" w:line="250" w:lineRule="auto"/>
        <w:rPr>
          <w:sz w:val="20"/>
          <w:szCs w:val="20"/>
          <w:color w:val="auto"/>
        </w:rPr>
      </w:pPr>
      <w:r>
        <w:rPr>
          <w:rFonts w:ascii="Arial" w:cs="Arial" w:eastAsia="Arial" w:hAnsi="Arial"/>
          <w:sz w:val="16"/>
          <w:szCs w:val="16"/>
          <w:color w:val="auto"/>
        </w:rPr>
        <w:t>We engage with our shareholders on a regular basis throughout the year on a number of factors, including our business strategy, executive compensation, corporate governance, and environmental and social issues. Throughout 2019, we engaged with shareholders representing a significant percentage of our outstanding shares. These conversations primarily focused on the evolution of the company strategy, our executive compensation program, the ongoing diversity and refresh of the board of directors, and environmental, social and governance factors. In our discussions with shareholders during 2019, shareholders generally indicated their support for our current executive compensation program.</w:t>
      </w:r>
    </w:p>
    <w:p>
      <w:pPr>
        <w:spacing w:after="0" w:line="162" w:lineRule="exact"/>
        <w:rPr>
          <w:sz w:val="20"/>
          <w:szCs w:val="20"/>
          <w:color w:val="auto"/>
        </w:rPr>
      </w:pPr>
    </w:p>
    <w:p>
      <w:pPr>
        <w:jc w:val="both"/>
        <w:ind w:left="120" w:right="20"/>
        <w:spacing w:after="0" w:line="260" w:lineRule="auto"/>
        <w:rPr>
          <w:sz w:val="20"/>
          <w:szCs w:val="20"/>
          <w:color w:val="auto"/>
        </w:rPr>
      </w:pPr>
      <w:r>
        <w:rPr>
          <w:rFonts w:ascii="Arial" w:cs="Arial" w:eastAsia="Arial" w:hAnsi="Arial"/>
          <w:sz w:val="16"/>
          <w:szCs w:val="16"/>
          <w:color w:val="auto"/>
        </w:rPr>
        <w:t>Our current executive compensation program includes a number of features that were specifically implemented for 2018 and 2019 to reflect shareholder feedback received during 2018. Changes for 2019 and the feedback that influenced them, which we shared in last year’s CD&amp;A,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139700</wp:posOffset>
            </wp:positionV>
            <wp:extent cx="7003415"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003415" cy="17145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61" w:lineRule="exact"/>
        <w:rPr>
          <w:sz w:val="20"/>
          <w:szCs w:val="20"/>
          <w:color w:val="auto"/>
        </w:rPr>
      </w:pPr>
    </w:p>
    <w:p>
      <w:pPr>
        <w:ind w:left="1740"/>
        <w:spacing w:after="0"/>
        <w:rPr>
          <w:sz w:val="20"/>
          <w:szCs w:val="20"/>
          <w:color w:val="auto"/>
        </w:rPr>
      </w:pPr>
      <w:r>
        <w:rPr>
          <w:rFonts w:ascii="Arial" w:cs="Arial" w:eastAsia="Arial" w:hAnsi="Arial"/>
          <w:sz w:val="14"/>
          <w:szCs w:val="14"/>
          <w:b w:val="1"/>
          <w:bCs w:val="1"/>
          <w:color w:val="D8D8D8"/>
        </w:rPr>
        <w:t>Shareholders Expressed Concern About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43180</wp:posOffset>
            </wp:positionV>
            <wp:extent cx="7003415" cy="1054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003415" cy="1054100"/>
                    </a:xfrm>
                    <a:prstGeom prst="rect">
                      <a:avLst/>
                    </a:prstGeom>
                    <a:noFill/>
                  </pic:spPr>
                </pic:pic>
              </a:graphicData>
            </a:graphic>
          </wp:anchor>
        </w:drawing>
      </w:r>
    </w:p>
    <w:p>
      <w:pPr>
        <w:spacing w:after="0" w:line="50" w:lineRule="exact"/>
        <w:rPr>
          <w:sz w:val="20"/>
          <w:szCs w:val="20"/>
          <w:color w:val="auto"/>
        </w:rPr>
      </w:pPr>
    </w:p>
    <w:p>
      <w:pPr>
        <w:ind w:left="420" w:hanging="147"/>
        <w:spacing w:after="0"/>
        <w:tabs>
          <w:tab w:leader="none" w:pos="420" w:val="left"/>
        </w:tabs>
        <w:numPr>
          <w:ilvl w:val="0"/>
          <w:numId w:val="30"/>
        </w:numPr>
        <w:rPr>
          <w:rFonts w:ascii="Arial" w:cs="Arial" w:eastAsia="Arial" w:hAnsi="Arial"/>
          <w:sz w:val="16"/>
          <w:szCs w:val="16"/>
          <w:color w:val="00548B"/>
        </w:rPr>
      </w:pPr>
      <w:r>
        <w:rPr>
          <w:rFonts w:ascii="Arial" w:cs="Arial" w:eastAsia="Arial" w:hAnsi="Arial"/>
          <w:sz w:val="16"/>
          <w:szCs w:val="16"/>
          <w:color w:val="auto"/>
        </w:rPr>
        <w:t>CEO LTI opportunity increased in 2017, while stock price underperformed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color w:val="00548B"/>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color w:val="00548B"/>
        </w:rPr>
        <w:t>•</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D8D8D8"/>
        </w:rPr>
        <w:t>What We Did</w:t>
      </w:r>
    </w:p>
    <w:p>
      <w:pPr>
        <w:spacing w:after="0" w:line="70" w:lineRule="exact"/>
        <w:rPr>
          <w:sz w:val="20"/>
          <w:szCs w:val="20"/>
          <w:color w:val="auto"/>
        </w:rPr>
      </w:pPr>
    </w:p>
    <w:p>
      <w:pPr>
        <w:jc w:val="both"/>
        <w:ind w:right="40"/>
        <w:spacing w:after="0" w:line="249" w:lineRule="auto"/>
        <w:rPr>
          <w:sz w:val="20"/>
          <w:szCs w:val="20"/>
          <w:color w:val="auto"/>
        </w:rPr>
      </w:pPr>
      <w:r>
        <w:rPr>
          <w:rFonts w:ascii="Arial" w:cs="Arial" w:eastAsia="Arial" w:hAnsi="Arial"/>
          <w:sz w:val="16"/>
          <w:szCs w:val="16"/>
          <w:color w:val="auto"/>
        </w:rPr>
        <w:t>We reduced the CEO’s LTI opportunity from 300% of base salary to 225% of base salary in 2019, while continuing to make the award payable in equity. The ultimate value of realizable pay is tied to share price performance, with 70% delivered in performance-based units that can only be earned if pre-set three-year financial goals are achieved.</w:t>
      </w:r>
    </w:p>
    <w:p>
      <w:pPr>
        <w:spacing w:after="0" w:line="315" w:lineRule="exact"/>
        <w:rPr>
          <w:sz w:val="20"/>
          <w:szCs w:val="20"/>
          <w:color w:val="auto"/>
        </w:rPr>
      </w:pPr>
    </w:p>
    <w:p>
      <w:pPr>
        <w:jc w:val="both"/>
        <w:ind w:right="40"/>
        <w:spacing w:after="0" w:line="260" w:lineRule="auto"/>
        <w:rPr>
          <w:sz w:val="20"/>
          <w:szCs w:val="20"/>
          <w:color w:val="auto"/>
        </w:rPr>
      </w:pPr>
      <w:r>
        <w:rPr>
          <w:rFonts w:ascii="Arial" w:cs="Arial" w:eastAsia="Arial" w:hAnsi="Arial"/>
          <w:sz w:val="16"/>
          <w:szCs w:val="16"/>
          <w:color w:val="auto"/>
        </w:rPr>
        <w:t>In addition, we adopted a cap on annual incentive payouts - if TSR is not positive, the NEOs may not earn better than target payout.</w:t>
      </w:r>
    </w:p>
    <w:p>
      <w:pPr>
        <w:spacing w:after="0" w:line="139" w:lineRule="exact"/>
        <w:rPr>
          <w:sz w:val="20"/>
          <w:szCs w:val="20"/>
          <w:color w:val="auto"/>
        </w:rPr>
      </w:pPr>
    </w:p>
    <w:p>
      <w:pPr>
        <w:sectPr>
          <w:pgSz w:w="11900" w:h="16838" w:orient="portrait"/>
          <w:cols w:equalWidth="0" w:num="3">
            <w:col w:w="5700" w:space="180"/>
            <w:col w:w="60" w:space="120"/>
            <w:col w:w="5080"/>
          </w:cols>
          <w:pgMar w:left="320" w:top="459" w:right="439" w:bottom="1440" w:gutter="0" w:footer="0" w:header="0"/>
          <w:type w:val="continuous"/>
        </w:sectPr>
      </w:pPr>
    </w:p>
    <w:p>
      <w:pPr>
        <w:jc w:val="center"/>
        <w:ind w:right="-99"/>
        <w:spacing w:after="0"/>
        <w:rPr>
          <w:sz w:val="20"/>
          <w:szCs w:val="20"/>
          <w:color w:val="auto"/>
        </w:rPr>
      </w:pPr>
      <w:r>
        <w:rPr>
          <w:rFonts w:ascii="Arial" w:cs="Arial" w:eastAsia="Arial" w:hAnsi="Arial"/>
          <w:sz w:val="17"/>
          <w:szCs w:val="17"/>
          <w:color w:val="00548B"/>
        </w:rPr>
        <w:t>25</w:t>
      </w:r>
    </w:p>
    <w:p>
      <w:pPr>
        <w:sectPr>
          <w:pgSz w:w="11900" w:h="16838" w:orient="portrait"/>
          <w:cols w:equalWidth="0" w:num="1">
            <w:col w:w="11140"/>
          </w:cols>
          <w:pgMar w:left="320" w:top="459" w:right="43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03415"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003415" cy="171450"/>
                    </a:xfrm>
                    <a:prstGeom prst="rect">
                      <a:avLst/>
                    </a:prstGeom>
                    <a:noFill/>
                  </pic:spPr>
                </pic:pic>
              </a:graphicData>
            </a:graphic>
          </wp:anchor>
        </w:drawing>
      </w:r>
    </w:p>
    <w:p>
      <w:pPr>
        <w:spacing w:after="0" w:line="345" w:lineRule="exact"/>
        <w:rPr>
          <w:sz w:val="20"/>
          <w:szCs w:val="20"/>
          <w:color w:val="auto"/>
        </w:rPr>
      </w:pPr>
    </w:p>
    <w:p>
      <w:pPr>
        <w:ind w:left="1740"/>
        <w:spacing w:after="0"/>
        <w:tabs>
          <w:tab w:leader="none" w:pos="8120" w:val="left"/>
        </w:tabs>
        <w:rPr>
          <w:sz w:val="20"/>
          <w:szCs w:val="20"/>
          <w:color w:val="auto"/>
        </w:rPr>
      </w:pPr>
      <w:r>
        <w:rPr>
          <w:rFonts w:ascii="Arial" w:cs="Arial" w:eastAsia="Arial" w:hAnsi="Arial"/>
          <w:sz w:val="14"/>
          <w:szCs w:val="14"/>
          <w:b w:val="1"/>
          <w:bCs w:val="1"/>
          <w:color w:val="D8D8D8"/>
        </w:rPr>
        <w:t>Shareholders Expressed Concern About</w:t>
      </w:r>
      <w:r>
        <w:rPr>
          <w:sz w:val="20"/>
          <w:szCs w:val="20"/>
          <w:color w:val="auto"/>
        </w:rPr>
        <w:tab/>
      </w:r>
      <w:r>
        <w:rPr>
          <w:rFonts w:ascii="Arial" w:cs="Arial" w:eastAsia="Arial" w:hAnsi="Arial"/>
          <w:sz w:val="14"/>
          <w:szCs w:val="14"/>
          <w:b w:val="1"/>
          <w:bCs w:val="1"/>
          <w:color w:val="D8D8D8"/>
        </w:rPr>
        <w:t>What We Did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43180</wp:posOffset>
            </wp:positionV>
            <wp:extent cx="7003415" cy="23228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003415" cy="2322830"/>
                    </a:xfrm>
                    <a:prstGeom prst="rect">
                      <a:avLst/>
                    </a:prstGeom>
                    <a:noFill/>
                  </pic:spPr>
                </pic:pic>
              </a:graphicData>
            </a:graphic>
          </wp:anchor>
        </w:drawing>
      </w:r>
    </w:p>
    <w:p>
      <w:pPr>
        <w:spacing w:after="0" w:line="50" w:lineRule="exact"/>
        <w:rPr>
          <w:sz w:val="20"/>
          <w:szCs w:val="20"/>
          <w:color w:val="auto"/>
        </w:rPr>
      </w:pPr>
    </w:p>
    <w:p>
      <w:pPr>
        <w:ind w:left="420" w:hanging="147"/>
        <w:spacing w:after="0"/>
        <w:tabs>
          <w:tab w:leader="none" w:pos="420" w:val="left"/>
        </w:tabs>
        <w:numPr>
          <w:ilvl w:val="0"/>
          <w:numId w:val="31"/>
        </w:numPr>
        <w:rPr>
          <w:rFonts w:ascii="Arial" w:cs="Arial" w:eastAsia="Arial" w:hAnsi="Arial"/>
          <w:sz w:val="16"/>
          <w:szCs w:val="16"/>
          <w:color w:val="00548B"/>
        </w:rPr>
      </w:pPr>
      <w:r>
        <w:rPr>
          <w:rFonts w:ascii="Arial" w:cs="Arial" w:eastAsia="Arial" w:hAnsi="Arial"/>
          <w:sz w:val="16"/>
          <w:szCs w:val="16"/>
          <w:color w:val="auto"/>
        </w:rPr>
        <w:t xml:space="preserve">The minimum required stock holdings for the CEO and directors should be </w:t>
      </w:r>
      <w:r>
        <w:rPr>
          <w:rFonts w:ascii="Arial" w:cs="Arial" w:eastAsia="Arial" w:hAnsi="Arial"/>
          <w:sz w:val="16"/>
          <w:szCs w:val="16"/>
          <w:color w:val="00548B"/>
        </w:rPr>
        <w:t>•</w:t>
      </w:r>
      <w:r>
        <w:rPr>
          <w:rFonts w:ascii="Arial" w:cs="Arial" w:eastAsia="Arial" w:hAnsi="Arial"/>
          <w:sz w:val="16"/>
          <w:szCs w:val="16"/>
          <w:color w:val="auto"/>
        </w:rPr>
        <w:t xml:space="preserve">  We increased the stock ownership multiple required for the CEO and</w:t>
      </w:r>
    </w:p>
    <w:p>
      <w:pPr>
        <w:spacing w:after="0" w:line="5"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260" w:type="dxa"/>
            <w:vAlign w:val="bottom"/>
          </w:tcPr>
          <w:p>
            <w:pPr>
              <w:spacing w:after="0"/>
              <w:rPr>
                <w:sz w:val="16"/>
                <w:szCs w:val="16"/>
                <w:color w:val="auto"/>
              </w:rPr>
            </w:pPr>
          </w:p>
        </w:tc>
        <w:tc>
          <w:tcPr>
            <w:tcW w:w="5200" w:type="dxa"/>
            <w:vAlign w:val="bottom"/>
          </w:tcPr>
          <w:p>
            <w:pPr>
              <w:ind w:left="40"/>
              <w:spacing w:after="0"/>
              <w:rPr>
                <w:sz w:val="20"/>
                <w:szCs w:val="20"/>
                <w:color w:val="auto"/>
              </w:rPr>
            </w:pPr>
            <w:r>
              <w:rPr>
                <w:rFonts w:ascii="Arial" w:cs="Arial" w:eastAsia="Arial" w:hAnsi="Arial"/>
                <w:sz w:val="16"/>
                <w:szCs w:val="16"/>
                <w:color w:val="auto"/>
              </w:rPr>
              <w:t>raised</w:t>
            </w:r>
          </w:p>
        </w:tc>
        <w:tc>
          <w:tcPr>
            <w:tcW w:w="420" w:type="dxa"/>
            <w:vAlign w:val="bottom"/>
          </w:tcPr>
          <w:p>
            <w:pPr>
              <w:spacing w:after="0"/>
              <w:rPr>
                <w:sz w:val="16"/>
                <w:szCs w:val="16"/>
                <w:color w:val="auto"/>
              </w:rPr>
            </w:pPr>
          </w:p>
        </w:tc>
        <w:tc>
          <w:tcPr>
            <w:tcW w:w="5140" w:type="dxa"/>
            <w:vAlign w:val="bottom"/>
          </w:tcPr>
          <w:p>
            <w:pPr>
              <w:ind w:left="60"/>
              <w:spacing w:after="0"/>
              <w:rPr>
                <w:sz w:val="20"/>
                <w:szCs w:val="20"/>
                <w:color w:val="auto"/>
              </w:rPr>
            </w:pPr>
            <w:r>
              <w:rPr>
                <w:rFonts w:ascii="Arial" w:cs="Arial" w:eastAsia="Arial" w:hAnsi="Arial"/>
                <w:sz w:val="16"/>
                <w:szCs w:val="16"/>
                <w:color w:val="auto"/>
              </w:rPr>
              <w:t>directors in 2018 - from 3X to 5X - to further align them with longer</w:t>
            </w:r>
          </w:p>
        </w:tc>
      </w:tr>
      <w:tr>
        <w:trPr>
          <w:trHeight w:val="189"/>
        </w:trPr>
        <w:tc>
          <w:tcPr>
            <w:tcW w:w="26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140" w:type="dxa"/>
            <w:vAlign w:val="bottom"/>
          </w:tcPr>
          <w:p>
            <w:pPr>
              <w:ind w:left="60"/>
              <w:spacing w:after="0"/>
              <w:rPr>
                <w:sz w:val="20"/>
                <w:szCs w:val="20"/>
                <w:color w:val="auto"/>
              </w:rPr>
            </w:pPr>
            <w:r>
              <w:rPr>
                <w:rFonts w:ascii="Arial" w:cs="Arial" w:eastAsia="Arial" w:hAnsi="Arial"/>
                <w:sz w:val="16"/>
                <w:szCs w:val="16"/>
                <w:color w:val="auto"/>
              </w:rPr>
              <w:t>term share price performance. Mr. Roth currently owns stock equal to</w:t>
            </w:r>
          </w:p>
        </w:tc>
      </w:tr>
      <w:tr>
        <w:trPr>
          <w:trHeight w:val="187"/>
        </w:trPr>
        <w:tc>
          <w:tcPr>
            <w:tcW w:w="260" w:type="dxa"/>
            <w:vAlign w:val="bottom"/>
            <w:tcBorders>
              <w:bottom w:val="single" w:sz="8" w:color="999999"/>
            </w:tcBorders>
          </w:tcPr>
          <w:p>
            <w:pPr>
              <w:spacing w:after="0"/>
              <w:rPr>
                <w:sz w:val="16"/>
                <w:szCs w:val="16"/>
                <w:color w:val="auto"/>
              </w:rPr>
            </w:pPr>
          </w:p>
        </w:tc>
        <w:tc>
          <w:tcPr>
            <w:tcW w:w="5200" w:type="dxa"/>
            <w:vAlign w:val="bottom"/>
            <w:tcBorders>
              <w:bottom w:val="single" w:sz="8" w:color="999999"/>
            </w:tcBorders>
          </w:tcPr>
          <w:p>
            <w:pPr>
              <w:spacing w:after="0"/>
              <w:rPr>
                <w:sz w:val="16"/>
                <w:szCs w:val="16"/>
                <w:color w:val="auto"/>
              </w:rPr>
            </w:pPr>
          </w:p>
        </w:tc>
        <w:tc>
          <w:tcPr>
            <w:tcW w:w="420" w:type="dxa"/>
            <w:vAlign w:val="bottom"/>
            <w:tcBorders>
              <w:bottom w:val="single" w:sz="8" w:color="999999"/>
            </w:tcBorders>
          </w:tcPr>
          <w:p>
            <w:pPr>
              <w:spacing w:after="0"/>
              <w:rPr>
                <w:sz w:val="16"/>
                <w:szCs w:val="16"/>
                <w:color w:val="auto"/>
              </w:rPr>
            </w:pPr>
          </w:p>
        </w:tc>
        <w:tc>
          <w:tcPr>
            <w:tcW w:w="5140" w:type="dxa"/>
            <w:vAlign w:val="bottom"/>
            <w:tcBorders>
              <w:bottom w:val="single" w:sz="8" w:color="999999"/>
            </w:tcBorders>
          </w:tcPr>
          <w:p>
            <w:pPr>
              <w:ind w:left="60"/>
              <w:spacing w:after="0"/>
              <w:rPr>
                <w:sz w:val="20"/>
                <w:szCs w:val="20"/>
                <w:color w:val="auto"/>
              </w:rPr>
            </w:pPr>
            <w:r>
              <w:rPr>
                <w:rFonts w:ascii="Arial" w:cs="Arial" w:eastAsia="Arial" w:hAnsi="Arial"/>
                <w:sz w:val="16"/>
                <w:szCs w:val="16"/>
                <w:color w:val="auto"/>
              </w:rPr>
              <w:t>9X his base salary.</w:t>
            </w:r>
          </w:p>
        </w:tc>
      </w:tr>
      <w:tr>
        <w:trPr>
          <w:trHeight w:val="184"/>
        </w:trPr>
        <w:tc>
          <w:tcPr>
            <w:tcW w:w="5880" w:type="dxa"/>
            <w:vAlign w:val="bottom"/>
            <w:gridSpan w:val="3"/>
          </w:tcPr>
          <w:p>
            <w:pPr>
              <w:jc w:val="right"/>
              <w:spacing w:after="0"/>
              <w:rPr>
                <w:sz w:val="20"/>
                <w:szCs w:val="20"/>
                <w:color w:val="auto"/>
              </w:rPr>
            </w:pPr>
            <w:r>
              <w:rPr>
                <w:rFonts w:ascii="Arial" w:cs="Arial" w:eastAsia="Arial" w:hAnsi="Arial"/>
                <w:sz w:val="16"/>
                <w:szCs w:val="16"/>
                <w:color w:val="00548B"/>
              </w:rPr>
              <w:t xml:space="preserve">• </w:t>
            </w:r>
            <w:r>
              <w:rPr>
                <w:rFonts w:ascii="Arial" w:cs="Arial" w:eastAsia="Arial" w:hAnsi="Arial"/>
                <w:sz w:val="16"/>
                <w:szCs w:val="16"/>
                <w:color w:val="000000"/>
              </w:rPr>
              <w:t>Strategic  Measures  based  largely  on  discretionary  assessment  of</w:t>
            </w:r>
            <w:r>
              <w:rPr>
                <w:rFonts w:ascii="Arial" w:cs="Arial" w:eastAsia="Arial" w:hAnsi="Arial"/>
                <w:sz w:val="16"/>
                <w:szCs w:val="16"/>
                <w:color w:val="00548B"/>
              </w:rPr>
              <w:t xml:space="preserve"> •</w:t>
            </w:r>
          </w:p>
        </w:tc>
        <w:tc>
          <w:tcPr>
            <w:tcW w:w="5140" w:type="dxa"/>
            <w:vAlign w:val="bottom"/>
          </w:tcPr>
          <w:p>
            <w:pPr>
              <w:ind w:left="60"/>
              <w:spacing w:after="0"/>
              <w:rPr>
                <w:sz w:val="20"/>
                <w:szCs w:val="20"/>
                <w:color w:val="auto"/>
              </w:rPr>
            </w:pPr>
            <w:r>
              <w:rPr>
                <w:rFonts w:ascii="Arial" w:cs="Arial" w:eastAsia="Arial" w:hAnsi="Arial"/>
                <w:sz w:val="16"/>
                <w:szCs w:val="16"/>
                <w:color w:val="auto"/>
              </w:rPr>
              <w:t>For 2019, under the Strategic Measures, we explicitly defined 10</w:t>
            </w:r>
          </w:p>
        </w:tc>
      </w:tr>
      <w:tr>
        <w:trPr>
          <w:trHeight w:val="189"/>
        </w:trPr>
        <w:tc>
          <w:tcPr>
            <w:tcW w:w="260" w:type="dxa"/>
            <w:vAlign w:val="bottom"/>
          </w:tcPr>
          <w:p>
            <w:pPr>
              <w:spacing w:after="0"/>
              <w:rPr>
                <w:sz w:val="16"/>
                <w:szCs w:val="16"/>
                <w:color w:val="auto"/>
              </w:rPr>
            </w:pPr>
          </w:p>
        </w:tc>
        <w:tc>
          <w:tcPr>
            <w:tcW w:w="5200" w:type="dxa"/>
            <w:vAlign w:val="bottom"/>
          </w:tcPr>
          <w:p>
            <w:pPr>
              <w:ind w:left="40"/>
              <w:spacing w:after="0"/>
              <w:rPr>
                <w:sz w:val="20"/>
                <w:szCs w:val="20"/>
                <w:color w:val="auto"/>
              </w:rPr>
            </w:pPr>
            <w:r>
              <w:rPr>
                <w:rFonts w:ascii="Arial" w:cs="Arial" w:eastAsia="Arial" w:hAnsi="Arial"/>
                <w:sz w:val="16"/>
                <w:szCs w:val="16"/>
                <w:color w:val="auto"/>
              </w:rPr>
              <w:t>performance</w:t>
            </w:r>
          </w:p>
        </w:tc>
        <w:tc>
          <w:tcPr>
            <w:tcW w:w="420" w:type="dxa"/>
            <w:vAlign w:val="bottom"/>
          </w:tcPr>
          <w:p>
            <w:pPr>
              <w:spacing w:after="0"/>
              <w:rPr>
                <w:sz w:val="16"/>
                <w:szCs w:val="16"/>
                <w:color w:val="auto"/>
              </w:rPr>
            </w:pPr>
          </w:p>
        </w:tc>
        <w:tc>
          <w:tcPr>
            <w:tcW w:w="5140" w:type="dxa"/>
            <w:vAlign w:val="bottom"/>
          </w:tcPr>
          <w:p>
            <w:pPr>
              <w:ind w:left="60"/>
              <w:spacing w:after="0"/>
              <w:rPr>
                <w:sz w:val="20"/>
                <w:szCs w:val="20"/>
                <w:color w:val="auto"/>
              </w:rPr>
            </w:pPr>
            <w:r>
              <w:rPr>
                <w:rFonts w:ascii="Arial" w:cs="Arial" w:eastAsia="Arial" w:hAnsi="Arial"/>
                <w:sz w:val="16"/>
                <w:szCs w:val="16"/>
                <w:color w:val="auto"/>
              </w:rPr>
              <w:t>performance measures and 60% of those measures were tied to</w:t>
            </w:r>
          </w:p>
        </w:tc>
      </w:tr>
      <w:tr>
        <w:trPr>
          <w:trHeight w:val="189"/>
        </w:trPr>
        <w:tc>
          <w:tcPr>
            <w:tcW w:w="26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140" w:type="dxa"/>
            <w:vAlign w:val="bottom"/>
          </w:tcPr>
          <w:p>
            <w:pPr>
              <w:ind w:left="60"/>
              <w:spacing w:after="0"/>
              <w:rPr>
                <w:sz w:val="20"/>
                <w:szCs w:val="20"/>
                <w:color w:val="auto"/>
              </w:rPr>
            </w:pPr>
            <w:r>
              <w:rPr>
                <w:rFonts w:ascii="Arial" w:cs="Arial" w:eastAsia="Arial" w:hAnsi="Arial"/>
                <w:sz w:val="16"/>
                <w:szCs w:val="16"/>
                <w:color w:val="auto"/>
              </w:rPr>
              <w:t>specific, quantifiable predetermined goals. Commentary was also</w:t>
            </w:r>
          </w:p>
        </w:tc>
      </w:tr>
      <w:tr>
        <w:trPr>
          <w:trHeight w:val="189"/>
        </w:trPr>
        <w:tc>
          <w:tcPr>
            <w:tcW w:w="26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140" w:type="dxa"/>
            <w:vAlign w:val="bottom"/>
          </w:tcPr>
          <w:p>
            <w:pPr>
              <w:ind w:left="60"/>
              <w:spacing w:after="0"/>
              <w:rPr>
                <w:sz w:val="20"/>
                <w:szCs w:val="20"/>
                <w:color w:val="auto"/>
              </w:rPr>
            </w:pPr>
            <w:r>
              <w:rPr>
                <w:rFonts w:ascii="Arial" w:cs="Arial" w:eastAsia="Arial" w:hAnsi="Arial"/>
                <w:sz w:val="16"/>
                <w:szCs w:val="16"/>
                <w:color w:val="auto"/>
              </w:rPr>
              <w:t>added  to  the  CD&amp;A  to  describe  the  rationale  for  performance</w:t>
            </w:r>
          </w:p>
        </w:tc>
      </w:tr>
      <w:tr>
        <w:trPr>
          <w:trHeight w:val="189"/>
        </w:trPr>
        <w:tc>
          <w:tcPr>
            <w:tcW w:w="26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140" w:type="dxa"/>
            <w:vAlign w:val="bottom"/>
          </w:tcPr>
          <w:p>
            <w:pPr>
              <w:ind w:left="60"/>
              <w:spacing w:after="0"/>
              <w:rPr>
                <w:sz w:val="20"/>
                <w:szCs w:val="20"/>
                <w:color w:val="auto"/>
              </w:rPr>
            </w:pPr>
            <w:r>
              <w:rPr>
                <w:rFonts w:ascii="Arial" w:cs="Arial" w:eastAsia="Arial" w:hAnsi="Arial"/>
                <w:sz w:val="16"/>
                <w:szCs w:val="16"/>
                <w:color w:val="auto"/>
              </w:rPr>
              <w:t>determination.</w:t>
            </w:r>
          </w:p>
        </w:tc>
      </w:tr>
      <w:tr>
        <w:trPr>
          <w:trHeight w:val="189"/>
        </w:trPr>
        <w:tc>
          <w:tcPr>
            <w:tcW w:w="26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00548B"/>
              </w:rPr>
              <w:t>•</w:t>
            </w:r>
          </w:p>
        </w:tc>
        <w:tc>
          <w:tcPr>
            <w:tcW w:w="5140" w:type="dxa"/>
            <w:vAlign w:val="bottom"/>
          </w:tcPr>
          <w:p>
            <w:pPr>
              <w:ind w:left="60"/>
              <w:spacing w:after="0"/>
              <w:rPr>
                <w:sz w:val="20"/>
                <w:szCs w:val="20"/>
                <w:color w:val="auto"/>
              </w:rPr>
            </w:pPr>
            <w:r>
              <w:rPr>
                <w:rFonts w:ascii="Arial" w:cs="Arial" w:eastAsia="Arial" w:hAnsi="Arial"/>
                <w:sz w:val="16"/>
                <w:szCs w:val="16"/>
                <w:color w:val="auto"/>
              </w:rPr>
              <w:t>Also, beginning in 2019, the weighting of the Strategic Measures was</w:t>
            </w:r>
          </w:p>
        </w:tc>
      </w:tr>
      <w:tr>
        <w:trPr>
          <w:trHeight w:val="189"/>
        </w:trPr>
        <w:tc>
          <w:tcPr>
            <w:tcW w:w="26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140" w:type="dxa"/>
            <w:vAlign w:val="bottom"/>
          </w:tcPr>
          <w:p>
            <w:pPr>
              <w:ind w:left="60"/>
              <w:spacing w:after="0"/>
              <w:rPr>
                <w:sz w:val="20"/>
                <w:szCs w:val="20"/>
                <w:color w:val="auto"/>
              </w:rPr>
            </w:pPr>
            <w:r>
              <w:rPr>
                <w:rFonts w:ascii="Arial" w:cs="Arial" w:eastAsia="Arial" w:hAnsi="Arial"/>
                <w:sz w:val="16"/>
                <w:szCs w:val="16"/>
                <w:color w:val="auto"/>
              </w:rPr>
              <w:t>reduced from 30% to 20% of the NEOs’ target opportunity. While 60%</w:t>
            </w:r>
          </w:p>
        </w:tc>
      </w:tr>
      <w:tr>
        <w:trPr>
          <w:trHeight w:val="189"/>
        </w:trPr>
        <w:tc>
          <w:tcPr>
            <w:tcW w:w="26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140" w:type="dxa"/>
            <w:vAlign w:val="bottom"/>
          </w:tcPr>
          <w:p>
            <w:pPr>
              <w:ind w:left="60"/>
              <w:spacing w:after="0"/>
              <w:rPr>
                <w:sz w:val="20"/>
                <w:szCs w:val="20"/>
                <w:color w:val="auto"/>
              </w:rPr>
            </w:pPr>
            <w:r>
              <w:rPr>
                <w:rFonts w:ascii="Arial" w:cs="Arial" w:eastAsia="Arial" w:hAnsi="Arial"/>
                <w:sz w:val="16"/>
                <w:szCs w:val="16"/>
                <w:color w:val="auto"/>
              </w:rPr>
              <w:t>of the measures will remain tied to quantifiable predetermined goals,</w:t>
            </w:r>
          </w:p>
        </w:tc>
      </w:tr>
      <w:tr>
        <w:trPr>
          <w:trHeight w:val="198"/>
        </w:trPr>
        <w:tc>
          <w:tcPr>
            <w:tcW w:w="260" w:type="dxa"/>
            <w:vAlign w:val="bottom"/>
            <w:tcBorders>
              <w:bottom w:val="single" w:sz="8" w:color="999999"/>
            </w:tcBorders>
          </w:tcPr>
          <w:p>
            <w:pPr>
              <w:spacing w:after="0"/>
              <w:rPr>
                <w:sz w:val="17"/>
                <w:szCs w:val="17"/>
                <w:color w:val="auto"/>
              </w:rPr>
            </w:pPr>
          </w:p>
        </w:tc>
        <w:tc>
          <w:tcPr>
            <w:tcW w:w="5200" w:type="dxa"/>
            <w:vAlign w:val="bottom"/>
            <w:tcBorders>
              <w:bottom w:val="single" w:sz="8" w:color="999999"/>
            </w:tcBorders>
          </w:tcPr>
          <w:p>
            <w:pPr>
              <w:spacing w:after="0"/>
              <w:rPr>
                <w:sz w:val="17"/>
                <w:szCs w:val="17"/>
                <w:color w:val="auto"/>
              </w:rPr>
            </w:pPr>
          </w:p>
        </w:tc>
        <w:tc>
          <w:tcPr>
            <w:tcW w:w="420" w:type="dxa"/>
            <w:vAlign w:val="bottom"/>
            <w:tcBorders>
              <w:bottom w:val="single" w:sz="8" w:color="999999"/>
            </w:tcBorders>
          </w:tcPr>
          <w:p>
            <w:pPr>
              <w:spacing w:after="0"/>
              <w:rPr>
                <w:sz w:val="17"/>
                <w:szCs w:val="17"/>
                <w:color w:val="auto"/>
              </w:rPr>
            </w:pPr>
          </w:p>
        </w:tc>
        <w:tc>
          <w:tcPr>
            <w:tcW w:w="5140" w:type="dxa"/>
            <w:vAlign w:val="bottom"/>
            <w:tcBorders>
              <w:bottom w:val="single" w:sz="8" w:color="999999"/>
            </w:tcBorders>
          </w:tcPr>
          <w:p>
            <w:pPr>
              <w:ind w:left="60"/>
              <w:spacing w:after="0"/>
              <w:rPr>
                <w:sz w:val="20"/>
                <w:szCs w:val="20"/>
                <w:color w:val="auto"/>
              </w:rPr>
            </w:pPr>
            <w:r>
              <w:rPr>
                <w:rFonts w:ascii="Arial" w:cs="Arial" w:eastAsia="Arial" w:hAnsi="Arial"/>
                <w:sz w:val="16"/>
                <w:szCs w:val="16"/>
                <w:color w:val="auto"/>
              </w:rPr>
              <w:t>we will continue to explicitly define all measures.</w:t>
            </w:r>
          </w:p>
        </w:tc>
      </w:tr>
      <w:tr>
        <w:trPr>
          <w:trHeight w:val="187"/>
        </w:trPr>
        <w:tc>
          <w:tcPr>
            <w:tcW w:w="260" w:type="dxa"/>
            <w:vAlign w:val="bottom"/>
          </w:tcPr>
          <w:p>
            <w:pPr>
              <w:ind w:left="160"/>
              <w:spacing w:after="0"/>
              <w:rPr>
                <w:sz w:val="20"/>
                <w:szCs w:val="20"/>
                <w:color w:val="auto"/>
              </w:rPr>
            </w:pPr>
            <w:r>
              <w:rPr>
                <w:rFonts w:ascii="Arial" w:cs="Arial" w:eastAsia="Arial" w:hAnsi="Arial"/>
                <w:sz w:val="16"/>
                <w:szCs w:val="16"/>
                <w:color w:val="00548B"/>
              </w:rPr>
              <w:t>•</w:t>
            </w:r>
          </w:p>
        </w:tc>
        <w:tc>
          <w:tcPr>
            <w:tcW w:w="5200" w:type="dxa"/>
            <w:vAlign w:val="bottom"/>
          </w:tcPr>
          <w:p>
            <w:pPr>
              <w:ind w:left="40"/>
              <w:spacing w:after="0"/>
              <w:rPr>
                <w:sz w:val="20"/>
                <w:szCs w:val="20"/>
                <w:color w:val="auto"/>
              </w:rPr>
            </w:pPr>
            <w:r>
              <w:rPr>
                <w:rFonts w:ascii="Arial" w:cs="Arial" w:eastAsia="Arial" w:hAnsi="Arial"/>
                <w:sz w:val="16"/>
                <w:szCs w:val="16"/>
                <w:color w:val="auto"/>
              </w:rPr>
              <w:t>Annual performance measures in the Long-Term Incentive Program</w:t>
            </w:r>
          </w:p>
        </w:tc>
        <w:tc>
          <w:tcPr>
            <w:tcW w:w="420" w:type="dxa"/>
            <w:vAlign w:val="bottom"/>
          </w:tcPr>
          <w:p>
            <w:pPr>
              <w:jc w:val="right"/>
              <w:spacing w:after="0"/>
              <w:rPr>
                <w:sz w:val="20"/>
                <w:szCs w:val="20"/>
                <w:color w:val="auto"/>
              </w:rPr>
            </w:pPr>
            <w:r>
              <w:rPr>
                <w:rFonts w:ascii="Arial" w:cs="Arial" w:eastAsia="Arial" w:hAnsi="Arial"/>
                <w:sz w:val="16"/>
                <w:szCs w:val="16"/>
                <w:color w:val="00548B"/>
              </w:rPr>
              <w:t>•</w:t>
            </w:r>
          </w:p>
        </w:tc>
        <w:tc>
          <w:tcPr>
            <w:tcW w:w="5140" w:type="dxa"/>
            <w:vAlign w:val="bottom"/>
          </w:tcPr>
          <w:p>
            <w:pPr>
              <w:ind w:left="60"/>
              <w:spacing w:after="0"/>
              <w:rPr>
                <w:sz w:val="20"/>
                <w:szCs w:val="20"/>
                <w:color w:val="auto"/>
              </w:rPr>
            </w:pPr>
            <w:r>
              <w:rPr>
                <w:rFonts w:ascii="Arial" w:cs="Arial" w:eastAsia="Arial" w:hAnsi="Arial"/>
                <w:sz w:val="16"/>
                <w:szCs w:val="16"/>
                <w:color w:val="auto"/>
              </w:rPr>
              <w:t>Beginning  with  grants  made  in  2018,  PSU  awards  are  tied  to</w:t>
            </w:r>
          </w:p>
        </w:tc>
      </w:tr>
      <w:tr>
        <w:trPr>
          <w:trHeight w:val="187"/>
        </w:trPr>
        <w:tc>
          <w:tcPr>
            <w:tcW w:w="260" w:type="dxa"/>
            <w:vAlign w:val="bottom"/>
            <w:tcBorders>
              <w:bottom w:val="single" w:sz="8" w:color="999999"/>
            </w:tcBorders>
          </w:tcPr>
          <w:p>
            <w:pPr>
              <w:spacing w:after="0"/>
              <w:rPr>
                <w:sz w:val="16"/>
                <w:szCs w:val="16"/>
                <w:color w:val="auto"/>
              </w:rPr>
            </w:pPr>
          </w:p>
        </w:tc>
        <w:tc>
          <w:tcPr>
            <w:tcW w:w="5200" w:type="dxa"/>
            <w:vAlign w:val="bottom"/>
            <w:tcBorders>
              <w:bottom w:val="single" w:sz="8" w:color="999999"/>
            </w:tcBorders>
          </w:tcPr>
          <w:p>
            <w:pPr>
              <w:spacing w:after="0"/>
              <w:rPr>
                <w:sz w:val="16"/>
                <w:szCs w:val="16"/>
                <w:color w:val="auto"/>
              </w:rPr>
            </w:pPr>
          </w:p>
        </w:tc>
        <w:tc>
          <w:tcPr>
            <w:tcW w:w="420" w:type="dxa"/>
            <w:vAlign w:val="bottom"/>
            <w:tcBorders>
              <w:bottom w:val="single" w:sz="8" w:color="999999"/>
            </w:tcBorders>
          </w:tcPr>
          <w:p>
            <w:pPr>
              <w:spacing w:after="0"/>
              <w:rPr>
                <w:sz w:val="16"/>
                <w:szCs w:val="16"/>
                <w:color w:val="auto"/>
              </w:rPr>
            </w:pPr>
          </w:p>
        </w:tc>
        <w:tc>
          <w:tcPr>
            <w:tcW w:w="5140" w:type="dxa"/>
            <w:vAlign w:val="bottom"/>
            <w:tcBorders>
              <w:bottom w:val="single" w:sz="8" w:color="999999"/>
            </w:tcBorders>
          </w:tcPr>
          <w:p>
            <w:pPr>
              <w:ind w:left="60"/>
              <w:spacing w:after="0"/>
              <w:rPr>
                <w:sz w:val="20"/>
                <w:szCs w:val="20"/>
                <w:color w:val="auto"/>
              </w:rPr>
            </w:pPr>
            <w:r>
              <w:rPr>
                <w:rFonts w:ascii="Arial" w:cs="Arial" w:eastAsia="Arial" w:hAnsi="Arial"/>
                <w:sz w:val="16"/>
                <w:szCs w:val="16"/>
                <w:color w:val="auto"/>
              </w:rPr>
              <w:t>predefined measures of three-year financial performance.</w:t>
            </w:r>
          </w:p>
        </w:tc>
      </w:tr>
      <w:tr>
        <w:trPr>
          <w:trHeight w:val="184"/>
        </w:trPr>
        <w:tc>
          <w:tcPr>
            <w:tcW w:w="260" w:type="dxa"/>
            <w:vAlign w:val="bottom"/>
          </w:tcPr>
          <w:p>
            <w:pPr>
              <w:ind w:left="160"/>
              <w:spacing w:after="0"/>
              <w:rPr>
                <w:sz w:val="20"/>
                <w:szCs w:val="20"/>
                <w:color w:val="auto"/>
              </w:rPr>
            </w:pPr>
            <w:r>
              <w:rPr>
                <w:rFonts w:ascii="Arial" w:cs="Arial" w:eastAsia="Arial" w:hAnsi="Arial"/>
                <w:sz w:val="16"/>
                <w:szCs w:val="16"/>
                <w:color w:val="00548B"/>
              </w:rPr>
              <w:t>•</w:t>
            </w:r>
          </w:p>
        </w:tc>
        <w:tc>
          <w:tcPr>
            <w:tcW w:w="5200" w:type="dxa"/>
            <w:vAlign w:val="bottom"/>
          </w:tcPr>
          <w:p>
            <w:pPr>
              <w:ind w:left="40"/>
              <w:spacing w:after="0"/>
              <w:rPr>
                <w:sz w:val="20"/>
                <w:szCs w:val="20"/>
                <w:color w:val="auto"/>
              </w:rPr>
            </w:pPr>
            <w:r>
              <w:rPr>
                <w:rFonts w:ascii="Arial" w:cs="Arial" w:eastAsia="Arial" w:hAnsi="Arial"/>
                <w:sz w:val="16"/>
                <w:szCs w:val="16"/>
                <w:color w:val="auto"/>
              </w:rPr>
              <w:t>How stock is granted each year</w:t>
            </w:r>
          </w:p>
        </w:tc>
        <w:tc>
          <w:tcPr>
            <w:tcW w:w="420" w:type="dxa"/>
            <w:vAlign w:val="bottom"/>
          </w:tcPr>
          <w:p>
            <w:pPr>
              <w:jc w:val="right"/>
              <w:spacing w:after="0"/>
              <w:rPr>
                <w:sz w:val="20"/>
                <w:szCs w:val="20"/>
                <w:color w:val="auto"/>
              </w:rPr>
            </w:pPr>
            <w:r>
              <w:rPr>
                <w:rFonts w:ascii="Arial" w:cs="Arial" w:eastAsia="Arial" w:hAnsi="Arial"/>
                <w:sz w:val="16"/>
                <w:szCs w:val="16"/>
                <w:color w:val="00548B"/>
              </w:rPr>
              <w:t>•</w:t>
            </w:r>
          </w:p>
        </w:tc>
        <w:tc>
          <w:tcPr>
            <w:tcW w:w="5140" w:type="dxa"/>
            <w:vAlign w:val="bottom"/>
          </w:tcPr>
          <w:p>
            <w:pPr>
              <w:ind w:left="60"/>
              <w:spacing w:after="0"/>
              <w:rPr>
                <w:sz w:val="20"/>
                <w:szCs w:val="20"/>
                <w:color w:val="auto"/>
              </w:rPr>
            </w:pPr>
            <w:r>
              <w:rPr>
                <w:rFonts w:ascii="Arial" w:cs="Arial" w:eastAsia="Arial" w:hAnsi="Arial"/>
                <w:sz w:val="16"/>
                <w:szCs w:val="16"/>
                <w:color w:val="auto"/>
              </w:rPr>
              <w:t>We provided clarity that most of the equity that is granted goes to</w:t>
            </w:r>
          </w:p>
        </w:tc>
      </w:tr>
      <w:tr>
        <w:trPr>
          <w:trHeight w:val="189"/>
        </w:trPr>
        <w:tc>
          <w:tcPr>
            <w:tcW w:w="26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140" w:type="dxa"/>
            <w:vAlign w:val="bottom"/>
          </w:tcPr>
          <w:p>
            <w:pPr>
              <w:ind w:left="60"/>
              <w:spacing w:after="0"/>
              <w:rPr>
                <w:sz w:val="20"/>
                <w:szCs w:val="20"/>
                <w:color w:val="auto"/>
              </w:rPr>
            </w:pPr>
            <w:r>
              <w:rPr>
                <w:rFonts w:ascii="Arial" w:cs="Arial" w:eastAsia="Arial" w:hAnsi="Arial"/>
                <w:sz w:val="16"/>
                <w:szCs w:val="16"/>
                <w:color w:val="auto"/>
              </w:rPr>
              <w:t>non-NEOs, with the largest emphasis on our Managing Directors and</w:t>
            </w:r>
          </w:p>
        </w:tc>
      </w:tr>
      <w:tr>
        <w:trPr>
          <w:trHeight w:val="189"/>
        </w:trPr>
        <w:tc>
          <w:tcPr>
            <w:tcW w:w="26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140" w:type="dxa"/>
            <w:vAlign w:val="bottom"/>
          </w:tcPr>
          <w:p>
            <w:pPr>
              <w:ind w:left="60"/>
              <w:spacing w:after="0"/>
              <w:rPr>
                <w:sz w:val="20"/>
                <w:szCs w:val="20"/>
                <w:color w:val="auto"/>
              </w:rPr>
            </w:pPr>
            <w:r>
              <w:rPr>
                <w:rFonts w:ascii="Arial" w:cs="Arial" w:eastAsia="Arial" w:hAnsi="Arial"/>
                <w:sz w:val="16"/>
                <w:szCs w:val="16"/>
                <w:color w:val="auto"/>
              </w:rPr>
              <w:t>Practice Leaders. Further, 70% of the equity awarded to NEOs only</w:t>
            </w:r>
          </w:p>
        </w:tc>
      </w:tr>
      <w:tr>
        <w:trPr>
          <w:trHeight w:val="195"/>
        </w:trPr>
        <w:tc>
          <w:tcPr>
            <w:tcW w:w="26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140" w:type="dxa"/>
            <w:vAlign w:val="bottom"/>
          </w:tcPr>
          <w:p>
            <w:pPr>
              <w:ind w:left="60"/>
              <w:spacing w:after="0"/>
              <w:rPr>
                <w:sz w:val="20"/>
                <w:szCs w:val="20"/>
                <w:color w:val="auto"/>
              </w:rPr>
            </w:pPr>
            <w:r>
              <w:rPr>
                <w:rFonts w:ascii="Arial" w:cs="Arial" w:eastAsia="Arial" w:hAnsi="Arial"/>
                <w:sz w:val="16"/>
                <w:szCs w:val="16"/>
                <w:color w:val="auto"/>
              </w:rPr>
              <w:t>vests upon achievement of rigorous performance goals.</w:t>
            </w:r>
          </w:p>
        </w:tc>
      </w:tr>
    </w:tbl>
    <w:p>
      <w:pPr>
        <w:spacing w:after="0" w:line="197" w:lineRule="exact"/>
        <w:rPr>
          <w:sz w:val="20"/>
          <w:szCs w:val="20"/>
          <w:color w:val="auto"/>
        </w:rPr>
      </w:pPr>
    </w:p>
    <w:p>
      <w:pPr>
        <w:jc w:val="both"/>
        <w:ind w:left="120" w:right="20"/>
        <w:spacing w:after="0" w:line="260" w:lineRule="auto"/>
        <w:rPr>
          <w:sz w:val="20"/>
          <w:szCs w:val="20"/>
          <w:color w:val="auto"/>
        </w:rPr>
      </w:pPr>
      <w:r>
        <w:rPr>
          <w:rFonts w:ascii="Arial" w:cs="Arial" w:eastAsia="Arial" w:hAnsi="Arial"/>
          <w:sz w:val="16"/>
          <w:szCs w:val="16"/>
          <w:color w:val="auto"/>
        </w:rPr>
        <w:t>The design of our current executive compensation program is consistent with the design we described in last year’s CD&amp;A, which received the support of 94% of votes cast from our shareholders.</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00548B"/>
        </w:rPr>
        <w:t>2019 Say on Pay Vote</w:t>
      </w:r>
    </w:p>
    <w:p>
      <w:pPr>
        <w:spacing w:after="0" w:line="25" w:lineRule="exact"/>
        <w:rPr>
          <w:sz w:val="20"/>
          <w:szCs w:val="20"/>
          <w:color w:val="auto"/>
        </w:rPr>
      </w:pPr>
    </w:p>
    <w:p>
      <w:pPr>
        <w:jc w:val="both"/>
        <w:ind w:left="120"/>
        <w:spacing w:after="0" w:line="251" w:lineRule="auto"/>
        <w:rPr>
          <w:sz w:val="20"/>
          <w:szCs w:val="20"/>
          <w:color w:val="auto"/>
        </w:rPr>
      </w:pPr>
      <w:r>
        <w:rPr>
          <w:rFonts w:ascii="Arial" w:cs="Arial" w:eastAsia="Arial" w:hAnsi="Arial"/>
          <w:sz w:val="16"/>
          <w:szCs w:val="16"/>
          <w:color w:val="auto"/>
        </w:rPr>
        <w:t>At the 2019 Annual Meeting, approximately 94% of votes cast were in support of the named executive officer compensation. We view this overwhelming support of our compensation programs as a reflection of the strong alignment between our executives’ pay and shareholder value, as well as the strength of the program design changes that we made during 2018 and 2019. We will continue to listen carefully to our shareholders and incorporate their feedback into our deliberations about executive compensation.</w:t>
      </w:r>
    </w:p>
    <w:p>
      <w:pPr>
        <w:spacing w:after="0" w:line="13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00548B"/>
        </w:rPr>
        <w:t>26</w:t>
      </w:r>
    </w:p>
    <w:p>
      <w:pPr>
        <w:sectPr>
          <w:pgSz w:w="11900" w:h="16838" w:orient="portrait"/>
          <w:cols w:equalWidth="0" w:num="1">
            <w:col w:w="11140"/>
          </w:cols>
          <w:pgMar w:left="32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03415" cy="2311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003415" cy="231140"/>
                    </a:xfrm>
                    <a:prstGeom prst="rect">
                      <a:avLst/>
                    </a:prstGeom>
                    <a:noFill/>
                  </pic:spPr>
                </pic:pic>
              </a:graphicData>
            </a:graphic>
          </wp:anchor>
        </w:drawing>
      </w:r>
    </w:p>
    <w:p>
      <w:pPr>
        <w:spacing w:after="0" w:line="3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D8D8D8"/>
        </w:rPr>
        <w:t>SECTION 3 - COMPENSATION PROGRAM DETAILS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00548B"/>
        </w:rPr>
        <w:t>Targeting of Total Direct Compensation</w:t>
      </w:r>
    </w:p>
    <w:p>
      <w:pPr>
        <w:spacing w:after="0" w:line="25" w:lineRule="exact"/>
        <w:rPr>
          <w:sz w:val="20"/>
          <w:szCs w:val="20"/>
          <w:color w:val="auto"/>
        </w:rPr>
      </w:pPr>
    </w:p>
    <w:p>
      <w:pPr>
        <w:jc w:val="both"/>
        <w:ind w:left="120" w:right="20"/>
        <w:spacing w:after="0" w:line="250" w:lineRule="auto"/>
        <w:rPr>
          <w:sz w:val="20"/>
          <w:szCs w:val="20"/>
          <w:color w:val="auto"/>
        </w:rPr>
      </w:pPr>
      <w:r>
        <w:rPr>
          <w:rFonts w:ascii="Arial" w:cs="Arial" w:eastAsia="Arial" w:hAnsi="Arial"/>
          <w:sz w:val="16"/>
          <w:szCs w:val="16"/>
          <w:color w:val="auto"/>
        </w:rPr>
        <w:t>The Compensation Committee generally targets total direct compensation to be within +/-15% of the median of the Executive Pay Peer Group for our NEOs. In addition to peer group data, the Compensation Committee also reviews survey data for companies with revenues between $500 million and $1 billion from the Radford Global Technology Survey. The Compensation Committee considers Huron’s competition for talent to be broader than just the peer group companies, including other public and private consulting, strategy and also technology organizations, for the NEOs as well as our managing directors. When making compensation determinations, the Compensation Committee applies its judgment in incorporating these various factors.</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00548B"/>
        </w:rPr>
        <w:t>2019 NEO Compensation Opportunity</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Compensation Committee approved 2019 compensation levels (base salary and target annual and long-term incentive) in February of 2019.</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Changes from 2018 levels were limited:</w:t>
      </w:r>
    </w:p>
    <w:p>
      <w:pPr>
        <w:spacing w:after="0" w:line="127" w:lineRule="exact"/>
        <w:rPr>
          <w:sz w:val="20"/>
          <w:szCs w:val="20"/>
          <w:color w:val="auto"/>
        </w:rPr>
      </w:pPr>
    </w:p>
    <w:p>
      <w:pPr>
        <w:ind w:left="1080" w:hanging="424"/>
        <w:spacing w:after="0" w:line="246" w:lineRule="auto"/>
        <w:tabs>
          <w:tab w:leader="none" w:pos="1080" w:val="left"/>
        </w:tabs>
        <w:numPr>
          <w:ilvl w:val="0"/>
          <w:numId w:val="32"/>
        </w:numPr>
        <w:rPr>
          <w:rFonts w:ascii="Arial" w:cs="Arial" w:eastAsia="Arial" w:hAnsi="Arial"/>
          <w:sz w:val="16"/>
          <w:szCs w:val="16"/>
          <w:color w:val="00548B"/>
        </w:rPr>
      </w:pPr>
      <w:r>
        <w:rPr>
          <w:rFonts w:ascii="Arial" w:cs="Arial" w:eastAsia="Arial" w:hAnsi="Arial"/>
          <w:sz w:val="16"/>
          <w:szCs w:val="16"/>
          <w:color w:val="auto"/>
        </w:rPr>
        <w:t>In response to shareholder feedback, Mr. Roth’s target LTI opportunity was reduced to 225% of base salary - reducing his target total compensation opportunity by nearly 15%.</w:t>
      </w:r>
    </w:p>
    <w:p>
      <w:pPr>
        <w:ind w:left="1080" w:right="20" w:hanging="424"/>
        <w:spacing w:after="0" w:line="260" w:lineRule="auto"/>
        <w:tabs>
          <w:tab w:leader="none" w:pos="1080" w:val="left"/>
        </w:tabs>
        <w:numPr>
          <w:ilvl w:val="0"/>
          <w:numId w:val="32"/>
        </w:numPr>
        <w:rPr>
          <w:rFonts w:ascii="Arial" w:cs="Arial" w:eastAsia="Arial" w:hAnsi="Arial"/>
          <w:sz w:val="16"/>
          <w:szCs w:val="16"/>
          <w:color w:val="00548B"/>
        </w:rPr>
      </w:pPr>
      <w:r>
        <w:rPr>
          <w:rFonts w:ascii="Arial" w:cs="Arial" w:eastAsia="Arial" w:hAnsi="Arial"/>
          <w:sz w:val="16"/>
          <w:szCs w:val="16"/>
          <w:color w:val="auto"/>
        </w:rPr>
        <w:t>Mr. Kelly’s base salary and long-term incentive opportunity increased to reflect his tenure, performance and targeted competitive positioning, and as part of a longer-term trajectory, identified when he was promoted to the role in 2017.</w:t>
      </w:r>
    </w:p>
    <w:p>
      <w:pPr>
        <w:spacing w:after="0" w:line="15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Compensation Committee will continue to review for competitiveness on an annual basis.</w:t>
      </w: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237"/>
        </w:trPr>
        <w:tc>
          <w:tcPr>
            <w:tcW w:w="2680" w:type="dxa"/>
            <w:vAlign w:val="bottom"/>
            <w:tcBorders>
              <w:bottom w:val="single" w:sz="8" w:color="00548B"/>
            </w:tcBorders>
            <w:shd w:val="clear" w:color="auto" w:fill="00548B"/>
          </w:tcPr>
          <w:p>
            <w:pPr>
              <w:spacing w:after="0"/>
              <w:rPr>
                <w:sz w:val="20"/>
                <w:szCs w:val="20"/>
                <w:color w:val="auto"/>
              </w:rPr>
            </w:pPr>
            <w:r>
              <w:rPr>
                <w:rFonts w:ascii="Arial" w:cs="Arial" w:eastAsia="Arial" w:hAnsi="Arial"/>
                <w:sz w:val="14"/>
                <w:szCs w:val="14"/>
                <w:b w:val="1"/>
                <w:bCs w:val="1"/>
                <w:color w:val="E5E5E5"/>
              </w:rPr>
              <w:t>Compensation Element</w:t>
            </w:r>
          </w:p>
        </w:tc>
        <w:tc>
          <w:tcPr>
            <w:tcW w:w="2680" w:type="dxa"/>
            <w:vAlign w:val="bottom"/>
            <w:tcBorders>
              <w:bottom w:val="single" w:sz="8" w:color="00548B"/>
            </w:tcBorders>
            <w:shd w:val="clear" w:color="auto" w:fill="00548B"/>
          </w:tcPr>
          <w:p>
            <w:pPr>
              <w:jc w:val="center"/>
              <w:ind w:left="801"/>
              <w:spacing w:after="0"/>
              <w:rPr>
                <w:sz w:val="20"/>
                <w:szCs w:val="20"/>
                <w:color w:val="auto"/>
              </w:rPr>
            </w:pPr>
            <w:r>
              <w:rPr>
                <w:rFonts w:ascii="Arial" w:cs="Arial" w:eastAsia="Arial" w:hAnsi="Arial"/>
                <w:sz w:val="14"/>
                <w:szCs w:val="14"/>
                <w:b w:val="1"/>
                <w:bCs w:val="1"/>
                <w:color w:val="E5E5E5"/>
              </w:rPr>
              <w:t>James H. Roth</w:t>
            </w:r>
          </w:p>
        </w:tc>
        <w:tc>
          <w:tcPr>
            <w:tcW w:w="1840" w:type="dxa"/>
            <w:vAlign w:val="bottom"/>
            <w:tcBorders>
              <w:bottom w:val="single" w:sz="8" w:color="00548B"/>
            </w:tcBorders>
            <w:shd w:val="clear" w:color="auto" w:fill="00548B"/>
          </w:tcPr>
          <w:p>
            <w:pPr>
              <w:jc w:val="center"/>
              <w:spacing w:after="0"/>
              <w:rPr>
                <w:sz w:val="20"/>
                <w:szCs w:val="20"/>
                <w:color w:val="auto"/>
              </w:rPr>
            </w:pPr>
            <w:r>
              <w:rPr>
                <w:rFonts w:ascii="Arial" w:cs="Arial" w:eastAsia="Arial" w:hAnsi="Arial"/>
                <w:sz w:val="14"/>
                <w:szCs w:val="14"/>
                <w:b w:val="1"/>
                <w:bCs w:val="1"/>
                <w:color w:val="E5E5E5"/>
              </w:rPr>
              <w:t>C. Mark Hussey</w:t>
            </w:r>
          </w:p>
        </w:tc>
        <w:tc>
          <w:tcPr>
            <w:tcW w:w="1860" w:type="dxa"/>
            <w:vAlign w:val="bottom"/>
            <w:tcBorders>
              <w:bottom w:val="single" w:sz="8" w:color="00548B"/>
            </w:tcBorders>
            <w:shd w:val="clear" w:color="auto" w:fill="00548B"/>
          </w:tcPr>
          <w:p>
            <w:pPr>
              <w:jc w:val="center"/>
              <w:spacing w:after="0"/>
              <w:rPr>
                <w:sz w:val="20"/>
                <w:szCs w:val="20"/>
                <w:color w:val="auto"/>
              </w:rPr>
            </w:pPr>
            <w:r>
              <w:rPr>
                <w:rFonts w:ascii="Arial" w:cs="Arial" w:eastAsia="Arial" w:hAnsi="Arial"/>
                <w:sz w:val="14"/>
                <w:szCs w:val="14"/>
                <w:b w:val="1"/>
                <w:bCs w:val="1"/>
                <w:color w:val="E5E5E5"/>
              </w:rPr>
              <w:t>John D. Kelly</w:t>
            </w:r>
          </w:p>
        </w:tc>
        <w:tc>
          <w:tcPr>
            <w:tcW w:w="1960" w:type="dxa"/>
            <w:vAlign w:val="bottom"/>
            <w:tcBorders>
              <w:bottom w:val="single" w:sz="8" w:color="00548B"/>
            </w:tcBorders>
            <w:shd w:val="clear" w:color="auto" w:fill="00548B"/>
          </w:tcPr>
          <w:p>
            <w:pPr>
              <w:jc w:val="center"/>
              <w:spacing w:after="0"/>
              <w:rPr>
                <w:sz w:val="20"/>
                <w:szCs w:val="20"/>
                <w:color w:val="auto"/>
              </w:rPr>
            </w:pPr>
            <w:r>
              <w:rPr>
                <w:rFonts w:ascii="Arial" w:cs="Arial" w:eastAsia="Arial" w:hAnsi="Arial"/>
                <w:sz w:val="14"/>
                <w:szCs w:val="14"/>
                <w:b w:val="1"/>
                <w:bCs w:val="1"/>
                <w:color w:val="E5E5E5"/>
              </w:rPr>
              <w:t>Diane E. Ratekin</w:t>
            </w:r>
          </w:p>
        </w:tc>
      </w:tr>
      <w:tr>
        <w:trPr>
          <w:trHeight w:val="189"/>
        </w:trPr>
        <w:tc>
          <w:tcPr>
            <w:tcW w:w="2680" w:type="dxa"/>
            <w:vAlign w:val="bottom"/>
            <w:tcBorders>
              <w:bottom w:val="single" w:sz="8" w:color="999999"/>
            </w:tcBorders>
          </w:tcPr>
          <w:p>
            <w:pPr>
              <w:spacing w:after="0"/>
              <w:rPr>
                <w:sz w:val="20"/>
                <w:szCs w:val="20"/>
                <w:color w:val="auto"/>
              </w:rPr>
            </w:pPr>
            <w:r>
              <w:rPr>
                <w:rFonts w:ascii="Arial" w:cs="Arial" w:eastAsia="Arial" w:hAnsi="Arial"/>
                <w:sz w:val="16"/>
                <w:szCs w:val="16"/>
                <w:color w:val="auto"/>
              </w:rPr>
              <w:t>Base Salary</w:t>
            </w:r>
          </w:p>
        </w:tc>
        <w:tc>
          <w:tcPr>
            <w:tcW w:w="2680" w:type="dxa"/>
            <w:vAlign w:val="bottom"/>
            <w:tcBorders>
              <w:bottom w:val="single" w:sz="8" w:color="999999"/>
            </w:tcBorders>
          </w:tcPr>
          <w:p>
            <w:pPr>
              <w:jc w:val="center"/>
              <w:ind w:left="801"/>
              <w:spacing w:after="0"/>
              <w:rPr>
                <w:sz w:val="20"/>
                <w:szCs w:val="20"/>
                <w:color w:val="auto"/>
              </w:rPr>
            </w:pPr>
            <w:r>
              <w:rPr>
                <w:rFonts w:ascii="Arial" w:cs="Arial" w:eastAsia="Arial" w:hAnsi="Arial"/>
                <w:sz w:val="16"/>
                <w:szCs w:val="16"/>
                <w:color w:val="auto"/>
              </w:rPr>
              <w:t>$900,000</w:t>
            </w:r>
          </w:p>
        </w:tc>
        <w:tc>
          <w:tcPr>
            <w:tcW w:w="1840" w:type="dxa"/>
            <w:vAlign w:val="bottom"/>
            <w:tcBorders>
              <w:bottom w:val="single" w:sz="8" w:color="999999"/>
            </w:tcBorders>
          </w:tcPr>
          <w:p>
            <w:pPr>
              <w:jc w:val="center"/>
              <w:spacing w:after="0"/>
              <w:rPr>
                <w:sz w:val="20"/>
                <w:szCs w:val="20"/>
                <w:color w:val="auto"/>
              </w:rPr>
            </w:pPr>
            <w:r>
              <w:rPr>
                <w:rFonts w:ascii="Arial" w:cs="Arial" w:eastAsia="Arial" w:hAnsi="Arial"/>
                <w:sz w:val="16"/>
                <w:szCs w:val="16"/>
                <w:color w:val="auto"/>
              </w:rPr>
              <w:t>$750,000</w:t>
            </w:r>
          </w:p>
        </w:tc>
        <w:tc>
          <w:tcPr>
            <w:tcW w:w="1860" w:type="dxa"/>
            <w:vAlign w:val="bottom"/>
            <w:tcBorders>
              <w:bottom w:val="single" w:sz="8" w:color="999999"/>
            </w:tcBorders>
          </w:tcPr>
          <w:p>
            <w:pPr>
              <w:jc w:val="center"/>
              <w:spacing w:after="0"/>
              <w:rPr>
                <w:sz w:val="20"/>
                <w:szCs w:val="20"/>
                <w:color w:val="auto"/>
              </w:rPr>
            </w:pPr>
            <w:r>
              <w:rPr>
                <w:rFonts w:ascii="Arial" w:cs="Arial" w:eastAsia="Arial" w:hAnsi="Arial"/>
                <w:sz w:val="16"/>
                <w:szCs w:val="16"/>
                <w:color w:val="auto"/>
              </w:rPr>
              <w:t>$460,000</w:t>
            </w:r>
          </w:p>
        </w:tc>
        <w:tc>
          <w:tcPr>
            <w:tcW w:w="1960" w:type="dxa"/>
            <w:vAlign w:val="bottom"/>
            <w:tcBorders>
              <w:bottom w:val="single" w:sz="8" w:color="999999"/>
            </w:tcBorders>
          </w:tcPr>
          <w:p>
            <w:pPr>
              <w:jc w:val="center"/>
              <w:spacing w:after="0"/>
              <w:rPr>
                <w:sz w:val="20"/>
                <w:szCs w:val="20"/>
                <w:color w:val="auto"/>
              </w:rPr>
            </w:pPr>
            <w:r>
              <w:rPr>
                <w:rFonts w:ascii="Arial" w:cs="Arial" w:eastAsia="Arial" w:hAnsi="Arial"/>
                <w:sz w:val="16"/>
                <w:szCs w:val="16"/>
                <w:color w:val="auto"/>
              </w:rPr>
              <w:t>$400,000</w:t>
            </w:r>
          </w:p>
        </w:tc>
      </w:tr>
      <w:tr>
        <w:trPr>
          <w:trHeight w:val="183"/>
        </w:trPr>
        <w:tc>
          <w:tcPr>
            <w:tcW w:w="2680" w:type="dxa"/>
            <w:vAlign w:val="bottom"/>
            <w:tcBorders>
              <w:bottom w:val="single" w:sz="8" w:color="999999"/>
            </w:tcBorders>
          </w:tcPr>
          <w:p>
            <w:pPr>
              <w:spacing w:after="0" w:line="183" w:lineRule="exact"/>
              <w:rPr>
                <w:sz w:val="20"/>
                <w:szCs w:val="20"/>
                <w:color w:val="auto"/>
              </w:rPr>
            </w:pPr>
            <w:r>
              <w:rPr>
                <w:rFonts w:ascii="Arial" w:cs="Arial" w:eastAsia="Arial" w:hAnsi="Arial"/>
                <w:sz w:val="16"/>
                <w:szCs w:val="16"/>
                <w:color w:val="auto"/>
              </w:rPr>
              <w:t>Target AIP Opportunity</w:t>
            </w:r>
          </w:p>
        </w:tc>
        <w:tc>
          <w:tcPr>
            <w:tcW w:w="2680" w:type="dxa"/>
            <w:vAlign w:val="bottom"/>
            <w:tcBorders>
              <w:bottom w:val="single" w:sz="8" w:color="999999"/>
            </w:tcBorders>
          </w:tcPr>
          <w:p>
            <w:pPr>
              <w:jc w:val="center"/>
              <w:ind w:left="801"/>
              <w:spacing w:after="0" w:line="183" w:lineRule="exact"/>
              <w:rPr>
                <w:sz w:val="20"/>
                <w:szCs w:val="20"/>
                <w:color w:val="auto"/>
              </w:rPr>
            </w:pPr>
            <w:r>
              <w:rPr>
                <w:rFonts w:ascii="Arial" w:cs="Arial" w:eastAsia="Arial" w:hAnsi="Arial"/>
                <w:sz w:val="16"/>
                <w:szCs w:val="16"/>
                <w:color w:val="auto"/>
              </w:rPr>
              <w:t>110% of base salary</w:t>
            </w:r>
          </w:p>
        </w:tc>
        <w:tc>
          <w:tcPr>
            <w:tcW w:w="1840" w:type="dxa"/>
            <w:vAlign w:val="bottom"/>
            <w:tcBorders>
              <w:bottom w:val="single" w:sz="8" w:color="999999"/>
            </w:tcBorders>
          </w:tcPr>
          <w:p>
            <w:pPr>
              <w:jc w:val="center"/>
              <w:spacing w:after="0" w:line="183" w:lineRule="exact"/>
              <w:rPr>
                <w:sz w:val="20"/>
                <w:szCs w:val="20"/>
                <w:color w:val="auto"/>
              </w:rPr>
            </w:pPr>
            <w:r>
              <w:rPr>
                <w:rFonts w:ascii="Arial" w:cs="Arial" w:eastAsia="Arial" w:hAnsi="Arial"/>
                <w:sz w:val="16"/>
                <w:szCs w:val="16"/>
                <w:color w:val="auto"/>
              </w:rPr>
              <w:t>100% of base salary</w:t>
            </w:r>
          </w:p>
        </w:tc>
        <w:tc>
          <w:tcPr>
            <w:tcW w:w="1860" w:type="dxa"/>
            <w:vAlign w:val="bottom"/>
            <w:tcBorders>
              <w:bottom w:val="single" w:sz="8" w:color="999999"/>
            </w:tcBorders>
          </w:tcPr>
          <w:p>
            <w:pPr>
              <w:jc w:val="center"/>
              <w:spacing w:after="0" w:line="183" w:lineRule="exact"/>
              <w:rPr>
                <w:sz w:val="20"/>
                <w:szCs w:val="20"/>
                <w:color w:val="auto"/>
              </w:rPr>
            </w:pPr>
            <w:r>
              <w:rPr>
                <w:rFonts w:ascii="Arial" w:cs="Arial" w:eastAsia="Arial" w:hAnsi="Arial"/>
                <w:sz w:val="16"/>
                <w:szCs w:val="16"/>
                <w:color w:val="auto"/>
              </w:rPr>
              <w:t>70% of base salary</w:t>
            </w:r>
          </w:p>
        </w:tc>
        <w:tc>
          <w:tcPr>
            <w:tcW w:w="1960" w:type="dxa"/>
            <w:vAlign w:val="bottom"/>
            <w:tcBorders>
              <w:bottom w:val="single" w:sz="8" w:color="999999"/>
            </w:tcBorders>
          </w:tcPr>
          <w:p>
            <w:pPr>
              <w:jc w:val="center"/>
              <w:spacing w:after="0" w:line="183" w:lineRule="exact"/>
              <w:rPr>
                <w:sz w:val="20"/>
                <w:szCs w:val="20"/>
                <w:color w:val="auto"/>
              </w:rPr>
            </w:pPr>
            <w:r>
              <w:rPr>
                <w:rFonts w:ascii="Arial" w:cs="Arial" w:eastAsia="Arial" w:hAnsi="Arial"/>
                <w:sz w:val="16"/>
                <w:szCs w:val="16"/>
                <w:color w:val="auto"/>
              </w:rPr>
              <w:t>50% of base salary</w:t>
            </w:r>
          </w:p>
        </w:tc>
      </w:tr>
      <w:tr>
        <w:trPr>
          <w:trHeight w:val="183"/>
        </w:trPr>
        <w:tc>
          <w:tcPr>
            <w:tcW w:w="2680" w:type="dxa"/>
            <w:vAlign w:val="bottom"/>
            <w:tcBorders>
              <w:bottom w:val="single" w:sz="8" w:color="00548B"/>
            </w:tcBorders>
          </w:tcPr>
          <w:p>
            <w:pPr>
              <w:spacing w:after="0" w:line="183" w:lineRule="exact"/>
              <w:rPr>
                <w:sz w:val="20"/>
                <w:szCs w:val="20"/>
                <w:color w:val="auto"/>
              </w:rPr>
            </w:pPr>
            <w:r>
              <w:rPr>
                <w:rFonts w:ascii="Arial" w:cs="Arial" w:eastAsia="Arial" w:hAnsi="Arial"/>
                <w:sz w:val="16"/>
                <w:szCs w:val="16"/>
                <w:color w:val="auto"/>
              </w:rPr>
              <w:t>Target LTI Opportunity</w:t>
            </w:r>
          </w:p>
        </w:tc>
        <w:tc>
          <w:tcPr>
            <w:tcW w:w="2680" w:type="dxa"/>
            <w:vAlign w:val="bottom"/>
            <w:tcBorders>
              <w:bottom w:val="single" w:sz="8" w:color="00548B"/>
            </w:tcBorders>
          </w:tcPr>
          <w:p>
            <w:pPr>
              <w:jc w:val="center"/>
              <w:ind w:left="801"/>
              <w:spacing w:after="0" w:line="183" w:lineRule="exact"/>
              <w:rPr>
                <w:sz w:val="20"/>
                <w:szCs w:val="20"/>
                <w:color w:val="auto"/>
              </w:rPr>
            </w:pPr>
            <w:r>
              <w:rPr>
                <w:rFonts w:ascii="Arial" w:cs="Arial" w:eastAsia="Arial" w:hAnsi="Arial"/>
                <w:sz w:val="16"/>
                <w:szCs w:val="16"/>
                <w:color w:val="auto"/>
              </w:rPr>
              <w:t>225% of base salary</w:t>
            </w:r>
          </w:p>
        </w:tc>
        <w:tc>
          <w:tcPr>
            <w:tcW w:w="1840" w:type="dxa"/>
            <w:vAlign w:val="bottom"/>
            <w:tcBorders>
              <w:bottom w:val="single" w:sz="8" w:color="00548B"/>
            </w:tcBorders>
          </w:tcPr>
          <w:p>
            <w:pPr>
              <w:jc w:val="center"/>
              <w:spacing w:after="0" w:line="183" w:lineRule="exact"/>
              <w:rPr>
                <w:sz w:val="20"/>
                <w:szCs w:val="20"/>
                <w:color w:val="auto"/>
              </w:rPr>
            </w:pPr>
            <w:r>
              <w:rPr>
                <w:rFonts w:ascii="Arial" w:cs="Arial" w:eastAsia="Arial" w:hAnsi="Arial"/>
                <w:sz w:val="16"/>
                <w:szCs w:val="16"/>
                <w:color w:val="auto"/>
              </w:rPr>
              <w:t>175% of base salary</w:t>
            </w:r>
          </w:p>
        </w:tc>
        <w:tc>
          <w:tcPr>
            <w:tcW w:w="1860" w:type="dxa"/>
            <w:vAlign w:val="bottom"/>
            <w:tcBorders>
              <w:bottom w:val="single" w:sz="8" w:color="00548B"/>
            </w:tcBorders>
          </w:tcPr>
          <w:p>
            <w:pPr>
              <w:jc w:val="center"/>
              <w:spacing w:after="0" w:line="183" w:lineRule="exact"/>
              <w:rPr>
                <w:sz w:val="20"/>
                <w:szCs w:val="20"/>
                <w:color w:val="auto"/>
              </w:rPr>
            </w:pPr>
            <w:r>
              <w:rPr>
                <w:rFonts w:ascii="Arial" w:cs="Arial" w:eastAsia="Arial" w:hAnsi="Arial"/>
                <w:sz w:val="16"/>
                <w:szCs w:val="16"/>
                <w:color w:val="auto"/>
              </w:rPr>
              <w:t>150% of base salary</w:t>
            </w:r>
          </w:p>
        </w:tc>
        <w:tc>
          <w:tcPr>
            <w:tcW w:w="1960" w:type="dxa"/>
            <w:vAlign w:val="bottom"/>
            <w:tcBorders>
              <w:bottom w:val="single" w:sz="8" w:color="00548B"/>
            </w:tcBorders>
          </w:tcPr>
          <w:p>
            <w:pPr>
              <w:jc w:val="center"/>
              <w:spacing w:after="0" w:line="183" w:lineRule="exact"/>
              <w:rPr>
                <w:sz w:val="20"/>
                <w:szCs w:val="20"/>
                <w:color w:val="auto"/>
              </w:rPr>
            </w:pPr>
            <w:r>
              <w:rPr>
                <w:rFonts w:ascii="Arial" w:cs="Arial" w:eastAsia="Arial" w:hAnsi="Arial"/>
                <w:sz w:val="16"/>
                <w:szCs w:val="16"/>
                <w:color w:val="auto"/>
              </w:rPr>
              <w:t>115% of base salary</w:t>
            </w:r>
          </w:p>
        </w:tc>
      </w:tr>
    </w:tbl>
    <w:p>
      <w:pPr>
        <w:spacing w:after="0" w:line="171"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00548B"/>
        </w:rPr>
        <w:t>2019 Annual Incentive</w:t>
      </w:r>
    </w:p>
    <w:p>
      <w:pPr>
        <w:spacing w:after="0" w:line="25" w:lineRule="exact"/>
        <w:rPr>
          <w:sz w:val="20"/>
          <w:szCs w:val="20"/>
          <w:color w:val="auto"/>
        </w:rPr>
      </w:pPr>
    </w:p>
    <w:p>
      <w:pPr>
        <w:jc w:val="both"/>
        <w:ind w:left="120" w:right="20"/>
        <w:spacing w:after="0" w:line="260" w:lineRule="auto"/>
        <w:rPr>
          <w:sz w:val="20"/>
          <w:szCs w:val="20"/>
          <w:color w:val="auto"/>
        </w:rPr>
      </w:pPr>
      <w:r>
        <w:rPr>
          <w:rFonts w:ascii="Arial" w:cs="Arial" w:eastAsia="Arial" w:hAnsi="Arial"/>
          <w:sz w:val="16"/>
          <w:szCs w:val="16"/>
          <w:color w:val="auto"/>
        </w:rPr>
        <w:t>The Compensation Committee approved a NEO Annual Incentive Plan for 2019 that included multiple measures of Company performance. Based on the actual results for each of the performance measures, a total annual cash incentive payout of 130% of target was earned.</w:t>
      </w:r>
    </w:p>
    <w:p>
      <w:pPr>
        <w:spacing w:after="0" w:line="155"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6"/>
          <w:szCs w:val="16"/>
          <w:color w:val="auto"/>
        </w:rPr>
        <w:t>The 2019 Annual Incentive Plan is summarized in the table below. For 2019, the Committee reduced the weighting of the Strategic Measures from 30% to 20% and increased the weighting of Adjusted EBITDA Margin from 30% to 40%. The Compensation Committee has also implemented a cap under the annual incentive program, limiting actual awards to target payout if TSR for 2019 is not positive.</w:t>
      </w:r>
    </w:p>
    <w:p>
      <w:pPr>
        <w:spacing w:after="0" w:line="161" w:lineRule="exact"/>
        <w:rPr>
          <w:sz w:val="20"/>
          <w:szCs w:val="20"/>
          <w:color w:val="auto"/>
        </w:rPr>
      </w:pPr>
    </w:p>
    <w:p>
      <w:pPr>
        <w:jc w:val="both"/>
        <w:ind w:left="120"/>
        <w:spacing w:after="0" w:line="249" w:lineRule="auto"/>
        <w:rPr>
          <w:sz w:val="20"/>
          <w:szCs w:val="20"/>
          <w:color w:val="auto"/>
        </w:rPr>
      </w:pPr>
      <w:r>
        <w:rPr>
          <w:rFonts w:ascii="Arial" w:cs="Arial" w:eastAsia="Arial" w:hAnsi="Arial"/>
          <w:sz w:val="16"/>
          <w:szCs w:val="16"/>
          <w:color w:val="auto"/>
        </w:rPr>
        <w:t>The Adjusted EBITDA margin target for 2019 of 12.5% was equal to the target set for 2018, and higher than the 11.4% actual Adjusted EBITDA margin achieved in 2018. The 11.4% Adjusted EBITDA margin achieved in 2018 was determined to be the appropriate baseline. This baseline is reflective of our current revenue mix, with a heavier weighting on lower margin technology implementation services, the buying preferences of our clients, and the operating expense investment required to drive organic revenue growth in accordance with our financial strategy. We are confident in our ability to expand our margins moving forward based on the execution of our strategy and this is reflected in our 2019 targets versus 2018 actual performance, as well as our 2020 targets.</w:t>
      </w:r>
    </w:p>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00548B"/>
        </w:rPr>
        <w:t>27</w:t>
      </w:r>
    </w:p>
    <w:p>
      <w:pPr>
        <w:sectPr>
          <w:pgSz w:w="11900" w:h="16838" w:orient="portrait"/>
          <w:cols w:equalWidth="0" w:num="1">
            <w:col w:w="11140"/>
          </w:cols>
          <w:pgMar w:left="32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4500" w:type="dxa"/>
            <w:vAlign w:val="bottom"/>
            <w:shd w:val="clear" w:color="auto" w:fill="00548B"/>
          </w:tcPr>
          <w:p>
            <w:pPr>
              <w:spacing w:after="0"/>
              <w:rPr>
                <w:sz w:val="18"/>
                <w:szCs w:val="18"/>
                <w:color w:val="auto"/>
              </w:rPr>
            </w:pPr>
          </w:p>
        </w:tc>
        <w:tc>
          <w:tcPr>
            <w:tcW w:w="1500" w:type="dxa"/>
            <w:vAlign w:val="bottom"/>
            <w:shd w:val="clear" w:color="auto" w:fill="00548B"/>
          </w:tcPr>
          <w:p>
            <w:pPr>
              <w:spacing w:after="0"/>
              <w:rPr>
                <w:sz w:val="18"/>
                <w:szCs w:val="18"/>
                <w:color w:val="auto"/>
              </w:rPr>
            </w:pPr>
          </w:p>
        </w:tc>
        <w:tc>
          <w:tcPr>
            <w:tcW w:w="1060" w:type="dxa"/>
            <w:vAlign w:val="bottom"/>
            <w:shd w:val="clear" w:color="auto" w:fill="00548B"/>
          </w:tcPr>
          <w:p>
            <w:pPr>
              <w:spacing w:after="0"/>
              <w:rPr>
                <w:sz w:val="18"/>
                <w:szCs w:val="18"/>
                <w:color w:val="auto"/>
              </w:rPr>
            </w:pPr>
          </w:p>
        </w:tc>
        <w:tc>
          <w:tcPr>
            <w:tcW w:w="1760" w:type="dxa"/>
            <w:vAlign w:val="bottom"/>
            <w:shd w:val="clear" w:color="auto" w:fill="00548B"/>
          </w:tcPr>
          <w:p>
            <w:pPr>
              <w:ind w:left="20"/>
              <w:spacing w:after="0"/>
              <w:rPr>
                <w:sz w:val="20"/>
                <w:szCs w:val="20"/>
                <w:color w:val="auto"/>
              </w:rPr>
            </w:pPr>
            <w:r>
              <w:rPr>
                <w:rFonts w:ascii="Arial" w:cs="Arial" w:eastAsia="Arial" w:hAnsi="Arial"/>
                <w:sz w:val="14"/>
                <w:szCs w:val="14"/>
                <w:b w:val="1"/>
                <w:bCs w:val="1"/>
                <w:color w:val="D8D8D8"/>
              </w:rPr>
              <w:t>2019 Proposed Targets</w:t>
            </w:r>
          </w:p>
        </w:tc>
        <w:tc>
          <w:tcPr>
            <w:tcW w:w="1160" w:type="dxa"/>
            <w:vAlign w:val="bottom"/>
            <w:shd w:val="clear" w:color="auto" w:fill="00548B"/>
          </w:tcPr>
          <w:p>
            <w:pPr>
              <w:spacing w:after="0"/>
              <w:rPr>
                <w:sz w:val="18"/>
                <w:szCs w:val="18"/>
                <w:color w:val="auto"/>
              </w:rPr>
            </w:pPr>
          </w:p>
        </w:tc>
        <w:tc>
          <w:tcPr>
            <w:tcW w:w="1040" w:type="dxa"/>
            <w:vAlign w:val="bottom"/>
            <w:shd w:val="clear" w:color="auto" w:fill="00548B"/>
          </w:tcPr>
          <w:p>
            <w:pPr>
              <w:spacing w:after="0"/>
              <w:rPr>
                <w:sz w:val="18"/>
                <w:szCs w:val="18"/>
                <w:color w:val="auto"/>
              </w:rPr>
            </w:pPr>
          </w:p>
        </w:tc>
      </w:tr>
      <w:tr>
        <w:trPr>
          <w:trHeight w:val="237"/>
        </w:trPr>
        <w:tc>
          <w:tcPr>
            <w:tcW w:w="4500" w:type="dxa"/>
            <w:vAlign w:val="bottom"/>
            <w:tcBorders>
              <w:bottom w:val="single" w:sz="8" w:color="00548B"/>
            </w:tcBorders>
            <w:shd w:val="clear" w:color="auto" w:fill="00548B"/>
          </w:tcPr>
          <w:p>
            <w:pPr>
              <w:spacing w:after="0"/>
              <w:rPr>
                <w:sz w:val="20"/>
                <w:szCs w:val="20"/>
                <w:color w:val="auto"/>
              </w:rPr>
            </w:pPr>
            <w:r>
              <w:rPr>
                <w:rFonts w:ascii="Arial" w:cs="Arial" w:eastAsia="Arial" w:hAnsi="Arial"/>
                <w:sz w:val="14"/>
                <w:szCs w:val="14"/>
                <w:b w:val="1"/>
                <w:bCs w:val="1"/>
                <w:color w:val="E5E5E5"/>
              </w:rPr>
              <w:t>Performance Measure</w:t>
            </w:r>
          </w:p>
        </w:tc>
        <w:tc>
          <w:tcPr>
            <w:tcW w:w="1500" w:type="dxa"/>
            <w:vAlign w:val="bottom"/>
            <w:tcBorders>
              <w:bottom w:val="single" w:sz="8" w:color="00548B"/>
            </w:tcBorders>
            <w:shd w:val="clear" w:color="auto" w:fill="00548B"/>
          </w:tcPr>
          <w:p>
            <w:pPr>
              <w:jc w:val="center"/>
              <w:ind w:left="41"/>
              <w:spacing w:after="0"/>
              <w:rPr>
                <w:sz w:val="20"/>
                <w:szCs w:val="20"/>
                <w:color w:val="auto"/>
              </w:rPr>
            </w:pPr>
            <w:r>
              <w:rPr>
                <w:rFonts w:ascii="Arial" w:cs="Arial" w:eastAsia="Arial" w:hAnsi="Arial"/>
                <w:sz w:val="14"/>
                <w:szCs w:val="14"/>
                <w:b w:val="1"/>
                <w:bCs w:val="1"/>
                <w:color w:val="E5E5E5"/>
              </w:rPr>
              <w:t>Weighting</w:t>
            </w:r>
          </w:p>
        </w:tc>
        <w:tc>
          <w:tcPr>
            <w:tcW w:w="1060" w:type="dxa"/>
            <w:vAlign w:val="bottom"/>
            <w:tcBorders>
              <w:bottom w:val="single" w:sz="8" w:color="00548B"/>
            </w:tcBorders>
            <w:shd w:val="clear" w:color="auto" w:fill="00548B"/>
          </w:tcPr>
          <w:p>
            <w:pPr>
              <w:ind w:left="360"/>
              <w:spacing w:after="0"/>
              <w:rPr>
                <w:sz w:val="20"/>
                <w:szCs w:val="20"/>
                <w:color w:val="auto"/>
              </w:rPr>
            </w:pPr>
            <w:r>
              <w:rPr>
                <w:rFonts w:ascii="Arial" w:cs="Arial" w:eastAsia="Arial" w:hAnsi="Arial"/>
                <w:sz w:val="14"/>
                <w:szCs w:val="14"/>
                <w:b w:val="1"/>
                <w:bCs w:val="1"/>
                <w:color w:val="E5E5E5"/>
              </w:rPr>
              <w:t>Threshold</w:t>
            </w:r>
          </w:p>
        </w:tc>
        <w:tc>
          <w:tcPr>
            <w:tcW w:w="1760" w:type="dxa"/>
            <w:vAlign w:val="bottom"/>
            <w:tcBorders>
              <w:bottom w:val="single" w:sz="8" w:color="00548B"/>
            </w:tcBorders>
            <w:shd w:val="clear" w:color="auto" w:fill="00548B"/>
          </w:tcPr>
          <w:p>
            <w:pPr>
              <w:ind w:left="700"/>
              <w:spacing w:after="0"/>
              <w:rPr>
                <w:sz w:val="20"/>
                <w:szCs w:val="20"/>
                <w:color w:val="auto"/>
              </w:rPr>
            </w:pPr>
            <w:r>
              <w:rPr>
                <w:rFonts w:ascii="Arial" w:cs="Arial" w:eastAsia="Arial" w:hAnsi="Arial"/>
                <w:sz w:val="14"/>
                <w:szCs w:val="14"/>
                <w:b w:val="1"/>
                <w:bCs w:val="1"/>
                <w:color w:val="E5E5E5"/>
              </w:rPr>
              <w:t>Target</w:t>
            </w:r>
          </w:p>
        </w:tc>
        <w:tc>
          <w:tcPr>
            <w:tcW w:w="1160" w:type="dxa"/>
            <w:vAlign w:val="bottom"/>
            <w:tcBorders>
              <w:bottom w:val="single" w:sz="8" w:color="00548B"/>
            </w:tcBorders>
            <w:shd w:val="clear" w:color="auto" w:fill="00548B"/>
          </w:tcPr>
          <w:p>
            <w:pPr>
              <w:ind w:left="160"/>
              <w:spacing w:after="0"/>
              <w:rPr>
                <w:sz w:val="20"/>
                <w:szCs w:val="20"/>
                <w:color w:val="auto"/>
              </w:rPr>
            </w:pPr>
            <w:r>
              <w:rPr>
                <w:rFonts w:ascii="Arial" w:cs="Arial" w:eastAsia="Arial" w:hAnsi="Arial"/>
                <w:sz w:val="14"/>
                <w:szCs w:val="14"/>
                <w:b w:val="1"/>
                <w:bCs w:val="1"/>
                <w:color w:val="E5E5E5"/>
              </w:rPr>
              <w:t>Maximum</w:t>
            </w:r>
          </w:p>
        </w:tc>
        <w:tc>
          <w:tcPr>
            <w:tcW w:w="1040" w:type="dxa"/>
            <w:vAlign w:val="bottom"/>
            <w:tcBorders>
              <w:bottom w:val="single" w:sz="8" w:color="00548B"/>
            </w:tcBorders>
            <w:shd w:val="clear" w:color="auto" w:fill="00548B"/>
          </w:tcPr>
          <w:p>
            <w:pPr>
              <w:ind w:left="360"/>
              <w:spacing w:after="0"/>
              <w:rPr>
                <w:sz w:val="20"/>
                <w:szCs w:val="20"/>
                <w:color w:val="auto"/>
              </w:rPr>
            </w:pPr>
            <w:r>
              <w:rPr>
                <w:rFonts w:ascii="Arial" w:cs="Arial" w:eastAsia="Arial" w:hAnsi="Arial"/>
                <w:sz w:val="14"/>
                <w:szCs w:val="14"/>
                <w:b w:val="1"/>
                <w:bCs w:val="1"/>
                <w:color w:val="E5E5E5"/>
              </w:rPr>
              <w:t>Actual</w:t>
            </w:r>
          </w:p>
        </w:tc>
      </w:tr>
      <w:tr>
        <w:trPr>
          <w:trHeight w:val="189"/>
        </w:trPr>
        <w:tc>
          <w:tcPr>
            <w:tcW w:w="4500" w:type="dxa"/>
            <w:vAlign w:val="bottom"/>
            <w:tcBorders>
              <w:bottom w:val="single" w:sz="8" w:color="AAAAAA"/>
            </w:tcBorders>
          </w:tcPr>
          <w:p>
            <w:pPr>
              <w:spacing w:after="0"/>
              <w:rPr>
                <w:sz w:val="20"/>
                <w:szCs w:val="20"/>
                <w:color w:val="auto"/>
              </w:rPr>
            </w:pPr>
            <w:r>
              <w:rPr>
                <w:rFonts w:ascii="Arial" w:cs="Arial" w:eastAsia="Arial" w:hAnsi="Arial"/>
                <w:sz w:val="16"/>
                <w:szCs w:val="16"/>
                <w:color w:val="auto"/>
              </w:rPr>
              <w:t>Organic Revenue Growth ($M)</w:t>
            </w:r>
          </w:p>
        </w:tc>
        <w:tc>
          <w:tcPr>
            <w:tcW w:w="1500" w:type="dxa"/>
            <w:vAlign w:val="bottom"/>
            <w:tcBorders>
              <w:bottom w:val="single" w:sz="8" w:color="AAAAAA"/>
            </w:tcBorders>
          </w:tcPr>
          <w:p>
            <w:pPr>
              <w:jc w:val="center"/>
              <w:ind w:left="41"/>
              <w:spacing w:after="0"/>
              <w:rPr>
                <w:sz w:val="20"/>
                <w:szCs w:val="20"/>
                <w:color w:val="auto"/>
              </w:rPr>
            </w:pPr>
            <w:r>
              <w:rPr>
                <w:rFonts w:ascii="Arial" w:cs="Arial" w:eastAsia="Arial" w:hAnsi="Arial"/>
                <w:sz w:val="16"/>
                <w:szCs w:val="16"/>
                <w:color w:val="auto"/>
              </w:rPr>
              <w:t>40%</w:t>
            </w:r>
          </w:p>
        </w:tc>
        <w:tc>
          <w:tcPr>
            <w:tcW w:w="1060" w:type="dxa"/>
            <w:vAlign w:val="bottom"/>
            <w:tcBorders>
              <w:bottom w:val="single" w:sz="8" w:color="AAAAAA"/>
            </w:tcBorders>
          </w:tcPr>
          <w:p>
            <w:pPr>
              <w:jc w:val="right"/>
              <w:ind w:right="22"/>
              <w:spacing w:after="0"/>
              <w:rPr>
                <w:sz w:val="20"/>
                <w:szCs w:val="20"/>
                <w:color w:val="auto"/>
              </w:rPr>
            </w:pPr>
            <w:r>
              <w:rPr>
                <w:rFonts w:ascii="Arial" w:cs="Arial" w:eastAsia="Arial" w:hAnsi="Arial"/>
                <w:sz w:val="16"/>
                <w:szCs w:val="16"/>
                <w:color w:val="auto"/>
              </w:rPr>
              <w:t>$700.0</w:t>
            </w:r>
          </w:p>
        </w:tc>
        <w:tc>
          <w:tcPr>
            <w:tcW w:w="1760" w:type="dxa"/>
            <w:vAlign w:val="bottom"/>
            <w:tcBorders>
              <w:bottom w:val="single" w:sz="8" w:color="AAAAAA"/>
            </w:tcBorders>
          </w:tcPr>
          <w:p>
            <w:pPr>
              <w:jc w:val="right"/>
              <w:ind w:right="484"/>
              <w:spacing w:after="0"/>
              <w:rPr>
                <w:sz w:val="20"/>
                <w:szCs w:val="20"/>
                <w:color w:val="auto"/>
              </w:rPr>
            </w:pPr>
            <w:r>
              <w:rPr>
                <w:rFonts w:ascii="Arial" w:cs="Arial" w:eastAsia="Arial" w:hAnsi="Arial"/>
                <w:sz w:val="16"/>
                <w:szCs w:val="16"/>
                <w:color w:val="auto"/>
              </w:rPr>
              <w:t>$740.0</w:t>
            </w:r>
          </w:p>
        </w:tc>
        <w:tc>
          <w:tcPr>
            <w:tcW w:w="1160" w:type="dxa"/>
            <w:vAlign w:val="bottom"/>
            <w:tcBorders>
              <w:bottom w:val="single" w:sz="8" w:color="AAAAAA"/>
            </w:tcBorders>
          </w:tcPr>
          <w:p>
            <w:pPr>
              <w:jc w:val="right"/>
              <w:ind w:right="342"/>
              <w:spacing w:after="0"/>
              <w:rPr>
                <w:sz w:val="20"/>
                <w:szCs w:val="20"/>
                <w:color w:val="auto"/>
              </w:rPr>
            </w:pPr>
            <w:r>
              <w:rPr>
                <w:rFonts w:ascii="Arial" w:cs="Arial" w:eastAsia="Arial" w:hAnsi="Arial"/>
                <w:sz w:val="16"/>
                <w:szCs w:val="16"/>
                <w:color w:val="auto"/>
              </w:rPr>
              <w:t>$890.0</w:t>
            </w:r>
          </w:p>
        </w:tc>
        <w:tc>
          <w:tcPr>
            <w:tcW w:w="1040" w:type="dxa"/>
            <w:vAlign w:val="bottom"/>
            <w:tcBorders>
              <w:bottom w:val="single" w:sz="8" w:color="AAAAAA"/>
            </w:tcBorders>
          </w:tcPr>
          <w:p>
            <w:pPr>
              <w:jc w:val="right"/>
              <w:ind w:right="142"/>
              <w:spacing w:after="0"/>
              <w:rPr>
                <w:sz w:val="20"/>
                <w:szCs w:val="20"/>
                <w:color w:val="auto"/>
              </w:rPr>
            </w:pPr>
            <w:r>
              <w:rPr>
                <w:rFonts w:ascii="Arial" w:cs="Arial" w:eastAsia="Arial" w:hAnsi="Arial"/>
                <w:sz w:val="16"/>
                <w:szCs w:val="16"/>
                <w:color w:val="auto"/>
              </w:rPr>
              <w:t>$876.8</w:t>
            </w:r>
          </w:p>
        </w:tc>
      </w:tr>
      <w:tr>
        <w:trPr>
          <w:trHeight w:val="183"/>
        </w:trPr>
        <w:tc>
          <w:tcPr>
            <w:tcW w:w="4500" w:type="dxa"/>
            <w:vAlign w:val="bottom"/>
            <w:tcBorders>
              <w:bottom w:val="single" w:sz="8" w:color="AAAAAA"/>
            </w:tcBorders>
          </w:tcPr>
          <w:p>
            <w:pPr>
              <w:spacing w:after="0" w:line="183" w:lineRule="exact"/>
              <w:rPr>
                <w:sz w:val="20"/>
                <w:szCs w:val="20"/>
                <w:color w:val="auto"/>
              </w:rPr>
            </w:pPr>
            <w:r>
              <w:rPr>
                <w:rFonts w:ascii="Arial" w:cs="Arial" w:eastAsia="Arial" w:hAnsi="Arial"/>
                <w:sz w:val="16"/>
                <w:szCs w:val="16"/>
                <w:color w:val="auto"/>
              </w:rPr>
              <w:t>Adjusted EBITDA Margin</w:t>
            </w:r>
          </w:p>
        </w:tc>
        <w:tc>
          <w:tcPr>
            <w:tcW w:w="1500" w:type="dxa"/>
            <w:vAlign w:val="bottom"/>
            <w:tcBorders>
              <w:bottom w:val="single" w:sz="8" w:color="AAAAAA"/>
            </w:tcBorders>
          </w:tcPr>
          <w:p>
            <w:pPr>
              <w:jc w:val="center"/>
              <w:ind w:left="41"/>
              <w:spacing w:after="0" w:line="183" w:lineRule="exact"/>
              <w:rPr>
                <w:sz w:val="20"/>
                <w:szCs w:val="20"/>
                <w:color w:val="auto"/>
              </w:rPr>
            </w:pPr>
            <w:r>
              <w:rPr>
                <w:rFonts w:ascii="Arial" w:cs="Arial" w:eastAsia="Arial" w:hAnsi="Arial"/>
                <w:sz w:val="16"/>
                <w:szCs w:val="16"/>
                <w:color w:val="auto"/>
              </w:rPr>
              <w:t>40%</w:t>
            </w:r>
          </w:p>
        </w:tc>
        <w:tc>
          <w:tcPr>
            <w:tcW w:w="1060" w:type="dxa"/>
            <w:vAlign w:val="bottom"/>
            <w:tcBorders>
              <w:bottom w:val="single" w:sz="8" w:color="AAAAAA"/>
            </w:tcBorders>
          </w:tcPr>
          <w:p>
            <w:pPr>
              <w:jc w:val="right"/>
              <w:ind w:right="42"/>
              <w:spacing w:after="0" w:line="183" w:lineRule="exact"/>
              <w:rPr>
                <w:sz w:val="20"/>
                <w:szCs w:val="20"/>
                <w:color w:val="auto"/>
              </w:rPr>
            </w:pPr>
            <w:r>
              <w:rPr>
                <w:rFonts w:ascii="Arial" w:cs="Arial" w:eastAsia="Arial" w:hAnsi="Arial"/>
                <w:sz w:val="16"/>
                <w:szCs w:val="16"/>
                <w:color w:val="auto"/>
              </w:rPr>
              <w:t>11.1%</w:t>
            </w:r>
          </w:p>
        </w:tc>
        <w:tc>
          <w:tcPr>
            <w:tcW w:w="1760" w:type="dxa"/>
            <w:vAlign w:val="bottom"/>
            <w:tcBorders>
              <w:bottom w:val="single" w:sz="8" w:color="AAAAAA"/>
            </w:tcBorders>
          </w:tcPr>
          <w:p>
            <w:pPr>
              <w:jc w:val="right"/>
              <w:ind w:right="504"/>
              <w:spacing w:after="0" w:line="183" w:lineRule="exact"/>
              <w:rPr>
                <w:sz w:val="20"/>
                <w:szCs w:val="20"/>
                <w:color w:val="auto"/>
              </w:rPr>
            </w:pPr>
            <w:r>
              <w:rPr>
                <w:rFonts w:ascii="Arial" w:cs="Arial" w:eastAsia="Arial" w:hAnsi="Arial"/>
                <w:sz w:val="16"/>
                <w:szCs w:val="16"/>
                <w:color w:val="auto"/>
              </w:rPr>
              <w:t>12.5%</w:t>
            </w:r>
          </w:p>
        </w:tc>
        <w:tc>
          <w:tcPr>
            <w:tcW w:w="1160" w:type="dxa"/>
            <w:vAlign w:val="bottom"/>
            <w:tcBorders>
              <w:bottom w:val="single" w:sz="8" w:color="AAAAAA"/>
            </w:tcBorders>
          </w:tcPr>
          <w:p>
            <w:pPr>
              <w:jc w:val="right"/>
              <w:ind w:right="362"/>
              <w:spacing w:after="0" w:line="183" w:lineRule="exact"/>
              <w:rPr>
                <w:sz w:val="20"/>
                <w:szCs w:val="20"/>
                <w:color w:val="auto"/>
              </w:rPr>
            </w:pPr>
            <w:r>
              <w:rPr>
                <w:rFonts w:ascii="Arial" w:cs="Arial" w:eastAsia="Arial" w:hAnsi="Arial"/>
                <w:sz w:val="16"/>
                <w:szCs w:val="16"/>
                <w:color w:val="auto"/>
              </w:rPr>
              <w:t>13.5%</w:t>
            </w:r>
          </w:p>
        </w:tc>
        <w:tc>
          <w:tcPr>
            <w:tcW w:w="1040" w:type="dxa"/>
            <w:vAlign w:val="bottom"/>
            <w:tcBorders>
              <w:bottom w:val="single" w:sz="8" w:color="AAAAAA"/>
            </w:tcBorders>
          </w:tcPr>
          <w:p>
            <w:pPr>
              <w:jc w:val="right"/>
              <w:ind w:right="162"/>
              <w:spacing w:after="0" w:line="183" w:lineRule="exact"/>
              <w:rPr>
                <w:sz w:val="20"/>
                <w:szCs w:val="20"/>
                <w:color w:val="auto"/>
              </w:rPr>
            </w:pPr>
            <w:r>
              <w:rPr>
                <w:rFonts w:ascii="Arial" w:cs="Arial" w:eastAsia="Arial" w:hAnsi="Arial"/>
                <w:sz w:val="16"/>
                <w:szCs w:val="16"/>
                <w:color w:val="auto"/>
              </w:rPr>
              <w:t>12.0%</w:t>
            </w:r>
          </w:p>
        </w:tc>
      </w:tr>
      <w:tr>
        <w:trPr>
          <w:trHeight w:val="183"/>
        </w:trPr>
        <w:tc>
          <w:tcPr>
            <w:tcW w:w="4500" w:type="dxa"/>
            <w:vAlign w:val="bottom"/>
            <w:tcBorders>
              <w:bottom w:val="single" w:sz="8" w:color="00548B"/>
            </w:tcBorders>
          </w:tcPr>
          <w:p>
            <w:pPr>
              <w:spacing w:after="0" w:line="183" w:lineRule="exact"/>
              <w:rPr>
                <w:sz w:val="20"/>
                <w:szCs w:val="20"/>
                <w:color w:val="auto"/>
              </w:rPr>
            </w:pPr>
            <w:r>
              <w:rPr>
                <w:rFonts w:ascii="Arial" w:cs="Arial" w:eastAsia="Arial" w:hAnsi="Arial"/>
                <w:sz w:val="16"/>
                <w:szCs w:val="16"/>
                <w:color w:val="auto"/>
              </w:rPr>
              <w:t>Strategic Measures*</w:t>
            </w:r>
          </w:p>
        </w:tc>
        <w:tc>
          <w:tcPr>
            <w:tcW w:w="1500" w:type="dxa"/>
            <w:vAlign w:val="bottom"/>
            <w:tcBorders>
              <w:bottom w:val="single" w:sz="8" w:color="00548B"/>
            </w:tcBorders>
          </w:tcPr>
          <w:p>
            <w:pPr>
              <w:jc w:val="center"/>
              <w:ind w:left="41"/>
              <w:spacing w:after="0" w:line="183" w:lineRule="exact"/>
              <w:rPr>
                <w:sz w:val="20"/>
                <w:szCs w:val="20"/>
                <w:color w:val="auto"/>
              </w:rPr>
            </w:pPr>
            <w:r>
              <w:rPr>
                <w:rFonts w:ascii="Arial" w:cs="Arial" w:eastAsia="Arial" w:hAnsi="Arial"/>
                <w:sz w:val="16"/>
                <w:szCs w:val="16"/>
                <w:color w:val="auto"/>
              </w:rPr>
              <w:t>20%</w:t>
            </w:r>
          </w:p>
        </w:tc>
        <w:tc>
          <w:tcPr>
            <w:tcW w:w="1060" w:type="dxa"/>
            <w:vAlign w:val="bottom"/>
            <w:tcBorders>
              <w:bottom w:val="single" w:sz="8" w:color="00548B"/>
            </w:tcBorders>
          </w:tcPr>
          <w:p>
            <w:pPr>
              <w:spacing w:after="0"/>
              <w:rPr>
                <w:sz w:val="15"/>
                <w:szCs w:val="15"/>
                <w:color w:val="auto"/>
              </w:rPr>
            </w:pPr>
          </w:p>
        </w:tc>
        <w:tc>
          <w:tcPr>
            <w:tcW w:w="1760" w:type="dxa"/>
            <w:vAlign w:val="bottom"/>
            <w:tcBorders>
              <w:bottom w:val="single" w:sz="8" w:color="00548B"/>
            </w:tcBorders>
          </w:tcPr>
          <w:p>
            <w:pPr>
              <w:spacing w:after="0"/>
              <w:rPr>
                <w:sz w:val="15"/>
                <w:szCs w:val="15"/>
                <w:color w:val="auto"/>
              </w:rPr>
            </w:pPr>
          </w:p>
        </w:tc>
        <w:tc>
          <w:tcPr>
            <w:tcW w:w="1160" w:type="dxa"/>
            <w:vAlign w:val="bottom"/>
            <w:tcBorders>
              <w:bottom w:val="single" w:sz="8" w:color="00548B"/>
            </w:tcBorders>
          </w:tcPr>
          <w:p>
            <w:pPr>
              <w:spacing w:after="0"/>
              <w:rPr>
                <w:sz w:val="15"/>
                <w:szCs w:val="15"/>
                <w:color w:val="auto"/>
              </w:rPr>
            </w:pPr>
          </w:p>
        </w:tc>
        <w:tc>
          <w:tcPr>
            <w:tcW w:w="1040" w:type="dxa"/>
            <w:vAlign w:val="bottom"/>
            <w:tcBorders>
              <w:bottom w:val="single" w:sz="8" w:color="00548B"/>
            </w:tcBorders>
          </w:tcPr>
          <w:p>
            <w:pPr>
              <w:spacing w:after="0"/>
              <w:rPr>
                <w:sz w:val="15"/>
                <w:szCs w:val="15"/>
                <w:color w:val="auto"/>
              </w:rPr>
            </w:pPr>
          </w:p>
        </w:tc>
      </w:tr>
    </w:tbl>
    <w:p>
      <w:pPr>
        <w:spacing w:after="0" w:line="218" w:lineRule="exact"/>
        <w:rPr>
          <w:sz w:val="20"/>
          <w:szCs w:val="20"/>
          <w:color w:val="auto"/>
        </w:rPr>
      </w:pPr>
    </w:p>
    <w:p>
      <w:pPr>
        <w:jc w:val="both"/>
        <w:ind w:left="340" w:right="20" w:hanging="224"/>
        <w:spacing w:after="0" w:line="252" w:lineRule="auto"/>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enhanced structure of the Strategic Measures developed in 2018 to balance objective, quantifiable metrics with qualitative goals was retained in 2019. The Compensation Committee approved the goals and assessed performance against predefined measures of success. Payouts range from 0-200% with a 25% minimum threshold. The following chart outlines the 2019 goals as well as their weighting, description and actual level of achievement:</w:t>
      </w:r>
    </w:p>
    <w:p>
      <w:pPr>
        <w:spacing w:after="0" w:line="3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00548B"/>
        </w:rPr>
        <w:t>28</w:t>
      </w:r>
    </w:p>
    <w:p>
      <w:pPr>
        <w:sectPr>
          <w:pgSz w:w="11900" w:h="16838" w:orient="portrait"/>
          <w:cols w:equalWidth="0" w:num="1">
            <w:col w:w="11140"/>
          </w:cols>
          <w:pgMar w:left="32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00548B"/>
        </w:rPr>
        <w:t>2019 Strategic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6995160" cy="685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6858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257"/>
        </w:trPr>
        <w:tc>
          <w:tcPr>
            <w:tcW w:w="128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rPr>
              <w:t>Quantitative</w:t>
            </w:r>
          </w:p>
        </w:tc>
        <w:tc>
          <w:tcPr>
            <w:tcW w:w="960" w:type="dxa"/>
            <w:vAlign w:val="bottom"/>
          </w:tcPr>
          <w:p>
            <w:pPr>
              <w:spacing w:after="0"/>
              <w:rPr>
                <w:sz w:val="22"/>
                <w:szCs w:val="22"/>
                <w:color w:val="auto"/>
              </w:rPr>
            </w:pPr>
          </w:p>
        </w:tc>
        <w:tc>
          <w:tcPr>
            <w:tcW w:w="4360" w:type="dxa"/>
            <w:vAlign w:val="bottom"/>
          </w:tcPr>
          <w:p>
            <w:pPr>
              <w:jc w:val="center"/>
              <w:spacing w:after="0"/>
              <w:rPr>
                <w:sz w:val="20"/>
                <w:szCs w:val="20"/>
                <w:color w:val="auto"/>
              </w:rPr>
            </w:pPr>
            <w:r>
              <w:rPr>
                <w:rFonts w:ascii="Arial" w:cs="Arial" w:eastAsia="Arial" w:hAnsi="Arial"/>
                <w:sz w:val="14"/>
                <w:szCs w:val="14"/>
                <w:b w:val="1"/>
                <w:bCs w:val="1"/>
                <w:color w:val="D8D8D8"/>
              </w:rPr>
              <w:t>Alignment of Strategic Priorities with</w:t>
            </w:r>
          </w:p>
        </w:tc>
      </w:tr>
      <w:tr>
        <w:trPr>
          <w:trHeight w:val="189"/>
        </w:trPr>
        <w:tc>
          <w:tcPr>
            <w:tcW w:w="128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rPr>
              <w:t>Goals</w:t>
            </w:r>
          </w:p>
        </w:tc>
        <w:tc>
          <w:tcPr>
            <w:tcW w:w="960" w:type="dxa"/>
            <w:vAlign w:val="bottom"/>
          </w:tcPr>
          <w:p>
            <w:pPr>
              <w:ind w:left="200"/>
              <w:spacing w:after="0"/>
              <w:rPr>
                <w:sz w:val="20"/>
                <w:szCs w:val="20"/>
                <w:color w:val="auto"/>
              </w:rPr>
            </w:pPr>
            <w:r>
              <w:rPr>
                <w:rFonts w:ascii="Arial" w:cs="Arial" w:eastAsia="Arial" w:hAnsi="Arial"/>
                <w:sz w:val="14"/>
                <w:szCs w:val="14"/>
                <w:b w:val="1"/>
                <w:bCs w:val="1"/>
                <w:color w:val="D8D8D8"/>
              </w:rPr>
              <w:t>Weighting</w:t>
            </w:r>
          </w:p>
        </w:tc>
        <w:tc>
          <w:tcPr>
            <w:tcW w:w="4360" w:type="dxa"/>
            <w:vAlign w:val="bottom"/>
          </w:tcPr>
          <w:p>
            <w:pPr>
              <w:jc w:val="center"/>
              <w:spacing w:after="0"/>
              <w:rPr>
                <w:sz w:val="20"/>
                <w:szCs w:val="20"/>
                <w:color w:val="auto"/>
              </w:rPr>
            </w:pPr>
            <w:r>
              <w:rPr>
                <w:rFonts w:ascii="Arial" w:cs="Arial" w:eastAsia="Arial" w:hAnsi="Arial"/>
                <w:sz w:val="14"/>
                <w:szCs w:val="14"/>
                <w:b w:val="1"/>
                <w:bCs w:val="1"/>
                <w:color w:val="D8D8D8"/>
              </w:rPr>
              <w:t>Shareholder Value</w:t>
            </w:r>
          </w:p>
        </w:tc>
      </w:tr>
      <w:tr>
        <w:trPr>
          <w:trHeight w:val="191"/>
        </w:trPr>
        <w:tc>
          <w:tcPr>
            <w:tcW w:w="1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360" w:type="dxa"/>
            <w:vAlign w:val="bottom"/>
          </w:tcPr>
          <w:p>
            <w:pPr>
              <w:jc w:val="center"/>
              <w:spacing w:after="0"/>
              <w:rPr>
                <w:sz w:val="20"/>
                <w:szCs w:val="20"/>
                <w:color w:val="auto"/>
              </w:rPr>
            </w:pPr>
            <w:r>
              <w:rPr>
                <w:rFonts w:ascii="Arial" w:cs="Arial" w:eastAsia="Arial" w:hAnsi="Arial"/>
                <w:sz w:val="16"/>
                <w:szCs w:val="16"/>
                <w:color w:val="auto"/>
              </w:rPr>
              <w:t>Focused on the deployment of capital and maintaining a</w:t>
            </w:r>
          </w:p>
        </w:tc>
      </w:tr>
      <w:tr>
        <w:trPr>
          <w:trHeight w:val="189"/>
        </w:trPr>
        <w:tc>
          <w:tcPr>
            <w:tcW w:w="1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360" w:type="dxa"/>
            <w:vAlign w:val="bottom"/>
          </w:tcPr>
          <w:p>
            <w:pPr>
              <w:jc w:val="center"/>
              <w:spacing w:after="0"/>
              <w:rPr>
                <w:sz w:val="20"/>
                <w:szCs w:val="20"/>
                <w:color w:val="auto"/>
              </w:rPr>
            </w:pPr>
            <w:r>
              <w:rPr>
                <w:rFonts w:ascii="Arial" w:cs="Arial" w:eastAsia="Arial" w:hAnsi="Arial"/>
                <w:sz w:val="16"/>
                <w:szCs w:val="16"/>
                <w:color w:val="auto"/>
              </w:rPr>
              <w:t>strong  balance  sheet  with  appropriate  leverage  and</w:t>
            </w:r>
          </w:p>
        </w:tc>
      </w:tr>
      <w:tr>
        <w:trPr>
          <w:trHeight w:val="195"/>
        </w:trPr>
        <w:tc>
          <w:tcPr>
            <w:tcW w:w="1280" w:type="dxa"/>
            <w:vAlign w:val="bottom"/>
          </w:tcPr>
          <w:p>
            <w:pPr>
              <w:spacing w:after="0"/>
              <w:rPr>
                <w:sz w:val="20"/>
                <w:szCs w:val="20"/>
                <w:color w:val="auto"/>
              </w:rPr>
            </w:pPr>
            <w:r>
              <w:rPr>
                <w:rFonts w:ascii="Arial" w:cs="Arial" w:eastAsia="Arial" w:hAnsi="Arial"/>
                <w:sz w:val="16"/>
                <w:szCs w:val="16"/>
                <w:color w:val="auto"/>
              </w:rPr>
              <w:t>Enterprise</w:t>
            </w:r>
          </w:p>
        </w:tc>
        <w:tc>
          <w:tcPr>
            <w:tcW w:w="960" w:type="dxa"/>
            <w:vAlign w:val="bottom"/>
          </w:tcPr>
          <w:p>
            <w:pPr>
              <w:ind w:left="200"/>
              <w:spacing w:after="0"/>
              <w:rPr>
                <w:sz w:val="20"/>
                <w:szCs w:val="20"/>
                <w:color w:val="auto"/>
              </w:rPr>
            </w:pPr>
            <w:r>
              <w:rPr>
                <w:rFonts w:ascii="Arial" w:cs="Arial" w:eastAsia="Arial" w:hAnsi="Arial"/>
                <w:sz w:val="16"/>
                <w:szCs w:val="16"/>
                <w:color w:val="auto"/>
              </w:rPr>
              <w:t>10%</w:t>
            </w:r>
          </w:p>
        </w:tc>
        <w:tc>
          <w:tcPr>
            <w:tcW w:w="4360" w:type="dxa"/>
            <w:vAlign w:val="bottom"/>
          </w:tcPr>
          <w:p>
            <w:pPr>
              <w:ind w:left="60"/>
              <w:spacing w:after="0"/>
              <w:rPr>
                <w:sz w:val="20"/>
                <w:szCs w:val="20"/>
                <w:color w:val="auto"/>
              </w:rPr>
            </w:pPr>
            <w:r>
              <w:rPr>
                <w:rFonts w:ascii="Arial" w:cs="Arial" w:eastAsia="Arial" w:hAnsi="Arial"/>
                <w:sz w:val="16"/>
                <w:szCs w:val="16"/>
                <w:color w:val="auto"/>
              </w:rPr>
              <w:t>flexibility to support Huron’s growth strategy.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-578485</wp:posOffset>
            </wp:positionV>
            <wp:extent cx="6180455" cy="2146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180455" cy="2146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4"/>
          <w:szCs w:val="14"/>
          <w:b w:val="1"/>
          <w:bCs w:val="1"/>
          <w:color w:val="D8D8D8"/>
        </w:rPr>
        <w:t>Level of Achievement</w:t>
      </w:r>
    </w:p>
    <w:p>
      <w:pPr>
        <w:spacing w:after="0" w:line="30" w:lineRule="exact"/>
        <w:rPr>
          <w:sz w:val="20"/>
          <w:szCs w:val="20"/>
          <w:color w:val="auto"/>
        </w:rPr>
      </w:pPr>
    </w:p>
    <w:p>
      <w:pPr>
        <w:ind w:left="700" w:right="20"/>
        <w:spacing w:after="0" w:line="246" w:lineRule="auto"/>
        <w:rPr>
          <w:sz w:val="20"/>
          <w:szCs w:val="20"/>
          <w:color w:val="auto"/>
        </w:rPr>
      </w:pPr>
      <w:r>
        <w:rPr>
          <w:rFonts w:ascii="Arial" w:cs="Arial" w:eastAsia="Arial" w:hAnsi="Arial"/>
          <w:sz w:val="16"/>
          <w:szCs w:val="16"/>
          <w:color w:val="auto"/>
        </w:rPr>
        <w:t>Executed Huron’s debt pay down strategy to de-leverage to below our target of 2.0x Adjusted</w:t>
      </w:r>
    </w:p>
    <w:p>
      <w:pPr>
        <w:spacing w:after="0" w:line="1" w:lineRule="exact"/>
        <w:rPr>
          <w:sz w:val="20"/>
          <w:szCs w:val="20"/>
          <w:color w:val="auto"/>
        </w:rPr>
      </w:pPr>
    </w:p>
    <w:p>
      <w:pPr>
        <w:jc w:val="both"/>
        <w:ind w:left="700" w:right="20" w:hanging="639"/>
        <w:spacing w:after="0" w:line="248" w:lineRule="auto"/>
        <w:tabs>
          <w:tab w:leader="none" w:pos="680" w:val="left"/>
        </w:tabs>
        <w:rPr>
          <w:sz w:val="20"/>
          <w:szCs w:val="20"/>
          <w:color w:val="auto"/>
        </w:rPr>
      </w:pPr>
      <w:r>
        <w:rPr>
          <w:rFonts w:ascii="Arial" w:cs="Arial" w:eastAsia="Arial" w:hAnsi="Arial"/>
          <w:sz w:val="16"/>
          <w:szCs w:val="16"/>
          <w:color w:val="auto"/>
        </w:rPr>
        <w:t>20%</w:t>
      </w:r>
      <w:r>
        <w:rPr>
          <w:sz w:val="20"/>
          <w:szCs w:val="20"/>
          <w:color w:val="auto"/>
        </w:rPr>
        <w:tab/>
      </w:r>
      <w:r>
        <w:rPr>
          <w:rFonts w:ascii="Arial" w:cs="Arial" w:eastAsia="Arial" w:hAnsi="Arial"/>
          <w:sz w:val="16"/>
          <w:szCs w:val="16"/>
          <w:color w:val="auto"/>
        </w:rPr>
        <w:t>EBITDA. Amended and extended our revolving credit facility to execute the retirement of our convertible debt.</w:t>
      </w:r>
    </w:p>
    <w:p>
      <w:pPr>
        <w:spacing w:after="0" w:line="1" w:lineRule="exact"/>
        <w:rPr>
          <w:sz w:val="20"/>
          <w:szCs w:val="20"/>
          <w:color w:val="auto"/>
        </w:rPr>
      </w:pPr>
    </w:p>
    <w:p>
      <w:pPr>
        <w:sectPr>
          <w:pgSz w:w="11900" w:h="16838" w:orient="portrait"/>
          <w:cols w:equalWidth="0" w:num="2">
            <w:col w:w="6720" w:space="100"/>
            <w:col w:w="4320"/>
          </w:cols>
          <w:pgMar w:left="320" w:top="459" w:right="439" w:bottom="1440" w:gutter="0" w:footer="0" w:header="0"/>
          <w:type w:val="continuous"/>
        </w:sectPr>
      </w:pPr>
    </w:p>
    <w:tbl>
      <w:tblPr>
        <w:tblLayout w:type="fixed"/>
        <w:tblInd w:w="120" w:type="dxa"/>
        <w:tblCellMar>
          <w:top w:w="0" w:type="dxa"/>
          <w:left w:w="0" w:type="dxa"/>
          <w:bottom w:w="0" w:type="dxa"/>
          <w:right w:w="0" w:type="dxa"/>
        </w:tblCellMar>
      </w:tblPr>
      <w:tr>
        <w:trPr>
          <w:trHeight w:val="179"/>
        </w:trPr>
        <w:tc>
          <w:tcPr>
            <w:tcW w:w="1240" w:type="dxa"/>
            <w:vAlign w:val="bottom"/>
            <w:tcBorders>
              <w:top w:val="single" w:sz="8" w:color="999999"/>
            </w:tcBorders>
          </w:tcPr>
          <w:p>
            <w:pPr>
              <w:spacing w:after="0"/>
              <w:rPr>
                <w:sz w:val="15"/>
                <w:szCs w:val="15"/>
                <w:color w:val="auto"/>
              </w:rPr>
            </w:pPr>
          </w:p>
        </w:tc>
        <w:tc>
          <w:tcPr>
            <w:tcW w:w="800" w:type="dxa"/>
            <w:vAlign w:val="bottom"/>
            <w:tcBorders>
              <w:top w:val="single" w:sz="8" w:color="999999"/>
            </w:tcBorders>
          </w:tcPr>
          <w:p>
            <w:pPr>
              <w:spacing w:after="0"/>
              <w:rPr>
                <w:sz w:val="15"/>
                <w:szCs w:val="15"/>
                <w:color w:val="auto"/>
              </w:rPr>
            </w:pPr>
          </w:p>
        </w:tc>
        <w:tc>
          <w:tcPr>
            <w:tcW w:w="5200" w:type="dxa"/>
            <w:vAlign w:val="bottom"/>
            <w:tcBorders>
              <w:top w:val="single" w:sz="8" w:color="999999"/>
            </w:tcBorders>
          </w:tcPr>
          <w:p>
            <w:pPr>
              <w:ind w:left="260"/>
              <w:spacing w:after="0" w:line="179" w:lineRule="exact"/>
              <w:rPr>
                <w:sz w:val="20"/>
                <w:szCs w:val="20"/>
                <w:color w:val="auto"/>
              </w:rPr>
            </w:pPr>
            <w:r>
              <w:rPr>
                <w:rFonts w:ascii="Arial" w:cs="Arial" w:eastAsia="Arial" w:hAnsi="Arial"/>
                <w:sz w:val="16"/>
                <w:szCs w:val="16"/>
                <w:color w:val="auto"/>
              </w:rPr>
              <w:t>Focused on achieving sustainable organic growth while also</w:t>
            </w:r>
          </w:p>
        </w:tc>
        <w:tc>
          <w:tcPr>
            <w:tcW w:w="3780" w:type="dxa"/>
            <w:vAlign w:val="bottom"/>
            <w:tcBorders>
              <w:top w:val="single" w:sz="8" w:color="999999"/>
            </w:tcBorders>
          </w:tcPr>
          <w:p>
            <w:pPr>
              <w:ind w:left="160"/>
              <w:spacing w:after="0" w:line="179" w:lineRule="exact"/>
              <w:rPr>
                <w:sz w:val="20"/>
                <w:szCs w:val="20"/>
                <w:color w:val="auto"/>
              </w:rPr>
            </w:pPr>
            <w:r>
              <w:rPr>
                <w:rFonts w:ascii="Arial" w:cs="Arial" w:eastAsia="Arial" w:hAnsi="Arial"/>
                <w:sz w:val="16"/>
                <w:szCs w:val="16"/>
                <w:color w:val="auto"/>
              </w:rPr>
              <w:t>Executed Huron’s strategic plan, which included,</w:t>
            </w:r>
          </w:p>
        </w:tc>
      </w:tr>
      <w:tr>
        <w:trPr>
          <w:trHeight w:val="189"/>
        </w:trPr>
        <w:tc>
          <w:tcPr>
            <w:tcW w:w="1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0" w:type="dxa"/>
            <w:vAlign w:val="bottom"/>
          </w:tcPr>
          <w:p>
            <w:pPr>
              <w:ind w:left="260"/>
              <w:spacing w:after="0"/>
              <w:rPr>
                <w:sz w:val="20"/>
                <w:szCs w:val="20"/>
                <w:color w:val="auto"/>
              </w:rPr>
            </w:pPr>
            <w:r>
              <w:rPr>
                <w:rFonts w:ascii="Arial" w:cs="Arial" w:eastAsia="Arial" w:hAnsi="Arial"/>
                <w:sz w:val="16"/>
                <w:szCs w:val="16"/>
                <w:color w:val="auto"/>
              </w:rPr>
              <w:t>driving margin expansion over time. In addition, focused on</w:t>
            </w:r>
          </w:p>
        </w:tc>
        <w:tc>
          <w:tcPr>
            <w:tcW w:w="3780" w:type="dxa"/>
            <w:vAlign w:val="bottom"/>
          </w:tcPr>
          <w:p>
            <w:pPr>
              <w:ind w:left="160"/>
              <w:spacing w:after="0"/>
              <w:rPr>
                <w:sz w:val="20"/>
                <w:szCs w:val="20"/>
                <w:color w:val="auto"/>
              </w:rPr>
            </w:pPr>
            <w:r>
              <w:rPr>
                <w:rFonts w:ascii="Arial" w:cs="Arial" w:eastAsia="Arial" w:hAnsi="Arial"/>
                <w:sz w:val="16"/>
                <w:szCs w:val="16"/>
                <w:color w:val="auto"/>
              </w:rPr>
              <w:t>but is not limited to, advancing and evolving new</w:t>
            </w:r>
          </w:p>
        </w:tc>
      </w:tr>
      <w:tr>
        <w:trPr>
          <w:trHeight w:val="189"/>
        </w:trPr>
        <w:tc>
          <w:tcPr>
            <w:tcW w:w="1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0" w:type="dxa"/>
            <w:vAlign w:val="bottom"/>
          </w:tcPr>
          <w:p>
            <w:pPr>
              <w:ind w:left="260"/>
              <w:spacing w:after="0"/>
              <w:rPr>
                <w:sz w:val="20"/>
                <w:szCs w:val="20"/>
                <w:color w:val="auto"/>
              </w:rPr>
            </w:pPr>
            <w:r>
              <w:rPr>
                <w:rFonts w:ascii="Arial" w:cs="Arial" w:eastAsia="Arial" w:hAnsi="Arial"/>
                <w:sz w:val="16"/>
                <w:szCs w:val="16"/>
                <w:color w:val="auto"/>
              </w:rPr>
              <w:t>maintaining  team  stability  through  business  unit-level</w:t>
            </w:r>
          </w:p>
        </w:tc>
        <w:tc>
          <w:tcPr>
            <w:tcW w:w="3780" w:type="dxa"/>
            <w:vAlign w:val="bottom"/>
          </w:tcPr>
          <w:p>
            <w:pPr>
              <w:ind w:left="160"/>
              <w:spacing w:after="0"/>
              <w:rPr>
                <w:sz w:val="20"/>
                <w:szCs w:val="20"/>
                <w:color w:val="auto"/>
              </w:rPr>
            </w:pPr>
            <w:r>
              <w:rPr>
                <w:rFonts w:ascii="Arial" w:cs="Arial" w:eastAsia="Arial" w:hAnsi="Arial"/>
                <w:sz w:val="16"/>
                <w:szCs w:val="16"/>
                <w:color w:val="auto"/>
              </w:rPr>
              <w:t>service  lines  to  strengthen  and  expand  our</w:t>
            </w:r>
          </w:p>
        </w:tc>
      </w:tr>
      <w:tr>
        <w:trPr>
          <w:trHeight w:val="189"/>
        </w:trPr>
        <w:tc>
          <w:tcPr>
            <w:tcW w:w="1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0" w:type="dxa"/>
            <w:vAlign w:val="bottom"/>
          </w:tcPr>
          <w:p>
            <w:pPr>
              <w:ind w:left="260"/>
              <w:spacing w:after="0"/>
              <w:rPr>
                <w:sz w:val="20"/>
                <w:szCs w:val="20"/>
                <w:color w:val="auto"/>
              </w:rPr>
            </w:pPr>
            <w:r>
              <w:rPr>
                <w:rFonts w:ascii="Arial" w:cs="Arial" w:eastAsia="Arial" w:hAnsi="Arial"/>
                <w:sz w:val="16"/>
                <w:szCs w:val="16"/>
                <w:color w:val="auto"/>
              </w:rPr>
              <w:t>leadership transitions. Measures included business unit-</w:t>
            </w:r>
          </w:p>
        </w:tc>
        <w:tc>
          <w:tcPr>
            <w:tcW w:w="3780" w:type="dxa"/>
            <w:vAlign w:val="bottom"/>
          </w:tcPr>
          <w:p>
            <w:pPr>
              <w:ind w:left="160"/>
              <w:spacing w:after="0"/>
              <w:rPr>
                <w:sz w:val="20"/>
                <w:szCs w:val="20"/>
                <w:color w:val="auto"/>
              </w:rPr>
            </w:pPr>
            <w:r>
              <w:rPr>
                <w:rFonts w:ascii="Arial" w:cs="Arial" w:eastAsia="Arial" w:hAnsi="Arial"/>
                <w:sz w:val="16"/>
                <w:szCs w:val="16"/>
                <w:color w:val="auto"/>
              </w:rPr>
              <w:t>offerings and continuing to pursue collaboration</w:t>
            </w:r>
          </w:p>
        </w:tc>
      </w:tr>
      <w:tr>
        <w:trPr>
          <w:trHeight w:val="189"/>
        </w:trPr>
        <w:tc>
          <w:tcPr>
            <w:tcW w:w="1240" w:type="dxa"/>
            <w:vAlign w:val="bottom"/>
          </w:tcPr>
          <w:p>
            <w:pPr>
              <w:spacing w:after="0"/>
              <w:rPr>
                <w:sz w:val="20"/>
                <w:szCs w:val="20"/>
                <w:color w:val="auto"/>
              </w:rPr>
            </w:pPr>
            <w:r>
              <w:rPr>
                <w:rFonts w:ascii="Arial" w:cs="Arial" w:eastAsia="Arial" w:hAnsi="Arial"/>
                <w:sz w:val="16"/>
                <w:szCs w:val="16"/>
                <w:color w:val="auto"/>
              </w:rPr>
              <w:t>Business Unit</w:t>
            </w:r>
          </w:p>
        </w:tc>
        <w:tc>
          <w:tcPr>
            <w:tcW w:w="800" w:type="dxa"/>
            <w:vAlign w:val="bottom"/>
          </w:tcPr>
          <w:p>
            <w:pPr>
              <w:jc w:val="right"/>
              <w:ind w:right="159"/>
              <w:spacing w:after="0"/>
              <w:rPr>
                <w:sz w:val="20"/>
                <w:szCs w:val="20"/>
                <w:color w:val="auto"/>
              </w:rPr>
            </w:pPr>
            <w:r>
              <w:rPr>
                <w:rFonts w:ascii="Arial" w:cs="Arial" w:eastAsia="Arial" w:hAnsi="Arial"/>
                <w:sz w:val="16"/>
                <w:szCs w:val="16"/>
                <w:color w:val="auto"/>
              </w:rPr>
              <w:t>50%</w:t>
            </w:r>
          </w:p>
        </w:tc>
        <w:tc>
          <w:tcPr>
            <w:tcW w:w="5200" w:type="dxa"/>
            <w:vAlign w:val="bottom"/>
          </w:tcPr>
          <w:p>
            <w:pPr>
              <w:ind w:left="260"/>
              <w:spacing w:after="0"/>
              <w:rPr>
                <w:sz w:val="20"/>
                <w:szCs w:val="20"/>
                <w:color w:val="auto"/>
              </w:rPr>
            </w:pPr>
            <w:r>
              <w:rPr>
                <w:rFonts w:ascii="Arial" w:cs="Arial" w:eastAsia="Arial" w:hAnsi="Arial"/>
                <w:sz w:val="16"/>
                <w:szCs w:val="16"/>
                <w:color w:val="auto"/>
              </w:rPr>
              <w:t>level revenue growth targets, new service line revenue  73%</w:t>
            </w:r>
          </w:p>
        </w:tc>
        <w:tc>
          <w:tcPr>
            <w:tcW w:w="3780" w:type="dxa"/>
            <w:vAlign w:val="bottom"/>
          </w:tcPr>
          <w:p>
            <w:pPr>
              <w:ind w:left="160"/>
              <w:spacing w:after="0"/>
              <w:rPr>
                <w:sz w:val="20"/>
                <w:szCs w:val="20"/>
                <w:color w:val="auto"/>
              </w:rPr>
            </w:pPr>
            <w:r>
              <w:rPr>
                <w:rFonts w:ascii="Arial" w:cs="Arial" w:eastAsia="Arial" w:hAnsi="Arial"/>
                <w:sz w:val="16"/>
                <w:szCs w:val="16"/>
                <w:color w:val="auto"/>
              </w:rPr>
              <w:t>within and across business units. Executed our</w:t>
            </w:r>
          </w:p>
        </w:tc>
      </w:tr>
      <w:tr>
        <w:trPr>
          <w:trHeight w:val="189"/>
        </w:trPr>
        <w:tc>
          <w:tcPr>
            <w:tcW w:w="1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0" w:type="dxa"/>
            <w:vAlign w:val="bottom"/>
          </w:tcPr>
          <w:p>
            <w:pPr>
              <w:ind w:left="260"/>
              <w:spacing w:after="0"/>
              <w:rPr>
                <w:sz w:val="20"/>
                <w:szCs w:val="20"/>
                <w:color w:val="auto"/>
              </w:rPr>
            </w:pPr>
            <w:r>
              <w:rPr>
                <w:rFonts w:ascii="Arial" w:cs="Arial" w:eastAsia="Arial" w:hAnsi="Arial"/>
                <w:sz w:val="16"/>
                <w:szCs w:val="16"/>
                <w:color w:val="auto"/>
              </w:rPr>
              <w:t>growth targets, collaboration metrics and managing director</w:t>
            </w:r>
          </w:p>
        </w:tc>
        <w:tc>
          <w:tcPr>
            <w:tcW w:w="3780" w:type="dxa"/>
            <w:vAlign w:val="bottom"/>
          </w:tcPr>
          <w:p>
            <w:pPr>
              <w:ind w:left="160"/>
              <w:spacing w:after="0"/>
              <w:rPr>
                <w:sz w:val="20"/>
                <w:szCs w:val="20"/>
                <w:color w:val="auto"/>
              </w:rPr>
            </w:pPr>
            <w:r>
              <w:rPr>
                <w:rFonts w:ascii="Arial" w:cs="Arial" w:eastAsia="Arial" w:hAnsi="Arial"/>
                <w:sz w:val="16"/>
                <w:szCs w:val="16"/>
                <w:color w:val="auto"/>
              </w:rPr>
              <w:t>succession plan and transitioned the leadership of</w:t>
            </w:r>
          </w:p>
        </w:tc>
      </w:tr>
      <w:tr>
        <w:trPr>
          <w:trHeight w:val="189"/>
        </w:trPr>
        <w:tc>
          <w:tcPr>
            <w:tcW w:w="1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0" w:type="dxa"/>
            <w:vAlign w:val="bottom"/>
          </w:tcPr>
          <w:p>
            <w:pPr>
              <w:ind w:left="260"/>
              <w:spacing w:after="0"/>
              <w:rPr>
                <w:sz w:val="20"/>
                <w:szCs w:val="20"/>
                <w:color w:val="auto"/>
              </w:rPr>
            </w:pPr>
            <w:r>
              <w:rPr>
                <w:rFonts w:ascii="Arial" w:cs="Arial" w:eastAsia="Arial" w:hAnsi="Arial"/>
                <w:sz w:val="16"/>
                <w:szCs w:val="16"/>
                <w:color w:val="auto"/>
              </w:rPr>
              <w:t>retention metrics. Specific goals vary by business unit.</w:t>
            </w:r>
          </w:p>
        </w:tc>
        <w:tc>
          <w:tcPr>
            <w:tcW w:w="3780" w:type="dxa"/>
            <w:vAlign w:val="bottom"/>
          </w:tcPr>
          <w:p>
            <w:pPr>
              <w:ind w:left="160"/>
              <w:spacing w:after="0"/>
              <w:rPr>
                <w:sz w:val="20"/>
                <w:szCs w:val="20"/>
                <w:color w:val="auto"/>
              </w:rPr>
            </w:pPr>
            <w:r>
              <w:rPr>
                <w:rFonts w:ascii="Arial" w:cs="Arial" w:eastAsia="Arial" w:hAnsi="Arial"/>
                <w:sz w:val="16"/>
                <w:szCs w:val="16"/>
                <w:color w:val="auto"/>
              </w:rPr>
              <w:t>the  Healthcare  and  Education  business  units</w:t>
            </w:r>
          </w:p>
        </w:tc>
      </w:tr>
      <w:tr>
        <w:trPr>
          <w:trHeight w:val="189"/>
        </w:trPr>
        <w:tc>
          <w:tcPr>
            <w:tcW w:w="1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3780" w:type="dxa"/>
            <w:vAlign w:val="bottom"/>
          </w:tcPr>
          <w:p>
            <w:pPr>
              <w:ind w:left="160"/>
              <w:spacing w:after="0"/>
              <w:rPr>
                <w:sz w:val="20"/>
                <w:szCs w:val="20"/>
                <w:color w:val="auto"/>
              </w:rPr>
            </w:pPr>
            <w:r>
              <w:rPr>
                <w:rFonts w:ascii="Arial" w:cs="Arial" w:eastAsia="Arial" w:hAnsi="Arial"/>
                <w:sz w:val="16"/>
                <w:szCs w:val="16"/>
                <w:color w:val="auto"/>
              </w:rPr>
              <w:t>while managing the retention and engagement of</w:t>
            </w:r>
          </w:p>
        </w:tc>
      </w:tr>
      <w:tr>
        <w:trPr>
          <w:trHeight w:val="187"/>
        </w:trPr>
        <w:tc>
          <w:tcPr>
            <w:tcW w:w="1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3780" w:type="dxa"/>
            <w:vAlign w:val="bottom"/>
          </w:tcPr>
          <w:p>
            <w:pPr>
              <w:ind w:left="160"/>
              <w:spacing w:after="0"/>
              <w:rPr>
                <w:sz w:val="20"/>
                <w:szCs w:val="20"/>
                <w:color w:val="auto"/>
              </w:rPr>
            </w:pPr>
            <w:r>
              <w:rPr>
                <w:rFonts w:ascii="Arial" w:cs="Arial" w:eastAsia="Arial" w:hAnsi="Arial"/>
                <w:sz w:val="16"/>
                <w:szCs w:val="16"/>
                <w:color w:val="auto"/>
              </w:rPr>
              <w:t>our managing directors.</w:t>
            </w:r>
          </w:p>
        </w:tc>
      </w:tr>
      <w:tr>
        <w:trPr>
          <w:trHeight w:val="108"/>
        </w:trPr>
        <w:tc>
          <w:tcPr>
            <w:tcW w:w="1240" w:type="dxa"/>
            <w:vAlign w:val="bottom"/>
            <w:shd w:val="clear" w:color="auto" w:fill="00548B"/>
          </w:tcPr>
          <w:p>
            <w:pPr>
              <w:spacing w:after="0"/>
              <w:rPr>
                <w:sz w:val="9"/>
                <w:szCs w:val="9"/>
                <w:color w:val="auto"/>
              </w:rPr>
            </w:pPr>
          </w:p>
        </w:tc>
        <w:tc>
          <w:tcPr>
            <w:tcW w:w="800" w:type="dxa"/>
            <w:vAlign w:val="bottom"/>
            <w:shd w:val="clear" w:color="auto" w:fill="00548B"/>
          </w:tcPr>
          <w:p>
            <w:pPr>
              <w:spacing w:after="0"/>
              <w:rPr>
                <w:sz w:val="9"/>
                <w:szCs w:val="9"/>
                <w:color w:val="auto"/>
              </w:rPr>
            </w:pPr>
          </w:p>
        </w:tc>
        <w:tc>
          <w:tcPr>
            <w:tcW w:w="5200" w:type="dxa"/>
            <w:vAlign w:val="bottom"/>
            <w:shd w:val="clear" w:color="auto" w:fill="00548B"/>
          </w:tcPr>
          <w:p>
            <w:pPr>
              <w:spacing w:after="0"/>
              <w:rPr>
                <w:sz w:val="9"/>
                <w:szCs w:val="9"/>
                <w:color w:val="auto"/>
              </w:rPr>
            </w:pPr>
          </w:p>
        </w:tc>
        <w:tc>
          <w:tcPr>
            <w:tcW w:w="3780" w:type="dxa"/>
            <w:vAlign w:val="bottom"/>
            <w:shd w:val="clear" w:color="auto" w:fill="00548B"/>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-67945</wp:posOffset>
            </wp:positionV>
            <wp:extent cx="6995160" cy="2825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28257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p>
      <w:pPr>
        <w:jc w:val="center"/>
        <w:ind w:left="380"/>
        <w:spacing w:after="0"/>
        <w:rPr>
          <w:sz w:val="20"/>
          <w:szCs w:val="20"/>
          <w:color w:val="auto"/>
        </w:rPr>
      </w:pPr>
      <w:r>
        <w:rPr>
          <w:rFonts w:ascii="Arial" w:cs="Arial" w:eastAsia="Arial" w:hAnsi="Arial"/>
          <w:sz w:val="14"/>
          <w:szCs w:val="14"/>
          <w:b w:val="1"/>
          <w:bCs w:val="1"/>
          <w:color w:val="D8D8D8"/>
        </w:rPr>
        <w:t>Qualitative</w:t>
      </w:r>
    </w:p>
    <w:p>
      <w:pPr>
        <w:spacing w:after="0" w:line="6" w:lineRule="exact"/>
        <w:rPr>
          <w:sz w:val="20"/>
          <w:szCs w:val="20"/>
          <w:color w:val="auto"/>
        </w:rPr>
      </w:pPr>
    </w:p>
    <w:p>
      <w:pPr>
        <w:jc w:val="center"/>
        <w:ind w:left="380"/>
        <w:spacing w:after="0"/>
        <w:rPr>
          <w:sz w:val="20"/>
          <w:szCs w:val="20"/>
          <w:color w:val="auto"/>
        </w:rPr>
      </w:pPr>
      <w:r>
        <w:rPr>
          <w:rFonts w:ascii="Arial" w:cs="Arial" w:eastAsia="Arial" w:hAnsi="Arial"/>
          <w:sz w:val="14"/>
          <w:szCs w:val="14"/>
          <w:b w:val="1"/>
          <w:bCs w:val="1"/>
          <w:color w:val="D8D8D8"/>
        </w:rPr>
        <w:t>Goals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Enterprise</w:t>
      </w:r>
    </w:p>
    <w:p>
      <w:pPr>
        <w:spacing w:after="0" w:line="20" w:lineRule="exact"/>
        <w:rPr>
          <w:sz w:val="20"/>
          <w:szCs w:val="20"/>
          <w:color w:val="auto"/>
        </w:rPr>
      </w:pPr>
      <w:r>
        <w:rPr>
          <w:sz w:val="20"/>
          <w:szCs w:val="20"/>
          <w:color w:val="auto"/>
        </w:rPr>
        <w:br w:type="column"/>
      </w:r>
    </w:p>
    <w:p>
      <w:pPr>
        <w:ind w:left="1700"/>
        <w:spacing w:after="0"/>
        <w:rPr>
          <w:sz w:val="20"/>
          <w:szCs w:val="20"/>
          <w:color w:val="auto"/>
        </w:rPr>
      </w:pPr>
      <w:r>
        <w:rPr>
          <w:rFonts w:ascii="Arial" w:cs="Arial" w:eastAsia="Arial" w:hAnsi="Arial"/>
          <w:sz w:val="14"/>
          <w:szCs w:val="14"/>
          <w:b w:val="1"/>
          <w:bCs w:val="1"/>
          <w:color w:val="D8D8D8"/>
        </w:rPr>
        <w:t>Alignment of Strategic Priorities with</w:t>
      </w:r>
    </w:p>
    <w:p>
      <w:pPr>
        <w:spacing w:after="0" w:line="17" w:lineRule="exact"/>
        <w:rPr>
          <w:sz w:val="20"/>
          <w:szCs w:val="20"/>
          <w:color w:val="auto"/>
        </w:rPr>
      </w:pPr>
    </w:p>
    <w:p>
      <w:pPr>
        <w:spacing w:after="0"/>
        <w:tabs>
          <w:tab w:leader="none" w:pos="2320" w:val="left"/>
        </w:tabs>
        <w:rPr>
          <w:sz w:val="20"/>
          <w:szCs w:val="20"/>
          <w:color w:val="auto"/>
        </w:rPr>
      </w:pPr>
      <w:r>
        <w:rPr>
          <w:rFonts w:ascii="Arial" w:cs="Arial" w:eastAsia="Arial" w:hAnsi="Arial"/>
          <w:sz w:val="14"/>
          <w:szCs w:val="14"/>
          <w:b w:val="1"/>
          <w:bCs w:val="1"/>
          <w:color w:val="D8D8D8"/>
        </w:rPr>
        <w:t>Weighting</w:t>
      </w:r>
      <w:r>
        <w:rPr>
          <w:sz w:val="20"/>
          <w:szCs w:val="20"/>
          <w:color w:val="auto"/>
        </w:rPr>
        <w:tab/>
      </w:r>
      <w:r>
        <w:rPr>
          <w:rFonts w:ascii="Arial" w:cs="Arial" w:eastAsia="Arial" w:hAnsi="Arial"/>
          <w:sz w:val="14"/>
          <w:szCs w:val="14"/>
          <w:b w:val="1"/>
          <w:bCs w:val="1"/>
          <w:color w:val="D8D8D8"/>
        </w:rPr>
        <w:t>Shareholder Value</w:t>
      </w:r>
    </w:p>
    <w:p>
      <w:pPr>
        <w:jc w:val="both"/>
        <w:ind w:left="820"/>
        <w:spacing w:after="0" w:line="246" w:lineRule="auto"/>
        <w:rPr>
          <w:sz w:val="20"/>
          <w:szCs w:val="20"/>
          <w:color w:val="auto"/>
        </w:rPr>
      </w:pPr>
      <w:r>
        <w:rPr>
          <w:rFonts w:ascii="Arial" w:cs="Arial" w:eastAsia="Arial" w:hAnsi="Arial"/>
          <w:sz w:val="16"/>
          <w:szCs w:val="16"/>
          <w:color w:val="auto"/>
        </w:rPr>
        <w:t>Focused on sustaining organic growth over time through the advancement and execution of Huron’s five-year strategic plan, including executing on our strategy-enabling capabilities in the areas of digital technology, talent and culture and sales and marketing. In addition, focused on strengthening the alignment and accountability of our</w:t>
      </w:r>
    </w:p>
    <w:p>
      <w:pPr>
        <w:spacing w:after="0" w:line="2" w:lineRule="exact"/>
        <w:rPr>
          <w:sz w:val="20"/>
          <w:szCs w:val="20"/>
          <w:color w:val="auto"/>
        </w:rPr>
      </w:pPr>
    </w:p>
    <w:p>
      <w:pPr>
        <w:ind w:left="820" w:hanging="819"/>
        <w:spacing w:after="0" w:line="260" w:lineRule="auto"/>
        <w:tabs>
          <w:tab w:leader="none" w:pos="800" w:val="left"/>
        </w:tabs>
        <w:rPr>
          <w:sz w:val="20"/>
          <w:szCs w:val="20"/>
          <w:color w:val="auto"/>
        </w:rPr>
      </w:pPr>
      <w:r>
        <w:rPr>
          <w:rFonts w:ascii="Arial" w:cs="Arial" w:eastAsia="Arial" w:hAnsi="Arial"/>
          <w:sz w:val="16"/>
          <w:szCs w:val="16"/>
          <w:color w:val="auto"/>
        </w:rPr>
        <w:t>20%</w:t>
      </w:r>
      <w:r>
        <w:rPr>
          <w:sz w:val="20"/>
          <w:szCs w:val="20"/>
          <w:color w:val="auto"/>
        </w:rPr>
        <w:tab/>
      </w:r>
      <w:r>
        <w:rPr>
          <w:rFonts w:ascii="Arial" w:cs="Arial" w:eastAsia="Arial" w:hAnsi="Arial"/>
          <w:sz w:val="16"/>
          <w:szCs w:val="16"/>
          <w:color w:val="auto"/>
        </w:rPr>
        <w:t>managing directors to achieve Huron’s enterprise-level strategy.</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D8D8D8"/>
        </w:rPr>
        <w:t>Level of Achievement</w:t>
      </w:r>
    </w:p>
    <w:p>
      <w:pPr>
        <w:spacing w:after="0" w:line="30" w:lineRule="exact"/>
        <w:rPr>
          <w:sz w:val="20"/>
          <w:szCs w:val="20"/>
          <w:color w:val="auto"/>
        </w:rPr>
      </w:pPr>
    </w:p>
    <w:p>
      <w:pPr>
        <w:jc w:val="both"/>
        <w:ind w:left="700"/>
        <w:spacing w:after="0" w:line="246" w:lineRule="auto"/>
        <w:rPr>
          <w:sz w:val="20"/>
          <w:szCs w:val="20"/>
          <w:color w:val="auto"/>
        </w:rPr>
      </w:pPr>
      <w:r>
        <w:rPr>
          <w:rFonts w:ascii="Arial" w:cs="Arial" w:eastAsia="Arial" w:hAnsi="Arial"/>
          <w:sz w:val="16"/>
          <w:szCs w:val="16"/>
          <w:color w:val="auto"/>
        </w:rPr>
        <w:t>Invested in areas focused on growth, collaboration and efficiency, including, but not limited to, an enterprise analytics platform to augment our client offerings and better manage our internal operations; conducted a comprehensive compensation and benefits review</w:t>
      </w:r>
    </w:p>
    <w:p>
      <w:pPr>
        <w:spacing w:after="0" w:line="2" w:lineRule="exact"/>
        <w:rPr>
          <w:sz w:val="20"/>
          <w:szCs w:val="20"/>
          <w:color w:val="auto"/>
        </w:rPr>
      </w:pPr>
    </w:p>
    <w:p>
      <w:pPr>
        <w:jc w:val="both"/>
        <w:ind w:left="700" w:hanging="639"/>
        <w:spacing w:after="0" w:line="247" w:lineRule="auto"/>
        <w:tabs>
          <w:tab w:leader="none" w:pos="680" w:val="left"/>
        </w:tabs>
        <w:rPr>
          <w:sz w:val="20"/>
          <w:szCs w:val="20"/>
          <w:color w:val="auto"/>
        </w:rPr>
      </w:pPr>
      <w:r>
        <w:rPr>
          <w:rFonts w:ascii="Arial" w:cs="Arial" w:eastAsia="Arial" w:hAnsi="Arial"/>
          <w:sz w:val="16"/>
          <w:szCs w:val="16"/>
          <w:color w:val="auto"/>
        </w:rPr>
        <w:t>20%</w:t>
      </w:r>
      <w:r>
        <w:rPr>
          <w:sz w:val="20"/>
          <w:szCs w:val="20"/>
          <w:color w:val="auto"/>
        </w:rPr>
        <w:tab/>
      </w:r>
      <w:r>
        <w:rPr>
          <w:rFonts w:ascii="Arial" w:cs="Arial" w:eastAsia="Arial" w:hAnsi="Arial"/>
          <w:sz w:val="16"/>
          <w:szCs w:val="16"/>
          <w:color w:val="auto"/>
        </w:rPr>
        <w:t>to enhance Huron’s market positioning as an employer of choice; and refreshed enterprise message and framework to strengthen our go-to-market strategy. Evolved our performance management practices at the managing director level to more closely align individual measures with our enterprise-level strategic objectives.</w:t>
      </w:r>
    </w:p>
    <w:p>
      <w:pPr>
        <w:spacing w:after="0" w:line="1" w:lineRule="exact"/>
        <w:rPr>
          <w:sz w:val="20"/>
          <w:szCs w:val="20"/>
          <w:color w:val="auto"/>
        </w:rPr>
      </w:pPr>
    </w:p>
    <w:p>
      <w:pPr>
        <w:sectPr>
          <w:pgSz w:w="11900" w:h="16838" w:orient="portrait"/>
          <w:cols w:equalWidth="0" w:num="3">
            <w:col w:w="1120" w:space="480"/>
            <w:col w:w="5120" w:space="100"/>
            <w:col w:w="4320"/>
          </w:cols>
          <w:pgMar w:left="320" w:top="459" w:right="439" w:bottom="1440" w:gutter="0" w:footer="0" w:header="0"/>
          <w:type w:val="continuous"/>
        </w:sectPr>
      </w:pPr>
    </w:p>
    <w:tbl>
      <w:tblPr>
        <w:tblLayout w:type="fixed"/>
        <w:tblInd w:w="120" w:type="dxa"/>
        <w:tblCellMar>
          <w:top w:w="0" w:type="dxa"/>
          <w:left w:w="0" w:type="dxa"/>
          <w:bottom w:w="0" w:type="dxa"/>
          <w:right w:w="0" w:type="dxa"/>
        </w:tblCellMar>
      </w:tblPr>
      <w:tr>
        <w:trPr>
          <w:trHeight w:val="180"/>
        </w:trPr>
        <w:tc>
          <w:tcPr>
            <w:tcW w:w="1240" w:type="dxa"/>
            <w:vAlign w:val="bottom"/>
            <w:tcBorders>
              <w:top w:val="single" w:sz="8" w:color="999999"/>
            </w:tcBorders>
          </w:tcPr>
          <w:p>
            <w:pPr>
              <w:spacing w:after="0"/>
              <w:rPr>
                <w:sz w:val="15"/>
                <w:szCs w:val="15"/>
                <w:color w:val="auto"/>
              </w:rPr>
            </w:pPr>
          </w:p>
        </w:tc>
        <w:tc>
          <w:tcPr>
            <w:tcW w:w="860" w:type="dxa"/>
            <w:vAlign w:val="bottom"/>
            <w:tcBorders>
              <w:top w:val="single" w:sz="8" w:color="999999"/>
            </w:tcBorders>
          </w:tcPr>
          <w:p>
            <w:pPr>
              <w:spacing w:after="0"/>
              <w:rPr>
                <w:sz w:val="15"/>
                <w:szCs w:val="15"/>
                <w:color w:val="auto"/>
              </w:rPr>
            </w:pPr>
          </w:p>
        </w:tc>
        <w:tc>
          <w:tcPr>
            <w:tcW w:w="4580" w:type="dxa"/>
            <w:vAlign w:val="bottom"/>
            <w:tcBorders>
              <w:top w:val="single" w:sz="8" w:color="999999"/>
            </w:tcBorders>
          </w:tcPr>
          <w:p>
            <w:pPr>
              <w:ind w:left="200"/>
              <w:spacing w:after="0" w:line="180" w:lineRule="exact"/>
              <w:rPr>
                <w:sz w:val="20"/>
                <w:szCs w:val="20"/>
                <w:color w:val="auto"/>
              </w:rPr>
            </w:pPr>
            <w:r>
              <w:rPr>
                <w:rFonts w:ascii="Arial" w:cs="Arial" w:eastAsia="Arial" w:hAnsi="Arial"/>
                <w:sz w:val="16"/>
                <w:szCs w:val="16"/>
                <w:color w:val="auto"/>
              </w:rPr>
              <w:t>Focused  on  strategically  positioning  Huron  to  achieve</w:t>
            </w:r>
          </w:p>
        </w:tc>
        <w:tc>
          <w:tcPr>
            <w:tcW w:w="640" w:type="dxa"/>
            <w:vAlign w:val="bottom"/>
            <w:tcBorders>
              <w:top w:val="single" w:sz="8" w:color="999999"/>
            </w:tcBorders>
          </w:tcPr>
          <w:p>
            <w:pPr>
              <w:spacing w:after="0"/>
              <w:rPr>
                <w:sz w:val="15"/>
                <w:szCs w:val="15"/>
                <w:color w:val="auto"/>
              </w:rPr>
            </w:pPr>
          </w:p>
        </w:tc>
        <w:tc>
          <w:tcPr>
            <w:tcW w:w="3700" w:type="dxa"/>
            <w:vAlign w:val="bottom"/>
            <w:tcBorders>
              <w:top w:val="single" w:sz="8" w:color="999999"/>
            </w:tcBorders>
          </w:tcPr>
          <w:p>
            <w:pPr>
              <w:ind w:left="80"/>
              <w:spacing w:after="0" w:line="180" w:lineRule="exact"/>
              <w:rPr>
                <w:sz w:val="20"/>
                <w:szCs w:val="20"/>
                <w:color w:val="auto"/>
              </w:rPr>
            </w:pPr>
            <w:r>
              <w:rPr>
                <w:rFonts w:ascii="Arial" w:cs="Arial" w:eastAsia="Arial" w:hAnsi="Arial"/>
                <w:sz w:val="16"/>
                <w:szCs w:val="16"/>
                <w:color w:val="auto"/>
              </w:rPr>
              <w:t>Areas of focus included, but not limited to, driving</w:t>
            </w:r>
          </w:p>
        </w:tc>
      </w:tr>
      <w:tr>
        <w:trPr>
          <w:trHeight w:val="189"/>
        </w:trPr>
        <w:tc>
          <w:tcPr>
            <w:tcW w:w="1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580" w:type="dxa"/>
            <w:vAlign w:val="bottom"/>
          </w:tcPr>
          <w:p>
            <w:pPr>
              <w:ind w:left="200"/>
              <w:spacing w:after="0"/>
              <w:rPr>
                <w:sz w:val="20"/>
                <w:szCs w:val="20"/>
                <w:color w:val="auto"/>
              </w:rPr>
            </w:pPr>
            <w:r>
              <w:rPr>
                <w:rFonts w:ascii="Arial" w:cs="Arial" w:eastAsia="Arial" w:hAnsi="Arial"/>
                <w:sz w:val="16"/>
                <w:szCs w:val="16"/>
                <w:color w:val="auto"/>
              </w:rPr>
              <w:t>sustainable organic growth over time including refreshing</w:t>
            </w:r>
          </w:p>
        </w:tc>
        <w:tc>
          <w:tcPr>
            <w:tcW w:w="640" w:type="dxa"/>
            <w:vAlign w:val="bottom"/>
          </w:tcPr>
          <w:p>
            <w:pPr>
              <w:spacing w:after="0"/>
              <w:rPr>
                <w:sz w:val="16"/>
                <w:szCs w:val="16"/>
                <w:color w:val="auto"/>
              </w:rPr>
            </w:pPr>
          </w:p>
        </w:tc>
        <w:tc>
          <w:tcPr>
            <w:tcW w:w="3700" w:type="dxa"/>
            <w:vAlign w:val="bottom"/>
          </w:tcPr>
          <w:p>
            <w:pPr>
              <w:ind w:left="80"/>
              <w:spacing w:after="0"/>
              <w:rPr>
                <w:sz w:val="20"/>
                <w:szCs w:val="20"/>
                <w:color w:val="auto"/>
              </w:rPr>
            </w:pPr>
            <w:r>
              <w:rPr>
                <w:rFonts w:ascii="Arial" w:cs="Arial" w:eastAsia="Arial" w:hAnsi="Arial"/>
                <w:sz w:val="16"/>
                <w:szCs w:val="16"/>
                <w:color w:val="auto"/>
              </w:rPr>
              <w:t>more  consistent  performance  and  quality  of</w:t>
            </w:r>
          </w:p>
        </w:tc>
      </w:tr>
      <w:tr>
        <w:trPr>
          <w:trHeight w:val="189"/>
        </w:trPr>
        <w:tc>
          <w:tcPr>
            <w:tcW w:w="1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580" w:type="dxa"/>
            <w:vAlign w:val="bottom"/>
          </w:tcPr>
          <w:p>
            <w:pPr>
              <w:ind w:left="200"/>
              <w:spacing w:after="0"/>
              <w:rPr>
                <w:sz w:val="20"/>
                <w:szCs w:val="20"/>
                <w:color w:val="auto"/>
              </w:rPr>
            </w:pPr>
            <w:r>
              <w:rPr>
                <w:rFonts w:ascii="Arial" w:cs="Arial" w:eastAsia="Arial" w:hAnsi="Arial"/>
                <w:sz w:val="16"/>
                <w:szCs w:val="16"/>
                <w:color w:val="auto"/>
              </w:rPr>
              <w:t>our business unit-level strategy to align with and advance</w:t>
            </w:r>
          </w:p>
        </w:tc>
        <w:tc>
          <w:tcPr>
            <w:tcW w:w="640" w:type="dxa"/>
            <w:vAlign w:val="bottom"/>
          </w:tcPr>
          <w:p>
            <w:pPr>
              <w:spacing w:after="0"/>
              <w:rPr>
                <w:sz w:val="16"/>
                <w:szCs w:val="16"/>
                <w:color w:val="auto"/>
              </w:rPr>
            </w:pPr>
          </w:p>
        </w:tc>
        <w:tc>
          <w:tcPr>
            <w:tcW w:w="3700" w:type="dxa"/>
            <w:vAlign w:val="bottom"/>
          </w:tcPr>
          <w:p>
            <w:pPr>
              <w:ind w:left="80"/>
              <w:spacing w:after="0"/>
              <w:rPr>
                <w:sz w:val="20"/>
                <w:szCs w:val="20"/>
                <w:color w:val="auto"/>
              </w:rPr>
            </w:pPr>
            <w:r>
              <w:rPr>
                <w:rFonts w:ascii="Arial" w:cs="Arial" w:eastAsia="Arial" w:hAnsi="Arial"/>
                <w:sz w:val="16"/>
                <w:szCs w:val="16"/>
                <w:color w:val="auto"/>
              </w:rPr>
              <w:t>delivery while balancing growth, refreshing the</w:t>
            </w:r>
          </w:p>
        </w:tc>
      </w:tr>
      <w:tr>
        <w:trPr>
          <w:trHeight w:val="189"/>
        </w:trPr>
        <w:tc>
          <w:tcPr>
            <w:tcW w:w="1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580" w:type="dxa"/>
            <w:vAlign w:val="bottom"/>
          </w:tcPr>
          <w:p>
            <w:pPr>
              <w:ind w:left="200"/>
              <w:spacing w:after="0"/>
              <w:rPr>
                <w:sz w:val="20"/>
                <w:szCs w:val="20"/>
                <w:color w:val="auto"/>
              </w:rPr>
            </w:pPr>
            <w:r>
              <w:rPr>
                <w:rFonts w:ascii="Arial" w:cs="Arial" w:eastAsia="Arial" w:hAnsi="Arial"/>
                <w:sz w:val="16"/>
                <w:szCs w:val="16"/>
                <w:color w:val="auto"/>
              </w:rPr>
              <w:t>Huron’s  enterprise-level  strategy  and  driving  more</w:t>
            </w:r>
          </w:p>
        </w:tc>
        <w:tc>
          <w:tcPr>
            <w:tcW w:w="640" w:type="dxa"/>
            <w:vAlign w:val="bottom"/>
          </w:tcPr>
          <w:p>
            <w:pPr>
              <w:spacing w:after="0"/>
              <w:rPr>
                <w:sz w:val="16"/>
                <w:szCs w:val="16"/>
                <w:color w:val="auto"/>
              </w:rPr>
            </w:pPr>
          </w:p>
        </w:tc>
        <w:tc>
          <w:tcPr>
            <w:tcW w:w="3700" w:type="dxa"/>
            <w:vAlign w:val="bottom"/>
          </w:tcPr>
          <w:p>
            <w:pPr>
              <w:ind w:left="80"/>
              <w:spacing w:after="0"/>
              <w:rPr>
                <w:sz w:val="20"/>
                <w:szCs w:val="20"/>
                <w:color w:val="auto"/>
              </w:rPr>
            </w:pPr>
            <w:r>
              <w:rPr>
                <w:rFonts w:ascii="Arial" w:cs="Arial" w:eastAsia="Arial" w:hAnsi="Arial"/>
                <w:sz w:val="16"/>
                <w:szCs w:val="16"/>
                <w:color w:val="auto"/>
              </w:rPr>
              <w:t>Enterprise Solutions &amp; Analytics business strategy</w:t>
            </w:r>
          </w:p>
        </w:tc>
      </w:tr>
      <w:tr>
        <w:trPr>
          <w:trHeight w:val="189"/>
        </w:trPr>
        <w:tc>
          <w:tcPr>
            <w:tcW w:w="1240" w:type="dxa"/>
            <w:vAlign w:val="bottom"/>
          </w:tcPr>
          <w:p>
            <w:pPr>
              <w:spacing w:after="0"/>
              <w:rPr>
                <w:sz w:val="20"/>
                <w:szCs w:val="20"/>
                <w:color w:val="auto"/>
              </w:rPr>
            </w:pPr>
            <w:r>
              <w:rPr>
                <w:rFonts w:ascii="Arial" w:cs="Arial" w:eastAsia="Arial" w:hAnsi="Arial"/>
                <w:sz w:val="16"/>
                <w:szCs w:val="16"/>
                <w:color w:val="auto"/>
              </w:rPr>
              <w:t>Business Unit</w:t>
            </w:r>
          </w:p>
        </w:tc>
        <w:tc>
          <w:tcPr>
            <w:tcW w:w="860" w:type="dxa"/>
            <w:vAlign w:val="bottom"/>
          </w:tcPr>
          <w:p>
            <w:pPr>
              <w:ind w:left="240"/>
              <w:spacing w:after="0"/>
              <w:rPr>
                <w:sz w:val="20"/>
                <w:szCs w:val="20"/>
                <w:color w:val="auto"/>
              </w:rPr>
            </w:pPr>
            <w:r>
              <w:rPr>
                <w:rFonts w:ascii="Arial" w:cs="Arial" w:eastAsia="Arial" w:hAnsi="Arial"/>
                <w:sz w:val="16"/>
                <w:szCs w:val="16"/>
                <w:color w:val="auto"/>
              </w:rPr>
              <w:t>20%</w:t>
            </w:r>
          </w:p>
        </w:tc>
        <w:tc>
          <w:tcPr>
            <w:tcW w:w="4580" w:type="dxa"/>
            <w:vAlign w:val="bottom"/>
          </w:tcPr>
          <w:p>
            <w:pPr>
              <w:ind w:left="200"/>
              <w:spacing w:after="0"/>
              <w:rPr>
                <w:sz w:val="20"/>
                <w:szCs w:val="20"/>
                <w:color w:val="auto"/>
              </w:rPr>
            </w:pPr>
            <w:r>
              <w:rPr>
                <w:rFonts w:ascii="Arial" w:cs="Arial" w:eastAsia="Arial" w:hAnsi="Arial"/>
                <w:sz w:val="16"/>
                <w:szCs w:val="16"/>
                <w:color w:val="auto"/>
              </w:rPr>
              <w:t>consistent  performance  and  quality  of  delivery  while</w:t>
            </w:r>
          </w:p>
        </w:tc>
        <w:tc>
          <w:tcPr>
            <w:tcW w:w="640" w:type="dxa"/>
            <w:vAlign w:val="bottom"/>
          </w:tcPr>
          <w:p>
            <w:pPr>
              <w:jc w:val="right"/>
              <w:ind w:right="159"/>
              <w:spacing w:after="0"/>
              <w:rPr>
                <w:sz w:val="20"/>
                <w:szCs w:val="20"/>
                <w:color w:val="auto"/>
              </w:rPr>
            </w:pPr>
            <w:r>
              <w:rPr>
                <w:rFonts w:ascii="Arial" w:cs="Arial" w:eastAsia="Arial" w:hAnsi="Arial"/>
                <w:sz w:val="16"/>
                <w:szCs w:val="16"/>
                <w:color w:val="auto"/>
              </w:rPr>
              <w:t>17%</w:t>
            </w:r>
          </w:p>
        </w:tc>
        <w:tc>
          <w:tcPr>
            <w:tcW w:w="3700" w:type="dxa"/>
            <w:vAlign w:val="bottom"/>
          </w:tcPr>
          <w:p>
            <w:pPr>
              <w:ind w:left="80"/>
              <w:spacing w:after="0"/>
              <w:rPr>
                <w:sz w:val="20"/>
                <w:szCs w:val="20"/>
                <w:color w:val="auto"/>
              </w:rPr>
            </w:pPr>
            <w:r>
              <w:rPr>
                <w:rFonts w:ascii="Arial" w:cs="Arial" w:eastAsia="Arial" w:hAnsi="Arial"/>
                <w:sz w:val="16"/>
                <w:szCs w:val="16"/>
                <w:color w:val="auto"/>
              </w:rPr>
              <w:t>to further drive sustainable long-term growth in a</w:t>
            </w:r>
          </w:p>
        </w:tc>
      </w:tr>
      <w:tr>
        <w:trPr>
          <w:trHeight w:val="189"/>
        </w:trPr>
        <w:tc>
          <w:tcPr>
            <w:tcW w:w="1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580" w:type="dxa"/>
            <w:vAlign w:val="bottom"/>
          </w:tcPr>
          <w:p>
            <w:pPr>
              <w:ind w:left="200"/>
              <w:spacing w:after="0"/>
              <w:rPr>
                <w:sz w:val="20"/>
                <w:szCs w:val="20"/>
                <w:color w:val="auto"/>
              </w:rPr>
            </w:pPr>
            <w:r>
              <w:rPr>
                <w:rFonts w:ascii="Arial" w:cs="Arial" w:eastAsia="Arial" w:hAnsi="Arial"/>
                <w:sz w:val="16"/>
                <w:szCs w:val="16"/>
                <w:color w:val="auto"/>
              </w:rPr>
              <w:t>balancing growth. Specific goals vary by business unit.</w:t>
            </w:r>
          </w:p>
        </w:tc>
        <w:tc>
          <w:tcPr>
            <w:tcW w:w="640" w:type="dxa"/>
            <w:vAlign w:val="bottom"/>
          </w:tcPr>
          <w:p>
            <w:pPr>
              <w:spacing w:after="0"/>
              <w:rPr>
                <w:sz w:val="16"/>
                <w:szCs w:val="16"/>
                <w:color w:val="auto"/>
              </w:rPr>
            </w:pPr>
          </w:p>
        </w:tc>
        <w:tc>
          <w:tcPr>
            <w:tcW w:w="3700" w:type="dxa"/>
            <w:vAlign w:val="bottom"/>
          </w:tcPr>
          <w:p>
            <w:pPr>
              <w:ind w:left="80"/>
              <w:spacing w:after="0"/>
              <w:rPr>
                <w:sz w:val="20"/>
                <w:szCs w:val="20"/>
                <w:color w:val="auto"/>
              </w:rPr>
            </w:pPr>
            <w:r>
              <w:rPr>
                <w:rFonts w:ascii="Arial" w:cs="Arial" w:eastAsia="Arial" w:hAnsi="Arial"/>
                <w:sz w:val="16"/>
                <w:szCs w:val="16"/>
                <w:color w:val="auto"/>
              </w:rPr>
              <w:t>rapidly  evolving  market,  and  continuing  to</w:t>
            </w:r>
          </w:p>
        </w:tc>
      </w:tr>
      <w:tr>
        <w:trPr>
          <w:trHeight w:val="189"/>
        </w:trPr>
        <w:tc>
          <w:tcPr>
            <w:tcW w:w="1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700" w:type="dxa"/>
            <w:vAlign w:val="bottom"/>
          </w:tcPr>
          <w:p>
            <w:pPr>
              <w:ind w:left="80"/>
              <w:spacing w:after="0"/>
              <w:rPr>
                <w:sz w:val="20"/>
                <w:szCs w:val="20"/>
                <w:color w:val="auto"/>
              </w:rPr>
            </w:pPr>
            <w:r>
              <w:rPr>
                <w:rFonts w:ascii="Arial" w:cs="Arial" w:eastAsia="Arial" w:hAnsi="Arial"/>
                <w:sz w:val="16"/>
                <w:szCs w:val="16"/>
                <w:color w:val="auto"/>
              </w:rPr>
              <w:t>integrate and scale our businesses to accelerate</w:t>
            </w:r>
          </w:p>
        </w:tc>
      </w:tr>
      <w:tr>
        <w:trPr>
          <w:trHeight w:val="189"/>
        </w:trPr>
        <w:tc>
          <w:tcPr>
            <w:tcW w:w="1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700" w:type="dxa"/>
            <w:vAlign w:val="bottom"/>
          </w:tcPr>
          <w:p>
            <w:pPr>
              <w:ind w:left="80"/>
              <w:spacing w:after="0"/>
              <w:rPr>
                <w:sz w:val="20"/>
                <w:szCs w:val="20"/>
                <w:color w:val="auto"/>
              </w:rPr>
            </w:pPr>
            <w:r>
              <w:rPr>
                <w:rFonts w:ascii="Arial" w:cs="Arial" w:eastAsia="Arial" w:hAnsi="Arial"/>
                <w:sz w:val="16"/>
                <w:szCs w:val="16"/>
                <w:color w:val="auto"/>
              </w:rPr>
              <w:t>growth. Did not achieve all of the aggressive</w:t>
            </w:r>
          </w:p>
        </w:tc>
      </w:tr>
      <w:tr>
        <w:trPr>
          <w:trHeight w:val="187"/>
        </w:trPr>
        <w:tc>
          <w:tcPr>
            <w:tcW w:w="1240" w:type="dxa"/>
            <w:vAlign w:val="bottom"/>
            <w:tcBorders>
              <w:bottom w:val="single" w:sz="8" w:color="999999"/>
            </w:tcBorders>
          </w:tcPr>
          <w:p>
            <w:pPr>
              <w:spacing w:after="0"/>
              <w:rPr>
                <w:sz w:val="16"/>
                <w:szCs w:val="16"/>
                <w:color w:val="auto"/>
              </w:rPr>
            </w:pPr>
          </w:p>
        </w:tc>
        <w:tc>
          <w:tcPr>
            <w:tcW w:w="860" w:type="dxa"/>
            <w:vAlign w:val="bottom"/>
            <w:tcBorders>
              <w:bottom w:val="single" w:sz="8" w:color="999999"/>
            </w:tcBorders>
          </w:tcPr>
          <w:p>
            <w:pPr>
              <w:spacing w:after="0"/>
              <w:rPr>
                <w:sz w:val="16"/>
                <w:szCs w:val="16"/>
                <w:color w:val="auto"/>
              </w:rPr>
            </w:pPr>
          </w:p>
        </w:tc>
        <w:tc>
          <w:tcPr>
            <w:tcW w:w="4580" w:type="dxa"/>
            <w:vAlign w:val="bottom"/>
            <w:tcBorders>
              <w:bottom w:val="single" w:sz="8" w:color="999999"/>
            </w:tcBorders>
          </w:tcPr>
          <w:p>
            <w:pPr>
              <w:spacing w:after="0"/>
              <w:rPr>
                <w:sz w:val="16"/>
                <w:szCs w:val="16"/>
                <w:color w:val="auto"/>
              </w:rPr>
            </w:pPr>
          </w:p>
        </w:tc>
        <w:tc>
          <w:tcPr>
            <w:tcW w:w="640" w:type="dxa"/>
            <w:vAlign w:val="bottom"/>
            <w:tcBorders>
              <w:bottom w:val="single" w:sz="8" w:color="999999"/>
            </w:tcBorders>
          </w:tcPr>
          <w:p>
            <w:pPr>
              <w:spacing w:after="0"/>
              <w:rPr>
                <w:sz w:val="16"/>
                <w:szCs w:val="16"/>
                <w:color w:val="auto"/>
              </w:rPr>
            </w:pPr>
          </w:p>
        </w:tc>
        <w:tc>
          <w:tcPr>
            <w:tcW w:w="3700" w:type="dxa"/>
            <w:vAlign w:val="bottom"/>
            <w:tcBorders>
              <w:bottom w:val="single" w:sz="8" w:color="999999"/>
            </w:tcBorders>
          </w:tcPr>
          <w:p>
            <w:pPr>
              <w:ind w:left="80"/>
              <w:spacing w:after="0"/>
              <w:rPr>
                <w:sz w:val="20"/>
                <w:szCs w:val="20"/>
                <w:color w:val="auto"/>
              </w:rPr>
            </w:pPr>
            <w:r>
              <w:rPr>
                <w:rFonts w:ascii="Arial" w:cs="Arial" w:eastAsia="Arial" w:hAnsi="Arial"/>
                <w:sz w:val="16"/>
                <w:szCs w:val="16"/>
                <w:color w:val="auto"/>
              </w:rPr>
              <w:t>business unit growth and operational measures.</w:t>
            </w:r>
          </w:p>
        </w:tc>
      </w:tr>
      <w:tr>
        <w:trPr>
          <w:trHeight w:val="183"/>
        </w:trPr>
        <w:tc>
          <w:tcPr>
            <w:tcW w:w="1240" w:type="dxa"/>
            <w:vAlign w:val="bottom"/>
            <w:tcBorders>
              <w:bottom w:val="single" w:sz="8" w:color="00548B"/>
            </w:tcBorders>
          </w:tcPr>
          <w:p>
            <w:pPr>
              <w:spacing w:after="0" w:line="183" w:lineRule="exact"/>
              <w:rPr>
                <w:sz w:val="20"/>
                <w:szCs w:val="20"/>
                <w:color w:val="auto"/>
              </w:rPr>
            </w:pPr>
            <w:r>
              <w:rPr>
                <w:rFonts w:ascii="Arial" w:cs="Arial" w:eastAsia="Arial" w:hAnsi="Arial"/>
                <w:sz w:val="16"/>
                <w:szCs w:val="16"/>
                <w:b w:val="1"/>
                <w:bCs w:val="1"/>
                <w:color w:val="auto"/>
              </w:rPr>
              <w:t>Total</w:t>
            </w:r>
          </w:p>
        </w:tc>
        <w:tc>
          <w:tcPr>
            <w:tcW w:w="860" w:type="dxa"/>
            <w:vAlign w:val="bottom"/>
            <w:tcBorders>
              <w:bottom w:val="single" w:sz="8" w:color="00548B"/>
            </w:tcBorders>
          </w:tcPr>
          <w:p>
            <w:pPr>
              <w:ind w:left="240"/>
              <w:spacing w:after="0" w:line="183" w:lineRule="exact"/>
              <w:rPr>
                <w:sz w:val="20"/>
                <w:szCs w:val="20"/>
                <w:color w:val="auto"/>
              </w:rPr>
            </w:pPr>
            <w:r>
              <w:rPr>
                <w:rFonts w:ascii="Arial" w:cs="Arial" w:eastAsia="Arial" w:hAnsi="Arial"/>
                <w:sz w:val="16"/>
                <w:szCs w:val="16"/>
                <w:b w:val="1"/>
                <w:bCs w:val="1"/>
                <w:color w:val="auto"/>
              </w:rPr>
              <w:t>100%</w:t>
            </w:r>
          </w:p>
        </w:tc>
        <w:tc>
          <w:tcPr>
            <w:tcW w:w="4580" w:type="dxa"/>
            <w:vAlign w:val="bottom"/>
            <w:tcBorders>
              <w:bottom w:val="single" w:sz="8" w:color="00548B"/>
            </w:tcBorders>
          </w:tcPr>
          <w:p>
            <w:pPr>
              <w:spacing w:after="0"/>
              <w:rPr>
                <w:sz w:val="15"/>
                <w:szCs w:val="15"/>
                <w:color w:val="auto"/>
              </w:rPr>
            </w:pPr>
          </w:p>
        </w:tc>
        <w:tc>
          <w:tcPr>
            <w:tcW w:w="640" w:type="dxa"/>
            <w:vAlign w:val="bottom"/>
            <w:tcBorders>
              <w:bottom w:val="single" w:sz="8" w:color="00548B"/>
            </w:tcBorders>
          </w:tcPr>
          <w:p>
            <w:pPr>
              <w:jc w:val="right"/>
              <w:spacing w:after="0" w:line="183" w:lineRule="exact"/>
              <w:rPr>
                <w:sz w:val="20"/>
                <w:szCs w:val="20"/>
                <w:color w:val="auto"/>
              </w:rPr>
            </w:pPr>
            <w:r>
              <w:rPr>
                <w:rFonts w:ascii="Arial" w:cs="Arial" w:eastAsia="Arial" w:hAnsi="Arial"/>
                <w:sz w:val="16"/>
                <w:szCs w:val="16"/>
                <w:b w:val="1"/>
                <w:bCs w:val="1"/>
                <w:color w:val="auto"/>
              </w:rPr>
              <w:t>130%</w:t>
            </w:r>
          </w:p>
        </w:tc>
        <w:tc>
          <w:tcPr>
            <w:tcW w:w="3700" w:type="dxa"/>
            <w:vAlign w:val="bottom"/>
            <w:tcBorders>
              <w:bottom w:val="single" w:sz="8" w:color="00548B"/>
            </w:tcBorders>
          </w:tcPr>
          <w:p>
            <w:pPr>
              <w:spacing w:after="0"/>
              <w:rPr>
                <w:sz w:val="15"/>
                <w:szCs w:val="15"/>
                <w:color w:val="auto"/>
              </w:rPr>
            </w:pP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00548B"/>
        </w:rPr>
        <w:t>29</w:t>
      </w:r>
    </w:p>
    <w:p>
      <w:pPr>
        <w:sectPr>
          <w:pgSz w:w="11900" w:h="16838" w:orient="portrait"/>
          <w:cols w:equalWidth="0" w:num="1">
            <w:col w:w="11140"/>
          </w:cols>
          <w:pgMar w:left="320" w:top="459" w:right="43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00548B"/>
        </w:rPr>
        <w:t>2019 Long-Term Incentive</w:t>
      </w:r>
    </w:p>
    <w:p>
      <w:pPr>
        <w:spacing w:after="0" w:line="25" w:lineRule="exact"/>
        <w:rPr>
          <w:sz w:val="20"/>
          <w:szCs w:val="20"/>
          <w:color w:val="auto"/>
        </w:rPr>
      </w:pPr>
    </w:p>
    <w:p>
      <w:pPr>
        <w:jc w:val="both"/>
        <w:ind w:left="120" w:right="20"/>
        <w:spacing w:after="0" w:line="260" w:lineRule="auto"/>
        <w:rPr>
          <w:sz w:val="20"/>
          <w:szCs w:val="20"/>
          <w:color w:val="auto"/>
        </w:rPr>
      </w:pPr>
      <w:r>
        <w:rPr>
          <w:rFonts w:ascii="Arial" w:cs="Arial" w:eastAsia="Arial" w:hAnsi="Arial"/>
          <w:sz w:val="16"/>
          <w:szCs w:val="16"/>
          <w:color w:val="auto"/>
        </w:rPr>
        <w:t>On March 1, 2019, the Compensation Committee granted our NEOs long-term incentive awards that were structured as 70% performance units and 30% restricted shares.</w:t>
      </w: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800" w:type="dxa"/>
            <w:vAlign w:val="bottom"/>
            <w:shd w:val="clear" w:color="auto" w:fill="00548B"/>
          </w:tcPr>
          <w:p>
            <w:pPr>
              <w:spacing w:after="0"/>
              <w:rPr>
                <w:sz w:val="14"/>
                <w:szCs w:val="14"/>
                <w:color w:val="auto"/>
              </w:rPr>
            </w:pPr>
          </w:p>
        </w:tc>
        <w:tc>
          <w:tcPr>
            <w:tcW w:w="4740" w:type="dxa"/>
            <w:vAlign w:val="bottom"/>
            <w:shd w:val="clear" w:color="auto" w:fill="00548B"/>
          </w:tcPr>
          <w:p>
            <w:pPr>
              <w:jc w:val="center"/>
              <w:ind w:left="3143"/>
              <w:spacing w:after="0"/>
              <w:rPr>
                <w:sz w:val="20"/>
                <w:szCs w:val="20"/>
                <w:color w:val="auto"/>
              </w:rPr>
            </w:pPr>
            <w:r>
              <w:rPr>
                <w:rFonts w:ascii="Arial" w:cs="Arial" w:eastAsia="Arial" w:hAnsi="Arial"/>
                <w:sz w:val="14"/>
                <w:szCs w:val="14"/>
                <w:b w:val="1"/>
                <w:bCs w:val="1"/>
                <w:color w:val="D8D8D8"/>
              </w:rPr>
              <w:t>Performance</w:t>
            </w:r>
          </w:p>
        </w:tc>
        <w:tc>
          <w:tcPr>
            <w:tcW w:w="1480" w:type="dxa"/>
            <w:vAlign w:val="bottom"/>
            <w:shd w:val="clear" w:color="auto" w:fill="00548B"/>
          </w:tcPr>
          <w:p>
            <w:pPr>
              <w:jc w:val="center"/>
              <w:ind w:right="23"/>
              <w:spacing w:after="0"/>
              <w:rPr>
                <w:sz w:val="20"/>
                <w:szCs w:val="20"/>
                <w:color w:val="auto"/>
              </w:rPr>
            </w:pPr>
            <w:r>
              <w:rPr>
                <w:rFonts w:ascii="Arial" w:cs="Arial" w:eastAsia="Arial" w:hAnsi="Arial"/>
                <w:sz w:val="14"/>
                <w:szCs w:val="14"/>
                <w:b w:val="1"/>
                <w:bCs w:val="1"/>
                <w:color w:val="D8D8D8"/>
              </w:rPr>
              <w:t>Restricted</w:t>
            </w:r>
          </w:p>
        </w:tc>
      </w:tr>
      <w:tr>
        <w:trPr>
          <w:trHeight w:val="162"/>
        </w:trPr>
        <w:tc>
          <w:tcPr>
            <w:tcW w:w="4800" w:type="dxa"/>
            <w:vAlign w:val="bottom"/>
            <w:shd w:val="clear" w:color="auto" w:fill="00548B"/>
          </w:tcPr>
          <w:p>
            <w:pPr>
              <w:spacing w:after="0"/>
              <w:rPr>
                <w:sz w:val="14"/>
                <w:szCs w:val="14"/>
                <w:color w:val="auto"/>
              </w:rPr>
            </w:pPr>
          </w:p>
        </w:tc>
        <w:tc>
          <w:tcPr>
            <w:tcW w:w="4740" w:type="dxa"/>
            <w:vAlign w:val="bottom"/>
            <w:shd w:val="clear" w:color="auto" w:fill="00548B"/>
          </w:tcPr>
          <w:p>
            <w:pPr>
              <w:jc w:val="center"/>
              <w:ind w:left="3143"/>
              <w:spacing w:after="0"/>
              <w:rPr>
                <w:sz w:val="20"/>
                <w:szCs w:val="20"/>
                <w:color w:val="auto"/>
              </w:rPr>
            </w:pPr>
            <w:r>
              <w:rPr>
                <w:rFonts w:ascii="Arial" w:cs="Arial" w:eastAsia="Arial" w:hAnsi="Arial"/>
                <w:sz w:val="14"/>
                <w:szCs w:val="14"/>
                <w:b w:val="1"/>
                <w:bCs w:val="1"/>
                <w:color w:val="D8D8D8"/>
              </w:rPr>
              <w:t>Units</w:t>
            </w:r>
          </w:p>
        </w:tc>
        <w:tc>
          <w:tcPr>
            <w:tcW w:w="1480" w:type="dxa"/>
            <w:vAlign w:val="bottom"/>
            <w:shd w:val="clear" w:color="auto" w:fill="00548B"/>
          </w:tcPr>
          <w:p>
            <w:pPr>
              <w:jc w:val="center"/>
              <w:ind w:right="43"/>
              <w:spacing w:after="0"/>
              <w:rPr>
                <w:sz w:val="20"/>
                <w:szCs w:val="20"/>
                <w:color w:val="auto"/>
              </w:rPr>
            </w:pPr>
            <w:r>
              <w:rPr>
                <w:rFonts w:ascii="Arial" w:cs="Arial" w:eastAsia="Arial" w:hAnsi="Arial"/>
                <w:sz w:val="14"/>
                <w:szCs w:val="14"/>
                <w:b w:val="1"/>
                <w:bCs w:val="1"/>
                <w:color w:val="D8D8D8"/>
              </w:rPr>
              <w:t>Shares</w:t>
            </w:r>
          </w:p>
        </w:tc>
      </w:tr>
      <w:tr>
        <w:trPr>
          <w:trHeight w:val="189"/>
        </w:trPr>
        <w:tc>
          <w:tcPr>
            <w:tcW w:w="4800" w:type="dxa"/>
            <w:vAlign w:val="bottom"/>
            <w:shd w:val="clear" w:color="auto" w:fill="00548B"/>
          </w:tcPr>
          <w:p>
            <w:pPr>
              <w:spacing w:after="0"/>
              <w:rPr>
                <w:sz w:val="20"/>
                <w:szCs w:val="20"/>
                <w:color w:val="auto"/>
              </w:rPr>
            </w:pPr>
            <w:r>
              <w:rPr>
                <w:rFonts w:ascii="Arial" w:cs="Arial" w:eastAsia="Arial" w:hAnsi="Arial"/>
                <w:sz w:val="14"/>
                <w:szCs w:val="14"/>
                <w:b w:val="1"/>
                <w:bCs w:val="1"/>
                <w:color w:val="D8D8D8"/>
              </w:rPr>
              <w:t>Executive Granted</w:t>
            </w:r>
          </w:p>
        </w:tc>
        <w:tc>
          <w:tcPr>
            <w:tcW w:w="4740" w:type="dxa"/>
            <w:vAlign w:val="bottom"/>
            <w:shd w:val="clear" w:color="auto" w:fill="00548B"/>
          </w:tcPr>
          <w:p>
            <w:pPr>
              <w:jc w:val="center"/>
              <w:ind w:left="3123"/>
              <w:spacing w:after="0"/>
              <w:rPr>
                <w:sz w:val="20"/>
                <w:szCs w:val="20"/>
                <w:color w:val="auto"/>
              </w:rPr>
            </w:pPr>
            <w:r>
              <w:rPr>
                <w:rFonts w:ascii="Arial" w:cs="Arial" w:eastAsia="Arial" w:hAnsi="Arial"/>
                <w:sz w:val="14"/>
                <w:szCs w:val="14"/>
                <w:b w:val="1"/>
                <w:bCs w:val="1"/>
                <w:color w:val="D8D8D8"/>
              </w:rPr>
              <w:t>Granted*</w:t>
            </w:r>
          </w:p>
        </w:tc>
        <w:tc>
          <w:tcPr>
            <w:tcW w:w="1480" w:type="dxa"/>
            <w:vAlign w:val="bottom"/>
            <w:shd w:val="clear" w:color="auto" w:fill="00548B"/>
          </w:tcPr>
          <w:p>
            <w:pPr>
              <w:jc w:val="center"/>
              <w:ind w:right="43"/>
              <w:spacing w:after="0"/>
              <w:rPr>
                <w:sz w:val="20"/>
                <w:szCs w:val="20"/>
                <w:color w:val="auto"/>
              </w:rPr>
            </w:pPr>
            <w:r>
              <w:rPr>
                <w:rFonts w:ascii="Arial" w:cs="Arial" w:eastAsia="Arial" w:hAnsi="Arial"/>
                <w:sz w:val="14"/>
                <w:szCs w:val="14"/>
                <w:b w:val="1"/>
                <w:bCs w:val="1"/>
                <w:color w:val="D8D8D8"/>
              </w:rPr>
              <w:t>Granted</w:t>
            </w:r>
          </w:p>
        </w:tc>
      </w:tr>
      <w:tr>
        <w:trPr>
          <w:trHeight w:val="189"/>
        </w:trPr>
        <w:tc>
          <w:tcPr>
            <w:tcW w:w="4800" w:type="dxa"/>
            <w:vAlign w:val="bottom"/>
            <w:tcBorders>
              <w:bottom w:val="single" w:sz="8" w:color="999999"/>
            </w:tcBorders>
          </w:tcPr>
          <w:p>
            <w:pPr>
              <w:spacing w:after="0"/>
              <w:rPr>
                <w:sz w:val="20"/>
                <w:szCs w:val="20"/>
                <w:color w:val="auto"/>
              </w:rPr>
            </w:pPr>
            <w:r>
              <w:rPr>
                <w:rFonts w:ascii="Arial" w:cs="Arial" w:eastAsia="Arial" w:hAnsi="Arial"/>
                <w:sz w:val="16"/>
                <w:szCs w:val="16"/>
                <w:color w:val="auto"/>
              </w:rPr>
              <w:t>James H. Roth</w:t>
            </w:r>
          </w:p>
        </w:tc>
        <w:tc>
          <w:tcPr>
            <w:tcW w:w="4740" w:type="dxa"/>
            <w:vAlign w:val="bottom"/>
            <w:tcBorders>
              <w:bottom w:val="single" w:sz="8" w:color="999999"/>
            </w:tcBorders>
          </w:tcPr>
          <w:p>
            <w:pPr>
              <w:jc w:val="right"/>
              <w:ind w:right="243"/>
              <w:spacing w:after="0"/>
              <w:rPr>
                <w:sz w:val="20"/>
                <w:szCs w:val="20"/>
                <w:color w:val="auto"/>
              </w:rPr>
            </w:pPr>
            <w:r>
              <w:rPr>
                <w:rFonts w:ascii="Arial" w:cs="Arial" w:eastAsia="Arial" w:hAnsi="Arial"/>
                <w:sz w:val="16"/>
                <w:szCs w:val="16"/>
                <w:color w:val="auto"/>
              </w:rPr>
              <w:t>29,574</w:t>
            </w:r>
          </w:p>
        </w:tc>
        <w:tc>
          <w:tcPr>
            <w:tcW w:w="1480" w:type="dxa"/>
            <w:vAlign w:val="bottom"/>
            <w:tcBorders>
              <w:bottom w:val="single" w:sz="8" w:color="999999"/>
            </w:tcBorders>
          </w:tcPr>
          <w:p>
            <w:pPr>
              <w:jc w:val="right"/>
              <w:ind w:right="363"/>
              <w:spacing w:after="0"/>
              <w:rPr>
                <w:sz w:val="20"/>
                <w:szCs w:val="20"/>
                <w:color w:val="auto"/>
              </w:rPr>
            </w:pPr>
            <w:r>
              <w:rPr>
                <w:rFonts w:ascii="Arial" w:cs="Arial" w:eastAsia="Arial" w:hAnsi="Arial"/>
                <w:sz w:val="16"/>
                <w:szCs w:val="16"/>
                <w:color w:val="auto"/>
              </w:rPr>
              <w:t>12,675</w:t>
            </w:r>
          </w:p>
        </w:tc>
      </w:tr>
      <w:tr>
        <w:trPr>
          <w:trHeight w:val="183"/>
        </w:trPr>
        <w:tc>
          <w:tcPr>
            <w:tcW w:w="4800" w:type="dxa"/>
            <w:vAlign w:val="bottom"/>
            <w:tcBorders>
              <w:bottom w:val="single" w:sz="8" w:color="999999"/>
            </w:tcBorders>
          </w:tcPr>
          <w:p>
            <w:pPr>
              <w:spacing w:after="0" w:line="183" w:lineRule="exact"/>
              <w:rPr>
                <w:sz w:val="20"/>
                <w:szCs w:val="20"/>
                <w:color w:val="auto"/>
              </w:rPr>
            </w:pPr>
            <w:r>
              <w:rPr>
                <w:rFonts w:ascii="Arial" w:cs="Arial" w:eastAsia="Arial" w:hAnsi="Arial"/>
                <w:sz w:val="16"/>
                <w:szCs w:val="16"/>
                <w:color w:val="auto"/>
              </w:rPr>
              <w:t>C. Mark Hussey</w:t>
            </w:r>
          </w:p>
        </w:tc>
        <w:tc>
          <w:tcPr>
            <w:tcW w:w="4740" w:type="dxa"/>
            <w:vAlign w:val="bottom"/>
            <w:tcBorders>
              <w:bottom w:val="single" w:sz="8" w:color="999999"/>
            </w:tcBorders>
          </w:tcPr>
          <w:p>
            <w:pPr>
              <w:jc w:val="right"/>
              <w:ind w:right="243"/>
              <w:spacing w:after="0" w:line="183" w:lineRule="exact"/>
              <w:rPr>
                <w:sz w:val="20"/>
                <w:szCs w:val="20"/>
                <w:color w:val="auto"/>
              </w:rPr>
            </w:pPr>
            <w:r>
              <w:rPr>
                <w:rFonts w:ascii="Arial" w:cs="Arial" w:eastAsia="Arial" w:hAnsi="Arial"/>
                <w:sz w:val="16"/>
                <w:szCs w:val="16"/>
                <w:color w:val="auto"/>
              </w:rPr>
              <w:t>19,168</w:t>
            </w:r>
          </w:p>
        </w:tc>
        <w:tc>
          <w:tcPr>
            <w:tcW w:w="1480" w:type="dxa"/>
            <w:vAlign w:val="bottom"/>
            <w:tcBorders>
              <w:bottom w:val="single" w:sz="8" w:color="999999"/>
            </w:tcBorders>
          </w:tcPr>
          <w:p>
            <w:pPr>
              <w:jc w:val="right"/>
              <w:ind w:right="363"/>
              <w:spacing w:after="0" w:line="183" w:lineRule="exact"/>
              <w:rPr>
                <w:sz w:val="20"/>
                <w:szCs w:val="20"/>
                <w:color w:val="auto"/>
              </w:rPr>
            </w:pPr>
            <w:r>
              <w:rPr>
                <w:rFonts w:ascii="Arial" w:cs="Arial" w:eastAsia="Arial" w:hAnsi="Arial"/>
                <w:sz w:val="16"/>
                <w:szCs w:val="16"/>
                <w:color w:val="auto"/>
              </w:rPr>
              <w:t>8,215</w:t>
            </w:r>
          </w:p>
        </w:tc>
      </w:tr>
      <w:tr>
        <w:trPr>
          <w:trHeight w:val="183"/>
        </w:trPr>
        <w:tc>
          <w:tcPr>
            <w:tcW w:w="4800" w:type="dxa"/>
            <w:vAlign w:val="bottom"/>
            <w:tcBorders>
              <w:bottom w:val="single" w:sz="8" w:color="999999"/>
            </w:tcBorders>
          </w:tcPr>
          <w:p>
            <w:pPr>
              <w:spacing w:after="0" w:line="183" w:lineRule="exact"/>
              <w:rPr>
                <w:sz w:val="20"/>
                <w:szCs w:val="20"/>
                <w:color w:val="auto"/>
              </w:rPr>
            </w:pPr>
            <w:r>
              <w:rPr>
                <w:rFonts w:ascii="Arial" w:cs="Arial" w:eastAsia="Arial" w:hAnsi="Arial"/>
                <w:sz w:val="16"/>
                <w:szCs w:val="16"/>
                <w:color w:val="auto"/>
              </w:rPr>
              <w:t>John D. Kelly</w:t>
            </w:r>
          </w:p>
        </w:tc>
        <w:tc>
          <w:tcPr>
            <w:tcW w:w="4740" w:type="dxa"/>
            <w:vAlign w:val="bottom"/>
            <w:tcBorders>
              <w:bottom w:val="single" w:sz="8" w:color="999999"/>
            </w:tcBorders>
          </w:tcPr>
          <w:p>
            <w:pPr>
              <w:jc w:val="right"/>
              <w:ind w:right="243"/>
              <w:spacing w:after="0" w:line="183" w:lineRule="exact"/>
              <w:rPr>
                <w:sz w:val="20"/>
                <w:szCs w:val="20"/>
                <w:color w:val="auto"/>
              </w:rPr>
            </w:pPr>
            <w:r>
              <w:rPr>
                <w:rFonts w:ascii="Arial" w:cs="Arial" w:eastAsia="Arial" w:hAnsi="Arial"/>
                <w:sz w:val="16"/>
                <w:szCs w:val="16"/>
                <w:color w:val="auto"/>
              </w:rPr>
              <w:t>10,077</w:t>
            </w:r>
          </w:p>
        </w:tc>
        <w:tc>
          <w:tcPr>
            <w:tcW w:w="1480" w:type="dxa"/>
            <w:vAlign w:val="bottom"/>
            <w:tcBorders>
              <w:bottom w:val="single" w:sz="8" w:color="999999"/>
            </w:tcBorders>
          </w:tcPr>
          <w:p>
            <w:pPr>
              <w:jc w:val="right"/>
              <w:ind w:right="363"/>
              <w:spacing w:after="0" w:line="183" w:lineRule="exact"/>
              <w:rPr>
                <w:sz w:val="20"/>
                <w:szCs w:val="20"/>
                <w:color w:val="auto"/>
              </w:rPr>
            </w:pPr>
            <w:r>
              <w:rPr>
                <w:rFonts w:ascii="Arial" w:cs="Arial" w:eastAsia="Arial" w:hAnsi="Arial"/>
                <w:sz w:val="16"/>
                <w:szCs w:val="16"/>
                <w:color w:val="auto"/>
              </w:rPr>
              <w:t>4,319</w:t>
            </w:r>
          </w:p>
        </w:tc>
      </w:tr>
      <w:tr>
        <w:trPr>
          <w:trHeight w:val="190"/>
        </w:trPr>
        <w:tc>
          <w:tcPr>
            <w:tcW w:w="4800" w:type="dxa"/>
            <w:vAlign w:val="bottom"/>
          </w:tcPr>
          <w:p>
            <w:pPr>
              <w:spacing w:after="0"/>
              <w:rPr>
                <w:sz w:val="20"/>
                <w:szCs w:val="20"/>
                <w:color w:val="auto"/>
              </w:rPr>
            </w:pPr>
            <w:r>
              <w:rPr>
                <w:rFonts w:ascii="Arial" w:cs="Arial" w:eastAsia="Arial" w:hAnsi="Arial"/>
                <w:sz w:val="16"/>
                <w:szCs w:val="16"/>
                <w:color w:val="auto"/>
              </w:rPr>
              <w:t>Diane E. Ratekin</w:t>
            </w:r>
          </w:p>
        </w:tc>
        <w:tc>
          <w:tcPr>
            <w:tcW w:w="4740" w:type="dxa"/>
            <w:vAlign w:val="bottom"/>
          </w:tcPr>
          <w:p>
            <w:pPr>
              <w:jc w:val="right"/>
              <w:ind w:right="243"/>
              <w:spacing w:after="0"/>
              <w:rPr>
                <w:sz w:val="20"/>
                <w:szCs w:val="20"/>
                <w:color w:val="auto"/>
              </w:rPr>
            </w:pPr>
            <w:r>
              <w:rPr>
                <w:rFonts w:ascii="Arial" w:cs="Arial" w:eastAsia="Arial" w:hAnsi="Arial"/>
                <w:sz w:val="16"/>
                <w:szCs w:val="16"/>
                <w:color w:val="auto"/>
              </w:rPr>
              <w:t>6,718</w:t>
            </w:r>
          </w:p>
        </w:tc>
        <w:tc>
          <w:tcPr>
            <w:tcW w:w="1480" w:type="dxa"/>
            <w:vAlign w:val="bottom"/>
          </w:tcPr>
          <w:p>
            <w:pPr>
              <w:jc w:val="right"/>
              <w:ind w:right="363"/>
              <w:spacing w:after="0"/>
              <w:rPr>
                <w:sz w:val="20"/>
                <w:szCs w:val="20"/>
                <w:color w:val="auto"/>
              </w:rPr>
            </w:pPr>
            <w:r>
              <w:rPr>
                <w:rFonts w:ascii="Arial" w:cs="Arial" w:eastAsia="Arial" w:hAnsi="Arial"/>
                <w:sz w:val="16"/>
                <w:szCs w:val="16"/>
                <w:color w:val="auto"/>
              </w:rPr>
              <w:t>2,879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-4445</wp:posOffset>
            </wp:positionV>
            <wp:extent cx="69951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ind w:left="120"/>
        <w:spacing w:after="0"/>
        <w:tabs>
          <w:tab w:leader="none" w:pos="320" w:val="left"/>
        </w:tabs>
        <w:rPr>
          <w:sz w:val="20"/>
          <w:szCs w:val="20"/>
          <w:color w:val="auto"/>
        </w:rPr>
      </w:pPr>
      <w:r>
        <w:rPr>
          <w:rFonts w:ascii="Arial" w:cs="Arial" w:eastAsia="Arial" w:hAnsi="Arial"/>
          <w:sz w:val="16"/>
          <w:szCs w:val="16"/>
          <w:color w:val="auto"/>
        </w:rPr>
        <w:t>*</w:t>
        <w:tab/>
        <w:t>Reflects target award levels. Payouts, if any, on the performance units will be determined at the end of the three-year performance period in 2021.</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00548B"/>
        </w:rPr>
        <w:t>Performance Unit Awards</w:t>
      </w:r>
    </w:p>
    <w:p>
      <w:pPr>
        <w:spacing w:after="0" w:line="133" w:lineRule="exact"/>
        <w:rPr>
          <w:sz w:val="20"/>
          <w:szCs w:val="20"/>
          <w:color w:val="auto"/>
        </w:rPr>
      </w:pPr>
    </w:p>
    <w:p>
      <w:pPr>
        <w:jc w:val="both"/>
        <w:ind w:left="120" w:right="20"/>
        <w:spacing w:after="0" w:line="251" w:lineRule="auto"/>
        <w:rPr>
          <w:sz w:val="20"/>
          <w:szCs w:val="20"/>
          <w:color w:val="auto"/>
        </w:rPr>
      </w:pPr>
      <w:r>
        <w:rPr>
          <w:rFonts w:ascii="Arial" w:cs="Arial" w:eastAsia="Arial" w:hAnsi="Arial"/>
          <w:sz w:val="16"/>
          <w:szCs w:val="16"/>
          <w:color w:val="auto"/>
        </w:rPr>
        <w:t>The performance unit plan was redesigned beginning in 2018 to measure performance over a three-year period and to add revenue growth as a measure. This structure was retained for awards granted in 2019. Payout opportunity is 25% of target for threshold performance and 200% of target for maximum performance. No shares are earned for performance below the threshold. In 2019, there was no earned performance shares for the 2017-2019 performance period as Actual Adjusted EPS was below threshold at $2.74.</w:t>
      </w:r>
    </w:p>
    <w:p>
      <w:pPr>
        <w:spacing w:after="0" w:line="162"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6"/>
          <w:szCs w:val="16"/>
          <w:color w:val="auto"/>
        </w:rPr>
        <w:t>The Compensation Committee establishes threshold, target and maximum goals for each measure for the three-year performance period. These goals are communicated to the NEOs at the time of grant, but we do not share them publicly until the end of the performance period to prevent us from sharing otherwise non-public information about our financial forecast.</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263"/>
        </w:trPr>
        <w:tc>
          <w:tcPr>
            <w:tcW w:w="2020" w:type="dxa"/>
            <w:vAlign w:val="bottom"/>
            <w:tcBorders>
              <w:bottom w:val="single" w:sz="8" w:color="00548B"/>
            </w:tcBorders>
            <w:shd w:val="clear" w:color="auto" w:fill="00548B"/>
          </w:tcPr>
          <w:p>
            <w:pPr>
              <w:spacing w:after="0"/>
              <w:rPr>
                <w:sz w:val="20"/>
                <w:szCs w:val="20"/>
                <w:color w:val="auto"/>
              </w:rPr>
            </w:pPr>
            <w:r>
              <w:rPr>
                <w:rFonts w:ascii="Arial" w:cs="Arial" w:eastAsia="Arial" w:hAnsi="Arial"/>
                <w:sz w:val="16"/>
                <w:szCs w:val="16"/>
                <w:b w:val="1"/>
                <w:bCs w:val="1"/>
                <w:color w:val="D8D8D8"/>
              </w:rPr>
              <w:t>Vehicle</w:t>
            </w:r>
          </w:p>
        </w:tc>
        <w:tc>
          <w:tcPr>
            <w:tcW w:w="1460" w:type="dxa"/>
            <w:vAlign w:val="bottom"/>
            <w:tcBorders>
              <w:bottom w:val="single" w:sz="8" w:color="00548B"/>
            </w:tcBorders>
            <w:shd w:val="clear" w:color="auto" w:fill="00548B"/>
          </w:tcPr>
          <w:p>
            <w:pPr>
              <w:ind w:left="680"/>
              <w:spacing w:after="0"/>
              <w:rPr>
                <w:sz w:val="20"/>
                <w:szCs w:val="20"/>
                <w:color w:val="auto"/>
              </w:rPr>
            </w:pPr>
            <w:r>
              <w:rPr>
                <w:rFonts w:ascii="Arial" w:cs="Arial" w:eastAsia="Arial" w:hAnsi="Arial"/>
                <w:sz w:val="16"/>
                <w:szCs w:val="16"/>
                <w:b w:val="1"/>
                <w:bCs w:val="1"/>
                <w:color w:val="D8D8D8"/>
                <w:w w:val="98"/>
              </w:rPr>
              <w:t>Weighting</w:t>
            </w:r>
          </w:p>
        </w:tc>
        <w:tc>
          <w:tcPr>
            <w:tcW w:w="480" w:type="dxa"/>
            <w:vAlign w:val="bottom"/>
            <w:tcBorders>
              <w:bottom w:val="single" w:sz="8" w:color="00548B"/>
            </w:tcBorders>
            <w:shd w:val="clear" w:color="auto" w:fill="00548B"/>
          </w:tcPr>
          <w:p>
            <w:pPr>
              <w:spacing w:after="0"/>
              <w:rPr>
                <w:sz w:val="22"/>
                <w:szCs w:val="22"/>
                <w:color w:val="auto"/>
              </w:rPr>
            </w:pPr>
          </w:p>
        </w:tc>
        <w:tc>
          <w:tcPr>
            <w:tcW w:w="3020" w:type="dxa"/>
            <w:vAlign w:val="bottom"/>
            <w:tcBorders>
              <w:bottom w:val="single" w:sz="8" w:color="00548B"/>
            </w:tcBorders>
            <w:shd w:val="clear" w:color="auto" w:fill="00548B"/>
          </w:tcPr>
          <w:p>
            <w:pPr>
              <w:ind w:left="140"/>
              <w:spacing w:after="0"/>
              <w:rPr>
                <w:sz w:val="20"/>
                <w:szCs w:val="20"/>
                <w:color w:val="auto"/>
              </w:rPr>
            </w:pPr>
            <w:r>
              <w:rPr>
                <w:rFonts w:ascii="Arial" w:cs="Arial" w:eastAsia="Arial" w:hAnsi="Arial"/>
                <w:sz w:val="16"/>
                <w:szCs w:val="16"/>
                <w:b w:val="1"/>
                <w:bCs w:val="1"/>
                <w:color w:val="D8D8D8"/>
              </w:rPr>
              <w:t>Performance Measure</w:t>
            </w:r>
          </w:p>
        </w:tc>
        <w:tc>
          <w:tcPr>
            <w:tcW w:w="4040" w:type="dxa"/>
            <w:vAlign w:val="bottom"/>
            <w:tcBorders>
              <w:bottom w:val="single" w:sz="8" w:color="00548B"/>
            </w:tcBorders>
            <w:shd w:val="clear" w:color="auto" w:fill="00548B"/>
          </w:tcPr>
          <w:p>
            <w:pPr>
              <w:jc w:val="center"/>
              <w:ind w:left="119"/>
              <w:spacing w:after="0"/>
              <w:rPr>
                <w:sz w:val="20"/>
                <w:szCs w:val="20"/>
                <w:color w:val="auto"/>
              </w:rPr>
            </w:pPr>
            <w:r>
              <w:rPr>
                <w:rFonts w:ascii="Arial" w:cs="Arial" w:eastAsia="Arial" w:hAnsi="Arial"/>
                <w:sz w:val="16"/>
                <w:szCs w:val="16"/>
                <w:b w:val="1"/>
                <w:bCs w:val="1"/>
                <w:color w:val="D8D8D8"/>
              </w:rPr>
              <w:t>Performance/Vesting Timeline</w:t>
            </w:r>
          </w:p>
        </w:tc>
        <w:tc>
          <w:tcPr>
            <w:tcW w:w="0" w:type="dxa"/>
            <w:vAlign w:val="bottom"/>
          </w:tcPr>
          <w:p>
            <w:pPr>
              <w:spacing w:after="0"/>
              <w:rPr>
                <w:sz w:val="1"/>
                <w:szCs w:val="1"/>
                <w:color w:val="auto"/>
              </w:rPr>
            </w:pPr>
          </w:p>
        </w:tc>
      </w:tr>
      <w:tr>
        <w:trPr>
          <w:trHeight w:val="191"/>
        </w:trPr>
        <w:tc>
          <w:tcPr>
            <w:tcW w:w="2020" w:type="dxa"/>
            <w:vAlign w:val="bottom"/>
            <w:vMerge w:val="restart"/>
          </w:tcPr>
          <w:p>
            <w:pPr>
              <w:spacing w:after="0"/>
              <w:rPr>
                <w:sz w:val="20"/>
                <w:szCs w:val="20"/>
                <w:color w:val="auto"/>
              </w:rPr>
            </w:pPr>
            <w:r>
              <w:rPr>
                <w:rFonts w:ascii="Arial" w:cs="Arial" w:eastAsia="Arial" w:hAnsi="Arial"/>
                <w:sz w:val="16"/>
                <w:szCs w:val="16"/>
                <w:color w:val="auto"/>
              </w:rPr>
              <w:t>Performance Units</w:t>
            </w:r>
          </w:p>
        </w:tc>
        <w:tc>
          <w:tcPr>
            <w:tcW w:w="1460" w:type="dxa"/>
            <w:vAlign w:val="bottom"/>
          </w:tcPr>
          <w:p>
            <w:pPr>
              <w:spacing w:after="0"/>
              <w:rPr>
                <w:sz w:val="16"/>
                <w:szCs w:val="16"/>
                <w:color w:val="auto"/>
              </w:rPr>
            </w:pPr>
          </w:p>
        </w:tc>
        <w:tc>
          <w:tcPr>
            <w:tcW w:w="480" w:type="dxa"/>
            <w:vAlign w:val="bottom"/>
            <w:vMerge w:val="restart"/>
          </w:tcPr>
          <w:p>
            <w:pPr>
              <w:jc w:val="right"/>
              <w:ind w:right="59"/>
              <w:spacing w:after="0"/>
              <w:rPr>
                <w:sz w:val="20"/>
                <w:szCs w:val="20"/>
                <w:color w:val="auto"/>
              </w:rPr>
            </w:pPr>
            <w:r>
              <w:rPr>
                <w:rFonts w:ascii="Arial" w:cs="Arial" w:eastAsia="Arial" w:hAnsi="Arial"/>
                <w:sz w:val="16"/>
                <w:szCs w:val="16"/>
                <w:color w:val="auto"/>
                <w:w w:val="99"/>
              </w:rPr>
              <w:t>70%</w:t>
            </w:r>
          </w:p>
        </w:tc>
        <w:tc>
          <w:tcPr>
            <w:tcW w:w="3020" w:type="dxa"/>
            <w:vAlign w:val="bottom"/>
          </w:tcPr>
          <w:p>
            <w:pPr>
              <w:ind w:left="140"/>
              <w:spacing w:after="0"/>
              <w:rPr>
                <w:sz w:val="20"/>
                <w:szCs w:val="20"/>
                <w:color w:val="auto"/>
              </w:rPr>
            </w:pPr>
            <w:r>
              <w:rPr>
                <w:rFonts w:ascii="Arial" w:cs="Arial" w:eastAsia="Arial" w:hAnsi="Arial"/>
                <w:sz w:val="16"/>
                <w:szCs w:val="16"/>
                <w:color w:val="auto"/>
              </w:rPr>
              <w:t>40% Adjusted Diluted EPS</w:t>
            </w:r>
          </w:p>
        </w:tc>
        <w:tc>
          <w:tcPr>
            <w:tcW w:w="4040" w:type="dxa"/>
            <w:vAlign w:val="bottom"/>
            <w:vMerge w:val="restart"/>
          </w:tcPr>
          <w:p>
            <w:pPr>
              <w:jc w:val="center"/>
              <w:ind w:left="119"/>
              <w:spacing w:after="0"/>
              <w:rPr>
                <w:sz w:val="20"/>
                <w:szCs w:val="20"/>
                <w:color w:val="auto"/>
              </w:rPr>
            </w:pPr>
            <w:r>
              <w:rPr>
                <w:rFonts w:ascii="Arial" w:cs="Arial" w:eastAsia="Arial" w:hAnsi="Arial"/>
                <w:sz w:val="16"/>
                <w:szCs w:val="16"/>
                <w:color w:val="auto"/>
                <w:w w:val="99"/>
              </w:rPr>
              <w:t>Three-Year (cliff)</w:t>
            </w:r>
          </w:p>
        </w:tc>
        <w:tc>
          <w:tcPr>
            <w:tcW w:w="0" w:type="dxa"/>
            <w:vAlign w:val="bottom"/>
          </w:tcPr>
          <w:p>
            <w:pPr>
              <w:spacing w:after="0"/>
              <w:rPr>
                <w:sz w:val="1"/>
                <w:szCs w:val="1"/>
                <w:color w:val="auto"/>
              </w:rPr>
            </w:pPr>
          </w:p>
        </w:tc>
      </w:tr>
      <w:tr>
        <w:trPr>
          <w:trHeight w:val="100"/>
        </w:trPr>
        <w:tc>
          <w:tcPr>
            <w:tcW w:w="2020" w:type="dxa"/>
            <w:vAlign w:val="bottom"/>
            <w:vMerge w:val="continue"/>
          </w:tcPr>
          <w:p>
            <w:pPr>
              <w:spacing w:after="0"/>
              <w:rPr>
                <w:sz w:val="8"/>
                <w:szCs w:val="8"/>
                <w:color w:val="auto"/>
              </w:rPr>
            </w:pPr>
          </w:p>
        </w:tc>
        <w:tc>
          <w:tcPr>
            <w:tcW w:w="146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3020" w:type="dxa"/>
            <w:vAlign w:val="bottom"/>
            <w:vMerge w:val="restart"/>
          </w:tcPr>
          <w:p>
            <w:pPr>
              <w:ind w:left="140"/>
              <w:spacing w:after="0"/>
              <w:rPr>
                <w:sz w:val="20"/>
                <w:szCs w:val="20"/>
                <w:color w:val="auto"/>
              </w:rPr>
            </w:pPr>
            <w:r>
              <w:rPr>
                <w:rFonts w:ascii="Arial" w:cs="Arial" w:eastAsia="Arial" w:hAnsi="Arial"/>
                <w:sz w:val="16"/>
                <w:szCs w:val="16"/>
                <w:color w:val="auto"/>
              </w:rPr>
              <w:t>30% Revenue Growth</w:t>
            </w:r>
          </w:p>
        </w:tc>
        <w:tc>
          <w:tcPr>
            <w:tcW w:w="4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20" w:type="dxa"/>
            <w:vAlign w:val="bottom"/>
            <w:tcBorders>
              <w:bottom w:val="single" w:sz="8" w:color="00548B"/>
            </w:tcBorders>
          </w:tcPr>
          <w:p>
            <w:pPr>
              <w:spacing w:after="0"/>
              <w:rPr>
                <w:sz w:val="8"/>
                <w:szCs w:val="8"/>
                <w:color w:val="auto"/>
              </w:rPr>
            </w:pPr>
          </w:p>
        </w:tc>
        <w:tc>
          <w:tcPr>
            <w:tcW w:w="1460" w:type="dxa"/>
            <w:vAlign w:val="bottom"/>
            <w:tcBorders>
              <w:bottom w:val="single" w:sz="8" w:color="00548B"/>
            </w:tcBorders>
          </w:tcPr>
          <w:p>
            <w:pPr>
              <w:spacing w:after="0"/>
              <w:rPr>
                <w:sz w:val="8"/>
                <w:szCs w:val="8"/>
                <w:color w:val="auto"/>
              </w:rPr>
            </w:pPr>
          </w:p>
        </w:tc>
        <w:tc>
          <w:tcPr>
            <w:tcW w:w="480" w:type="dxa"/>
            <w:vAlign w:val="bottom"/>
            <w:tcBorders>
              <w:bottom w:val="single" w:sz="8" w:color="00548B"/>
            </w:tcBorders>
          </w:tcPr>
          <w:p>
            <w:pPr>
              <w:spacing w:after="0"/>
              <w:rPr>
                <w:sz w:val="8"/>
                <w:szCs w:val="8"/>
                <w:color w:val="auto"/>
              </w:rPr>
            </w:pPr>
          </w:p>
        </w:tc>
        <w:tc>
          <w:tcPr>
            <w:tcW w:w="3020" w:type="dxa"/>
            <w:vAlign w:val="bottom"/>
            <w:tcBorders>
              <w:bottom w:val="single" w:sz="8" w:color="00548B"/>
            </w:tcBorders>
            <w:vMerge w:val="continue"/>
          </w:tcPr>
          <w:p>
            <w:pPr>
              <w:spacing w:after="0"/>
              <w:rPr>
                <w:sz w:val="8"/>
                <w:szCs w:val="8"/>
                <w:color w:val="auto"/>
              </w:rPr>
            </w:pPr>
          </w:p>
        </w:tc>
        <w:tc>
          <w:tcPr>
            <w:tcW w:w="4040" w:type="dxa"/>
            <w:vAlign w:val="bottom"/>
            <w:tcBorders>
              <w:bottom w:val="single" w:sz="8" w:color="00548B"/>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00548B"/>
        </w:rPr>
        <w:t>Restricted Stock Awards</w:t>
      </w:r>
    </w:p>
    <w:p>
      <w:pPr>
        <w:spacing w:after="0" w:line="25" w:lineRule="exact"/>
        <w:rPr>
          <w:sz w:val="20"/>
          <w:szCs w:val="20"/>
          <w:color w:val="auto"/>
        </w:rPr>
      </w:pPr>
    </w:p>
    <w:p>
      <w:pPr>
        <w:jc w:val="both"/>
        <w:ind w:left="120" w:right="20"/>
        <w:spacing w:after="0" w:line="260" w:lineRule="auto"/>
        <w:rPr>
          <w:sz w:val="20"/>
          <w:szCs w:val="20"/>
          <w:color w:val="auto"/>
        </w:rPr>
      </w:pPr>
      <w:r>
        <w:rPr>
          <w:rFonts w:ascii="Arial" w:cs="Arial" w:eastAsia="Arial" w:hAnsi="Arial"/>
          <w:sz w:val="16"/>
          <w:szCs w:val="16"/>
          <w:color w:val="auto"/>
        </w:rPr>
        <w:t>The restricted stock granted to our NEOs vests 1/3 per year over three years, based on continued service to enhance retention and maintain alignment with share price performance.</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263"/>
        </w:trPr>
        <w:tc>
          <w:tcPr>
            <w:tcW w:w="2060" w:type="dxa"/>
            <w:vAlign w:val="bottom"/>
            <w:tcBorders>
              <w:bottom w:val="single" w:sz="8" w:color="00548B"/>
            </w:tcBorders>
            <w:shd w:val="clear" w:color="auto" w:fill="00548B"/>
          </w:tcPr>
          <w:p>
            <w:pPr>
              <w:spacing w:after="0"/>
              <w:rPr>
                <w:sz w:val="20"/>
                <w:szCs w:val="20"/>
                <w:color w:val="auto"/>
              </w:rPr>
            </w:pPr>
            <w:r>
              <w:rPr>
                <w:rFonts w:ascii="Arial" w:cs="Arial" w:eastAsia="Arial" w:hAnsi="Arial"/>
                <w:sz w:val="16"/>
                <w:szCs w:val="16"/>
                <w:b w:val="1"/>
                <w:bCs w:val="1"/>
                <w:color w:val="D8D8D8"/>
              </w:rPr>
              <w:t>Vehicle</w:t>
            </w:r>
          </w:p>
        </w:tc>
        <w:tc>
          <w:tcPr>
            <w:tcW w:w="2020" w:type="dxa"/>
            <w:vAlign w:val="bottom"/>
            <w:tcBorders>
              <w:bottom w:val="single" w:sz="8" w:color="00548B"/>
            </w:tcBorders>
            <w:shd w:val="clear" w:color="auto" w:fill="00548B"/>
          </w:tcPr>
          <w:p>
            <w:pPr>
              <w:jc w:val="right"/>
              <w:ind w:right="399"/>
              <w:spacing w:after="0"/>
              <w:rPr>
                <w:sz w:val="20"/>
                <w:szCs w:val="20"/>
                <w:color w:val="auto"/>
              </w:rPr>
            </w:pPr>
            <w:r>
              <w:rPr>
                <w:rFonts w:ascii="Arial" w:cs="Arial" w:eastAsia="Arial" w:hAnsi="Arial"/>
                <w:sz w:val="16"/>
                <w:szCs w:val="16"/>
                <w:b w:val="1"/>
                <w:bCs w:val="1"/>
                <w:color w:val="D8D8D8"/>
              </w:rPr>
              <w:t>Weighting</w:t>
            </w:r>
          </w:p>
        </w:tc>
        <w:tc>
          <w:tcPr>
            <w:tcW w:w="2840" w:type="dxa"/>
            <w:vAlign w:val="bottom"/>
            <w:tcBorders>
              <w:bottom w:val="single" w:sz="8" w:color="00548B"/>
            </w:tcBorders>
            <w:shd w:val="clear" w:color="auto" w:fill="00548B"/>
          </w:tcPr>
          <w:p>
            <w:pPr>
              <w:ind w:left="140"/>
              <w:spacing w:after="0"/>
              <w:rPr>
                <w:sz w:val="20"/>
                <w:szCs w:val="20"/>
                <w:color w:val="auto"/>
              </w:rPr>
            </w:pPr>
            <w:r>
              <w:rPr>
                <w:rFonts w:ascii="Arial" w:cs="Arial" w:eastAsia="Arial" w:hAnsi="Arial"/>
                <w:sz w:val="16"/>
                <w:szCs w:val="16"/>
                <w:b w:val="1"/>
                <w:bCs w:val="1"/>
                <w:color w:val="D8D8D8"/>
              </w:rPr>
              <w:t>Performance Measure</w:t>
            </w:r>
          </w:p>
        </w:tc>
        <w:tc>
          <w:tcPr>
            <w:tcW w:w="4100" w:type="dxa"/>
            <w:vAlign w:val="bottom"/>
            <w:tcBorders>
              <w:bottom w:val="single" w:sz="8" w:color="00548B"/>
            </w:tcBorders>
            <w:shd w:val="clear" w:color="auto" w:fill="00548B"/>
          </w:tcPr>
          <w:p>
            <w:pPr>
              <w:jc w:val="center"/>
              <w:ind w:left="179"/>
              <w:spacing w:after="0"/>
              <w:rPr>
                <w:sz w:val="20"/>
                <w:szCs w:val="20"/>
                <w:color w:val="auto"/>
              </w:rPr>
            </w:pPr>
            <w:r>
              <w:rPr>
                <w:rFonts w:ascii="Arial" w:cs="Arial" w:eastAsia="Arial" w:hAnsi="Arial"/>
                <w:sz w:val="16"/>
                <w:szCs w:val="16"/>
                <w:b w:val="1"/>
                <w:bCs w:val="1"/>
                <w:color w:val="D8D8D8"/>
              </w:rPr>
              <w:t>Performance/Vesting Timeline</w:t>
            </w:r>
          </w:p>
        </w:tc>
      </w:tr>
      <w:tr>
        <w:trPr>
          <w:trHeight w:val="189"/>
        </w:trPr>
        <w:tc>
          <w:tcPr>
            <w:tcW w:w="2060" w:type="dxa"/>
            <w:vAlign w:val="bottom"/>
            <w:tcBorders>
              <w:bottom w:val="single" w:sz="8" w:color="00548B"/>
            </w:tcBorders>
          </w:tcPr>
          <w:p>
            <w:pPr>
              <w:spacing w:after="0"/>
              <w:rPr>
                <w:sz w:val="20"/>
                <w:szCs w:val="20"/>
                <w:color w:val="auto"/>
              </w:rPr>
            </w:pPr>
            <w:r>
              <w:rPr>
                <w:rFonts w:ascii="Arial" w:cs="Arial" w:eastAsia="Arial" w:hAnsi="Arial"/>
                <w:sz w:val="16"/>
                <w:szCs w:val="16"/>
                <w:color w:val="auto"/>
              </w:rPr>
              <w:t>Restricted Shares</w:t>
            </w:r>
          </w:p>
        </w:tc>
        <w:tc>
          <w:tcPr>
            <w:tcW w:w="2020" w:type="dxa"/>
            <w:vAlign w:val="bottom"/>
            <w:tcBorders>
              <w:bottom w:val="single" w:sz="8" w:color="00548B"/>
            </w:tcBorders>
          </w:tcPr>
          <w:p>
            <w:pPr>
              <w:jc w:val="right"/>
              <w:ind w:right="59"/>
              <w:spacing w:after="0"/>
              <w:rPr>
                <w:sz w:val="20"/>
                <w:szCs w:val="20"/>
                <w:color w:val="auto"/>
              </w:rPr>
            </w:pPr>
            <w:r>
              <w:rPr>
                <w:rFonts w:ascii="Arial" w:cs="Arial" w:eastAsia="Arial" w:hAnsi="Arial"/>
                <w:sz w:val="16"/>
                <w:szCs w:val="16"/>
                <w:color w:val="auto"/>
              </w:rPr>
              <w:t>30%</w:t>
            </w:r>
          </w:p>
        </w:tc>
        <w:tc>
          <w:tcPr>
            <w:tcW w:w="2840" w:type="dxa"/>
            <w:vAlign w:val="bottom"/>
            <w:tcBorders>
              <w:bottom w:val="single" w:sz="8" w:color="00548B"/>
            </w:tcBorders>
          </w:tcPr>
          <w:p>
            <w:pPr>
              <w:ind w:left="140"/>
              <w:spacing w:after="0"/>
              <w:rPr>
                <w:sz w:val="20"/>
                <w:szCs w:val="20"/>
                <w:color w:val="auto"/>
              </w:rPr>
            </w:pPr>
            <w:r>
              <w:rPr>
                <w:rFonts w:ascii="Arial" w:cs="Arial" w:eastAsia="Arial" w:hAnsi="Arial"/>
                <w:sz w:val="16"/>
                <w:szCs w:val="16"/>
                <w:color w:val="auto"/>
              </w:rPr>
              <w:t>Continued employment</w:t>
            </w:r>
          </w:p>
        </w:tc>
        <w:tc>
          <w:tcPr>
            <w:tcW w:w="4100" w:type="dxa"/>
            <w:vAlign w:val="bottom"/>
            <w:tcBorders>
              <w:bottom w:val="single" w:sz="8" w:color="00548B"/>
            </w:tcBorders>
          </w:tcPr>
          <w:p>
            <w:pPr>
              <w:jc w:val="center"/>
              <w:ind w:left="159"/>
              <w:spacing w:after="0"/>
              <w:rPr>
                <w:sz w:val="20"/>
                <w:szCs w:val="20"/>
                <w:color w:val="auto"/>
              </w:rPr>
            </w:pPr>
            <w:r>
              <w:rPr>
                <w:rFonts w:ascii="Arial" w:cs="Arial" w:eastAsia="Arial" w:hAnsi="Arial"/>
                <w:sz w:val="16"/>
                <w:szCs w:val="16"/>
                <w:color w:val="auto"/>
              </w:rPr>
              <w:t>Three-Year (ratable)</w:t>
            </w:r>
          </w:p>
        </w:tc>
      </w:tr>
    </w:tbl>
    <w:p>
      <w:pPr>
        <w:spacing w:after="0" w:line="171"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00548B"/>
        </w:rPr>
        <w:t>2020 NEO Compensation Program</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For 2020, the Compensation Committee made the following compensation adjustments:</w:t>
      </w:r>
    </w:p>
    <w:p>
      <w:pPr>
        <w:spacing w:after="0" w:line="5" w:lineRule="exact"/>
        <w:rPr>
          <w:sz w:val="20"/>
          <w:szCs w:val="20"/>
          <w:color w:val="auto"/>
        </w:rPr>
      </w:pPr>
    </w:p>
    <w:p>
      <w:pPr>
        <w:jc w:val="both"/>
        <w:ind w:left="980" w:right="20" w:hanging="432"/>
        <w:spacing w:after="0" w:line="246" w:lineRule="auto"/>
        <w:tabs>
          <w:tab w:leader="none" w:pos="980" w:val="left"/>
        </w:tabs>
        <w:numPr>
          <w:ilvl w:val="0"/>
          <w:numId w:val="34"/>
        </w:numPr>
        <w:rPr>
          <w:rFonts w:ascii="Arial" w:cs="Arial" w:eastAsia="Arial" w:hAnsi="Arial"/>
          <w:sz w:val="16"/>
          <w:szCs w:val="16"/>
          <w:color w:val="00548B"/>
        </w:rPr>
      </w:pPr>
      <w:r>
        <w:rPr>
          <w:rFonts w:ascii="Arial" w:cs="Arial" w:eastAsia="Arial" w:hAnsi="Arial"/>
          <w:sz w:val="16"/>
          <w:szCs w:val="16"/>
          <w:color w:val="auto"/>
        </w:rPr>
        <w:t>Mr. Roth’s base salary was increased from $900,000 to $950,000 and his annual incentive opportunity was increased from 110% to 140%. The Compensation Committee chose to increase Mr. Roth’s target total cash compensation opportunity for the first time in six years. This change brings his target cash opportunity just above market median of the peer group on target total cash and continues to put more than 77% of Mr. Roth’s pay at-risk based on Company performance. The actual cash compensation Mr. Roth ultimately earns will be based on the Company’s performance against pre-determined goals.</w:t>
      </w:r>
    </w:p>
    <w:p>
      <w:pPr>
        <w:spacing w:after="0" w:line="2" w:lineRule="exact"/>
        <w:rPr>
          <w:rFonts w:ascii="Arial" w:cs="Arial" w:eastAsia="Arial" w:hAnsi="Arial"/>
          <w:sz w:val="16"/>
          <w:szCs w:val="16"/>
          <w:color w:val="00548B"/>
        </w:rPr>
      </w:pPr>
    </w:p>
    <w:p>
      <w:pPr>
        <w:ind w:left="980" w:right="20" w:hanging="432"/>
        <w:spacing w:after="0" w:line="246" w:lineRule="auto"/>
        <w:tabs>
          <w:tab w:leader="none" w:pos="980" w:val="left"/>
        </w:tabs>
        <w:numPr>
          <w:ilvl w:val="0"/>
          <w:numId w:val="34"/>
        </w:numPr>
        <w:rPr>
          <w:rFonts w:ascii="Arial" w:cs="Arial" w:eastAsia="Arial" w:hAnsi="Arial"/>
          <w:sz w:val="16"/>
          <w:szCs w:val="16"/>
          <w:color w:val="00548B"/>
        </w:rPr>
      </w:pPr>
      <w:r>
        <w:rPr>
          <w:rFonts w:ascii="Arial" w:cs="Arial" w:eastAsia="Arial" w:hAnsi="Arial"/>
          <w:sz w:val="16"/>
          <w:szCs w:val="16"/>
          <w:color w:val="auto"/>
        </w:rPr>
        <w:t>Mr. Hussey’s base salary was increased from $750,000 to $800,000 to reflect his performance and integral role in driving the Company-wide strategy as President and COO.</w:t>
      </w:r>
    </w:p>
    <w:p>
      <w:pPr>
        <w:jc w:val="both"/>
        <w:ind w:left="980" w:hanging="432"/>
        <w:spacing w:after="0" w:line="251" w:lineRule="auto"/>
        <w:tabs>
          <w:tab w:leader="none" w:pos="980" w:val="left"/>
        </w:tabs>
        <w:numPr>
          <w:ilvl w:val="0"/>
          <w:numId w:val="34"/>
        </w:numPr>
        <w:rPr>
          <w:rFonts w:ascii="Arial" w:cs="Arial" w:eastAsia="Arial" w:hAnsi="Arial"/>
          <w:sz w:val="16"/>
          <w:szCs w:val="16"/>
          <w:color w:val="00548B"/>
        </w:rPr>
      </w:pPr>
      <w:r>
        <w:rPr>
          <w:rFonts w:ascii="Arial" w:cs="Arial" w:eastAsia="Arial" w:hAnsi="Arial"/>
          <w:sz w:val="16"/>
          <w:szCs w:val="16"/>
          <w:color w:val="auto"/>
        </w:rPr>
        <w:t>Mr. Kelly’s base salary increased from $460,000 to $525,000 and his target annual incentive opportunity increased from 70% to 90% of his base salary. These changes were part of a multi-year strategy to transition his pay closer to the market median as this is his fourth year in the CFO role. The Committee also awarded Mr. Kelly a grant of restricted stock awards that will cliff vest after four years, provided Mr. Kelly is still in service to Huron, to offer added retention given his outstanding performance and his criticality to the Company.</w:t>
      </w:r>
    </w:p>
    <w:p>
      <w:pPr>
        <w:spacing w:after="0" w:line="162" w:lineRule="exact"/>
        <w:rPr>
          <w:sz w:val="20"/>
          <w:szCs w:val="20"/>
          <w:color w:val="auto"/>
        </w:rPr>
      </w:pPr>
    </w:p>
    <w:p>
      <w:pPr>
        <w:ind w:left="120" w:right="20"/>
        <w:spacing w:after="0" w:line="260" w:lineRule="auto"/>
        <w:rPr>
          <w:sz w:val="20"/>
          <w:szCs w:val="20"/>
          <w:color w:val="auto"/>
        </w:rPr>
      </w:pPr>
      <w:r>
        <w:rPr>
          <w:rFonts w:ascii="Arial" w:cs="Arial" w:eastAsia="Arial" w:hAnsi="Arial"/>
          <w:sz w:val="16"/>
          <w:szCs w:val="16"/>
          <w:color w:val="auto"/>
        </w:rPr>
        <w:t>The 2020 Annual Incentive Program design is unchanged from the 2019 design, including the weighting of measures and the cap on actual awards if TSR is not positive for 2020.</w:t>
      </w:r>
    </w:p>
    <w:p>
      <w:pPr>
        <w:spacing w:after="0" w:line="15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No changes were made to the Long-Term Incentive Program for 2020.</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00548B"/>
        </w:rPr>
        <w:t>30</w:t>
      </w:r>
    </w:p>
    <w:p>
      <w:pPr>
        <w:sectPr>
          <w:pgSz w:w="11900" w:h="16838" w:orient="portrait"/>
          <w:cols w:equalWidth="0" w:num="1">
            <w:col w:w="11140"/>
          </w:cols>
          <w:pgMar w:left="32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03415"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003415" cy="171450"/>
                    </a:xfrm>
                    <a:prstGeom prst="rect">
                      <a:avLst/>
                    </a:prstGeom>
                    <a:noFill/>
                  </pic:spPr>
                </pic:pic>
              </a:graphicData>
            </a:graphic>
          </wp:anchor>
        </w:drawing>
      </w:r>
    </w:p>
    <w:p>
      <w:pPr>
        <w:spacing w:after="0" w:line="335"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D8D8D8"/>
        </w:rPr>
        <w:t>SECTION 4 - ADDITIONAL DISCLOSURES RELATED TO COMPENSATION PROGRAM</w:t>
      </w:r>
    </w:p>
    <w:p>
      <w:pPr>
        <w:spacing w:after="0" w:line="95"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00548B"/>
        </w:rPr>
        <w:t>Executive Pay Peer Group</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peer group for 2019 was identified based on the following process:</w:t>
      </w:r>
    </w:p>
    <w:p>
      <w:pPr>
        <w:spacing w:after="0" w:line="221" w:lineRule="exact"/>
        <w:rPr>
          <w:sz w:val="20"/>
          <w:szCs w:val="20"/>
          <w:color w:val="auto"/>
        </w:rPr>
      </w:pPr>
    </w:p>
    <w:p>
      <w:pPr>
        <w:ind w:left="980" w:hanging="432"/>
        <w:spacing w:after="0"/>
        <w:tabs>
          <w:tab w:leader="none" w:pos="9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All companies were identified that met the following criteria:</w:t>
      </w:r>
    </w:p>
    <w:p>
      <w:pPr>
        <w:spacing w:after="0" w:line="5" w:lineRule="exact"/>
        <w:rPr>
          <w:rFonts w:ascii="Arial" w:cs="Arial" w:eastAsia="Arial" w:hAnsi="Arial"/>
          <w:sz w:val="16"/>
          <w:szCs w:val="16"/>
          <w:color w:val="auto"/>
        </w:rPr>
      </w:pPr>
    </w:p>
    <w:p>
      <w:pPr>
        <w:ind w:left="1420" w:hanging="427"/>
        <w:spacing w:after="0"/>
        <w:tabs>
          <w:tab w:leader="none" w:pos="1420" w:val="left"/>
        </w:tabs>
        <w:numPr>
          <w:ilvl w:val="1"/>
          <w:numId w:val="35"/>
        </w:numPr>
        <w:rPr>
          <w:rFonts w:ascii="Arial" w:cs="Arial" w:eastAsia="Arial" w:hAnsi="Arial"/>
          <w:sz w:val="16"/>
          <w:szCs w:val="16"/>
          <w:color w:val="00548B"/>
        </w:rPr>
      </w:pPr>
      <w:r>
        <w:rPr>
          <w:rFonts w:ascii="Arial" w:cs="Arial" w:eastAsia="Arial" w:hAnsi="Arial"/>
          <w:sz w:val="16"/>
          <w:szCs w:val="16"/>
          <w:color w:val="auto"/>
        </w:rPr>
        <w:t>U.S. headquartered and publicly traded;</w:t>
      </w:r>
    </w:p>
    <w:p>
      <w:pPr>
        <w:spacing w:after="0" w:line="5" w:lineRule="exact"/>
        <w:rPr>
          <w:rFonts w:ascii="Arial" w:cs="Arial" w:eastAsia="Arial" w:hAnsi="Arial"/>
          <w:sz w:val="16"/>
          <w:szCs w:val="16"/>
          <w:color w:val="00548B"/>
        </w:rPr>
      </w:pPr>
    </w:p>
    <w:p>
      <w:pPr>
        <w:ind w:left="1420" w:hanging="427"/>
        <w:spacing w:after="0"/>
        <w:tabs>
          <w:tab w:leader="none" w:pos="1420" w:val="left"/>
        </w:tabs>
        <w:numPr>
          <w:ilvl w:val="1"/>
          <w:numId w:val="35"/>
        </w:numPr>
        <w:rPr>
          <w:rFonts w:ascii="Arial" w:cs="Arial" w:eastAsia="Arial" w:hAnsi="Arial"/>
          <w:sz w:val="16"/>
          <w:szCs w:val="16"/>
          <w:color w:val="00548B"/>
        </w:rPr>
      </w:pPr>
      <w:r>
        <w:rPr>
          <w:rFonts w:ascii="Arial" w:cs="Arial" w:eastAsia="Arial" w:hAnsi="Arial"/>
          <w:sz w:val="16"/>
          <w:szCs w:val="16"/>
          <w:color w:val="auto"/>
        </w:rPr>
        <w:t>Revenue between one-half to two times Huron’s trailing 12 months’ revenue; and</w:t>
      </w:r>
    </w:p>
    <w:p>
      <w:pPr>
        <w:spacing w:after="0" w:line="5" w:lineRule="exact"/>
        <w:rPr>
          <w:rFonts w:ascii="Arial" w:cs="Arial" w:eastAsia="Arial" w:hAnsi="Arial"/>
          <w:sz w:val="16"/>
          <w:szCs w:val="16"/>
          <w:color w:val="00548B"/>
        </w:rPr>
      </w:pPr>
    </w:p>
    <w:p>
      <w:pPr>
        <w:ind w:left="1420" w:right="20" w:hanging="427"/>
        <w:spacing w:after="0" w:line="260" w:lineRule="auto"/>
        <w:tabs>
          <w:tab w:leader="none" w:pos="1420" w:val="left"/>
        </w:tabs>
        <w:numPr>
          <w:ilvl w:val="1"/>
          <w:numId w:val="35"/>
        </w:numPr>
        <w:rPr>
          <w:rFonts w:ascii="Arial" w:cs="Arial" w:eastAsia="Arial" w:hAnsi="Arial"/>
          <w:sz w:val="16"/>
          <w:szCs w:val="16"/>
          <w:color w:val="00548B"/>
        </w:rPr>
      </w:pPr>
      <w:r>
        <w:rPr>
          <w:rFonts w:ascii="Arial" w:cs="Arial" w:eastAsia="Arial" w:hAnsi="Arial"/>
          <w:sz w:val="16"/>
          <w:szCs w:val="16"/>
          <w:color w:val="auto"/>
        </w:rPr>
        <w:t>Global Industry Classification Standard (GICS) codes: Research and Consulting Services, Human Resource &amp; Employment Services, Application Software, Health Care Services or Technology, or Data Processing and Outsourced Services.</w:t>
      </w:r>
    </w:p>
    <w:p>
      <w:pPr>
        <w:spacing w:after="0" w:line="195" w:lineRule="exact"/>
        <w:rPr>
          <w:rFonts w:ascii="Arial" w:cs="Arial" w:eastAsia="Arial" w:hAnsi="Arial"/>
          <w:sz w:val="16"/>
          <w:szCs w:val="16"/>
          <w:color w:val="00548B"/>
        </w:rPr>
      </w:pPr>
    </w:p>
    <w:p>
      <w:pPr>
        <w:ind w:left="980" w:hanging="432"/>
        <w:spacing w:after="0"/>
        <w:tabs>
          <w:tab w:leader="none" w:pos="9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Companies were then screened and selected that best met the following set of factors:</w:t>
      </w:r>
    </w:p>
    <w:p>
      <w:pPr>
        <w:spacing w:after="0" w:line="5" w:lineRule="exact"/>
        <w:rPr>
          <w:rFonts w:ascii="Arial" w:cs="Arial" w:eastAsia="Arial" w:hAnsi="Arial"/>
          <w:sz w:val="16"/>
          <w:szCs w:val="16"/>
          <w:color w:val="auto"/>
        </w:rPr>
      </w:pPr>
    </w:p>
    <w:p>
      <w:pPr>
        <w:ind w:left="1420" w:hanging="427"/>
        <w:spacing w:after="0"/>
        <w:tabs>
          <w:tab w:leader="none" w:pos="1420" w:val="left"/>
        </w:tabs>
        <w:numPr>
          <w:ilvl w:val="1"/>
          <w:numId w:val="35"/>
        </w:numPr>
        <w:rPr>
          <w:rFonts w:ascii="Arial" w:cs="Arial" w:eastAsia="Arial" w:hAnsi="Arial"/>
          <w:sz w:val="16"/>
          <w:szCs w:val="16"/>
          <w:color w:val="00548B"/>
        </w:rPr>
      </w:pPr>
      <w:r>
        <w:rPr>
          <w:rFonts w:ascii="Arial" w:cs="Arial" w:eastAsia="Arial" w:hAnsi="Arial"/>
          <w:sz w:val="16"/>
          <w:szCs w:val="16"/>
          <w:color w:val="auto"/>
        </w:rPr>
        <w:t>Business and/or labor market competitor to Huron;</w:t>
      </w:r>
    </w:p>
    <w:p>
      <w:pPr>
        <w:spacing w:after="0" w:line="5" w:lineRule="exact"/>
        <w:rPr>
          <w:rFonts w:ascii="Arial" w:cs="Arial" w:eastAsia="Arial" w:hAnsi="Arial"/>
          <w:sz w:val="16"/>
          <w:szCs w:val="16"/>
          <w:color w:val="00548B"/>
        </w:rPr>
      </w:pPr>
    </w:p>
    <w:p>
      <w:pPr>
        <w:ind w:left="1420" w:hanging="427"/>
        <w:spacing w:after="0"/>
        <w:tabs>
          <w:tab w:leader="none" w:pos="1420" w:val="left"/>
        </w:tabs>
        <w:numPr>
          <w:ilvl w:val="1"/>
          <w:numId w:val="35"/>
        </w:numPr>
        <w:rPr>
          <w:rFonts w:ascii="Arial" w:cs="Arial" w:eastAsia="Arial" w:hAnsi="Arial"/>
          <w:sz w:val="16"/>
          <w:szCs w:val="16"/>
          <w:color w:val="00548B"/>
        </w:rPr>
      </w:pPr>
      <w:r>
        <w:rPr>
          <w:rFonts w:ascii="Arial" w:cs="Arial" w:eastAsia="Arial" w:hAnsi="Arial"/>
          <w:sz w:val="16"/>
          <w:szCs w:val="16"/>
          <w:color w:val="auto"/>
        </w:rPr>
        <w:t>Similar revenue per employee;</w:t>
      </w:r>
    </w:p>
    <w:p>
      <w:pPr>
        <w:spacing w:after="0" w:line="5" w:lineRule="exact"/>
        <w:rPr>
          <w:rFonts w:ascii="Arial" w:cs="Arial" w:eastAsia="Arial" w:hAnsi="Arial"/>
          <w:sz w:val="16"/>
          <w:szCs w:val="16"/>
          <w:color w:val="00548B"/>
        </w:rPr>
      </w:pPr>
    </w:p>
    <w:p>
      <w:pPr>
        <w:ind w:left="1420" w:hanging="427"/>
        <w:spacing w:after="0"/>
        <w:tabs>
          <w:tab w:leader="none" w:pos="1420" w:val="left"/>
        </w:tabs>
        <w:numPr>
          <w:ilvl w:val="1"/>
          <w:numId w:val="35"/>
        </w:numPr>
        <w:rPr>
          <w:rFonts w:ascii="Arial" w:cs="Arial" w:eastAsia="Arial" w:hAnsi="Arial"/>
          <w:sz w:val="16"/>
          <w:szCs w:val="16"/>
          <w:color w:val="00548B"/>
        </w:rPr>
      </w:pPr>
      <w:r>
        <w:rPr>
          <w:rFonts w:ascii="Arial" w:cs="Arial" w:eastAsia="Arial" w:hAnsi="Arial"/>
          <w:sz w:val="16"/>
          <w:szCs w:val="16"/>
          <w:color w:val="auto"/>
        </w:rPr>
        <w:t>Predominantly U.S. revenue; and</w:t>
      </w:r>
    </w:p>
    <w:p>
      <w:pPr>
        <w:spacing w:after="0" w:line="5" w:lineRule="exact"/>
        <w:rPr>
          <w:rFonts w:ascii="Arial" w:cs="Arial" w:eastAsia="Arial" w:hAnsi="Arial"/>
          <w:sz w:val="16"/>
          <w:szCs w:val="16"/>
          <w:color w:val="00548B"/>
        </w:rPr>
      </w:pPr>
    </w:p>
    <w:p>
      <w:pPr>
        <w:ind w:left="1420" w:hanging="427"/>
        <w:spacing w:after="0"/>
        <w:tabs>
          <w:tab w:leader="none" w:pos="1420" w:val="left"/>
        </w:tabs>
        <w:numPr>
          <w:ilvl w:val="1"/>
          <w:numId w:val="35"/>
        </w:numPr>
        <w:rPr>
          <w:rFonts w:ascii="Arial" w:cs="Arial" w:eastAsia="Arial" w:hAnsi="Arial"/>
          <w:sz w:val="16"/>
          <w:szCs w:val="16"/>
          <w:color w:val="00548B"/>
        </w:rPr>
      </w:pPr>
      <w:r>
        <w:rPr>
          <w:rFonts w:ascii="Arial" w:cs="Arial" w:eastAsia="Arial" w:hAnsi="Arial"/>
          <w:sz w:val="16"/>
          <w:szCs w:val="16"/>
          <w:color w:val="auto"/>
        </w:rPr>
        <w:t>Principal business was to provide value-added consulting or advisory services to companies and organizations.</w:t>
      </w:r>
    </w:p>
    <w:p>
      <w:pPr>
        <w:spacing w:after="0" w:line="181"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6"/>
          <w:szCs w:val="16"/>
          <w:color w:val="auto"/>
        </w:rPr>
        <w:t>Changes to the peer group for 2019 were limited to the removal of two companies - The Advisory Board (due to acquisition) and Allscripts (due to its larger size) - and the addition of two companies - CRA International and NextGen Healthcare (formerly known as Quality Systems, Inc.) The 2019 peer group consisted of the following 15 companies:</w:t>
      </w: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4280" w:type="dxa"/>
            <w:vAlign w:val="bottom"/>
          </w:tcPr>
          <w:p>
            <w:pPr>
              <w:spacing w:after="0"/>
              <w:rPr>
                <w:sz w:val="20"/>
                <w:szCs w:val="20"/>
                <w:color w:val="auto"/>
              </w:rPr>
            </w:pPr>
            <w:r>
              <w:rPr>
                <w:rFonts w:ascii="Arial" w:cs="Arial" w:eastAsia="Arial" w:hAnsi="Arial"/>
                <w:sz w:val="16"/>
                <w:szCs w:val="16"/>
                <w:color w:val="auto"/>
              </w:rPr>
              <w:t>Acxiom Corporation</w:t>
            </w:r>
          </w:p>
        </w:tc>
        <w:tc>
          <w:tcPr>
            <w:tcW w:w="6040" w:type="dxa"/>
            <w:vAlign w:val="bottom"/>
          </w:tcPr>
          <w:p>
            <w:pPr>
              <w:ind w:left="1540"/>
              <w:spacing w:after="0"/>
              <w:rPr>
                <w:sz w:val="20"/>
                <w:szCs w:val="20"/>
                <w:color w:val="auto"/>
              </w:rPr>
            </w:pPr>
            <w:r>
              <w:rPr>
                <w:rFonts w:ascii="Arial" w:cs="Arial" w:eastAsia="Arial" w:hAnsi="Arial"/>
                <w:sz w:val="16"/>
                <w:szCs w:val="16"/>
                <w:color w:val="auto"/>
              </w:rPr>
              <w:t>HMS Holdings Corp.</w:t>
            </w:r>
          </w:p>
        </w:tc>
        <w:tc>
          <w:tcPr>
            <w:tcW w:w="0" w:type="dxa"/>
            <w:vAlign w:val="bottom"/>
          </w:tcPr>
          <w:p>
            <w:pPr>
              <w:spacing w:after="0"/>
              <w:rPr>
                <w:sz w:val="1"/>
                <w:szCs w:val="1"/>
                <w:color w:val="auto"/>
              </w:rPr>
            </w:pPr>
          </w:p>
        </w:tc>
      </w:tr>
      <w:tr>
        <w:trPr>
          <w:trHeight w:val="283"/>
        </w:trPr>
        <w:tc>
          <w:tcPr>
            <w:tcW w:w="4280" w:type="dxa"/>
            <w:vAlign w:val="bottom"/>
          </w:tcPr>
          <w:p>
            <w:pPr>
              <w:spacing w:after="0"/>
              <w:rPr>
                <w:sz w:val="20"/>
                <w:szCs w:val="20"/>
                <w:color w:val="auto"/>
              </w:rPr>
            </w:pPr>
            <w:r>
              <w:rPr>
                <w:rFonts w:ascii="Arial" w:cs="Arial" w:eastAsia="Arial" w:hAnsi="Arial"/>
                <w:sz w:val="16"/>
                <w:szCs w:val="16"/>
                <w:color w:val="auto"/>
              </w:rPr>
              <w:t>athenahealth, Inc.*</w:t>
            </w:r>
          </w:p>
        </w:tc>
        <w:tc>
          <w:tcPr>
            <w:tcW w:w="6040" w:type="dxa"/>
            <w:vAlign w:val="bottom"/>
          </w:tcPr>
          <w:p>
            <w:pPr>
              <w:ind w:left="1540"/>
              <w:spacing w:after="0"/>
              <w:rPr>
                <w:sz w:val="20"/>
                <w:szCs w:val="20"/>
                <w:color w:val="auto"/>
              </w:rPr>
            </w:pPr>
            <w:r>
              <w:rPr>
                <w:rFonts w:ascii="Arial" w:cs="Arial" w:eastAsia="Arial" w:hAnsi="Arial"/>
                <w:sz w:val="16"/>
                <w:szCs w:val="16"/>
                <w:color w:val="auto"/>
              </w:rPr>
              <w:t>ICF International, Inc.</w:t>
            </w:r>
          </w:p>
        </w:tc>
        <w:tc>
          <w:tcPr>
            <w:tcW w:w="0" w:type="dxa"/>
            <w:vAlign w:val="bottom"/>
          </w:tcPr>
          <w:p>
            <w:pPr>
              <w:spacing w:after="0"/>
              <w:rPr>
                <w:sz w:val="1"/>
                <w:szCs w:val="1"/>
                <w:color w:val="auto"/>
              </w:rPr>
            </w:pPr>
          </w:p>
        </w:tc>
      </w:tr>
      <w:tr>
        <w:trPr>
          <w:trHeight w:val="283"/>
        </w:trPr>
        <w:tc>
          <w:tcPr>
            <w:tcW w:w="4280" w:type="dxa"/>
            <w:vAlign w:val="bottom"/>
          </w:tcPr>
          <w:p>
            <w:pPr>
              <w:spacing w:after="0"/>
              <w:rPr>
                <w:sz w:val="20"/>
                <w:szCs w:val="20"/>
                <w:color w:val="auto"/>
              </w:rPr>
            </w:pPr>
            <w:r>
              <w:rPr>
                <w:rFonts w:ascii="Arial" w:cs="Arial" w:eastAsia="Arial" w:hAnsi="Arial"/>
                <w:sz w:val="16"/>
                <w:szCs w:val="16"/>
                <w:color w:val="auto"/>
              </w:rPr>
              <w:t>CBIZ</w:t>
            </w:r>
          </w:p>
        </w:tc>
        <w:tc>
          <w:tcPr>
            <w:tcW w:w="6040" w:type="dxa"/>
            <w:vAlign w:val="bottom"/>
          </w:tcPr>
          <w:p>
            <w:pPr>
              <w:ind w:left="1540"/>
              <w:spacing w:after="0"/>
              <w:rPr>
                <w:sz w:val="20"/>
                <w:szCs w:val="20"/>
                <w:color w:val="auto"/>
              </w:rPr>
            </w:pPr>
            <w:r>
              <w:rPr>
                <w:rFonts w:ascii="Arial" w:cs="Arial" w:eastAsia="Arial" w:hAnsi="Arial"/>
                <w:sz w:val="16"/>
                <w:szCs w:val="16"/>
                <w:color w:val="auto"/>
              </w:rPr>
              <w:t>Korn/Ferry International</w:t>
            </w:r>
          </w:p>
        </w:tc>
        <w:tc>
          <w:tcPr>
            <w:tcW w:w="0" w:type="dxa"/>
            <w:vAlign w:val="bottom"/>
          </w:tcPr>
          <w:p>
            <w:pPr>
              <w:spacing w:after="0"/>
              <w:rPr>
                <w:sz w:val="1"/>
                <w:szCs w:val="1"/>
                <w:color w:val="auto"/>
              </w:rPr>
            </w:pPr>
          </w:p>
        </w:tc>
      </w:tr>
      <w:tr>
        <w:trPr>
          <w:trHeight w:val="283"/>
        </w:trPr>
        <w:tc>
          <w:tcPr>
            <w:tcW w:w="4280" w:type="dxa"/>
            <w:vAlign w:val="bottom"/>
          </w:tcPr>
          <w:p>
            <w:pPr>
              <w:spacing w:after="0"/>
              <w:rPr>
                <w:sz w:val="20"/>
                <w:szCs w:val="20"/>
                <w:color w:val="auto"/>
              </w:rPr>
            </w:pPr>
            <w:r>
              <w:rPr>
                <w:rFonts w:ascii="Arial" w:cs="Arial" w:eastAsia="Arial" w:hAnsi="Arial"/>
                <w:sz w:val="16"/>
                <w:szCs w:val="16"/>
                <w:color w:val="auto"/>
              </w:rPr>
              <w:t>CRA International</w:t>
            </w:r>
          </w:p>
        </w:tc>
        <w:tc>
          <w:tcPr>
            <w:tcW w:w="6040" w:type="dxa"/>
            <w:vAlign w:val="bottom"/>
          </w:tcPr>
          <w:p>
            <w:pPr>
              <w:ind w:left="1540"/>
              <w:spacing w:after="0"/>
              <w:rPr>
                <w:sz w:val="20"/>
                <w:szCs w:val="20"/>
                <w:color w:val="auto"/>
              </w:rPr>
            </w:pPr>
            <w:r>
              <w:rPr>
                <w:rFonts w:ascii="Arial" w:cs="Arial" w:eastAsia="Arial" w:hAnsi="Arial"/>
                <w:sz w:val="16"/>
                <w:szCs w:val="16"/>
                <w:color w:val="auto"/>
              </w:rPr>
              <w:t>Navigant Consulting, Inc.*</w:t>
            </w:r>
          </w:p>
        </w:tc>
        <w:tc>
          <w:tcPr>
            <w:tcW w:w="0" w:type="dxa"/>
            <w:vAlign w:val="bottom"/>
          </w:tcPr>
          <w:p>
            <w:pPr>
              <w:spacing w:after="0"/>
              <w:rPr>
                <w:sz w:val="1"/>
                <w:szCs w:val="1"/>
                <w:color w:val="auto"/>
              </w:rPr>
            </w:pPr>
          </w:p>
        </w:tc>
      </w:tr>
      <w:tr>
        <w:trPr>
          <w:trHeight w:val="284"/>
        </w:trPr>
        <w:tc>
          <w:tcPr>
            <w:tcW w:w="4280" w:type="dxa"/>
            <w:vAlign w:val="bottom"/>
          </w:tcPr>
          <w:p>
            <w:pPr>
              <w:spacing w:after="0"/>
              <w:rPr>
                <w:sz w:val="20"/>
                <w:szCs w:val="20"/>
                <w:color w:val="auto"/>
              </w:rPr>
            </w:pPr>
            <w:r>
              <w:rPr>
                <w:rFonts w:ascii="Arial" w:cs="Arial" w:eastAsia="Arial" w:hAnsi="Arial"/>
                <w:sz w:val="16"/>
                <w:szCs w:val="16"/>
                <w:color w:val="auto"/>
              </w:rPr>
              <w:t>The Dun &amp; Bradstreet Corporation*</w:t>
            </w:r>
          </w:p>
        </w:tc>
        <w:tc>
          <w:tcPr>
            <w:tcW w:w="6040" w:type="dxa"/>
            <w:vAlign w:val="bottom"/>
          </w:tcPr>
          <w:p>
            <w:pPr>
              <w:ind w:left="1540"/>
              <w:spacing w:after="0"/>
              <w:rPr>
                <w:sz w:val="20"/>
                <w:szCs w:val="20"/>
                <w:color w:val="auto"/>
              </w:rPr>
            </w:pPr>
            <w:r>
              <w:rPr>
                <w:rFonts w:ascii="Arial" w:cs="Arial" w:eastAsia="Arial" w:hAnsi="Arial"/>
                <w:sz w:val="16"/>
                <w:szCs w:val="16"/>
                <w:color w:val="auto"/>
              </w:rPr>
              <w:t>Premier, Inc.</w:t>
            </w:r>
          </w:p>
        </w:tc>
        <w:tc>
          <w:tcPr>
            <w:tcW w:w="0" w:type="dxa"/>
            <w:vAlign w:val="bottom"/>
          </w:tcPr>
          <w:p>
            <w:pPr>
              <w:spacing w:after="0"/>
              <w:rPr>
                <w:sz w:val="1"/>
                <w:szCs w:val="1"/>
                <w:color w:val="auto"/>
              </w:rPr>
            </w:pPr>
          </w:p>
        </w:tc>
      </w:tr>
      <w:tr>
        <w:trPr>
          <w:trHeight w:val="283"/>
        </w:trPr>
        <w:tc>
          <w:tcPr>
            <w:tcW w:w="4280" w:type="dxa"/>
            <w:vAlign w:val="bottom"/>
          </w:tcPr>
          <w:p>
            <w:pPr>
              <w:spacing w:after="0"/>
              <w:rPr>
                <w:sz w:val="20"/>
                <w:szCs w:val="20"/>
                <w:color w:val="auto"/>
              </w:rPr>
            </w:pPr>
            <w:r>
              <w:rPr>
                <w:rFonts w:ascii="Arial" w:cs="Arial" w:eastAsia="Arial" w:hAnsi="Arial"/>
                <w:sz w:val="16"/>
                <w:szCs w:val="16"/>
                <w:color w:val="auto"/>
              </w:rPr>
              <w:t>Exponent, Inc.</w:t>
            </w:r>
          </w:p>
        </w:tc>
        <w:tc>
          <w:tcPr>
            <w:tcW w:w="6040" w:type="dxa"/>
            <w:vAlign w:val="bottom"/>
          </w:tcPr>
          <w:p>
            <w:pPr>
              <w:ind w:left="1540"/>
              <w:spacing w:after="0"/>
              <w:rPr>
                <w:sz w:val="20"/>
                <w:szCs w:val="20"/>
                <w:color w:val="auto"/>
              </w:rPr>
            </w:pPr>
            <w:r>
              <w:rPr>
                <w:rFonts w:ascii="Arial" w:cs="Arial" w:eastAsia="Arial" w:hAnsi="Arial"/>
                <w:sz w:val="16"/>
                <w:szCs w:val="16"/>
                <w:color w:val="auto"/>
              </w:rPr>
              <w:t>NextGen Healthcare (formerly known as Quality Systems, Inc.)</w:t>
            </w:r>
          </w:p>
        </w:tc>
        <w:tc>
          <w:tcPr>
            <w:tcW w:w="0" w:type="dxa"/>
            <w:vAlign w:val="bottom"/>
          </w:tcPr>
          <w:p>
            <w:pPr>
              <w:spacing w:after="0"/>
              <w:rPr>
                <w:sz w:val="1"/>
                <w:szCs w:val="1"/>
                <w:color w:val="auto"/>
              </w:rPr>
            </w:pPr>
          </w:p>
        </w:tc>
      </w:tr>
      <w:tr>
        <w:trPr>
          <w:trHeight w:val="270"/>
        </w:trPr>
        <w:tc>
          <w:tcPr>
            <w:tcW w:w="4280" w:type="dxa"/>
            <w:vAlign w:val="bottom"/>
          </w:tcPr>
          <w:p>
            <w:pPr>
              <w:spacing w:after="0"/>
              <w:rPr>
                <w:sz w:val="20"/>
                <w:szCs w:val="20"/>
                <w:color w:val="auto"/>
              </w:rPr>
            </w:pPr>
            <w:r>
              <w:rPr>
                <w:rFonts w:ascii="Arial" w:cs="Arial" w:eastAsia="Arial" w:hAnsi="Arial"/>
                <w:sz w:val="16"/>
                <w:szCs w:val="16"/>
                <w:color w:val="auto"/>
              </w:rPr>
              <w:t>FTI Consulting, Inc.</w:t>
            </w:r>
          </w:p>
        </w:tc>
        <w:tc>
          <w:tcPr>
            <w:tcW w:w="6040" w:type="dxa"/>
            <w:vAlign w:val="bottom"/>
            <w:vMerge w:val="restart"/>
          </w:tcPr>
          <w:p>
            <w:pPr>
              <w:ind w:left="1540"/>
              <w:spacing w:after="0"/>
              <w:rPr>
                <w:sz w:val="20"/>
                <w:szCs w:val="20"/>
                <w:color w:val="auto"/>
              </w:rPr>
            </w:pPr>
            <w:r>
              <w:rPr>
                <w:rFonts w:ascii="Arial" w:cs="Arial" w:eastAsia="Arial" w:hAnsi="Arial"/>
                <w:sz w:val="16"/>
                <w:szCs w:val="16"/>
                <w:color w:val="auto"/>
              </w:rPr>
              <w:t>Resources Connection, Inc.</w:t>
            </w:r>
          </w:p>
        </w:tc>
        <w:tc>
          <w:tcPr>
            <w:tcW w:w="0" w:type="dxa"/>
            <w:vAlign w:val="bottom"/>
          </w:tcPr>
          <w:p>
            <w:pPr>
              <w:spacing w:after="0"/>
              <w:rPr>
                <w:sz w:val="1"/>
                <w:szCs w:val="1"/>
                <w:color w:val="auto"/>
              </w:rPr>
            </w:pPr>
          </w:p>
        </w:tc>
      </w:tr>
      <w:tr>
        <w:trPr>
          <w:trHeight w:val="94"/>
        </w:trPr>
        <w:tc>
          <w:tcPr>
            <w:tcW w:w="4280" w:type="dxa"/>
            <w:vAlign w:val="bottom"/>
            <w:vMerge w:val="restart"/>
          </w:tcPr>
          <w:p>
            <w:pPr>
              <w:spacing w:after="0"/>
              <w:rPr>
                <w:sz w:val="20"/>
                <w:szCs w:val="20"/>
                <w:color w:val="auto"/>
              </w:rPr>
            </w:pPr>
            <w:r>
              <w:rPr>
                <w:rFonts w:ascii="Arial" w:cs="Arial" w:eastAsia="Arial" w:hAnsi="Arial"/>
                <w:sz w:val="16"/>
                <w:szCs w:val="16"/>
                <w:color w:val="auto"/>
              </w:rPr>
              <w:t>Heidrick &amp; Struggles International, Inc.</w:t>
            </w:r>
          </w:p>
        </w:tc>
        <w:tc>
          <w:tcPr>
            <w:tcW w:w="6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4280" w:type="dxa"/>
            <w:vAlign w:val="bottom"/>
            <w:vMerge w:val="continue"/>
          </w:tcPr>
          <w:p>
            <w:pPr>
              <w:spacing w:after="0"/>
              <w:rPr>
                <w:sz w:val="15"/>
                <w:szCs w:val="15"/>
                <w:color w:val="auto"/>
              </w:rPr>
            </w:pPr>
          </w:p>
        </w:tc>
        <w:tc>
          <w:tcPr>
            <w:tcW w:w="60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These companies have since been acquired/are no longer publicly-traded.</w:t>
      </w:r>
    </w:p>
    <w:p>
      <w:pPr>
        <w:spacing w:after="0" w:line="181" w:lineRule="exact"/>
        <w:rPr>
          <w:sz w:val="20"/>
          <w:szCs w:val="20"/>
          <w:color w:val="auto"/>
        </w:rPr>
      </w:pPr>
    </w:p>
    <w:p>
      <w:pPr>
        <w:jc w:val="both"/>
        <w:ind w:left="120"/>
        <w:spacing w:after="0" w:line="251" w:lineRule="auto"/>
        <w:rPr>
          <w:sz w:val="20"/>
          <w:szCs w:val="20"/>
          <w:color w:val="auto"/>
        </w:rPr>
      </w:pPr>
      <w:r>
        <w:rPr>
          <w:rFonts w:ascii="Arial" w:cs="Arial" w:eastAsia="Arial" w:hAnsi="Arial"/>
          <w:sz w:val="16"/>
          <w:szCs w:val="16"/>
          <w:color w:val="auto"/>
        </w:rPr>
        <w:t>In addition to peer group data, the Compensation Committee also reviews survey data for companies with revenues between $500 million and $1 billion from the Radford Global Technology Survey. The Compensation Committee considers Huron’s competition for talent to be broader than just the peer group companies, including other public and private consulting, strategy and also technology organizations, for the NEOs as well as our managing directors. When making compensation determinations, the Compensation Committee applies its judgment in incorporating these various factors.</w:t>
      </w:r>
    </w:p>
    <w:p>
      <w:pPr>
        <w:spacing w:after="0" w:line="155"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00548B"/>
        </w:rPr>
        <w:t>Employment Agreements with Mr. Roth, Mr. Hussey, Mr. Kelly and Ms. Ratekin</w:t>
      </w:r>
    </w:p>
    <w:p>
      <w:pPr>
        <w:spacing w:after="0" w:line="25" w:lineRule="exact"/>
        <w:rPr>
          <w:sz w:val="20"/>
          <w:szCs w:val="20"/>
          <w:color w:val="auto"/>
        </w:rPr>
      </w:pPr>
    </w:p>
    <w:p>
      <w:pPr>
        <w:jc w:val="both"/>
        <w:ind w:left="120"/>
        <w:spacing w:after="0" w:line="248" w:lineRule="auto"/>
        <w:rPr>
          <w:sz w:val="20"/>
          <w:szCs w:val="20"/>
          <w:color w:val="auto"/>
        </w:rPr>
      </w:pPr>
      <w:r>
        <w:rPr>
          <w:rFonts w:ascii="Arial" w:cs="Arial" w:eastAsia="Arial" w:hAnsi="Arial"/>
          <w:sz w:val="16"/>
          <w:szCs w:val="16"/>
          <w:color w:val="auto"/>
        </w:rPr>
        <w:t>Huron has entered into agreements with each of the named executive officers that provide for benefits upon termination of employment under certain circumstances, including in connection with a change of control of the Company. Huron provides these benefits as a means of remaining competitive, retaining executive officers, focusing executive officers on shareholder interests when considering strategic alternatives, and providing income protection in the event of involuntary loss of employment. In general, these arrangements provide for severance benefits upon Huron’s termination of the executive’s employment without cause or resignation by the executive for good reason (constructive termination). In the event of a change of control of Huron and if the executive’s employment is terminated without cause or he or she resigns for good reason, the executive will receive enhanced severance benefits. Huron provides these enhanced severance benefits only with a “double trigger” because the Company believes that the executive officers would be materially harmed in a change of</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00548B"/>
        </w:rPr>
        <w:t>31</w:t>
      </w:r>
    </w:p>
    <w:p>
      <w:pPr>
        <w:sectPr>
          <w:pgSz w:w="11900" w:h="16838" w:orient="portrait"/>
          <w:cols w:equalWidth="0" w:num="1">
            <w:col w:w="11140"/>
          </w:cols>
          <w:pgMar w:left="32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120" w:right="20"/>
        <w:spacing w:after="0" w:line="260" w:lineRule="auto"/>
        <w:rPr>
          <w:sz w:val="20"/>
          <w:szCs w:val="20"/>
          <w:color w:val="auto"/>
        </w:rPr>
      </w:pPr>
      <w:r>
        <w:rPr>
          <w:rFonts w:ascii="Arial" w:cs="Arial" w:eastAsia="Arial" w:hAnsi="Arial"/>
          <w:sz w:val="16"/>
          <w:szCs w:val="16"/>
          <w:color w:val="auto"/>
        </w:rPr>
        <w:t>control only if it results in reduced responsibilities or compensation or loss of employment for the executive. Huron employment agreements do not provide for any gross-ups.</w:t>
      </w:r>
    </w:p>
    <w:p>
      <w:pPr>
        <w:spacing w:after="0" w:line="168" w:lineRule="exact"/>
        <w:rPr>
          <w:sz w:val="20"/>
          <w:szCs w:val="20"/>
          <w:color w:val="auto"/>
        </w:rPr>
      </w:pPr>
    </w:p>
    <w:p>
      <w:pPr>
        <w:ind w:left="120" w:right="20"/>
        <w:spacing w:after="0" w:line="260" w:lineRule="auto"/>
        <w:rPr>
          <w:sz w:val="20"/>
          <w:szCs w:val="20"/>
          <w:color w:val="auto"/>
        </w:rPr>
      </w:pPr>
      <w:r>
        <w:rPr>
          <w:rFonts w:ascii="Arial" w:cs="Arial" w:eastAsia="Arial" w:hAnsi="Arial"/>
          <w:sz w:val="16"/>
          <w:szCs w:val="16"/>
          <w:color w:val="auto"/>
        </w:rPr>
        <w:t>More information on our use of employment agreements, including the estimated payments and benefits payable to the named executive officers, is provided under the “Potential Payments Upon Termination or Change of Control” section of this Proxy Statement.</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00548B"/>
        </w:rPr>
        <w:t>Role of Compensation Committee</w:t>
      </w:r>
    </w:p>
    <w:p>
      <w:pPr>
        <w:spacing w:after="0" w:line="25" w:lineRule="exact"/>
        <w:rPr>
          <w:sz w:val="20"/>
          <w:szCs w:val="20"/>
          <w:color w:val="auto"/>
        </w:rPr>
      </w:pPr>
    </w:p>
    <w:p>
      <w:pPr>
        <w:ind w:left="120" w:right="20"/>
        <w:spacing w:after="0" w:line="260" w:lineRule="auto"/>
        <w:rPr>
          <w:sz w:val="20"/>
          <w:szCs w:val="20"/>
          <w:color w:val="auto"/>
        </w:rPr>
      </w:pPr>
      <w:r>
        <w:rPr>
          <w:rFonts w:ascii="Arial" w:cs="Arial" w:eastAsia="Arial" w:hAnsi="Arial"/>
          <w:sz w:val="16"/>
          <w:szCs w:val="16"/>
          <w:color w:val="auto"/>
        </w:rPr>
        <w:t>The Compensation Committee is primarily responsible for administering our executive compensation program in a manner consistent with our compensation philosophy and objectives. The principal functions of the Compensation Committee are to:</w:t>
      </w:r>
    </w:p>
    <w:p>
      <w:pPr>
        <w:spacing w:after="0" w:line="195" w:lineRule="exact"/>
        <w:rPr>
          <w:sz w:val="20"/>
          <w:szCs w:val="20"/>
          <w:color w:val="auto"/>
        </w:rPr>
      </w:pPr>
    </w:p>
    <w:p>
      <w:pPr>
        <w:ind w:left="980" w:right="20" w:hanging="432"/>
        <w:spacing w:after="0" w:line="246" w:lineRule="auto"/>
        <w:tabs>
          <w:tab w:leader="none" w:pos="980" w:val="left"/>
        </w:tabs>
        <w:numPr>
          <w:ilvl w:val="0"/>
          <w:numId w:val="36"/>
        </w:numPr>
        <w:rPr>
          <w:rFonts w:ascii="Arial" w:cs="Arial" w:eastAsia="Arial" w:hAnsi="Arial"/>
          <w:sz w:val="16"/>
          <w:szCs w:val="16"/>
          <w:color w:val="00548B"/>
        </w:rPr>
      </w:pPr>
      <w:r>
        <w:rPr>
          <w:rFonts w:ascii="Arial" w:cs="Arial" w:eastAsia="Arial" w:hAnsi="Arial"/>
          <w:sz w:val="16"/>
          <w:szCs w:val="16"/>
          <w:color w:val="auto"/>
        </w:rPr>
        <w:t>set salaries and annual and long-term incentive levels for the CEO and other named executive officers, so that the program is promoting shareholder value;</w:t>
      </w:r>
    </w:p>
    <w:p>
      <w:pPr>
        <w:ind w:left="980" w:right="20" w:hanging="432"/>
        <w:spacing w:after="0" w:line="246" w:lineRule="auto"/>
        <w:tabs>
          <w:tab w:leader="none" w:pos="980" w:val="left"/>
        </w:tabs>
        <w:numPr>
          <w:ilvl w:val="0"/>
          <w:numId w:val="36"/>
        </w:numPr>
        <w:rPr>
          <w:rFonts w:ascii="Arial" w:cs="Arial" w:eastAsia="Arial" w:hAnsi="Arial"/>
          <w:sz w:val="16"/>
          <w:szCs w:val="16"/>
          <w:color w:val="00548B"/>
        </w:rPr>
      </w:pPr>
      <w:r>
        <w:rPr>
          <w:rFonts w:ascii="Arial" w:cs="Arial" w:eastAsia="Arial" w:hAnsi="Arial"/>
          <w:sz w:val="16"/>
          <w:szCs w:val="16"/>
          <w:color w:val="auto"/>
        </w:rPr>
        <w:t>evaluate annually the performance of the CEO (in coordination with the full board) and review the CEO evaluations of the other named executive officers;</w:t>
      </w:r>
    </w:p>
    <w:p>
      <w:pPr>
        <w:ind w:left="980" w:hanging="432"/>
        <w:spacing w:after="0"/>
        <w:tabs>
          <w:tab w:leader="none" w:pos="980" w:val="left"/>
        </w:tabs>
        <w:numPr>
          <w:ilvl w:val="0"/>
          <w:numId w:val="36"/>
        </w:numPr>
        <w:rPr>
          <w:rFonts w:ascii="Arial" w:cs="Arial" w:eastAsia="Arial" w:hAnsi="Arial"/>
          <w:sz w:val="16"/>
          <w:szCs w:val="16"/>
          <w:color w:val="00548B"/>
        </w:rPr>
      </w:pPr>
      <w:r>
        <w:rPr>
          <w:rFonts w:ascii="Arial" w:cs="Arial" w:eastAsia="Arial" w:hAnsi="Arial"/>
          <w:sz w:val="16"/>
          <w:szCs w:val="16"/>
          <w:color w:val="auto"/>
        </w:rPr>
        <w:t>review and approve the design and competitiveness of our compensation plans, executive benefits and perquisites;</w:t>
      </w:r>
    </w:p>
    <w:p>
      <w:pPr>
        <w:spacing w:after="0" w:line="5" w:lineRule="exact"/>
        <w:rPr>
          <w:rFonts w:ascii="Arial" w:cs="Arial" w:eastAsia="Arial" w:hAnsi="Arial"/>
          <w:sz w:val="16"/>
          <w:szCs w:val="16"/>
          <w:color w:val="00548B"/>
        </w:rPr>
      </w:pPr>
    </w:p>
    <w:p>
      <w:pPr>
        <w:ind w:left="980" w:right="20" w:hanging="432"/>
        <w:spacing w:after="0" w:line="246" w:lineRule="auto"/>
        <w:tabs>
          <w:tab w:leader="none" w:pos="980" w:val="left"/>
        </w:tabs>
        <w:numPr>
          <w:ilvl w:val="0"/>
          <w:numId w:val="36"/>
        </w:numPr>
        <w:rPr>
          <w:rFonts w:ascii="Arial" w:cs="Arial" w:eastAsia="Arial" w:hAnsi="Arial"/>
          <w:sz w:val="16"/>
          <w:szCs w:val="16"/>
          <w:color w:val="00548B"/>
        </w:rPr>
      </w:pPr>
      <w:r>
        <w:rPr>
          <w:rFonts w:ascii="Arial" w:cs="Arial" w:eastAsia="Arial" w:hAnsi="Arial"/>
          <w:sz w:val="16"/>
          <w:szCs w:val="16"/>
          <w:color w:val="auto"/>
        </w:rPr>
        <w:t>review and approve the total cash and stock bonus pools for the organization, and approve the individual incentive payout awards for the named executive officers;</w:t>
      </w:r>
    </w:p>
    <w:p>
      <w:pPr>
        <w:ind w:left="980" w:hanging="432"/>
        <w:spacing w:after="0"/>
        <w:tabs>
          <w:tab w:leader="none" w:pos="980" w:val="left"/>
        </w:tabs>
        <w:numPr>
          <w:ilvl w:val="0"/>
          <w:numId w:val="36"/>
        </w:numPr>
        <w:rPr>
          <w:rFonts w:ascii="Arial" w:cs="Arial" w:eastAsia="Arial" w:hAnsi="Arial"/>
          <w:sz w:val="16"/>
          <w:szCs w:val="16"/>
          <w:color w:val="00548B"/>
        </w:rPr>
      </w:pPr>
      <w:r>
        <w:rPr>
          <w:rFonts w:ascii="Arial" w:cs="Arial" w:eastAsia="Arial" w:hAnsi="Arial"/>
          <w:sz w:val="16"/>
          <w:szCs w:val="16"/>
          <w:color w:val="auto"/>
        </w:rPr>
        <w:t>review director compensation and make recommendations to the board;</w:t>
      </w:r>
    </w:p>
    <w:p>
      <w:pPr>
        <w:spacing w:after="0" w:line="5" w:lineRule="exact"/>
        <w:rPr>
          <w:rFonts w:ascii="Arial" w:cs="Arial" w:eastAsia="Arial" w:hAnsi="Arial"/>
          <w:sz w:val="16"/>
          <w:szCs w:val="16"/>
          <w:color w:val="00548B"/>
        </w:rPr>
      </w:pPr>
    </w:p>
    <w:p>
      <w:pPr>
        <w:ind w:left="980" w:hanging="432"/>
        <w:spacing w:after="0"/>
        <w:tabs>
          <w:tab w:leader="none" w:pos="980" w:val="left"/>
        </w:tabs>
        <w:numPr>
          <w:ilvl w:val="0"/>
          <w:numId w:val="36"/>
        </w:numPr>
        <w:rPr>
          <w:rFonts w:ascii="Arial" w:cs="Arial" w:eastAsia="Arial" w:hAnsi="Arial"/>
          <w:sz w:val="16"/>
          <w:szCs w:val="16"/>
          <w:color w:val="00548B"/>
        </w:rPr>
      </w:pPr>
      <w:r>
        <w:rPr>
          <w:rFonts w:ascii="Arial" w:cs="Arial" w:eastAsia="Arial" w:hAnsi="Arial"/>
          <w:sz w:val="16"/>
          <w:szCs w:val="16"/>
          <w:color w:val="auto"/>
        </w:rPr>
        <w:t>review and approve goals used for the annual and long-term incentive plans;</w:t>
      </w:r>
    </w:p>
    <w:p>
      <w:pPr>
        <w:spacing w:after="0" w:line="5" w:lineRule="exact"/>
        <w:rPr>
          <w:rFonts w:ascii="Arial" w:cs="Arial" w:eastAsia="Arial" w:hAnsi="Arial"/>
          <w:sz w:val="16"/>
          <w:szCs w:val="16"/>
          <w:color w:val="00548B"/>
        </w:rPr>
      </w:pPr>
    </w:p>
    <w:p>
      <w:pPr>
        <w:ind w:left="980" w:hanging="432"/>
        <w:spacing w:after="0"/>
        <w:tabs>
          <w:tab w:leader="none" w:pos="980" w:val="left"/>
        </w:tabs>
        <w:numPr>
          <w:ilvl w:val="0"/>
          <w:numId w:val="36"/>
        </w:numPr>
        <w:rPr>
          <w:rFonts w:ascii="Arial" w:cs="Arial" w:eastAsia="Arial" w:hAnsi="Arial"/>
          <w:sz w:val="16"/>
          <w:szCs w:val="16"/>
          <w:color w:val="00548B"/>
        </w:rPr>
      </w:pPr>
      <w:r>
        <w:rPr>
          <w:rFonts w:ascii="Arial" w:cs="Arial" w:eastAsia="Arial" w:hAnsi="Arial"/>
          <w:sz w:val="16"/>
          <w:szCs w:val="16"/>
          <w:color w:val="auto"/>
        </w:rPr>
        <w:t>retain or terminate, in its sole discretion, any independent compensation consultant used to assist the Compensation Committee;</w:t>
      </w:r>
    </w:p>
    <w:p>
      <w:pPr>
        <w:spacing w:after="0" w:line="5" w:lineRule="exact"/>
        <w:rPr>
          <w:rFonts w:ascii="Arial" w:cs="Arial" w:eastAsia="Arial" w:hAnsi="Arial"/>
          <w:sz w:val="16"/>
          <w:szCs w:val="16"/>
          <w:color w:val="00548B"/>
        </w:rPr>
      </w:pPr>
    </w:p>
    <w:p>
      <w:pPr>
        <w:ind w:left="980" w:hanging="432"/>
        <w:spacing w:after="0"/>
        <w:tabs>
          <w:tab w:leader="none" w:pos="980" w:val="left"/>
        </w:tabs>
        <w:numPr>
          <w:ilvl w:val="0"/>
          <w:numId w:val="36"/>
        </w:numPr>
        <w:rPr>
          <w:rFonts w:ascii="Arial" w:cs="Arial" w:eastAsia="Arial" w:hAnsi="Arial"/>
          <w:sz w:val="16"/>
          <w:szCs w:val="16"/>
          <w:color w:val="00548B"/>
        </w:rPr>
      </w:pPr>
      <w:r>
        <w:rPr>
          <w:rFonts w:ascii="Arial" w:cs="Arial" w:eastAsia="Arial" w:hAnsi="Arial"/>
          <w:sz w:val="16"/>
          <w:szCs w:val="16"/>
          <w:color w:val="auto"/>
        </w:rPr>
        <w:t>review and evaluate compensation arrangements to assess whether they could encourage undue risk taking; and</w:t>
      </w:r>
    </w:p>
    <w:p>
      <w:pPr>
        <w:spacing w:after="0" w:line="5" w:lineRule="exact"/>
        <w:rPr>
          <w:rFonts w:ascii="Arial" w:cs="Arial" w:eastAsia="Arial" w:hAnsi="Arial"/>
          <w:sz w:val="16"/>
          <w:szCs w:val="16"/>
          <w:color w:val="00548B"/>
        </w:rPr>
      </w:pPr>
    </w:p>
    <w:p>
      <w:pPr>
        <w:ind w:left="980" w:hanging="432"/>
        <w:spacing w:after="0"/>
        <w:tabs>
          <w:tab w:leader="none" w:pos="980" w:val="left"/>
        </w:tabs>
        <w:numPr>
          <w:ilvl w:val="0"/>
          <w:numId w:val="36"/>
        </w:numPr>
        <w:rPr>
          <w:rFonts w:ascii="Arial" w:cs="Arial" w:eastAsia="Arial" w:hAnsi="Arial"/>
          <w:sz w:val="16"/>
          <w:szCs w:val="16"/>
          <w:color w:val="00548B"/>
        </w:rPr>
      </w:pPr>
      <w:r>
        <w:rPr>
          <w:rFonts w:ascii="Arial" w:cs="Arial" w:eastAsia="Arial" w:hAnsi="Arial"/>
          <w:sz w:val="16"/>
          <w:szCs w:val="16"/>
          <w:color w:val="auto"/>
        </w:rPr>
        <w:t>create a Compensation Committee report on executive compensation for inclusion in the Proxy Statement.</w:t>
      </w:r>
    </w:p>
    <w:p>
      <w:pPr>
        <w:spacing w:after="0" w:line="181"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6"/>
          <w:szCs w:val="16"/>
          <w:color w:val="auto"/>
        </w:rPr>
        <w:t>The Compensation Committee acts independently and works closely with our board of directors and the executive management team in making many of its decisions. To support its decision making, the Compensation Committee has retained the services of an independent compensation consultant. The Compensation Committee has the sole authority to amend or terminate the services of its independent consultant.</w:t>
      </w:r>
    </w:p>
    <w:p>
      <w:pPr>
        <w:spacing w:after="0" w:line="174" w:lineRule="exact"/>
        <w:rPr>
          <w:sz w:val="20"/>
          <w:szCs w:val="20"/>
          <w:color w:val="auto"/>
        </w:rPr>
      </w:pPr>
    </w:p>
    <w:p>
      <w:pPr>
        <w:jc w:val="both"/>
        <w:ind w:left="120"/>
        <w:spacing w:after="0" w:line="260" w:lineRule="auto"/>
        <w:rPr>
          <w:sz w:val="20"/>
          <w:szCs w:val="20"/>
          <w:color w:val="auto"/>
        </w:rPr>
      </w:pPr>
      <w:r>
        <w:rPr>
          <w:rFonts w:ascii="Arial" w:cs="Arial" w:eastAsia="Arial" w:hAnsi="Arial"/>
          <w:sz w:val="16"/>
          <w:szCs w:val="16"/>
          <w:color w:val="auto"/>
        </w:rPr>
        <w:t>In 2019, the Compensation Committee was comprised entirely of independent directors, none of whom has at any time been an officer or employee of the Company.</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00548B"/>
        </w:rPr>
        <w:t>Role of Management</w:t>
      </w:r>
    </w:p>
    <w:p>
      <w:pPr>
        <w:spacing w:after="0" w:line="25" w:lineRule="exact"/>
        <w:rPr>
          <w:sz w:val="20"/>
          <w:szCs w:val="20"/>
          <w:color w:val="auto"/>
        </w:rPr>
      </w:pPr>
    </w:p>
    <w:p>
      <w:pPr>
        <w:jc w:val="both"/>
        <w:ind w:left="120" w:right="20"/>
        <w:spacing w:after="0" w:line="248" w:lineRule="auto"/>
        <w:rPr>
          <w:sz w:val="20"/>
          <w:szCs w:val="20"/>
          <w:color w:val="auto"/>
        </w:rPr>
      </w:pPr>
      <w:r>
        <w:rPr>
          <w:rFonts w:ascii="Arial" w:cs="Arial" w:eastAsia="Arial" w:hAnsi="Arial"/>
          <w:sz w:val="16"/>
          <w:szCs w:val="16"/>
          <w:color w:val="auto"/>
        </w:rPr>
        <w:t>Our CEO works together with the Chief Human Resources Officer and the Compensation Committee of our board to establish, review and evaluate compensation packages and policies for our executive officers. Our CEO reviews the performance of each named executive officer and makes recommendations to the Compensation Committee based on his review. Our CEO, COO and President, CFO and General Counsel provide input into our strategic goals for future performance periods. The Compensation Committee carefully reviews all information before finalizing incentive goals, however, as we believe such a process is consistent with good governance. Prior to determining the size of the bonus pool for all employees other than NEOs, management reviews Company and practice-level performance with the board so that the bonus pool and Company profitability strike the right balance between shareholder returns and retention of employees. Our CEO does not participate in any discussions related to his own compensation.</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00548B"/>
        </w:rPr>
        <w:t>Role of Compensation Advisor</w:t>
      </w:r>
    </w:p>
    <w:p>
      <w:pPr>
        <w:spacing w:after="0" w:line="25" w:lineRule="exact"/>
        <w:rPr>
          <w:sz w:val="20"/>
          <w:szCs w:val="20"/>
          <w:color w:val="auto"/>
        </w:rPr>
      </w:pPr>
    </w:p>
    <w:p>
      <w:pPr>
        <w:jc w:val="both"/>
        <w:ind w:left="120" w:right="20"/>
        <w:spacing w:after="0" w:line="251" w:lineRule="auto"/>
        <w:rPr>
          <w:sz w:val="20"/>
          <w:szCs w:val="20"/>
          <w:color w:val="auto"/>
        </w:rPr>
      </w:pPr>
      <w:r>
        <w:rPr>
          <w:rFonts w:ascii="Arial" w:cs="Arial" w:eastAsia="Arial" w:hAnsi="Arial"/>
          <w:sz w:val="16"/>
          <w:szCs w:val="16"/>
          <w:color w:val="auto"/>
        </w:rPr>
        <w:t>The Compensation Committee retains an independent advisor to assist in the ongoing assessment of our executive compensation strategy and program. The Committee’s independent advisor reports directly to the Compensation Committee and serves at its sole discretion and does not perform any services for the Company other than those in connection with its work for the Compensation Committee. Pay Governance serves as the Compensation Committee’s independent advisor.</w:t>
      </w:r>
    </w:p>
    <w:p>
      <w:pPr>
        <w:spacing w:after="0" w:line="13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00548B"/>
        </w:rPr>
        <w:t>32</w:t>
      </w:r>
    </w:p>
    <w:p>
      <w:pPr>
        <w:sectPr>
          <w:pgSz w:w="11900" w:h="16838" w:orient="portrait"/>
          <w:cols w:equalWidth="0" w:num="1">
            <w:col w:w="11140"/>
          </w:cols>
          <w:pgMar w:left="32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6"/>
          <w:szCs w:val="16"/>
          <w:color w:val="auto"/>
        </w:rPr>
        <w:t>The Compensation Committee annually assesses whether the independent advisor’s work has raised any conflict of interest. The Compensation Committee has determined, based on its analysis of NASDAQ requirements, that the work of Pay Governance and the individual compensation advisors employed by Pay Governance as compensation consultants to the Company has not created any conflict of interest.</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00548B"/>
        </w:rPr>
        <w:t>Health and Welfare Benefits</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named executive officers are eligible for the same health and welfare benefits generally available to Huron employees.</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00548B"/>
        </w:rPr>
        <w:t>Deferred Compensation</w:t>
      </w:r>
    </w:p>
    <w:p>
      <w:pPr>
        <w:spacing w:after="0" w:line="25" w:lineRule="exact"/>
        <w:rPr>
          <w:sz w:val="20"/>
          <w:szCs w:val="20"/>
          <w:color w:val="auto"/>
        </w:rPr>
      </w:pPr>
    </w:p>
    <w:p>
      <w:pPr>
        <w:jc w:val="both"/>
        <w:ind w:left="120"/>
        <w:spacing w:after="0" w:line="251" w:lineRule="auto"/>
        <w:rPr>
          <w:sz w:val="20"/>
          <w:szCs w:val="20"/>
          <w:color w:val="auto"/>
        </w:rPr>
      </w:pPr>
      <w:r>
        <w:rPr>
          <w:rFonts w:ascii="Arial" w:cs="Arial" w:eastAsia="Arial" w:hAnsi="Arial"/>
          <w:sz w:val="16"/>
          <w:szCs w:val="16"/>
          <w:color w:val="auto"/>
        </w:rPr>
        <w:t>The Company also offers a nonqualified deferred compensation plan (the “DCP”) to all managing directors, corporate vice presidents, named executive officers and non-employee directors. The DCP allows participants to elect to defer up to 75% of their base salary and 100% of their annual cash incentive into a deferred compensation account and to choose from a number of investment alternatives. Non-employee directors may elect to defer up to 100% of their board fees into the DCP.</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00548B"/>
        </w:rPr>
        <w:t>Perquisites</w:t>
      </w:r>
    </w:p>
    <w:p>
      <w:pPr>
        <w:spacing w:after="0" w:line="25"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6"/>
          <w:szCs w:val="16"/>
          <w:color w:val="auto"/>
        </w:rPr>
        <w:t>Huron did not provide material perquisites that are not provided widely within Huron to any named executive officer in 2019. The Company provides enhanced disability and life insurance benefits to all of its managing directors, corporate vice presidents and executive officers. Named executive officers and practice leaders are also offered reimbursement of the cost of an annual executive physical examination.</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00548B"/>
        </w:rPr>
        <w:t>Clawback Provisions</w:t>
      </w:r>
    </w:p>
    <w:p>
      <w:pPr>
        <w:spacing w:after="0" w:line="25" w:lineRule="exact"/>
        <w:rPr>
          <w:sz w:val="20"/>
          <w:szCs w:val="20"/>
          <w:color w:val="auto"/>
        </w:rPr>
      </w:pPr>
    </w:p>
    <w:p>
      <w:pPr>
        <w:jc w:val="both"/>
        <w:ind w:left="120"/>
        <w:spacing w:after="0" w:line="248" w:lineRule="auto"/>
        <w:rPr>
          <w:sz w:val="20"/>
          <w:szCs w:val="20"/>
          <w:color w:val="auto"/>
        </w:rPr>
      </w:pPr>
      <w:r>
        <w:rPr>
          <w:rFonts w:ascii="Arial" w:cs="Arial" w:eastAsia="Arial" w:hAnsi="Arial"/>
          <w:sz w:val="16"/>
          <w:szCs w:val="16"/>
          <w:color w:val="auto"/>
        </w:rPr>
        <w:t>In 2014, we adopted an incentive compensation recoupment policy (commonly referred to as a “clawback policy”) that provides for the potential recoupment of bonuses or awards paid to executive officers and such other individuals designated by our non-employee directors under our short-term and long-term incentive compensation plans, where the payout or actual award received was determined based in part on the financial performance of the Company. In the event of a material restatement of our quarterly or annual financial results, our non-employee directors will review all incentive compensation awarded to those individuals covered by the policy based upon the achievement of financial results that were the subject of the restatement. The non-employee directors have the authority to recoup all or a portion of the incentive compensation to the extent that the amount of such compensation would have been lower than the amount actually awarded, granted, paid, earned, deferred or vested based on the achievement of financial results that were subsequently reduced due to such restatement.</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00548B"/>
        </w:rPr>
        <w:t>Stock Ownership Guidelines and Holding Requirements</w:t>
      </w:r>
    </w:p>
    <w:p>
      <w:pPr>
        <w:spacing w:after="0" w:line="25"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6"/>
          <w:szCs w:val="16"/>
          <w:color w:val="auto"/>
        </w:rPr>
        <w:t>In 2018, the Compensation Committee revised stock ownership guidelines for Huron’s named executive officers and non-employee directors. The guidelines, set forth below, are consistent with peer practices and designed to promote alignment with the interests of stockholders and the Company’s commitment to sound corporate governance.</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780" w:type="dxa"/>
            <w:vAlign w:val="bottom"/>
            <w:shd w:val="clear" w:color="auto" w:fill="00548B"/>
          </w:tcPr>
          <w:p>
            <w:pPr>
              <w:spacing w:after="0"/>
              <w:rPr>
                <w:sz w:val="20"/>
                <w:szCs w:val="20"/>
                <w:color w:val="auto"/>
              </w:rPr>
            </w:pPr>
            <w:r>
              <w:rPr>
                <w:rFonts w:ascii="Arial" w:cs="Arial" w:eastAsia="Arial" w:hAnsi="Arial"/>
                <w:sz w:val="14"/>
                <w:szCs w:val="14"/>
                <w:b w:val="1"/>
                <w:bCs w:val="1"/>
                <w:color w:val="D8D8D8"/>
              </w:rPr>
              <w:t>Position</w:t>
            </w:r>
          </w:p>
        </w:tc>
        <w:tc>
          <w:tcPr>
            <w:tcW w:w="7240" w:type="dxa"/>
            <w:vAlign w:val="bottom"/>
            <w:shd w:val="clear" w:color="auto" w:fill="00548B"/>
          </w:tcPr>
          <w:p>
            <w:pPr>
              <w:ind w:left="2040"/>
              <w:spacing w:after="0"/>
              <w:rPr>
                <w:sz w:val="20"/>
                <w:szCs w:val="20"/>
                <w:color w:val="auto"/>
              </w:rPr>
            </w:pPr>
            <w:r>
              <w:rPr>
                <w:rFonts w:ascii="Arial" w:cs="Arial" w:eastAsia="Arial" w:hAnsi="Arial"/>
                <w:sz w:val="14"/>
                <w:szCs w:val="14"/>
                <w:b w:val="1"/>
                <w:bCs w:val="1"/>
                <w:color w:val="D8D8D8"/>
              </w:rPr>
              <w:t>Stock Ownership Guideline</w:t>
            </w:r>
          </w:p>
        </w:tc>
      </w:tr>
      <w:tr>
        <w:trPr>
          <w:trHeight w:val="189"/>
        </w:trPr>
        <w:tc>
          <w:tcPr>
            <w:tcW w:w="3780" w:type="dxa"/>
            <w:vAlign w:val="bottom"/>
            <w:tcBorders>
              <w:bottom w:val="single" w:sz="8" w:color="999999"/>
            </w:tcBorders>
          </w:tcPr>
          <w:p>
            <w:pPr>
              <w:spacing w:after="0"/>
              <w:rPr>
                <w:sz w:val="20"/>
                <w:szCs w:val="20"/>
                <w:color w:val="auto"/>
              </w:rPr>
            </w:pPr>
            <w:r>
              <w:rPr>
                <w:rFonts w:ascii="Arial" w:cs="Arial" w:eastAsia="Arial" w:hAnsi="Arial"/>
                <w:sz w:val="16"/>
                <w:szCs w:val="16"/>
                <w:color w:val="auto"/>
              </w:rPr>
              <w:t>CEO</w:t>
            </w:r>
          </w:p>
        </w:tc>
        <w:tc>
          <w:tcPr>
            <w:tcW w:w="7240" w:type="dxa"/>
            <w:vAlign w:val="bottom"/>
            <w:tcBorders>
              <w:bottom w:val="single" w:sz="8" w:color="999999"/>
            </w:tcBorders>
          </w:tcPr>
          <w:p>
            <w:pPr>
              <w:ind w:left="2040"/>
              <w:spacing w:after="0"/>
              <w:rPr>
                <w:sz w:val="20"/>
                <w:szCs w:val="20"/>
                <w:color w:val="auto"/>
              </w:rPr>
            </w:pPr>
            <w:r>
              <w:rPr>
                <w:rFonts w:ascii="Arial" w:cs="Arial" w:eastAsia="Arial" w:hAnsi="Arial"/>
                <w:sz w:val="16"/>
                <w:szCs w:val="16"/>
                <w:color w:val="auto"/>
              </w:rPr>
              <w:t>5x salary</w:t>
            </w:r>
          </w:p>
        </w:tc>
      </w:tr>
      <w:tr>
        <w:trPr>
          <w:trHeight w:val="183"/>
        </w:trPr>
        <w:tc>
          <w:tcPr>
            <w:tcW w:w="3780" w:type="dxa"/>
            <w:vAlign w:val="bottom"/>
            <w:tcBorders>
              <w:bottom w:val="single" w:sz="8" w:color="999999"/>
            </w:tcBorders>
          </w:tcPr>
          <w:p>
            <w:pPr>
              <w:spacing w:after="0" w:line="183" w:lineRule="exact"/>
              <w:rPr>
                <w:sz w:val="20"/>
                <w:szCs w:val="20"/>
                <w:color w:val="auto"/>
              </w:rPr>
            </w:pPr>
            <w:r>
              <w:rPr>
                <w:rFonts w:ascii="Arial" w:cs="Arial" w:eastAsia="Arial" w:hAnsi="Arial"/>
                <w:sz w:val="16"/>
                <w:szCs w:val="16"/>
                <w:color w:val="auto"/>
              </w:rPr>
              <w:t>COO and CFO</w:t>
            </w:r>
          </w:p>
        </w:tc>
        <w:tc>
          <w:tcPr>
            <w:tcW w:w="7240" w:type="dxa"/>
            <w:vAlign w:val="bottom"/>
            <w:tcBorders>
              <w:bottom w:val="single" w:sz="8" w:color="999999"/>
            </w:tcBorders>
          </w:tcPr>
          <w:p>
            <w:pPr>
              <w:ind w:left="2040"/>
              <w:spacing w:after="0" w:line="183" w:lineRule="exact"/>
              <w:rPr>
                <w:sz w:val="20"/>
                <w:szCs w:val="20"/>
                <w:color w:val="auto"/>
              </w:rPr>
            </w:pPr>
            <w:r>
              <w:rPr>
                <w:rFonts w:ascii="Arial" w:cs="Arial" w:eastAsia="Arial" w:hAnsi="Arial"/>
                <w:sz w:val="16"/>
                <w:szCs w:val="16"/>
                <w:color w:val="auto"/>
              </w:rPr>
              <w:t>2x salary</w:t>
            </w:r>
          </w:p>
        </w:tc>
      </w:tr>
      <w:tr>
        <w:trPr>
          <w:trHeight w:val="183"/>
        </w:trPr>
        <w:tc>
          <w:tcPr>
            <w:tcW w:w="3780" w:type="dxa"/>
            <w:vAlign w:val="bottom"/>
            <w:tcBorders>
              <w:bottom w:val="single" w:sz="8" w:color="999999"/>
            </w:tcBorders>
          </w:tcPr>
          <w:p>
            <w:pPr>
              <w:spacing w:after="0" w:line="183" w:lineRule="exact"/>
              <w:rPr>
                <w:sz w:val="20"/>
                <w:szCs w:val="20"/>
                <w:color w:val="auto"/>
              </w:rPr>
            </w:pPr>
            <w:r>
              <w:rPr>
                <w:rFonts w:ascii="Arial" w:cs="Arial" w:eastAsia="Arial" w:hAnsi="Arial"/>
                <w:sz w:val="16"/>
                <w:szCs w:val="16"/>
                <w:color w:val="auto"/>
              </w:rPr>
              <w:t>Other Executive Officers</w:t>
            </w:r>
          </w:p>
        </w:tc>
        <w:tc>
          <w:tcPr>
            <w:tcW w:w="7240" w:type="dxa"/>
            <w:vAlign w:val="bottom"/>
            <w:tcBorders>
              <w:bottom w:val="single" w:sz="8" w:color="999999"/>
            </w:tcBorders>
          </w:tcPr>
          <w:p>
            <w:pPr>
              <w:ind w:left="2040"/>
              <w:spacing w:after="0" w:line="183" w:lineRule="exact"/>
              <w:rPr>
                <w:sz w:val="20"/>
                <w:szCs w:val="20"/>
                <w:color w:val="auto"/>
              </w:rPr>
            </w:pPr>
            <w:r>
              <w:rPr>
                <w:rFonts w:ascii="Arial" w:cs="Arial" w:eastAsia="Arial" w:hAnsi="Arial"/>
                <w:sz w:val="16"/>
                <w:szCs w:val="16"/>
                <w:color w:val="auto"/>
              </w:rPr>
              <w:t>1x salary</w:t>
            </w:r>
          </w:p>
        </w:tc>
      </w:tr>
      <w:tr>
        <w:trPr>
          <w:trHeight w:val="183"/>
        </w:trPr>
        <w:tc>
          <w:tcPr>
            <w:tcW w:w="3780" w:type="dxa"/>
            <w:vAlign w:val="bottom"/>
            <w:tcBorders>
              <w:bottom w:val="single" w:sz="8" w:color="00548B"/>
            </w:tcBorders>
          </w:tcPr>
          <w:p>
            <w:pPr>
              <w:spacing w:after="0" w:line="183" w:lineRule="exact"/>
              <w:rPr>
                <w:sz w:val="20"/>
                <w:szCs w:val="20"/>
                <w:color w:val="auto"/>
              </w:rPr>
            </w:pPr>
            <w:r>
              <w:rPr>
                <w:rFonts w:ascii="Arial" w:cs="Arial" w:eastAsia="Arial" w:hAnsi="Arial"/>
                <w:sz w:val="16"/>
                <w:szCs w:val="16"/>
                <w:color w:val="auto"/>
              </w:rPr>
              <w:t>Non-employee Directors</w:t>
            </w:r>
          </w:p>
        </w:tc>
        <w:tc>
          <w:tcPr>
            <w:tcW w:w="7240" w:type="dxa"/>
            <w:vAlign w:val="bottom"/>
            <w:tcBorders>
              <w:bottom w:val="single" w:sz="8" w:color="00548B"/>
            </w:tcBorders>
          </w:tcPr>
          <w:p>
            <w:pPr>
              <w:ind w:left="2040"/>
              <w:spacing w:after="0" w:line="183" w:lineRule="exact"/>
              <w:rPr>
                <w:sz w:val="20"/>
                <w:szCs w:val="20"/>
                <w:color w:val="auto"/>
              </w:rPr>
            </w:pPr>
            <w:r>
              <w:rPr>
                <w:rFonts w:ascii="Arial" w:cs="Arial" w:eastAsia="Arial" w:hAnsi="Arial"/>
                <w:sz w:val="16"/>
                <w:szCs w:val="16"/>
                <w:color w:val="auto"/>
              </w:rPr>
              <w:t>5x the annual retainer of $60,000</w:t>
            </w:r>
          </w:p>
        </w:tc>
      </w:tr>
    </w:tbl>
    <w:p>
      <w:pPr>
        <w:spacing w:after="0" w:line="177" w:lineRule="exact"/>
        <w:rPr>
          <w:sz w:val="20"/>
          <w:szCs w:val="20"/>
          <w:color w:val="auto"/>
        </w:rPr>
      </w:pPr>
    </w:p>
    <w:p>
      <w:pPr>
        <w:jc w:val="both"/>
        <w:ind w:left="120"/>
        <w:spacing w:after="0" w:line="251" w:lineRule="auto"/>
        <w:rPr>
          <w:sz w:val="20"/>
          <w:szCs w:val="20"/>
          <w:color w:val="auto"/>
        </w:rPr>
      </w:pPr>
      <w:r>
        <w:rPr>
          <w:rFonts w:ascii="Arial" w:cs="Arial" w:eastAsia="Arial" w:hAnsi="Arial"/>
          <w:sz w:val="16"/>
          <w:szCs w:val="16"/>
          <w:color w:val="auto"/>
        </w:rPr>
        <w:t>Until the relevant stock ownership target is achieved, executive officers and non-employee directors are required to retain a number of shares equal to at least 60% of the net after tax proceeds from the exercise of stock options or vesting of restricted stock and performance units. Only shares owned outright count towards ownership requirements. Unexercised stock options and unvested performance units or unvested restricted stock do not count. All of our NEOs and non-employee directors are in compliance with the terms of our share ownership guidelines.</w:t>
      </w:r>
    </w:p>
    <w:p>
      <w:pPr>
        <w:spacing w:after="0" w:line="13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00548B"/>
        </w:rPr>
        <w:t>33</w:t>
      </w:r>
    </w:p>
    <w:p>
      <w:pPr>
        <w:sectPr>
          <w:pgSz w:w="11900" w:h="16838" w:orient="portrait"/>
          <w:cols w:equalWidth="0" w:num="1">
            <w:col w:w="11140"/>
          </w:cols>
          <w:pgMar w:left="32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00548B"/>
        </w:rPr>
        <w:t>Hedging and Pledging</w:t>
      </w:r>
    </w:p>
    <w:p>
      <w:pPr>
        <w:spacing w:after="0" w:line="25" w:lineRule="exact"/>
        <w:rPr>
          <w:sz w:val="20"/>
          <w:szCs w:val="20"/>
          <w:color w:val="auto"/>
        </w:rPr>
      </w:pPr>
    </w:p>
    <w:p>
      <w:pPr>
        <w:jc w:val="both"/>
        <w:ind w:left="120"/>
        <w:spacing w:after="0" w:line="253" w:lineRule="auto"/>
        <w:rPr>
          <w:sz w:val="20"/>
          <w:szCs w:val="20"/>
          <w:color w:val="auto"/>
        </w:rPr>
      </w:pPr>
      <w:r>
        <w:rPr>
          <w:rFonts w:ascii="Arial" w:cs="Arial" w:eastAsia="Arial" w:hAnsi="Arial"/>
          <w:sz w:val="16"/>
          <w:szCs w:val="16"/>
          <w:color w:val="auto"/>
        </w:rPr>
        <w:t>The Company has an insider trading policy that prohibits directors, officers, employees and contractors from entering into transactions in publicly traded puts, calls or other derivative securities with respect to Huron’s stock and prohibits any other transaction that “hedges” the ownership in Huron’s stock or holding Company securities in a margin account or pledging Company securities as collateral for a loan.</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00548B"/>
        </w:rPr>
        <w:t>Tax Considerations</w:t>
      </w:r>
    </w:p>
    <w:p>
      <w:pPr>
        <w:spacing w:after="0" w:line="25"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6"/>
          <w:szCs w:val="16"/>
          <w:b w:val="1"/>
          <w:bCs w:val="1"/>
          <w:i w:val="1"/>
          <w:iCs w:val="1"/>
          <w:color w:val="00548B"/>
        </w:rPr>
        <w:t>Section 162(m)</w:t>
      </w:r>
      <w:r>
        <w:rPr>
          <w:rFonts w:ascii="Arial" w:cs="Arial" w:eastAsia="Arial" w:hAnsi="Arial"/>
          <w:sz w:val="16"/>
          <w:szCs w:val="16"/>
          <w:color w:val="000000"/>
        </w:rPr>
        <w:t>. Section 162(m) of the Code generally disallows a tax deduction to public companies for compensation paid in excess of $1 million for</w:t>
      </w:r>
      <w:r>
        <w:rPr>
          <w:rFonts w:ascii="Arial" w:cs="Arial" w:eastAsia="Arial" w:hAnsi="Arial"/>
          <w:sz w:val="16"/>
          <w:szCs w:val="16"/>
          <w:b w:val="1"/>
          <w:bCs w:val="1"/>
          <w:i w:val="1"/>
          <w:iCs w:val="1"/>
          <w:color w:val="00548B"/>
        </w:rPr>
        <w:t xml:space="preserve"> </w:t>
      </w:r>
      <w:r>
        <w:rPr>
          <w:rFonts w:ascii="Arial" w:cs="Arial" w:eastAsia="Arial" w:hAnsi="Arial"/>
          <w:sz w:val="16"/>
          <w:szCs w:val="16"/>
          <w:color w:val="000000"/>
        </w:rPr>
        <w:t>any fiscal year to a company’s chief executive officer or other named executive officers (excluding the company’s principal financial officer, in the case of tax years commencing before 2018). However, in the case of tax years commencing before 2018, the statute exempted qualifying performance-based compensation from the deduction limit if certain requirements were met. Section 162(m) was amended in December 2017 by the Tax Cuts and Jobs Act to eliminate the exemption for performance-based compensation (other than with respect to payments made pursuant to certain “grandfathered” arrangements entered into prior to November 2, 2017) and to expand the group of current and former executive officers who may be covered by the deduction limit under Section 162(m). While the Company’s shareholder approved incentive plans were previously structured to provide that certain awards could be made in a manner intended to qualify for the performance-based compensation exemption, that exemption will no longer be available for future tax years (other than with respect to certain “grandfathered” arrangements as noted above). In addition, while the Compensation Committee intended that certain incentive awards granted to our NEOs on or prior to November 2, 2017 be deductible as “performance-based compensation” and has assessed the possibility that certain awards will be grandfathered from the changes made by the Tax Cuts and Jobs Act, it cannot guarantee that result. The Compensation Committee has taken the potential impact of the Tax Cuts and Jobs Act into consideration when approving payout amounts for performance periods ending on December 31, 2019. The Compensation Committee expects in the future to authorize compensation in excess of $1 million to named executive officers that will not be deductible under Section 162(m) when it believes doing so is in the best interests of the Company and its shareholders.</w:t>
      </w:r>
    </w:p>
    <w:p>
      <w:pPr>
        <w:spacing w:after="0" w:line="340" w:lineRule="exact"/>
        <w:rPr>
          <w:sz w:val="20"/>
          <w:szCs w:val="20"/>
          <w:color w:val="auto"/>
        </w:rPr>
      </w:pPr>
    </w:p>
    <w:p>
      <w:pPr>
        <w:jc w:val="both"/>
        <w:ind w:left="120"/>
        <w:spacing w:after="0" w:line="259" w:lineRule="auto"/>
        <w:rPr>
          <w:sz w:val="20"/>
          <w:szCs w:val="20"/>
          <w:color w:val="auto"/>
        </w:rPr>
      </w:pPr>
      <w:r>
        <w:rPr>
          <w:rFonts w:ascii="Arial" w:cs="Arial" w:eastAsia="Arial" w:hAnsi="Arial"/>
          <w:sz w:val="16"/>
          <w:szCs w:val="16"/>
          <w:b w:val="1"/>
          <w:bCs w:val="1"/>
          <w:i w:val="1"/>
          <w:iCs w:val="1"/>
          <w:color w:val="00548B"/>
        </w:rPr>
        <w:t>Section 280G</w:t>
      </w:r>
      <w:r>
        <w:rPr>
          <w:rFonts w:ascii="Arial" w:cs="Arial" w:eastAsia="Arial" w:hAnsi="Arial"/>
          <w:sz w:val="16"/>
          <w:szCs w:val="16"/>
          <w:color w:val="000000"/>
        </w:rPr>
        <w:t>. Section 280G of the Code disallows a company’s tax deduction for certain payments in connection with a change of control defined as</w:t>
      </w:r>
      <w:r>
        <w:rPr>
          <w:rFonts w:ascii="Arial" w:cs="Arial" w:eastAsia="Arial" w:hAnsi="Arial"/>
          <w:sz w:val="16"/>
          <w:szCs w:val="16"/>
          <w:b w:val="1"/>
          <w:bCs w:val="1"/>
          <w:i w:val="1"/>
          <w:iCs w:val="1"/>
          <w:color w:val="00548B"/>
        </w:rPr>
        <w:t xml:space="preserve"> </w:t>
      </w:r>
      <w:r>
        <w:rPr>
          <w:rFonts w:ascii="Arial" w:cs="Arial" w:eastAsia="Arial" w:hAnsi="Arial"/>
          <w:sz w:val="16"/>
          <w:szCs w:val="16"/>
          <w:color w:val="000000"/>
        </w:rPr>
        <w:t>“excess parachute payments,” and Section 4999 of the Code imposes a 20% excise tax on certain persons who receive excess parachute payments. The Compensation Committee amended Senior Management Agreements in 2010 to ensure that any covered payments would be reduced to the extent necessary so that no portion of such payments is subject to the excise tax.</w:t>
      </w:r>
    </w:p>
    <w:p>
      <w:pPr>
        <w:spacing w:after="0" w:line="1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48B"/>
        </w:rPr>
        <w:t>C</w:t>
      </w:r>
      <w:r>
        <w:rPr>
          <w:rFonts w:ascii="Arial" w:cs="Arial" w:eastAsia="Arial" w:hAnsi="Arial"/>
          <w:sz w:val="14"/>
          <w:szCs w:val="14"/>
          <w:b w:val="1"/>
          <w:bCs w:val="1"/>
          <w:color w:val="00548B"/>
        </w:rPr>
        <w:t>OMPENSATION</w:t>
      </w:r>
      <w:r>
        <w:rPr>
          <w:rFonts w:ascii="Arial" w:cs="Arial" w:eastAsia="Arial" w:hAnsi="Arial"/>
          <w:sz w:val="18"/>
          <w:szCs w:val="18"/>
          <w:b w:val="1"/>
          <w:bCs w:val="1"/>
          <w:color w:val="00548B"/>
        </w:rPr>
        <w:t xml:space="preserve"> C</w:t>
      </w:r>
      <w:r>
        <w:rPr>
          <w:rFonts w:ascii="Arial" w:cs="Arial" w:eastAsia="Arial" w:hAnsi="Arial"/>
          <w:sz w:val="14"/>
          <w:szCs w:val="14"/>
          <w:b w:val="1"/>
          <w:bCs w:val="1"/>
          <w:color w:val="00548B"/>
        </w:rPr>
        <w:t>OMMITTEE</w:t>
      </w:r>
      <w:r>
        <w:rPr>
          <w:rFonts w:ascii="Arial" w:cs="Arial" w:eastAsia="Arial" w:hAnsi="Arial"/>
          <w:sz w:val="18"/>
          <w:szCs w:val="18"/>
          <w:b w:val="1"/>
          <w:bCs w:val="1"/>
          <w:color w:val="00548B"/>
        </w:rPr>
        <w:t xml:space="preserve"> R</w:t>
      </w:r>
      <w:r>
        <w:rPr>
          <w:rFonts w:ascii="Arial" w:cs="Arial" w:eastAsia="Arial" w:hAnsi="Arial"/>
          <w:sz w:val="14"/>
          <w:szCs w:val="14"/>
          <w:b w:val="1"/>
          <w:bCs w:val="1"/>
          <w:color w:val="00548B"/>
        </w:rPr>
        <w:t>EPORT</w:t>
      </w:r>
    </w:p>
    <w:p>
      <w:pPr>
        <w:spacing w:after="0" w:line="20"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6"/>
          <w:szCs w:val="16"/>
          <w:color w:val="auto"/>
        </w:rPr>
        <w:t>The Compensation Committee has reviewed and discussed with management the information contained under the caption “Compensation Discussion and Analysis” and, based on this review and discussion, has recommended to the board of directors that it be included in this Proxy Statement and incorporated by reference into our 2019 Annual Report on Form 10-K.</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Debra Zumwalt, Chair</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H. Eugene Lockhart</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Ekta Singh-Bushell</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00548B"/>
        </w:rPr>
        <w:t>34</w:t>
      </w:r>
    </w:p>
    <w:p>
      <w:pPr>
        <w:sectPr>
          <w:pgSz w:w="11900" w:h="16838" w:orient="portrait"/>
          <w:cols w:equalWidth="0" w:num="1">
            <w:col w:w="11140"/>
          </w:cols>
          <w:pgMar w:left="32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03415"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003415" cy="171450"/>
                    </a:xfrm>
                    <a:prstGeom prst="rect">
                      <a:avLst/>
                    </a:prstGeom>
                    <a:noFill/>
                  </pic:spPr>
                </pic:pic>
              </a:graphicData>
            </a:graphic>
          </wp:anchor>
        </w:drawing>
      </w:r>
    </w:p>
    <w:p>
      <w:pPr>
        <w:spacing w:after="0" w:line="33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D8D8D8"/>
        </w:rPr>
        <w:t>REQUIRED COMPENSATION DISCLOSURES</w:t>
      </w:r>
    </w:p>
    <w:p>
      <w:pPr>
        <w:spacing w:after="0" w:line="1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48B"/>
        </w:rPr>
        <w:t>2019 S</w:t>
      </w:r>
      <w:r>
        <w:rPr>
          <w:rFonts w:ascii="Arial" w:cs="Arial" w:eastAsia="Arial" w:hAnsi="Arial"/>
          <w:sz w:val="14"/>
          <w:szCs w:val="14"/>
          <w:b w:val="1"/>
          <w:bCs w:val="1"/>
          <w:color w:val="00548B"/>
        </w:rPr>
        <w:t>UMMARY</w:t>
      </w:r>
      <w:r>
        <w:rPr>
          <w:rFonts w:ascii="Arial" w:cs="Arial" w:eastAsia="Arial" w:hAnsi="Arial"/>
          <w:sz w:val="18"/>
          <w:szCs w:val="18"/>
          <w:b w:val="1"/>
          <w:bCs w:val="1"/>
          <w:color w:val="00548B"/>
        </w:rPr>
        <w:t xml:space="preserve"> C</w:t>
      </w:r>
      <w:r>
        <w:rPr>
          <w:rFonts w:ascii="Arial" w:cs="Arial" w:eastAsia="Arial" w:hAnsi="Arial"/>
          <w:sz w:val="14"/>
          <w:szCs w:val="14"/>
          <w:b w:val="1"/>
          <w:bCs w:val="1"/>
          <w:color w:val="00548B"/>
        </w:rPr>
        <w:t>OMPENSATION</w:t>
      </w:r>
      <w:r>
        <w:rPr>
          <w:rFonts w:ascii="Arial" w:cs="Arial" w:eastAsia="Arial" w:hAnsi="Arial"/>
          <w:sz w:val="18"/>
          <w:szCs w:val="18"/>
          <w:b w:val="1"/>
          <w:bCs w:val="1"/>
          <w:color w:val="00548B"/>
        </w:rPr>
        <w:t xml:space="preserve"> T</w:t>
      </w:r>
      <w:r>
        <w:rPr>
          <w:rFonts w:ascii="Arial" w:cs="Arial" w:eastAsia="Arial" w:hAnsi="Arial"/>
          <w:sz w:val="14"/>
          <w:szCs w:val="14"/>
          <w:b w:val="1"/>
          <w:bCs w:val="1"/>
          <w:color w:val="00548B"/>
        </w:rPr>
        <w:t>ABLE</w:t>
      </w:r>
    </w:p>
    <w:p>
      <w:pPr>
        <w:spacing w:after="0" w:line="130"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3520" w:type="dxa"/>
            <w:vAlign w:val="bottom"/>
            <w:shd w:val="clear" w:color="auto" w:fill="00548B"/>
          </w:tcPr>
          <w:p>
            <w:pPr>
              <w:spacing w:after="0"/>
              <w:rPr>
                <w:sz w:val="13"/>
                <w:szCs w:val="13"/>
                <w:color w:val="auto"/>
              </w:rPr>
            </w:pPr>
          </w:p>
        </w:tc>
        <w:tc>
          <w:tcPr>
            <w:tcW w:w="1640" w:type="dxa"/>
            <w:vAlign w:val="bottom"/>
            <w:shd w:val="clear" w:color="auto" w:fill="00548B"/>
          </w:tcPr>
          <w:p>
            <w:pPr>
              <w:spacing w:after="0"/>
              <w:rPr>
                <w:sz w:val="13"/>
                <w:szCs w:val="13"/>
                <w:color w:val="auto"/>
              </w:rPr>
            </w:pPr>
          </w:p>
        </w:tc>
        <w:tc>
          <w:tcPr>
            <w:tcW w:w="560" w:type="dxa"/>
            <w:vAlign w:val="bottom"/>
            <w:shd w:val="clear" w:color="auto" w:fill="00548B"/>
          </w:tcPr>
          <w:p>
            <w:pPr>
              <w:spacing w:after="0"/>
              <w:rPr>
                <w:sz w:val="13"/>
                <w:szCs w:val="13"/>
                <w:color w:val="auto"/>
              </w:rPr>
            </w:pPr>
          </w:p>
        </w:tc>
        <w:tc>
          <w:tcPr>
            <w:tcW w:w="1060" w:type="dxa"/>
            <w:vAlign w:val="bottom"/>
            <w:shd w:val="clear" w:color="auto" w:fill="00548B"/>
          </w:tcPr>
          <w:p>
            <w:pPr>
              <w:spacing w:after="0"/>
              <w:rPr>
                <w:sz w:val="13"/>
                <w:szCs w:val="13"/>
                <w:color w:val="auto"/>
              </w:rPr>
            </w:pPr>
          </w:p>
        </w:tc>
        <w:tc>
          <w:tcPr>
            <w:tcW w:w="800" w:type="dxa"/>
            <w:vAlign w:val="bottom"/>
            <w:shd w:val="clear" w:color="auto" w:fill="00548B"/>
          </w:tcPr>
          <w:p>
            <w:pPr>
              <w:spacing w:after="0"/>
              <w:rPr>
                <w:sz w:val="13"/>
                <w:szCs w:val="13"/>
                <w:color w:val="auto"/>
              </w:rPr>
            </w:pPr>
          </w:p>
        </w:tc>
        <w:tc>
          <w:tcPr>
            <w:tcW w:w="1100" w:type="dxa"/>
            <w:vAlign w:val="bottom"/>
            <w:shd w:val="clear" w:color="auto" w:fill="00548B"/>
          </w:tcPr>
          <w:p>
            <w:pPr>
              <w:jc w:val="center"/>
              <w:spacing w:after="0"/>
              <w:rPr>
                <w:sz w:val="20"/>
                <w:szCs w:val="20"/>
                <w:color w:val="auto"/>
              </w:rPr>
            </w:pPr>
            <w:r>
              <w:rPr>
                <w:rFonts w:ascii="Arial" w:cs="Arial" w:eastAsia="Arial" w:hAnsi="Arial"/>
                <w:sz w:val="13"/>
                <w:szCs w:val="13"/>
                <w:b w:val="1"/>
                <w:bCs w:val="1"/>
                <w:color w:val="D8D8D8"/>
                <w:w w:val="98"/>
              </w:rPr>
              <w:t>Change in</w:t>
            </w:r>
          </w:p>
        </w:tc>
        <w:tc>
          <w:tcPr>
            <w:tcW w:w="1120" w:type="dxa"/>
            <w:vAlign w:val="bottom"/>
            <w:shd w:val="clear" w:color="auto" w:fill="00548B"/>
          </w:tcPr>
          <w:p>
            <w:pPr>
              <w:spacing w:after="0"/>
              <w:rPr>
                <w:sz w:val="13"/>
                <w:szCs w:val="13"/>
                <w:color w:val="auto"/>
              </w:rPr>
            </w:pPr>
          </w:p>
        </w:tc>
        <w:tc>
          <w:tcPr>
            <w:tcW w:w="1220" w:type="dxa"/>
            <w:vAlign w:val="bottom"/>
            <w:shd w:val="clear" w:color="auto" w:fill="00548B"/>
          </w:tcPr>
          <w:p>
            <w:pPr>
              <w:spacing w:after="0"/>
              <w:rPr>
                <w:sz w:val="13"/>
                <w:szCs w:val="13"/>
                <w:color w:val="auto"/>
              </w:rPr>
            </w:pPr>
          </w:p>
        </w:tc>
      </w:tr>
      <w:tr>
        <w:trPr>
          <w:trHeight w:val="135"/>
        </w:trPr>
        <w:tc>
          <w:tcPr>
            <w:tcW w:w="3520" w:type="dxa"/>
            <w:vAlign w:val="bottom"/>
            <w:shd w:val="clear" w:color="auto" w:fill="00548B"/>
          </w:tcPr>
          <w:p>
            <w:pPr>
              <w:spacing w:after="0"/>
              <w:rPr>
                <w:sz w:val="11"/>
                <w:szCs w:val="11"/>
                <w:color w:val="auto"/>
              </w:rPr>
            </w:pPr>
          </w:p>
        </w:tc>
        <w:tc>
          <w:tcPr>
            <w:tcW w:w="1640" w:type="dxa"/>
            <w:vAlign w:val="bottom"/>
            <w:shd w:val="clear" w:color="auto" w:fill="00548B"/>
          </w:tcPr>
          <w:p>
            <w:pPr>
              <w:spacing w:after="0"/>
              <w:rPr>
                <w:sz w:val="11"/>
                <w:szCs w:val="11"/>
                <w:color w:val="auto"/>
              </w:rPr>
            </w:pPr>
          </w:p>
        </w:tc>
        <w:tc>
          <w:tcPr>
            <w:tcW w:w="560" w:type="dxa"/>
            <w:vAlign w:val="bottom"/>
            <w:shd w:val="clear" w:color="auto" w:fill="00548B"/>
          </w:tcPr>
          <w:p>
            <w:pPr>
              <w:spacing w:after="0"/>
              <w:rPr>
                <w:sz w:val="11"/>
                <w:szCs w:val="11"/>
                <w:color w:val="auto"/>
              </w:rPr>
            </w:pPr>
          </w:p>
        </w:tc>
        <w:tc>
          <w:tcPr>
            <w:tcW w:w="1060" w:type="dxa"/>
            <w:vAlign w:val="bottom"/>
            <w:shd w:val="clear" w:color="auto" w:fill="00548B"/>
          </w:tcPr>
          <w:p>
            <w:pPr>
              <w:spacing w:after="0"/>
              <w:rPr>
                <w:sz w:val="11"/>
                <w:szCs w:val="11"/>
                <w:color w:val="auto"/>
              </w:rPr>
            </w:pPr>
          </w:p>
        </w:tc>
        <w:tc>
          <w:tcPr>
            <w:tcW w:w="800" w:type="dxa"/>
            <w:vAlign w:val="bottom"/>
            <w:shd w:val="clear" w:color="auto" w:fill="00548B"/>
          </w:tcPr>
          <w:p>
            <w:pPr>
              <w:spacing w:after="0"/>
              <w:rPr>
                <w:sz w:val="11"/>
                <w:szCs w:val="11"/>
                <w:color w:val="auto"/>
              </w:rPr>
            </w:pPr>
          </w:p>
        </w:tc>
        <w:tc>
          <w:tcPr>
            <w:tcW w:w="110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D8D8D8"/>
                <w:w w:val="98"/>
              </w:rPr>
              <w:t>Pension</w:t>
            </w:r>
          </w:p>
        </w:tc>
        <w:tc>
          <w:tcPr>
            <w:tcW w:w="1120" w:type="dxa"/>
            <w:vAlign w:val="bottom"/>
            <w:shd w:val="clear" w:color="auto" w:fill="00548B"/>
          </w:tcPr>
          <w:p>
            <w:pPr>
              <w:spacing w:after="0"/>
              <w:rPr>
                <w:sz w:val="11"/>
                <w:szCs w:val="11"/>
                <w:color w:val="auto"/>
              </w:rPr>
            </w:pPr>
          </w:p>
        </w:tc>
        <w:tc>
          <w:tcPr>
            <w:tcW w:w="1220" w:type="dxa"/>
            <w:vAlign w:val="bottom"/>
            <w:shd w:val="clear" w:color="auto" w:fill="00548B"/>
          </w:tcPr>
          <w:p>
            <w:pPr>
              <w:spacing w:after="0"/>
              <w:rPr>
                <w:sz w:val="11"/>
                <w:szCs w:val="11"/>
                <w:color w:val="auto"/>
              </w:rPr>
            </w:pPr>
          </w:p>
        </w:tc>
      </w:tr>
      <w:tr>
        <w:trPr>
          <w:trHeight w:val="135"/>
        </w:trPr>
        <w:tc>
          <w:tcPr>
            <w:tcW w:w="3520" w:type="dxa"/>
            <w:vAlign w:val="bottom"/>
            <w:shd w:val="clear" w:color="auto" w:fill="00548B"/>
          </w:tcPr>
          <w:p>
            <w:pPr>
              <w:spacing w:after="0"/>
              <w:rPr>
                <w:sz w:val="11"/>
                <w:szCs w:val="11"/>
                <w:color w:val="auto"/>
              </w:rPr>
            </w:pPr>
          </w:p>
        </w:tc>
        <w:tc>
          <w:tcPr>
            <w:tcW w:w="1640" w:type="dxa"/>
            <w:vAlign w:val="bottom"/>
            <w:shd w:val="clear" w:color="auto" w:fill="00548B"/>
          </w:tcPr>
          <w:p>
            <w:pPr>
              <w:spacing w:after="0"/>
              <w:rPr>
                <w:sz w:val="11"/>
                <w:szCs w:val="11"/>
                <w:color w:val="auto"/>
              </w:rPr>
            </w:pPr>
          </w:p>
        </w:tc>
        <w:tc>
          <w:tcPr>
            <w:tcW w:w="560" w:type="dxa"/>
            <w:vAlign w:val="bottom"/>
            <w:shd w:val="clear" w:color="auto" w:fill="00548B"/>
          </w:tcPr>
          <w:p>
            <w:pPr>
              <w:spacing w:after="0"/>
              <w:rPr>
                <w:sz w:val="11"/>
                <w:szCs w:val="11"/>
                <w:color w:val="auto"/>
              </w:rPr>
            </w:pPr>
          </w:p>
        </w:tc>
        <w:tc>
          <w:tcPr>
            <w:tcW w:w="1060" w:type="dxa"/>
            <w:vAlign w:val="bottom"/>
            <w:shd w:val="clear" w:color="auto" w:fill="00548B"/>
          </w:tcPr>
          <w:p>
            <w:pPr>
              <w:spacing w:after="0"/>
              <w:rPr>
                <w:sz w:val="11"/>
                <w:szCs w:val="11"/>
                <w:color w:val="auto"/>
              </w:rPr>
            </w:pPr>
          </w:p>
        </w:tc>
        <w:tc>
          <w:tcPr>
            <w:tcW w:w="800" w:type="dxa"/>
            <w:vAlign w:val="bottom"/>
            <w:shd w:val="clear" w:color="auto" w:fill="00548B"/>
          </w:tcPr>
          <w:p>
            <w:pPr>
              <w:spacing w:after="0"/>
              <w:rPr>
                <w:sz w:val="11"/>
                <w:szCs w:val="11"/>
                <w:color w:val="auto"/>
              </w:rPr>
            </w:pPr>
          </w:p>
        </w:tc>
        <w:tc>
          <w:tcPr>
            <w:tcW w:w="110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D8D8D8"/>
                <w:w w:val="94"/>
              </w:rPr>
              <w:t>Value and</w:t>
            </w:r>
          </w:p>
        </w:tc>
        <w:tc>
          <w:tcPr>
            <w:tcW w:w="1120" w:type="dxa"/>
            <w:vAlign w:val="bottom"/>
            <w:shd w:val="clear" w:color="auto" w:fill="00548B"/>
          </w:tcPr>
          <w:p>
            <w:pPr>
              <w:spacing w:after="0"/>
              <w:rPr>
                <w:sz w:val="11"/>
                <w:szCs w:val="11"/>
                <w:color w:val="auto"/>
              </w:rPr>
            </w:pPr>
          </w:p>
        </w:tc>
        <w:tc>
          <w:tcPr>
            <w:tcW w:w="1220" w:type="dxa"/>
            <w:vAlign w:val="bottom"/>
            <w:shd w:val="clear" w:color="auto" w:fill="00548B"/>
          </w:tcPr>
          <w:p>
            <w:pPr>
              <w:spacing w:after="0"/>
              <w:rPr>
                <w:sz w:val="11"/>
                <w:szCs w:val="11"/>
                <w:color w:val="auto"/>
              </w:rPr>
            </w:pPr>
          </w:p>
        </w:tc>
      </w:tr>
      <w:tr>
        <w:trPr>
          <w:trHeight w:val="135"/>
        </w:trPr>
        <w:tc>
          <w:tcPr>
            <w:tcW w:w="3520" w:type="dxa"/>
            <w:vAlign w:val="bottom"/>
            <w:shd w:val="clear" w:color="auto" w:fill="00548B"/>
          </w:tcPr>
          <w:p>
            <w:pPr>
              <w:spacing w:after="0"/>
              <w:rPr>
                <w:sz w:val="11"/>
                <w:szCs w:val="11"/>
                <w:color w:val="auto"/>
              </w:rPr>
            </w:pPr>
          </w:p>
        </w:tc>
        <w:tc>
          <w:tcPr>
            <w:tcW w:w="1640" w:type="dxa"/>
            <w:vAlign w:val="bottom"/>
            <w:shd w:val="clear" w:color="auto" w:fill="00548B"/>
          </w:tcPr>
          <w:p>
            <w:pPr>
              <w:spacing w:after="0"/>
              <w:rPr>
                <w:sz w:val="11"/>
                <w:szCs w:val="11"/>
                <w:color w:val="auto"/>
              </w:rPr>
            </w:pPr>
          </w:p>
        </w:tc>
        <w:tc>
          <w:tcPr>
            <w:tcW w:w="560" w:type="dxa"/>
            <w:vAlign w:val="bottom"/>
            <w:shd w:val="clear" w:color="auto" w:fill="00548B"/>
          </w:tcPr>
          <w:p>
            <w:pPr>
              <w:spacing w:after="0"/>
              <w:rPr>
                <w:sz w:val="11"/>
                <w:szCs w:val="11"/>
                <w:color w:val="auto"/>
              </w:rPr>
            </w:pPr>
          </w:p>
        </w:tc>
        <w:tc>
          <w:tcPr>
            <w:tcW w:w="1060" w:type="dxa"/>
            <w:vAlign w:val="bottom"/>
            <w:shd w:val="clear" w:color="auto" w:fill="00548B"/>
          </w:tcPr>
          <w:p>
            <w:pPr>
              <w:spacing w:after="0"/>
              <w:rPr>
                <w:sz w:val="11"/>
                <w:szCs w:val="11"/>
                <w:color w:val="auto"/>
              </w:rPr>
            </w:pPr>
          </w:p>
        </w:tc>
        <w:tc>
          <w:tcPr>
            <w:tcW w:w="800" w:type="dxa"/>
            <w:vAlign w:val="bottom"/>
            <w:shd w:val="clear" w:color="auto" w:fill="00548B"/>
          </w:tcPr>
          <w:p>
            <w:pPr>
              <w:spacing w:after="0"/>
              <w:rPr>
                <w:sz w:val="11"/>
                <w:szCs w:val="11"/>
                <w:color w:val="auto"/>
              </w:rPr>
            </w:pPr>
          </w:p>
        </w:tc>
        <w:tc>
          <w:tcPr>
            <w:tcW w:w="110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D8D8D8"/>
                <w:w w:val="99"/>
              </w:rPr>
              <w:t>Nonqualified</w:t>
            </w:r>
          </w:p>
        </w:tc>
        <w:tc>
          <w:tcPr>
            <w:tcW w:w="1120" w:type="dxa"/>
            <w:vAlign w:val="bottom"/>
            <w:shd w:val="clear" w:color="auto" w:fill="00548B"/>
          </w:tcPr>
          <w:p>
            <w:pPr>
              <w:spacing w:after="0"/>
              <w:rPr>
                <w:sz w:val="11"/>
                <w:szCs w:val="11"/>
                <w:color w:val="auto"/>
              </w:rPr>
            </w:pPr>
          </w:p>
        </w:tc>
        <w:tc>
          <w:tcPr>
            <w:tcW w:w="1220" w:type="dxa"/>
            <w:vAlign w:val="bottom"/>
            <w:shd w:val="clear" w:color="auto" w:fill="00548B"/>
          </w:tcPr>
          <w:p>
            <w:pPr>
              <w:spacing w:after="0"/>
              <w:rPr>
                <w:sz w:val="11"/>
                <w:szCs w:val="11"/>
                <w:color w:val="auto"/>
              </w:rPr>
            </w:pPr>
          </w:p>
        </w:tc>
      </w:tr>
      <w:tr>
        <w:trPr>
          <w:trHeight w:val="135"/>
        </w:trPr>
        <w:tc>
          <w:tcPr>
            <w:tcW w:w="3520" w:type="dxa"/>
            <w:vAlign w:val="bottom"/>
            <w:shd w:val="clear" w:color="auto" w:fill="00548B"/>
          </w:tcPr>
          <w:p>
            <w:pPr>
              <w:spacing w:after="0"/>
              <w:rPr>
                <w:sz w:val="11"/>
                <w:szCs w:val="11"/>
                <w:color w:val="auto"/>
              </w:rPr>
            </w:pPr>
          </w:p>
        </w:tc>
        <w:tc>
          <w:tcPr>
            <w:tcW w:w="1640" w:type="dxa"/>
            <w:vAlign w:val="bottom"/>
            <w:shd w:val="clear" w:color="auto" w:fill="00548B"/>
          </w:tcPr>
          <w:p>
            <w:pPr>
              <w:spacing w:after="0"/>
              <w:rPr>
                <w:sz w:val="11"/>
                <w:szCs w:val="11"/>
                <w:color w:val="auto"/>
              </w:rPr>
            </w:pPr>
          </w:p>
        </w:tc>
        <w:tc>
          <w:tcPr>
            <w:tcW w:w="560" w:type="dxa"/>
            <w:vAlign w:val="bottom"/>
            <w:shd w:val="clear" w:color="auto" w:fill="00548B"/>
          </w:tcPr>
          <w:p>
            <w:pPr>
              <w:spacing w:after="0"/>
              <w:rPr>
                <w:sz w:val="11"/>
                <w:szCs w:val="11"/>
                <w:color w:val="auto"/>
              </w:rPr>
            </w:pPr>
          </w:p>
        </w:tc>
        <w:tc>
          <w:tcPr>
            <w:tcW w:w="1060" w:type="dxa"/>
            <w:vAlign w:val="bottom"/>
            <w:shd w:val="clear" w:color="auto" w:fill="00548B"/>
          </w:tcPr>
          <w:p>
            <w:pPr>
              <w:jc w:val="center"/>
              <w:ind w:right="17"/>
              <w:spacing w:after="0" w:line="135" w:lineRule="exact"/>
              <w:rPr>
                <w:sz w:val="20"/>
                <w:szCs w:val="20"/>
                <w:color w:val="auto"/>
              </w:rPr>
            </w:pPr>
            <w:r>
              <w:rPr>
                <w:rFonts w:ascii="Arial" w:cs="Arial" w:eastAsia="Arial" w:hAnsi="Arial"/>
                <w:sz w:val="13"/>
                <w:szCs w:val="13"/>
                <w:b w:val="1"/>
                <w:bCs w:val="1"/>
                <w:color w:val="D8D8D8"/>
                <w:w w:val="96"/>
              </w:rPr>
              <w:t>Non Equity</w:t>
            </w:r>
          </w:p>
        </w:tc>
        <w:tc>
          <w:tcPr>
            <w:tcW w:w="800" w:type="dxa"/>
            <w:vAlign w:val="bottom"/>
            <w:shd w:val="clear" w:color="auto" w:fill="00548B"/>
          </w:tcPr>
          <w:p>
            <w:pPr>
              <w:spacing w:after="0"/>
              <w:rPr>
                <w:sz w:val="11"/>
                <w:szCs w:val="11"/>
                <w:color w:val="auto"/>
              </w:rPr>
            </w:pPr>
          </w:p>
        </w:tc>
        <w:tc>
          <w:tcPr>
            <w:tcW w:w="110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D8D8D8"/>
                <w:w w:val="93"/>
              </w:rPr>
              <w:t>Deferred</w:t>
            </w:r>
          </w:p>
        </w:tc>
        <w:tc>
          <w:tcPr>
            <w:tcW w:w="1120" w:type="dxa"/>
            <w:vAlign w:val="bottom"/>
            <w:shd w:val="clear" w:color="auto" w:fill="00548B"/>
          </w:tcPr>
          <w:p>
            <w:pPr>
              <w:spacing w:after="0"/>
              <w:rPr>
                <w:sz w:val="11"/>
                <w:szCs w:val="11"/>
                <w:color w:val="auto"/>
              </w:rPr>
            </w:pPr>
          </w:p>
        </w:tc>
        <w:tc>
          <w:tcPr>
            <w:tcW w:w="1220" w:type="dxa"/>
            <w:vAlign w:val="bottom"/>
            <w:shd w:val="clear" w:color="auto" w:fill="00548B"/>
          </w:tcPr>
          <w:p>
            <w:pPr>
              <w:spacing w:after="0"/>
              <w:rPr>
                <w:sz w:val="11"/>
                <w:szCs w:val="11"/>
                <w:color w:val="auto"/>
              </w:rPr>
            </w:pPr>
          </w:p>
        </w:tc>
      </w:tr>
      <w:tr>
        <w:trPr>
          <w:trHeight w:val="143"/>
        </w:trPr>
        <w:tc>
          <w:tcPr>
            <w:tcW w:w="3520" w:type="dxa"/>
            <w:vAlign w:val="bottom"/>
            <w:shd w:val="clear" w:color="auto" w:fill="00548B"/>
          </w:tcPr>
          <w:p>
            <w:pPr>
              <w:spacing w:after="0"/>
              <w:rPr>
                <w:sz w:val="12"/>
                <w:szCs w:val="12"/>
                <w:color w:val="auto"/>
              </w:rPr>
            </w:pPr>
          </w:p>
        </w:tc>
        <w:tc>
          <w:tcPr>
            <w:tcW w:w="1640" w:type="dxa"/>
            <w:vAlign w:val="bottom"/>
            <w:shd w:val="clear" w:color="auto" w:fill="00548B"/>
          </w:tcPr>
          <w:p>
            <w:pPr>
              <w:spacing w:after="0"/>
              <w:rPr>
                <w:sz w:val="12"/>
                <w:szCs w:val="12"/>
                <w:color w:val="auto"/>
              </w:rPr>
            </w:pPr>
          </w:p>
        </w:tc>
        <w:tc>
          <w:tcPr>
            <w:tcW w:w="560" w:type="dxa"/>
            <w:vAlign w:val="bottom"/>
            <w:shd w:val="clear" w:color="auto" w:fill="00548B"/>
          </w:tcPr>
          <w:p>
            <w:pPr>
              <w:spacing w:after="0"/>
              <w:rPr>
                <w:sz w:val="12"/>
                <w:szCs w:val="12"/>
                <w:color w:val="auto"/>
              </w:rPr>
            </w:pPr>
          </w:p>
        </w:tc>
        <w:tc>
          <w:tcPr>
            <w:tcW w:w="1060" w:type="dxa"/>
            <w:vAlign w:val="bottom"/>
            <w:shd w:val="clear" w:color="auto" w:fill="00548B"/>
          </w:tcPr>
          <w:p>
            <w:pPr>
              <w:jc w:val="center"/>
              <w:ind w:right="17"/>
              <w:spacing w:after="0" w:line="144" w:lineRule="exact"/>
              <w:rPr>
                <w:sz w:val="20"/>
                <w:szCs w:val="20"/>
                <w:color w:val="auto"/>
              </w:rPr>
            </w:pPr>
            <w:r>
              <w:rPr>
                <w:rFonts w:ascii="Arial" w:cs="Arial" w:eastAsia="Arial" w:hAnsi="Arial"/>
                <w:sz w:val="13"/>
                <w:szCs w:val="13"/>
                <w:b w:val="1"/>
                <w:bCs w:val="1"/>
                <w:color w:val="D8D8D8"/>
                <w:w w:val="98"/>
              </w:rPr>
              <w:t>Incentive Plan</w:t>
            </w:r>
          </w:p>
        </w:tc>
        <w:tc>
          <w:tcPr>
            <w:tcW w:w="800" w:type="dxa"/>
            <w:vAlign w:val="bottom"/>
            <w:shd w:val="clear" w:color="auto" w:fill="00548B"/>
          </w:tcPr>
          <w:p>
            <w:pPr>
              <w:jc w:val="center"/>
              <w:spacing w:after="0" w:line="144" w:lineRule="exact"/>
              <w:rPr>
                <w:sz w:val="20"/>
                <w:szCs w:val="20"/>
                <w:color w:val="auto"/>
              </w:rPr>
            </w:pPr>
            <w:r>
              <w:rPr>
                <w:rFonts w:ascii="Arial" w:cs="Arial" w:eastAsia="Arial" w:hAnsi="Arial"/>
                <w:sz w:val="13"/>
                <w:szCs w:val="13"/>
                <w:b w:val="1"/>
                <w:bCs w:val="1"/>
                <w:color w:val="D8D8D8"/>
                <w:w w:val="95"/>
              </w:rPr>
              <w:t>Stock</w:t>
            </w:r>
          </w:p>
        </w:tc>
        <w:tc>
          <w:tcPr>
            <w:tcW w:w="1100" w:type="dxa"/>
            <w:vAlign w:val="bottom"/>
            <w:shd w:val="clear" w:color="auto" w:fill="00548B"/>
          </w:tcPr>
          <w:p>
            <w:pPr>
              <w:jc w:val="center"/>
              <w:spacing w:after="0" w:line="144" w:lineRule="exact"/>
              <w:rPr>
                <w:sz w:val="20"/>
                <w:szCs w:val="20"/>
                <w:color w:val="auto"/>
              </w:rPr>
            </w:pPr>
            <w:r>
              <w:rPr>
                <w:rFonts w:ascii="Arial" w:cs="Arial" w:eastAsia="Arial" w:hAnsi="Arial"/>
                <w:sz w:val="13"/>
                <w:szCs w:val="13"/>
                <w:b w:val="1"/>
                <w:bCs w:val="1"/>
                <w:color w:val="D8D8D8"/>
                <w:w w:val="95"/>
              </w:rPr>
              <w:t>Compensation</w:t>
            </w:r>
          </w:p>
        </w:tc>
        <w:tc>
          <w:tcPr>
            <w:tcW w:w="1120" w:type="dxa"/>
            <w:vAlign w:val="bottom"/>
            <w:shd w:val="clear" w:color="auto" w:fill="00548B"/>
          </w:tcPr>
          <w:p>
            <w:pPr>
              <w:jc w:val="right"/>
              <w:ind w:right="257"/>
              <w:spacing w:after="0" w:line="144" w:lineRule="exact"/>
              <w:rPr>
                <w:sz w:val="20"/>
                <w:szCs w:val="20"/>
                <w:color w:val="auto"/>
              </w:rPr>
            </w:pPr>
            <w:r>
              <w:rPr>
                <w:rFonts w:ascii="Arial" w:cs="Arial" w:eastAsia="Arial" w:hAnsi="Arial"/>
                <w:sz w:val="13"/>
                <w:szCs w:val="13"/>
                <w:b w:val="1"/>
                <w:bCs w:val="1"/>
                <w:color w:val="D8D8D8"/>
              </w:rPr>
              <w:t>All Other</w:t>
            </w:r>
          </w:p>
        </w:tc>
        <w:tc>
          <w:tcPr>
            <w:tcW w:w="1220" w:type="dxa"/>
            <w:vAlign w:val="bottom"/>
            <w:shd w:val="clear" w:color="auto" w:fill="00548B"/>
          </w:tcPr>
          <w:p>
            <w:pPr>
              <w:jc w:val="center"/>
              <w:spacing w:after="0" w:line="144" w:lineRule="exact"/>
              <w:rPr>
                <w:sz w:val="20"/>
                <w:szCs w:val="20"/>
                <w:color w:val="auto"/>
              </w:rPr>
            </w:pPr>
            <w:r>
              <w:rPr>
                <w:rFonts w:ascii="Arial" w:cs="Arial" w:eastAsia="Arial" w:hAnsi="Arial"/>
                <w:sz w:val="13"/>
                <w:szCs w:val="13"/>
                <w:b w:val="1"/>
                <w:bCs w:val="1"/>
                <w:color w:val="D8D8D8"/>
                <w:w w:val="96"/>
              </w:rPr>
              <w:t>Total</w:t>
            </w:r>
          </w:p>
        </w:tc>
      </w:tr>
      <w:tr>
        <w:trPr>
          <w:trHeight w:val="135"/>
        </w:trPr>
        <w:tc>
          <w:tcPr>
            <w:tcW w:w="3520" w:type="dxa"/>
            <w:vAlign w:val="bottom"/>
            <w:shd w:val="clear" w:color="auto" w:fill="00548B"/>
          </w:tcPr>
          <w:p>
            <w:pPr>
              <w:spacing w:after="0"/>
              <w:rPr>
                <w:sz w:val="11"/>
                <w:szCs w:val="11"/>
                <w:color w:val="auto"/>
              </w:rPr>
            </w:pPr>
          </w:p>
        </w:tc>
        <w:tc>
          <w:tcPr>
            <w:tcW w:w="1640" w:type="dxa"/>
            <w:vAlign w:val="bottom"/>
            <w:shd w:val="clear" w:color="auto" w:fill="00548B"/>
          </w:tcPr>
          <w:p>
            <w:pPr>
              <w:spacing w:after="0"/>
              <w:rPr>
                <w:sz w:val="11"/>
                <w:szCs w:val="11"/>
                <w:color w:val="auto"/>
              </w:rPr>
            </w:pPr>
          </w:p>
        </w:tc>
        <w:tc>
          <w:tcPr>
            <w:tcW w:w="560" w:type="dxa"/>
            <w:vAlign w:val="bottom"/>
            <w:shd w:val="clear" w:color="auto" w:fill="00548B"/>
          </w:tcPr>
          <w:p>
            <w:pPr>
              <w:ind w:left="80"/>
              <w:spacing w:after="0" w:line="135" w:lineRule="exact"/>
              <w:rPr>
                <w:sz w:val="20"/>
                <w:szCs w:val="20"/>
                <w:color w:val="auto"/>
              </w:rPr>
            </w:pPr>
            <w:r>
              <w:rPr>
                <w:rFonts w:ascii="Arial" w:cs="Arial" w:eastAsia="Arial" w:hAnsi="Arial"/>
                <w:sz w:val="13"/>
                <w:szCs w:val="13"/>
                <w:b w:val="1"/>
                <w:bCs w:val="1"/>
                <w:color w:val="D8D8D8"/>
              </w:rPr>
              <w:t>Salary</w:t>
            </w:r>
          </w:p>
        </w:tc>
        <w:tc>
          <w:tcPr>
            <w:tcW w:w="106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D8D8D8"/>
                <w:w w:val="97"/>
              </w:rPr>
              <w:t>Compensation</w:t>
            </w:r>
          </w:p>
        </w:tc>
        <w:tc>
          <w:tcPr>
            <w:tcW w:w="80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D8D8D8"/>
                <w:w w:val="97"/>
              </w:rPr>
              <w:t>Awards</w:t>
            </w:r>
          </w:p>
        </w:tc>
        <w:tc>
          <w:tcPr>
            <w:tcW w:w="110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D8D8D8"/>
                <w:w w:val="96"/>
              </w:rPr>
              <w:t>Earnings</w:t>
            </w:r>
          </w:p>
        </w:tc>
        <w:tc>
          <w:tcPr>
            <w:tcW w:w="1120" w:type="dxa"/>
            <w:vAlign w:val="bottom"/>
            <w:shd w:val="clear" w:color="auto" w:fill="00548B"/>
          </w:tcPr>
          <w:p>
            <w:pPr>
              <w:jc w:val="right"/>
              <w:ind w:right="77"/>
              <w:spacing w:after="0" w:line="135" w:lineRule="exact"/>
              <w:rPr>
                <w:sz w:val="20"/>
                <w:szCs w:val="20"/>
                <w:color w:val="auto"/>
              </w:rPr>
            </w:pPr>
            <w:r>
              <w:rPr>
                <w:rFonts w:ascii="Arial" w:cs="Arial" w:eastAsia="Arial" w:hAnsi="Arial"/>
                <w:sz w:val="13"/>
                <w:szCs w:val="13"/>
                <w:b w:val="1"/>
                <w:bCs w:val="1"/>
                <w:color w:val="D8D8D8"/>
              </w:rPr>
              <w:t>Compensation</w:t>
            </w:r>
          </w:p>
        </w:tc>
        <w:tc>
          <w:tcPr>
            <w:tcW w:w="122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D8D8D8"/>
                <w:w w:val="95"/>
              </w:rPr>
              <w:t>Compensation</w:t>
            </w:r>
          </w:p>
        </w:tc>
      </w:tr>
      <w:tr>
        <w:trPr>
          <w:trHeight w:val="162"/>
        </w:trPr>
        <w:tc>
          <w:tcPr>
            <w:tcW w:w="3520" w:type="dxa"/>
            <w:vAlign w:val="bottom"/>
            <w:shd w:val="clear" w:color="auto" w:fill="00548B"/>
          </w:tcPr>
          <w:p>
            <w:pPr>
              <w:spacing w:after="0"/>
              <w:rPr>
                <w:sz w:val="20"/>
                <w:szCs w:val="20"/>
                <w:color w:val="auto"/>
              </w:rPr>
            </w:pPr>
            <w:r>
              <w:rPr>
                <w:rFonts w:ascii="Arial" w:cs="Arial" w:eastAsia="Arial" w:hAnsi="Arial"/>
                <w:sz w:val="13"/>
                <w:szCs w:val="13"/>
                <w:b w:val="1"/>
                <w:bCs w:val="1"/>
                <w:color w:val="D8D8D8"/>
              </w:rPr>
              <w:t>Name and Principal Position</w:t>
            </w:r>
          </w:p>
        </w:tc>
        <w:tc>
          <w:tcPr>
            <w:tcW w:w="1640" w:type="dxa"/>
            <w:vAlign w:val="bottom"/>
            <w:shd w:val="clear" w:color="auto" w:fill="00548B"/>
          </w:tcPr>
          <w:p>
            <w:pPr>
              <w:ind w:left="1300"/>
              <w:spacing w:after="0"/>
              <w:rPr>
                <w:sz w:val="20"/>
                <w:szCs w:val="20"/>
                <w:color w:val="auto"/>
              </w:rPr>
            </w:pPr>
            <w:r>
              <w:rPr>
                <w:rFonts w:ascii="Arial" w:cs="Arial" w:eastAsia="Arial" w:hAnsi="Arial"/>
                <w:sz w:val="13"/>
                <w:szCs w:val="13"/>
                <w:b w:val="1"/>
                <w:bCs w:val="1"/>
                <w:color w:val="D8D8D8"/>
              </w:rPr>
              <w:t>Year</w:t>
            </w:r>
          </w:p>
        </w:tc>
        <w:tc>
          <w:tcPr>
            <w:tcW w:w="560" w:type="dxa"/>
            <w:vAlign w:val="bottom"/>
            <w:shd w:val="clear" w:color="auto" w:fill="00548B"/>
          </w:tcPr>
          <w:p>
            <w:pPr>
              <w:jc w:val="center"/>
              <w:spacing w:after="0"/>
              <w:rPr>
                <w:sz w:val="20"/>
                <w:szCs w:val="20"/>
                <w:color w:val="auto"/>
              </w:rPr>
            </w:pPr>
            <w:r>
              <w:rPr>
                <w:rFonts w:ascii="Arial" w:cs="Arial" w:eastAsia="Arial" w:hAnsi="Arial"/>
                <w:sz w:val="13"/>
                <w:szCs w:val="13"/>
                <w:b w:val="1"/>
                <w:bCs w:val="1"/>
                <w:color w:val="D8D8D8"/>
              </w:rPr>
              <w:t>($)</w:t>
            </w:r>
          </w:p>
        </w:tc>
        <w:tc>
          <w:tcPr>
            <w:tcW w:w="1060" w:type="dxa"/>
            <w:vAlign w:val="bottom"/>
            <w:shd w:val="clear" w:color="auto" w:fill="00548B"/>
          </w:tcPr>
          <w:p>
            <w:pPr>
              <w:jc w:val="center"/>
              <w:ind w:right="17"/>
              <w:spacing w:after="0"/>
              <w:rPr>
                <w:sz w:val="20"/>
                <w:szCs w:val="20"/>
                <w:color w:val="auto"/>
              </w:rPr>
            </w:pPr>
            <w:r>
              <w:rPr>
                <w:rFonts w:ascii="Arial" w:cs="Arial" w:eastAsia="Arial" w:hAnsi="Arial"/>
                <w:sz w:val="13"/>
                <w:szCs w:val="13"/>
                <w:b w:val="1"/>
                <w:bCs w:val="1"/>
                <w:color w:val="D8D8D8"/>
                <w:w w:val="87"/>
              </w:rPr>
              <w:t>($)</w:t>
            </w:r>
          </w:p>
        </w:tc>
        <w:tc>
          <w:tcPr>
            <w:tcW w:w="800" w:type="dxa"/>
            <w:vAlign w:val="bottom"/>
            <w:shd w:val="clear" w:color="auto" w:fill="00548B"/>
          </w:tcPr>
          <w:p>
            <w:pPr>
              <w:jc w:val="center"/>
              <w:spacing w:after="0"/>
              <w:rPr>
                <w:sz w:val="20"/>
                <w:szCs w:val="20"/>
                <w:color w:val="auto"/>
              </w:rPr>
            </w:pPr>
            <w:r>
              <w:rPr>
                <w:rFonts w:ascii="Arial" w:cs="Arial" w:eastAsia="Arial" w:hAnsi="Arial"/>
                <w:sz w:val="13"/>
                <w:szCs w:val="13"/>
                <w:b w:val="1"/>
                <w:bCs w:val="1"/>
                <w:color w:val="D8D8D8"/>
                <w:w w:val="94"/>
              </w:rPr>
              <w:t>($)(1)</w:t>
            </w:r>
          </w:p>
        </w:tc>
        <w:tc>
          <w:tcPr>
            <w:tcW w:w="1100" w:type="dxa"/>
            <w:vAlign w:val="bottom"/>
            <w:shd w:val="clear" w:color="auto" w:fill="00548B"/>
          </w:tcPr>
          <w:p>
            <w:pPr>
              <w:jc w:val="center"/>
              <w:spacing w:after="0"/>
              <w:rPr>
                <w:sz w:val="20"/>
                <w:szCs w:val="20"/>
                <w:color w:val="auto"/>
              </w:rPr>
            </w:pPr>
            <w:r>
              <w:rPr>
                <w:rFonts w:ascii="Arial" w:cs="Arial" w:eastAsia="Arial" w:hAnsi="Arial"/>
                <w:sz w:val="13"/>
                <w:szCs w:val="13"/>
                <w:b w:val="1"/>
                <w:bCs w:val="1"/>
                <w:color w:val="D8D8D8"/>
                <w:w w:val="94"/>
              </w:rPr>
              <w:t>($)(2)</w:t>
            </w:r>
          </w:p>
        </w:tc>
        <w:tc>
          <w:tcPr>
            <w:tcW w:w="1120" w:type="dxa"/>
            <w:vAlign w:val="bottom"/>
            <w:shd w:val="clear" w:color="auto" w:fill="00548B"/>
          </w:tcPr>
          <w:p>
            <w:pPr>
              <w:jc w:val="right"/>
              <w:ind w:right="357"/>
              <w:spacing w:after="0"/>
              <w:rPr>
                <w:sz w:val="20"/>
                <w:szCs w:val="20"/>
                <w:color w:val="auto"/>
              </w:rPr>
            </w:pPr>
            <w:r>
              <w:rPr>
                <w:rFonts w:ascii="Arial" w:cs="Arial" w:eastAsia="Arial" w:hAnsi="Arial"/>
                <w:sz w:val="13"/>
                <w:szCs w:val="13"/>
                <w:b w:val="1"/>
                <w:bCs w:val="1"/>
                <w:color w:val="D8D8D8"/>
              </w:rPr>
              <w:t>($)(3)</w:t>
            </w:r>
          </w:p>
        </w:tc>
        <w:tc>
          <w:tcPr>
            <w:tcW w:w="1220" w:type="dxa"/>
            <w:vAlign w:val="bottom"/>
            <w:shd w:val="clear" w:color="auto" w:fill="00548B"/>
          </w:tcPr>
          <w:p>
            <w:pPr>
              <w:jc w:val="center"/>
              <w:spacing w:after="0"/>
              <w:rPr>
                <w:sz w:val="20"/>
                <w:szCs w:val="20"/>
                <w:color w:val="auto"/>
              </w:rPr>
            </w:pPr>
            <w:r>
              <w:rPr>
                <w:rFonts w:ascii="Arial" w:cs="Arial" w:eastAsia="Arial" w:hAnsi="Arial"/>
                <w:sz w:val="13"/>
                <w:szCs w:val="13"/>
                <w:b w:val="1"/>
                <w:bCs w:val="1"/>
                <w:color w:val="D8D8D8"/>
                <w:w w:val="87"/>
              </w:rPr>
              <w:t>($)</w:t>
            </w:r>
          </w:p>
        </w:tc>
      </w:tr>
      <w:tr>
        <w:trPr>
          <w:trHeight w:val="129"/>
        </w:trPr>
        <w:tc>
          <w:tcPr>
            <w:tcW w:w="3520" w:type="dxa"/>
            <w:vAlign w:val="bottom"/>
          </w:tcPr>
          <w:p>
            <w:pPr>
              <w:spacing w:after="0" w:line="129" w:lineRule="exact"/>
              <w:rPr>
                <w:sz w:val="20"/>
                <w:szCs w:val="20"/>
                <w:color w:val="auto"/>
              </w:rPr>
            </w:pPr>
            <w:r>
              <w:rPr>
                <w:rFonts w:ascii="Arial" w:cs="Arial" w:eastAsia="Arial" w:hAnsi="Arial"/>
                <w:sz w:val="13"/>
                <w:szCs w:val="13"/>
                <w:b w:val="1"/>
                <w:bCs w:val="1"/>
                <w:color w:val="00548B"/>
              </w:rPr>
              <w:t>James H. Roth</w:t>
            </w:r>
            <w:r>
              <w:rPr>
                <w:rFonts w:ascii="Arial" w:cs="Arial" w:eastAsia="Arial" w:hAnsi="Arial"/>
                <w:sz w:val="10"/>
                <w:szCs w:val="10"/>
                <w:b w:val="1"/>
                <w:bCs w:val="1"/>
                <w:color w:val="00548B"/>
              </w:rPr>
              <w:t>7</w:t>
            </w:r>
          </w:p>
        </w:tc>
        <w:tc>
          <w:tcPr>
            <w:tcW w:w="1640" w:type="dxa"/>
            <w:vAlign w:val="bottom"/>
          </w:tcPr>
          <w:p>
            <w:pPr>
              <w:ind w:left="1300"/>
              <w:spacing w:after="0" w:line="129" w:lineRule="exact"/>
              <w:rPr>
                <w:sz w:val="20"/>
                <w:szCs w:val="20"/>
                <w:color w:val="auto"/>
              </w:rPr>
            </w:pPr>
            <w:r>
              <w:rPr>
                <w:rFonts w:ascii="Arial" w:cs="Arial" w:eastAsia="Arial" w:hAnsi="Arial"/>
                <w:sz w:val="13"/>
                <w:szCs w:val="13"/>
                <w:color w:val="auto"/>
              </w:rPr>
              <w:t>2019</w:t>
            </w:r>
          </w:p>
        </w:tc>
        <w:tc>
          <w:tcPr>
            <w:tcW w:w="560" w:type="dxa"/>
            <w:vAlign w:val="bottom"/>
          </w:tcPr>
          <w:p>
            <w:pPr>
              <w:jc w:val="center"/>
              <w:spacing w:after="0" w:line="129" w:lineRule="exact"/>
              <w:rPr>
                <w:sz w:val="20"/>
                <w:szCs w:val="20"/>
                <w:color w:val="auto"/>
              </w:rPr>
            </w:pPr>
            <w:r>
              <w:rPr>
                <w:rFonts w:ascii="Arial" w:cs="Arial" w:eastAsia="Arial" w:hAnsi="Arial"/>
                <w:sz w:val="13"/>
                <w:szCs w:val="13"/>
                <w:color w:val="auto"/>
                <w:w w:val="97"/>
              </w:rPr>
              <w:t>900,000</w:t>
            </w:r>
          </w:p>
        </w:tc>
        <w:tc>
          <w:tcPr>
            <w:tcW w:w="1060" w:type="dxa"/>
            <w:vAlign w:val="bottom"/>
          </w:tcPr>
          <w:p>
            <w:pPr>
              <w:jc w:val="right"/>
              <w:ind w:right="57"/>
              <w:spacing w:after="0" w:line="129" w:lineRule="exact"/>
              <w:rPr>
                <w:sz w:val="20"/>
                <w:szCs w:val="20"/>
                <w:color w:val="auto"/>
              </w:rPr>
            </w:pPr>
            <w:r>
              <w:rPr>
                <w:rFonts w:ascii="Arial" w:cs="Arial" w:eastAsia="Arial" w:hAnsi="Arial"/>
                <w:sz w:val="13"/>
                <w:szCs w:val="13"/>
                <w:color w:val="auto"/>
              </w:rPr>
              <w:t>1,285,614</w:t>
            </w:r>
          </w:p>
        </w:tc>
        <w:tc>
          <w:tcPr>
            <w:tcW w:w="800" w:type="dxa"/>
            <w:vAlign w:val="bottom"/>
          </w:tcPr>
          <w:p>
            <w:pPr>
              <w:jc w:val="right"/>
              <w:ind w:right="37"/>
              <w:spacing w:after="0" w:line="129" w:lineRule="exact"/>
              <w:rPr>
                <w:sz w:val="20"/>
                <w:szCs w:val="20"/>
                <w:color w:val="auto"/>
              </w:rPr>
            </w:pPr>
            <w:r>
              <w:rPr>
                <w:rFonts w:ascii="Arial" w:cs="Arial" w:eastAsia="Arial" w:hAnsi="Arial"/>
                <w:sz w:val="13"/>
                <w:szCs w:val="13"/>
                <w:color w:val="auto"/>
              </w:rPr>
              <w:t>2,024,994</w:t>
            </w:r>
          </w:p>
        </w:tc>
        <w:tc>
          <w:tcPr>
            <w:tcW w:w="1100" w:type="dxa"/>
            <w:vAlign w:val="bottom"/>
          </w:tcPr>
          <w:p>
            <w:pPr>
              <w:jc w:val="right"/>
              <w:ind w:right="57"/>
              <w:spacing w:after="0" w:line="129" w:lineRule="exact"/>
              <w:rPr>
                <w:sz w:val="20"/>
                <w:szCs w:val="20"/>
                <w:color w:val="auto"/>
              </w:rPr>
            </w:pPr>
            <w:r>
              <w:rPr>
                <w:rFonts w:ascii="Arial" w:cs="Arial" w:eastAsia="Arial" w:hAnsi="Arial"/>
                <w:sz w:val="13"/>
                <w:szCs w:val="13"/>
                <w:color w:val="auto"/>
              </w:rPr>
              <w:t>598,518</w:t>
            </w:r>
          </w:p>
        </w:tc>
        <w:tc>
          <w:tcPr>
            <w:tcW w:w="1120" w:type="dxa"/>
            <w:vAlign w:val="bottom"/>
          </w:tcPr>
          <w:p>
            <w:pPr>
              <w:jc w:val="right"/>
              <w:ind w:right="77"/>
              <w:spacing w:after="0" w:line="129" w:lineRule="exact"/>
              <w:rPr>
                <w:sz w:val="20"/>
                <w:szCs w:val="20"/>
                <w:color w:val="auto"/>
              </w:rPr>
            </w:pPr>
            <w:r>
              <w:rPr>
                <w:rFonts w:ascii="Arial" w:cs="Arial" w:eastAsia="Arial" w:hAnsi="Arial"/>
                <w:sz w:val="13"/>
                <w:szCs w:val="13"/>
                <w:color w:val="auto"/>
              </w:rPr>
              <w:t>32,954</w:t>
            </w:r>
          </w:p>
        </w:tc>
        <w:tc>
          <w:tcPr>
            <w:tcW w:w="1220" w:type="dxa"/>
            <w:vAlign w:val="bottom"/>
          </w:tcPr>
          <w:p>
            <w:pPr>
              <w:jc w:val="right"/>
              <w:ind w:right="57"/>
              <w:spacing w:after="0" w:line="129" w:lineRule="exact"/>
              <w:rPr>
                <w:sz w:val="20"/>
                <w:szCs w:val="20"/>
                <w:color w:val="auto"/>
              </w:rPr>
            </w:pPr>
            <w:r>
              <w:rPr>
                <w:rFonts w:ascii="Arial" w:cs="Arial" w:eastAsia="Arial" w:hAnsi="Arial"/>
                <w:sz w:val="13"/>
                <w:szCs w:val="13"/>
                <w:color w:val="auto"/>
              </w:rPr>
              <w:t>4,842,080</w:t>
            </w:r>
          </w:p>
        </w:tc>
      </w:tr>
      <w:tr>
        <w:trPr>
          <w:trHeight w:val="135"/>
        </w:trPr>
        <w:tc>
          <w:tcPr>
            <w:tcW w:w="3520" w:type="dxa"/>
            <w:vAlign w:val="bottom"/>
          </w:tcPr>
          <w:p>
            <w:pPr>
              <w:ind w:left="180"/>
              <w:spacing w:after="0" w:line="135" w:lineRule="exact"/>
              <w:rPr>
                <w:sz w:val="20"/>
                <w:szCs w:val="20"/>
                <w:color w:val="auto"/>
              </w:rPr>
            </w:pPr>
            <w:r>
              <w:rPr>
                <w:rFonts w:ascii="Arial" w:cs="Arial" w:eastAsia="Arial" w:hAnsi="Arial"/>
                <w:sz w:val="13"/>
                <w:szCs w:val="13"/>
                <w:color w:val="auto"/>
              </w:rPr>
              <w:t>Chief Executive Officer</w:t>
            </w:r>
          </w:p>
        </w:tc>
        <w:tc>
          <w:tcPr>
            <w:tcW w:w="1640" w:type="dxa"/>
            <w:vAlign w:val="bottom"/>
          </w:tcPr>
          <w:p>
            <w:pPr>
              <w:ind w:left="1300"/>
              <w:spacing w:after="0" w:line="135" w:lineRule="exact"/>
              <w:rPr>
                <w:sz w:val="20"/>
                <w:szCs w:val="20"/>
                <w:color w:val="auto"/>
              </w:rPr>
            </w:pPr>
            <w:r>
              <w:rPr>
                <w:rFonts w:ascii="Arial" w:cs="Arial" w:eastAsia="Arial" w:hAnsi="Arial"/>
                <w:sz w:val="13"/>
                <w:szCs w:val="13"/>
                <w:color w:val="auto"/>
              </w:rPr>
              <w:t>2018</w:t>
            </w:r>
          </w:p>
        </w:tc>
        <w:tc>
          <w:tcPr>
            <w:tcW w:w="560" w:type="dxa"/>
            <w:vAlign w:val="bottom"/>
          </w:tcPr>
          <w:p>
            <w:pPr>
              <w:jc w:val="center"/>
              <w:spacing w:after="0" w:line="135" w:lineRule="exact"/>
              <w:rPr>
                <w:sz w:val="20"/>
                <w:szCs w:val="20"/>
                <w:color w:val="auto"/>
              </w:rPr>
            </w:pPr>
            <w:r>
              <w:rPr>
                <w:rFonts w:ascii="Arial" w:cs="Arial" w:eastAsia="Arial" w:hAnsi="Arial"/>
                <w:sz w:val="13"/>
                <w:szCs w:val="13"/>
                <w:color w:val="auto"/>
                <w:w w:val="97"/>
              </w:rPr>
              <w:t>900,000</w:t>
            </w:r>
          </w:p>
        </w:tc>
        <w:tc>
          <w:tcPr>
            <w:tcW w:w="10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1,158,597</w:t>
            </w:r>
          </w:p>
        </w:tc>
        <w:tc>
          <w:tcPr>
            <w:tcW w:w="8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2,700,010</w:t>
            </w:r>
          </w:p>
        </w:tc>
        <w:tc>
          <w:tcPr>
            <w:tcW w:w="11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0</w:t>
            </w:r>
          </w:p>
        </w:tc>
        <w:tc>
          <w:tcPr>
            <w:tcW w:w="11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32,654</w:t>
            </w:r>
          </w:p>
        </w:tc>
        <w:tc>
          <w:tcPr>
            <w:tcW w:w="12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4,791,261</w:t>
            </w:r>
          </w:p>
        </w:tc>
      </w:tr>
      <w:tr>
        <w:trPr>
          <w:trHeight w:val="152"/>
        </w:trPr>
        <w:tc>
          <w:tcPr>
            <w:tcW w:w="3520" w:type="dxa"/>
            <w:vAlign w:val="bottom"/>
          </w:tcPr>
          <w:p>
            <w:pPr>
              <w:spacing w:after="0"/>
              <w:rPr>
                <w:sz w:val="13"/>
                <w:szCs w:val="13"/>
                <w:color w:val="auto"/>
              </w:rPr>
            </w:pPr>
          </w:p>
        </w:tc>
        <w:tc>
          <w:tcPr>
            <w:tcW w:w="1640" w:type="dxa"/>
            <w:vAlign w:val="bottom"/>
          </w:tcPr>
          <w:p>
            <w:pPr>
              <w:ind w:left="1300"/>
              <w:spacing w:after="0"/>
              <w:rPr>
                <w:sz w:val="20"/>
                <w:szCs w:val="20"/>
                <w:color w:val="auto"/>
              </w:rPr>
            </w:pPr>
            <w:r>
              <w:rPr>
                <w:rFonts w:ascii="Arial" w:cs="Arial" w:eastAsia="Arial" w:hAnsi="Arial"/>
                <w:sz w:val="13"/>
                <w:szCs w:val="13"/>
                <w:color w:val="auto"/>
              </w:rPr>
              <w:t>2017</w:t>
            </w:r>
          </w:p>
        </w:tc>
        <w:tc>
          <w:tcPr>
            <w:tcW w:w="560" w:type="dxa"/>
            <w:vAlign w:val="bottom"/>
          </w:tcPr>
          <w:p>
            <w:pPr>
              <w:jc w:val="center"/>
              <w:spacing w:after="0"/>
              <w:rPr>
                <w:sz w:val="20"/>
                <w:szCs w:val="20"/>
                <w:color w:val="auto"/>
              </w:rPr>
            </w:pPr>
            <w:r>
              <w:rPr>
                <w:rFonts w:ascii="Arial" w:cs="Arial" w:eastAsia="Arial" w:hAnsi="Arial"/>
                <w:sz w:val="13"/>
                <w:szCs w:val="13"/>
                <w:color w:val="auto"/>
                <w:w w:val="97"/>
              </w:rPr>
              <w:t>900,000</w:t>
            </w: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595,980</w:t>
            </w: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2,699,973</w:t>
            </w:r>
          </w:p>
        </w:tc>
        <w:tc>
          <w:tcPr>
            <w:tcW w:w="1100" w:type="dxa"/>
            <w:vAlign w:val="bottom"/>
          </w:tcPr>
          <w:p>
            <w:pPr>
              <w:jc w:val="right"/>
              <w:ind w:right="57"/>
              <w:spacing w:after="0"/>
              <w:rPr>
                <w:sz w:val="20"/>
                <w:szCs w:val="20"/>
                <w:color w:val="auto"/>
              </w:rPr>
            </w:pPr>
            <w:r>
              <w:rPr>
                <w:rFonts w:ascii="Arial" w:cs="Arial" w:eastAsia="Arial" w:hAnsi="Arial"/>
                <w:sz w:val="13"/>
                <w:szCs w:val="13"/>
                <w:color w:val="auto"/>
              </w:rPr>
              <w:t>308,563</w:t>
            </w:r>
          </w:p>
        </w:tc>
        <w:tc>
          <w:tcPr>
            <w:tcW w:w="1120" w:type="dxa"/>
            <w:vAlign w:val="bottom"/>
          </w:tcPr>
          <w:p>
            <w:pPr>
              <w:jc w:val="right"/>
              <w:ind w:right="77"/>
              <w:spacing w:after="0"/>
              <w:rPr>
                <w:sz w:val="20"/>
                <w:szCs w:val="20"/>
                <w:color w:val="auto"/>
              </w:rPr>
            </w:pPr>
            <w:r>
              <w:rPr>
                <w:rFonts w:ascii="Arial" w:cs="Arial" w:eastAsia="Arial" w:hAnsi="Arial"/>
                <w:sz w:val="13"/>
                <w:szCs w:val="13"/>
                <w:color w:val="auto"/>
              </w:rPr>
              <w:t>31,434</w:t>
            </w:r>
          </w:p>
        </w:tc>
        <w:tc>
          <w:tcPr>
            <w:tcW w:w="1220" w:type="dxa"/>
            <w:vAlign w:val="bottom"/>
          </w:tcPr>
          <w:p>
            <w:pPr>
              <w:jc w:val="right"/>
              <w:ind w:right="57"/>
              <w:spacing w:after="0"/>
              <w:rPr>
                <w:sz w:val="20"/>
                <w:szCs w:val="20"/>
                <w:color w:val="auto"/>
              </w:rPr>
            </w:pPr>
            <w:r>
              <w:rPr>
                <w:rFonts w:ascii="Arial" w:cs="Arial" w:eastAsia="Arial" w:hAnsi="Arial"/>
                <w:sz w:val="13"/>
                <w:szCs w:val="13"/>
                <w:color w:val="auto"/>
              </w:rPr>
              <w:t>4,535,950</w:t>
            </w:r>
          </w:p>
        </w:tc>
      </w:tr>
      <w:tr>
        <w:trPr>
          <w:trHeight w:val="43"/>
        </w:trPr>
        <w:tc>
          <w:tcPr>
            <w:tcW w:w="3520" w:type="dxa"/>
            <w:vAlign w:val="bottom"/>
            <w:tcBorders>
              <w:bottom w:val="single" w:sz="8" w:color="999999"/>
            </w:tcBorders>
          </w:tcPr>
          <w:p>
            <w:pPr>
              <w:spacing w:after="0"/>
              <w:rPr>
                <w:sz w:val="3"/>
                <w:szCs w:val="3"/>
                <w:color w:val="auto"/>
              </w:rPr>
            </w:pPr>
          </w:p>
        </w:tc>
        <w:tc>
          <w:tcPr>
            <w:tcW w:w="1640" w:type="dxa"/>
            <w:vAlign w:val="bottom"/>
            <w:tcBorders>
              <w:bottom w:val="single" w:sz="8" w:color="999999"/>
            </w:tcBorders>
          </w:tcPr>
          <w:p>
            <w:pPr>
              <w:spacing w:after="0"/>
              <w:rPr>
                <w:sz w:val="3"/>
                <w:szCs w:val="3"/>
                <w:color w:val="auto"/>
              </w:rPr>
            </w:pPr>
          </w:p>
        </w:tc>
        <w:tc>
          <w:tcPr>
            <w:tcW w:w="560" w:type="dxa"/>
            <w:vAlign w:val="bottom"/>
            <w:tcBorders>
              <w:bottom w:val="single" w:sz="8" w:color="999999"/>
            </w:tcBorders>
          </w:tcPr>
          <w:p>
            <w:pPr>
              <w:spacing w:after="0"/>
              <w:rPr>
                <w:sz w:val="3"/>
                <w:szCs w:val="3"/>
                <w:color w:val="auto"/>
              </w:rPr>
            </w:pPr>
          </w:p>
        </w:tc>
        <w:tc>
          <w:tcPr>
            <w:tcW w:w="1060" w:type="dxa"/>
            <w:vAlign w:val="bottom"/>
            <w:tcBorders>
              <w:bottom w:val="single" w:sz="8" w:color="999999"/>
            </w:tcBorders>
          </w:tcPr>
          <w:p>
            <w:pPr>
              <w:spacing w:after="0"/>
              <w:rPr>
                <w:sz w:val="3"/>
                <w:szCs w:val="3"/>
                <w:color w:val="auto"/>
              </w:rPr>
            </w:pPr>
          </w:p>
        </w:tc>
        <w:tc>
          <w:tcPr>
            <w:tcW w:w="800" w:type="dxa"/>
            <w:vAlign w:val="bottom"/>
            <w:tcBorders>
              <w:bottom w:val="single" w:sz="8" w:color="999999"/>
            </w:tcBorders>
          </w:tcPr>
          <w:p>
            <w:pPr>
              <w:spacing w:after="0"/>
              <w:rPr>
                <w:sz w:val="3"/>
                <w:szCs w:val="3"/>
                <w:color w:val="auto"/>
              </w:rPr>
            </w:pPr>
          </w:p>
        </w:tc>
        <w:tc>
          <w:tcPr>
            <w:tcW w:w="1100" w:type="dxa"/>
            <w:vAlign w:val="bottom"/>
            <w:tcBorders>
              <w:bottom w:val="single" w:sz="8" w:color="999999"/>
            </w:tcBorders>
          </w:tcPr>
          <w:p>
            <w:pPr>
              <w:spacing w:after="0"/>
              <w:rPr>
                <w:sz w:val="3"/>
                <w:szCs w:val="3"/>
                <w:color w:val="auto"/>
              </w:rPr>
            </w:pPr>
          </w:p>
        </w:tc>
        <w:tc>
          <w:tcPr>
            <w:tcW w:w="1120" w:type="dxa"/>
            <w:vAlign w:val="bottom"/>
            <w:tcBorders>
              <w:bottom w:val="single" w:sz="8" w:color="999999"/>
            </w:tcBorders>
          </w:tcPr>
          <w:p>
            <w:pPr>
              <w:spacing w:after="0"/>
              <w:rPr>
                <w:sz w:val="3"/>
                <w:szCs w:val="3"/>
                <w:color w:val="auto"/>
              </w:rPr>
            </w:pPr>
          </w:p>
        </w:tc>
        <w:tc>
          <w:tcPr>
            <w:tcW w:w="1220" w:type="dxa"/>
            <w:vAlign w:val="bottom"/>
            <w:tcBorders>
              <w:bottom w:val="single" w:sz="8" w:color="999999"/>
            </w:tcBorders>
          </w:tcPr>
          <w:p>
            <w:pPr>
              <w:spacing w:after="0"/>
              <w:rPr>
                <w:sz w:val="3"/>
                <w:szCs w:val="3"/>
                <w:color w:val="auto"/>
              </w:rPr>
            </w:pPr>
          </w:p>
        </w:tc>
      </w:tr>
      <w:tr>
        <w:trPr>
          <w:trHeight w:val="177"/>
        </w:trPr>
        <w:tc>
          <w:tcPr>
            <w:tcW w:w="3520" w:type="dxa"/>
            <w:vAlign w:val="bottom"/>
          </w:tcPr>
          <w:p>
            <w:pPr>
              <w:spacing w:after="0"/>
              <w:rPr>
                <w:sz w:val="20"/>
                <w:szCs w:val="20"/>
                <w:color w:val="auto"/>
              </w:rPr>
            </w:pPr>
            <w:r>
              <w:rPr>
                <w:rFonts w:ascii="Arial" w:cs="Arial" w:eastAsia="Arial" w:hAnsi="Arial"/>
                <w:sz w:val="13"/>
                <w:szCs w:val="13"/>
                <w:b w:val="1"/>
                <w:bCs w:val="1"/>
                <w:color w:val="00548B"/>
              </w:rPr>
              <w:t>C. Mark Hussey</w:t>
            </w:r>
            <w:r>
              <w:rPr>
                <w:rFonts w:ascii="Arial" w:cs="Arial" w:eastAsia="Arial" w:hAnsi="Arial"/>
                <w:sz w:val="10"/>
                <w:szCs w:val="10"/>
                <w:b w:val="1"/>
                <w:bCs w:val="1"/>
                <w:color w:val="00548B"/>
              </w:rPr>
              <w:t>8</w:t>
            </w:r>
          </w:p>
        </w:tc>
        <w:tc>
          <w:tcPr>
            <w:tcW w:w="1640" w:type="dxa"/>
            <w:vAlign w:val="bottom"/>
          </w:tcPr>
          <w:p>
            <w:pPr>
              <w:ind w:left="1300"/>
              <w:spacing w:after="0"/>
              <w:rPr>
                <w:sz w:val="20"/>
                <w:szCs w:val="20"/>
                <w:color w:val="auto"/>
              </w:rPr>
            </w:pPr>
            <w:r>
              <w:rPr>
                <w:rFonts w:ascii="Arial" w:cs="Arial" w:eastAsia="Arial" w:hAnsi="Arial"/>
                <w:sz w:val="13"/>
                <w:szCs w:val="13"/>
                <w:color w:val="auto"/>
              </w:rPr>
              <w:t>2019</w:t>
            </w:r>
          </w:p>
        </w:tc>
        <w:tc>
          <w:tcPr>
            <w:tcW w:w="560" w:type="dxa"/>
            <w:vAlign w:val="bottom"/>
          </w:tcPr>
          <w:p>
            <w:pPr>
              <w:jc w:val="center"/>
              <w:spacing w:after="0"/>
              <w:rPr>
                <w:sz w:val="20"/>
                <w:szCs w:val="20"/>
                <w:color w:val="auto"/>
              </w:rPr>
            </w:pPr>
            <w:r>
              <w:rPr>
                <w:rFonts w:ascii="Arial" w:cs="Arial" w:eastAsia="Arial" w:hAnsi="Arial"/>
                <w:sz w:val="13"/>
                <w:szCs w:val="13"/>
                <w:color w:val="auto"/>
                <w:w w:val="97"/>
              </w:rPr>
              <w:t>750,000</w:t>
            </w: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973,950</w:t>
            </w: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1,312,515</w:t>
            </w:r>
          </w:p>
        </w:tc>
        <w:tc>
          <w:tcPr>
            <w:tcW w:w="1100" w:type="dxa"/>
            <w:vAlign w:val="bottom"/>
          </w:tcPr>
          <w:p>
            <w:pPr>
              <w:jc w:val="right"/>
              <w:ind w:right="57"/>
              <w:spacing w:after="0"/>
              <w:rPr>
                <w:sz w:val="20"/>
                <w:szCs w:val="20"/>
                <w:color w:val="auto"/>
              </w:rPr>
            </w:pPr>
            <w:r>
              <w:rPr>
                <w:rFonts w:ascii="Arial" w:cs="Arial" w:eastAsia="Arial" w:hAnsi="Arial"/>
                <w:sz w:val="13"/>
                <w:szCs w:val="13"/>
                <w:color w:val="auto"/>
              </w:rPr>
              <w:t>254,109</w:t>
            </w:r>
          </w:p>
        </w:tc>
        <w:tc>
          <w:tcPr>
            <w:tcW w:w="1120" w:type="dxa"/>
            <w:vAlign w:val="bottom"/>
          </w:tcPr>
          <w:p>
            <w:pPr>
              <w:jc w:val="right"/>
              <w:ind w:right="77"/>
              <w:spacing w:after="0"/>
              <w:rPr>
                <w:sz w:val="20"/>
                <w:szCs w:val="20"/>
                <w:color w:val="auto"/>
              </w:rPr>
            </w:pPr>
            <w:r>
              <w:rPr>
                <w:rFonts w:ascii="Arial" w:cs="Arial" w:eastAsia="Arial" w:hAnsi="Arial"/>
                <w:sz w:val="13"/>
                <w:szCs w:val="13"/>
                <w:color w:val="auto"/>
              </w:rPr>
              <w:t>31,575</w:t>
            </w:r>
          </w:p>
        </w:tc>
        <w:tc>
          <w:tcPr>
            <w:tcW w:w="1220" w:type="dxa"/>
            <w:vAlign w:val="bottom"/>
          </w:tcPr>
          <w:p>
            <w:pPr>
              <w:jc w:val="right"/>
              <w:ind w:right="57"/>
              <w:spacing w:after="0"/>
              <w:rPr>
                <w:sz w:val="20"/>
                <w:szCs w:val="20"/>
                <w:color w:val="auto"/>
              </w:rPr>
            </w:pPr>
            <w:r>
              <w:rPr>
                <w:rFonts w:ascii="Arial" w:cs="Arial" w:eastAsia="Arial" w:hAnsi="Arial"/>
                <w:sz w:val="13"/>
                <w:szCs w:val="13"/>
                <w:color w:val="auto"/>
              </w:rPr>
              <w:t>3,322,149</w:t>
            </w:r>
          </w:p>
        </w:tc>
      </w:tr>
      <w:tr>
        <w:trPr>
          <w:trHeight w:val="135"/>
        </w:trPr>
        <w:tc>
          <w:tcPr>
            <w:tcW w:w="3520" w:type="dxa"/>
            <w:vAlign w:val="bottom"/>
          </w:tcPr>
          <w:p>
            <w:pPr>
              <w:ind w:left="180"/>
              <w:spacing w:after="0" w:line="135" w:lineRule="exact"/>
              <w:rPr>
                <w:sz w:val="20"/>
                <w:szCs w:val="20"/>
                <w:color w:val="auto"/>
              </w:rPr>
            </w:pPr>
            <w:r>
              <w:rPr>
                <w:rFonts w:ascii="Arial" w:cs="Arial" w:eastAsia="Arial" w:hAnsi="Arial"/>
                <w:sz w:val="13"/>
                <w:szCs w:val="13"/>
                <w:color w:val="auto"/>
              </w:rPr>
              <w:t>President and</w:t>
            </w:r>
          </w:p>
        </w:tc>
        <w:tc>
          <w:tcPr>
            <w:tcW w:w="1640" w:type="dxa"/>
            <w:vAlign w:val="bottom"/>
          </w:tcPr>
          <w:p>
            <w:pPr>
              <w:ind w:left="1300"/>
              <w:spacing w:after="0" w:line="135" w:lineRule="exact"/>
              <w:rPr>
                <w:sz w:val="20"/>
                <w:szCs w:val="20"/>
                <w:color w:val="auto"/>
              </w:rPr>
            </w:pPr>
            <w:r>
              <w:rPr>
                <w:rFonts w:ascii="Arial" w:cs="Arial" w:eastAsia="Arial" w:hAnsi="Arial"/>
                <w:sz w:val="13"/>
                <w:szCs w:val="13"/>
                <w:color w:val="auto"/>
              </w:rPr>
              <w:t>2018</w:t>
            </w:r>
          </w:p>
        </w:tc>
        <w:tc>
          <w:tcPr>
            <w:tcW w:w="560" w:type="dxa"/>
            <w:vAlign w:val="bottom"/>
          </w:tcPr>
          <w:p>
            <w:pPr>
              <w:jc w:val="center"/>
              <w:spacing w:after="0" w:line="135" w:lineRule="exact"/>
              <w:rPr>
                <w:sz w:val="20"/>
                <w:szCs w:val="20"/>
                <w:color w:val="auto"/>
              </w:rPr>
            </w:pPr>
            <w:r>
              <w:rPr>
                <w:rFonts w:ascii="Arial" w:cs="Arial" w:eastAsia="Arial" w:hAnsi="Arial"/>
                <w:sz w:val="13"/>
                <w:szCs w:val="13"/>
                <w:color w:val="auto"/>
                <w:w w:val="97"/>
              </w:rPr>
              <w:t>750,000</w:t>
            </w:r>
          </w:p>
        </w:tc>
        <w:tc>
          <w:tcPr>
            <w:tcW w:w="10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877,725</w:t>
            </w:r>
          </w:p>
        </w:tc>
        <w:tc>
          <w:tcPr>
            <w:tcW w:w="8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1,312,500</w:t>
            </w:r>
          </w:p>
        </w:tc>
        <w:tc>
          <w:tcPr>
            <w:tcW w:w="11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0</w:t>
            </w:r>
          </w:p>
        </w:tc>
        <w:tc>
          <w:tcPr>
            <w:tcW w:w="11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31,750</w:t>
            </w:r>
          </w:p>
        </w:tc>
        <w:tc>
          <w:tcPr>
            <w:tcW w:w="12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2,971,975</w:t>
            </w:r>
          </w:p>
        </w:tc>
      </w:tr>
      <w:tr>
        <w:trPr>
          <w:trHeight w:val="152"/>
        </w:trPr>
        <w:tc>
          <w:tcPr>
            <w:tcW w:w="3520" w:type="dxa"/>
            <w:vAlign w:val="bottom"/>
          </w:tcPr>
          <w:p>
            <w:pPr>
              <w:ind w:left="180"/>
              <w:spacing w:after="0"/>
              <w:rPr>
                <w:sz w:val="20"/>
                <w:szCs w:val="20"/>
                <w:color w:val="auto"/>
              </w:rPr>
            </w:pPr>
            <w:r>
              <w:rPr>
                <w:rFonts w:ascii="Arial" w:cs="Arial" w:eastAsia="Arial" w:hAnsi="Arial"/>
                <w:sz w:val="13"/>
                <w:szCs w:val="13"/>
                <w:color w:val="auto"/>
              </w:rPr>
              <w:t>Chief Operating Officer</w:t>
            </w:r>
          </w:p>
        </w:tc>
        <w:tc>
          <w:tcPr>
            <w:tcW w:w="1640" w:type="dxa"/>
            <w:vAlign w:val="bottom"/>
          </w:tcPr>
          <w:p>
            <w:pPr>
              <w:ind w:left="1300"/>
              <w:spacing w:after="0"/>
              <w:rPr>
                <w:sz w:val="20"/>
                <w:szCs w:val="20"/>
                <w:color w:val="auto"/>
              </w:rPr>
            </w:pPr>
            <w:r>
              <w:rPr>
                <w:rFonts w:ascii="Arial" w:cs="Arial" w:eastAsia="Arial" w:hAnsi="Arial"/>
                <w:sz w:val="13"/>
                <w:szCs w:val="13"/>
                <w:color w:val="auto"/>
              </w:rPr>
              <w:t>2017</w:t>
            </w:r>
          </w:p>
        </w:tc>
        <w:tc>
          <w:tcPr>
            <w:tcW w:w="560" w:type="dxa"/>
            <w:vAlign w:val="bottom"/>
          </w:tcPr>
          <w:p>
            <w:pPr>
              <w:jc w:val="center"/>
              <w:spacing w:after="0"/>
              <w:rPr>
                <w:sz w:val="20"/>
                <w:szCs w:val="20"/>
                <w:color w:val="auto"/>
              </w:rPr>
            </w:pPr>
            <w:r>
              <w:rPr>
                <w:rFonts w:ascii="Arial" w:cs="Arial" w:eastAsia="Arial" w:hAnsi="Arial"/>
                <w:sz w:val="13"/>
                <w:szCs w:val="13"/>
                <w:color w:val="auto"/>
                <w:w w:val="97"/>
              </w:rPr>
              <w:t>743,750</w:t>
            </w: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451,500</w:t>
            </w: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2,312,472</w:t>
            </w:r>
          </w:p>
        </w:tc>
        <w:tc>
          <w:tcPr>
            <w:tcW w:w="1100" w:type="dxa"/>
            <w:vAlign w:val="bottom"/>
          </w:tcPr>
          <w:p>
            <w:pPr>
              <w:jc w:val="right"/>
              <w:ind w:right="57"/>
              <w:spacing w:after="0"/>
              <w:rPr>
                <w:sz w:val="20"/>
                <w:szCs w:val="20"/>
                <w:color w:val="auto"/>
              </w:rPr>
            </w:pPr>
            <w:r>
              <w:rPr>
                <w:rFonts w:ascii="Arial" w:cs="Arial" w:eastAsia="Arial" w:hAnsi="Arial"/>
                <w:sz w:val="13"/>
                <w:szCs w:val="13"/>
                <w:color w:val="auto"/>
              </w:rPr>
              <w:t>150,059</w:t>
            </w:r>
          </w:p>
        </w:tc>
        <w:tc>
          <w:tcPr>
            <w:tcW w:w="1120" w:type="dxa"/>
            <w:vAlign w:val="bottom"/>
          </w:tcPr>
          <w:p>
            <w:pPr>
              <w:jc w:val="right"/>
              <w:ind w:right="77"/>
              <w:spacing w:after="0"/>
              <w:rPr>
                <w:sz w:val="20"/>
                <w:szCs w:val="20"/>
                <w:color w:val="auto"/>
              </w:rPr>
            </w:pPr>
            <w:r>
              <w:rPr>
                <w:rFonts w:ascii="Arial" w:cs="Arial" w:eastAsia="Arial" w:hAnsi="Arial"/>
                <w:sz w:val="13"/>
                <w:szCs w:val="13"/>
                <w:color w:val="auto"/>
              </w:rPr>
              <w:t>30,985</w:t>
            </w:r>
          </w:p>
        </w:tc>
        <w:tc>
          <w:tcPr>
            <w:tcW w:w="1220" w:type="dxa"/>
            <w:vAlign w:val="bottom"/>
          </w:tcPr>
          <w:p>
            <w:pPr>
              <w:jc w:val="right"/>
              <w:ind w:right="57"/>
              <w:spacing w:after="0"/>
              <w:rPr>
                <w:sz w:val="20"/>
                <w:szCs w:val="20"/>
                <w:color w:val="auto"/>
              </w:rPr>
            </w:pPr>
            <w:r>
              <w:rPr>
                <w:rFonts w:ascii="Arial" w:cs="Arial" w:eastAsia="Arial" w:hAnsi="Arial"/>
                <w:sz w:val="13"/>
                <w:szCs w:val="13"/>
                <w:color w:val="auto"/>
              </w:rPr>
              <w:t>3,688,766</w:t>
            </w:r>
          </w:p>
        </w:tc>
      </w:tr>
      <w:tr>
        <w:trPr>
          <w:trHeight w:val="43"/>
        </w:trPr>
        <w:tc>
          <w:tcPr>
            <w:tcW w:w="3520" w:type="dxa"/>
            <w:vAlign w:val="bottom"/>
            <w:tcBorders>
              <w:bottom w:val="single" w:sz="8" w:color="999999"/>
            </w:tcBorders>
          </w:tcPr>
          <w:p>
            <w:pPr>
              <w:spacing w:after="0"/>
              <w:rPr>
                <w:sz w:val="3"/>
                <w:szCs w:val="3"/>
                <w:color w:val="auto"/>
              </w:rPr>
            </w:pPr>
          </w:p>
        </w:tc>
        <w:tc>
          <w:tcPr>
            <w:tcW w:w="1640" w:type="dxa"/>
            <w:vAlign w:val="bottom"/>
            <w:tcBorders>
              <w:bottom w:val="single" w:sz="8" w:color="999999"/>
            </w:tcBorders>
          </w:tcPr>
          <w:p>
            <w:pPr>
              <w:spacing w:after="0"/>
              <w:rPr>
                <w:sz w:val="3"/>
                <w:szCs w:val="3"/>
                <w:color w:val="auto"/>
              </w:rPr>
            </w:pPr>
          </w:p>
        </w:tc>
        <w:tc>
          <w:tcPr>
            <w:tcW w:w="560" w:type="dxa"/>
            <w:vAlign w:val="bottom"/>
            <w:tcBorders>
              <w:bottom w:val="single" w:sz="8" w:color="999999"/>
            </w:tcBorders>
          </w:tcPr>
          <w:p>
            <w:pPr>
              <w:spacing w:after="0"/>
              <w:rPr>
                <w:sz w:val="3"/>
                <w:szCs w:val="3"/>
                <w:color w:val="auto"/>
              </w:rPr>
            </w:pPr>
          </w:p>
        </w:tc>
        <w:tc>
          <w:tcPr>
            <w:tcW w:w="1060" w:type="dxa"/>
            <w:vAlign w:val="bottom"/>
            <w:tcBorders>
              <w:bottom w:val="single" w:sz="8" w:color="999999"/>
            </w:tcBorders>
          </w:tcPr>
          <w:p>
            <w:pPr>
              <w:spacing w:after="0"/>
              <w:rPr>
                <w:sz w:val="3"/>
                <w:szCs w:val="3"/>
                <w:color w:val="auto"/>
              </w:rPr>
            </w:pPr>
          </w:p>
        </w:tc>
        <w:tc>
          <w:tcPr>
            <w:tcW w:w="800" w:type="dxa"/>
            <w:vAlign w:val="bottom"/>
            <w:tcBorders>
              <w:bottom w:val="single" w:sz="8" w:color="999999"/>
            </w:tcBorders>
          </w:tcPr>
          <w:p>
            <w:pPr>
              <w:spacing w:after="0"/>
              <w:rPr>
                <w:sz w:val="3"/>
                <w:szCs w:val="3"/>
                <w:color w:val="auto"/>
              </w:rPr>
            </w:pPr>
          </w:p>
        </w:tc>
        <w:tc>
          <w:tcPr>
            <w:tcW w:w="1100" w:type="dxa"/>
            <w:vAlign w:val="bottom"/>
            <w:tcBorders>
              <w:bottom w:val="single" w:sz="8" w:color="999999"/>
            </w:tcBorders>
          </w:tcPr>
          <w:p>
            <w:pPr>
              <w:spacing w:after="0"/>
              <w:rPr>
                <w:sz w:val="3"/>
                <w:szCs w:val="3"/>
                <w:color w:val="auto"/>
              </w:rPr>
            </w:pPr>
          </w:p>
        </w:tc>
        <w:tc>
          <w:tcPr>
            <w:tcW w:w="1120" w:type="dxa"/>
            <w:vAlign w:val="bottom"/>
            <w:tcBorders>
              <w:bottom w:val="single" w:sz="8" w:color="999999"/>
            </w:tcBorders>
          </w:tcPr>
          <w:p>
            <w:pPr>
              <w:spacing w:after="0"/>
              <w:rPr>
                <w:sz w:val="3"/>
                <w:szCs w:val="3"/>
                <w:color w:val="auto"/>
              </w:rPr>
            </w:pPr>
          </w:p>
        </w:tc>
        <w:tc>
          <w:tcPr>
            <w:tcW w:w="1220" w:type="dxa"/>
            <w:vAlign w:val="bottom"/>
            <w:tcBorders>
              <w:bottom w:val="single" w:sz="8" w:color="999999"/>
            </w:tcBorders>
          </w:tcPr>
          <w:p>
            <w:pPr>
              <w:spacing w:after="0"/>
              <w:rPr>
                <w:sz w:val="3"/>
                <w:szCs w:val="3"/>
                <w:color w:val="auto"/>
              </w:rPr>
            </w:pPr>
          </w:p>
        </w:tc>
      </w:tr>
      <w:tr>
        <w:trPr>
          <w:trHeight w:val="177"/>
        </w:trPr>
        <w:tc>
          <w:tcPr>
            <w:tcW w:w="3520" w:type="dxa"/>
            <w:vAlign w:val="bottom"/>
          </w:tcPr>
          <w:p>
            <w:pPr>
              <w:spacing w:after="0"/>
              <w:rPr>
                <w:sz w:val="20"/>
                <w:szCs w:val="20"/>
                <w:color w:val="auto"/>
              </w:rPr>
            </w:pPr>
            <w:r>
              <w:rPr>
                <w:rFonts w:ascii="Arial" w:cs="Arial" w:eastAsia="Arial" w:hAnsi="Arial"/>
                <w:sz w:val="13"/>
                <w:szCs w:val="13"/>
                <w:b w:val="1"/>
                <w:bCs w:val="1"/>
                <w:color w:val="00548B"/>
              </w:rPr>
              <w:t>John D. Kelly</w:t>
            </w:r>
            <w:r>
              <w:rPr>
                <w:rFonts w:ascii="Arial" w:cs="Arial" w:eastAsia="Arial" w:hAnsi="Arial"/>
                <w:sz w:val="10"/>
                <w:szCs w:val="10"/>
                <w:b w:val="1"/>
                <w:bCs w:val="1"/>
                <w:color w:val="00548B"/>
              </w:rPr>
              <w:t>9</w:t>
            </w:r>
          </w:p>
        </w:tc>
        <w:tc>
          <w:tcPr>
            <w:tcW w:w="1640" w:type="dxa"/>
            <w:vAlign w:val="bottom"/>
          </w:tcPr>
          <w:p>
            <w:pPr>
              <w:ind w:left="1300"/>
              <w:spacing w:after="0"/>
              <w:rPr>
                <w:sz w:val="20"/>
                <w:szCs w:val="20"/>
                <w:color w:val="auto"/>
              </w:rPr>
            </w:pPr>
            <w:r>
              <w:rPr>
                <w:rFonts w:ascii="Arial" w:cs="Arial" w:eastAsia="Arial" w:hAnsi="Arial"/>
                <w:sz w:val="13"/>
                <w:szCs w:val="13"/>
                <w:color w:val="auto"/>
              </w:rPr>
              <w:t>2019</w:t>
            </w:r>
          </w:p>
        </w:tc>
        <w:tc>
          <w:tcPr>
            <w:tcW w:w="560" w:type="dxa"/>
            <w:vAlign w:val="bottom"/>
          </w:tcPr>
          <w:p>
            <w:pPr>
              <w:jc w:val="center"/>
              <w:spacing w:after="0"/>
              <w:rPr>
                <w:sz w:val="20"/>
                <w:szCs w:val="20"/>
                <w:color w:val="auto"/>
              </w:rPr>
            </w:pPr>
            <w:r>
              <w:rPr>
                <w:rFonts w:ascii="Arial" w:cs="Arial" w:eastAsia="Arial" w:hAnsi="Arial"/>
                <w:sz w:val="13"/>
                <w:szCs w:val="13"/>
                <w:color w:val="auto"/>
                <w:w w:val="97"/>
              </w:rPr>
              <w:t>457,500</w:t>
            </w: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418,149</w:t>
            </w: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690,001</w:t>
            </w:r>
          </w:p>
        </w:tc>
        <w:tc>
          <w:tcPr>
            <w:tcW w:w="1100" w:type="dxa"/>
            <w:vAlign w:val="bottom"/>
          </w:tcPr>
          <w:p>
            <w:pPr>
              <w:jc w:val="right"/>
              <w:ind w:right="57"/>
              <w:spacing w:after="0"/>
              <w:rPr>
                <w:sz w:val="20"/>
                <w:szCs w:val="20"/>
                <w:color w:val="auto"/>
              </w:rPr>
            </w:pPr>
            <w:r>
              <w:rPr>
                <w:rFonts w:ascii="Arial" w:cs="Arial" w:eastAsia="Arial" w:hAnsi="Arial"/>
                <w:sz w:val="13"/>
                <w:szCs w:val="13"/>
                <w:color w:val="auto"/>
              </w:rPr>
              <w:t>N/A</w:t>
            </w:r>
          </w:p>
        </w:tc>
        <w:tc>
          <w:tcPr>
            <w:tcW w:w="1120" w:type="dxa"/>
            <w:vAlign w:val="bottom"/>
          </w:tcPr>
          <w:p>
            <w:pPr>
              <w:jc w:val="right"/>
              <w:ind w:right="77"/>
              <w:spacing w:after="0"/>
              <w:rPr>
                <w:sz w:val="20"/>
                <w:szCs w:val="20"/>
                <w:color w:val="auto"/>
              </w:rPr>
            </w:pPr>
            <w:r>
              <w:rPr>
                <w:rFonts w:ascii="Arial" w:cs="Arial" w:eastAsia="Arial" w:hAnsi="Arial"/>
                <w:sz w:val="13"/>
                <w:szCs w:val="13"/>
                <w:color w:val="auto"/>
              </w:rPr>
              <w:t>25,473</w:t>
            </w:r>
          </w:p>
        </w:tc>
        <w:tc>
          <w:tcPr>
            <w:tcW w:w="1220" w:type="dxa"/>
            <w:vAlign w:val="bottom"/>
          </w:tcPr>
          <w:p>
            <w:pPr>
              <w:jc w:val="right"/>
              <w:ind w:right="57"/>
              <w:spacing w:after="0"/>
              <w:rPr>
                <w:sz w:val="20"/>
                <w:szCs w:val="20"/>
                <w:color w:val="auto"/>
              </w:rPr>
            </w:pPr>
            <w:r>
              <w:rPr>
                <w:rFonts w:ascii="Arial" w:cs="Arial" w:eastAsia="Arial" w:hAnsi="Arial"/>
                <w:sz w:val="13"/>
                <w:szCs w:val="13"/>
                <w:color w:val="auto"/>
              </w:rPr>
              <w:t>1,591,123</w:t>
            </w:r>
          </w:p>
        </w:tc>
      </w:tr>
      <w:tr>
        <w:trPr>
          <w:trHeight w:val="135"/>
        </w:trPr>
        <w:tc>
          <w:tcPr>
            <w:tcW w:w="3520" w:type="dxa"/>
            <w:vAlign w:val="bottom"/>
          </w:tcPr>
          <w:p>
            <w:pPr>
              <w:ind w:left="160"/>
              <w:spacing w:after="0" w:line="135" w:lineRule="exact"/>
              <w:rPr>
                <w:sz w:val="20"/>
                <w:szCs w:val="20"/>
                <w:color w:val="auto"/>
              </w:rPr>
            </w:pPr>
            <w:r>
              <w:rPr>
                <w:rFonts w:ascii="Arial" w:cs="Arial" w:eastAsia="Arial" w:hAnsi="Arial"/>
                <w:sz w:val="13"/>
                <w:szCs w:val="13"/>
                <w:color w:val="auto"/>
              </w:rPr>
              <w:t>Executive Vice President,</w:t>
            </w:r>
          </w:p>
        </w:tc>
        <w:tc>
          <w:tcPr>
            <w:tcW w:w="1640" w:type="dxa"/>
            <w:vAlign w:val="bottom"/>
          </w:tcPr>
          <w:p>
            <w:pPr>
              <w:ind w:left="1300"/>
              <w:spacing w:after="0" w:line="135" w:lineRule="exact"/>
              <w:rPr>
                <w:sz w:val="20"/>
                <w:szCs w:val="20"/>
                <w:color w:val="auto"/>
              </w:rPr>
            </w:pPr>
            <w:r>
              <w:rPr>
                <w:rFonts w:ascii="Arial" w:cs="Arial" w:eastAsia="Arial" w:hAnsi="Arial"/>
                <w:sz w:val="13"/>
                <w:szCs w:val="13"/>
                <w:color w:val="auto"/>
              </w:rPr>
              <w:t>2018</w:t>
            </w:r>
          </w:p>
        </w:tc>
        <w:tc>
          <w:tcPr>
            <w:tcW w:w="560" w:type="dxa"/>
            <w:vAlign w:val="bottom"/>
          </w:tcPr>
          <w:p>
            <w:pPr>
              <w:jc w:val="center"/>
              <w:spacing w:after="0" w:line="135" w:lineRule="exact"/>
              <w:rPr>
                <w:sz w:val="20"/>
                <w:szCs w:val="20"/>
                <w:color w:val="auto"/>
              </w:rPr>
            </w:pPr>
            <w:r>
              <w:rPr>
                <w:rFonts w:ascii="Arial" w:cs="Arial" w:eastAsia="Arial" w:hAnsi="Arial"/>
                <w:sz w:val="13"/>
                <w:szCs w:val="13"/>
                <w:color w:val="auto"/>
                <w:w w:val="97"/>
              </w:rPr>
              <w:t>396,875</w:t>
            </w:r>
          </w:p>
        </w:tc>
        <w:tc>
          <w:tcPr>
            <w:tcW w:w="10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327,684</w:t>
            </w:r>
          </w:p>
        </w:tc>
        <w:tc>
          <w:tcPr>
            <w:tcW w:w="8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479,999</w:t>
            </w:r>
          </w:p>
        </w:tc>
        <w:tc>
          <w:tcPr>
            <w:tcW w:w="11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N/A</w:t>
            </w:r>
          </w:p>
        </w:tc>
        <w:tc>
          <w:tcPr>
            <w:tcW w:w="11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20,156</w:t>
            </w:r>
          </w:p>
        </w:tc>
        <w:tc>
          <w:tcPr>
            <w:tcW w:w="12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1,224,714</w:t>
            </w:r>
          </w:p>
        </w:tc>
      </w:tr>
      <w:tr>
        <w:trPr>
          <w:trHeight w:val="152"/>
        </w:trPr>
        <w:tc>
          <w:tcPr>
            <w:tcW w:w="3520" w:type="dxa"/>
            <w:vAlign w:val="bottom"/>
          </w:tcPr>
          <w:p>
            <w:pPr>
              <w:ind w:left="160"/>
              <w:spacing w:after="0"/>
              <w:rPr>
                <w:sz w:val="20"/>
                <w:szCs w:val="20"/>
                <w:color w:val="auto"/>
              </w:rPr>
            </w:pPr>
            <w:r>
              <w:rPr>
                <w:rFonts w:ascii="Arial" w:cs="Arial" w:eastAsia="Arial" w:hAnsi="Arial"/>
                <w:sz w:val="13"/>
                <w:szCs w:val="13"/>
                <w:color w:val="auto"/>
              </w:rPr>
              <w:t>Chief Financial Officer and Treasurer</w:t>
            </w:r>
          </w:p>
        </w:tc>
        <w:tc>
          <w:tcPr>
            <w:tcW w:w="1640" w:type="dxa"/>
            <w:vAlign w:val="bottom"/>
          </w:tcPr>
          <w:p>
            <w:pPr>
              <w:ind w:left="1300"/>
              <w:spacing w:after="0"/>
              <w:rPr>
                <w:sz w:val="20"/>
                <w:szCs w:val="20"/>
                <w:color w:val="auto"/>
              </w:rPr>
            </w:pPr>
            <w:r>
              <w:rPr>
                <w:rFonts w:ascii="Arial" w:cs="Arial" w:eastAsia="Arial" w:hAnsi="Arial"/>
                <w:sz w:val="13"/>
                <w:szCs w:val="13"/>
                <w:color w:val="auto"/>
              </w:rPr>
              <w:t>2017</w:t>
            </w:r>
          </w:p>
        </w:tc>
        <w:tc>
          <w:tcPr>
            <w:tcW w:w="560" w:type="dxa"/>
            <w:vAlign w:val="bottom"/>
          </w:tcPr>
          <w:p>
            <w:pPr>
              <w:jc w:val="center"/>
              <w:spacing w:after="0"/>
              <w:rPr>
                <w:sz w:val="20"/>
                <w:szCs w:val="20"/>
                <w:color w:val="auto"/>
              </w:rPr>
            </w:pPr>
            <w:r>
              <w:rPr>
                <w:rFonts w:ascii="Arial" w:cs="Arial" w:eastAsia="Arial" w:hAnsi="Arial"/>
                <w:sz w:val="13"/>
                <w:szCs w:val="13"/>
                <w:color w:val="auto"/>
                <w:w w:val="97"/>
              </w:rPr>
              <w:t>323,333</w:t>
            </w: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136,955</w:t>
            </w: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344,197</w:t>
            </w:r>
          </w:p>
        </w:tc>
        <w:tc>
          <w:tcPr>
            <w:tcW w:w="1100" w:type="dxa"/>
            <w:vAlign w:val="bottom"/>
          </w:tcPr>
          <w:p>
            <w:pPr>
              <w:jc w:val="right"/>
              <w:ind w:right="57"/>
              <w:spacing w:after="0"/>
              <w:rPr>
                <w:sz w:val="20"/>
                <w:szCs w:val="20"/>
                <w:color w:val="auto"/>
              </w:rPr>
            </w:pPr>
            <w:r>
              <w:rPr>
                <w:rFonts w:ascii="Arial" w:cs="Arial" w:eastAsia="Arial" w:hAnsi="Arial"/>
                <w:sz w:val="13"/>
                <w:szCs w:val="13"/>
                <w:color w:val="auto"/>
              </w:rPr>
              <w:t>N/A</w:t>
            </w:r>
          </w:p>
        </w:tc>
        <w:tc>
          <w:tcPr>
            <w:tcW w:w="1120" w:type="dxa"/>
            <w:vAlign w:val="bottom"/>
          </w:tcPr>
          <w:p>
            <w:pPr>
              <w:jc w:val="right"/>
              <w:ind w:right="77"/>
              <w:spacing w:after="0"/>
              <w:rPr>
                <w:sz w:val="20"/>
                <w:szCs w:val="20"/>
                <w:color w:val="auto"/>
              </w:rPr>
            </w:pPr>
            <w:r>
              <w:rPr>
                <w:rFonts w:ascii="Arial" w:cs="Arial" w:eastAsia="Arial" w:hAnsi="Arial"/>
                <w:sz w:val="13"/>
                <w:szCs w:val="13"/>
                <w:color w:val="auto"/>
              </w:rPr>
              <w:t>23,113</w:t>
            </w:r>
          </w:p>
        </w:tc>
        <w:tc>
          <w:tcPr>
            <w:tcW w:w="1220" w:type="dxa"/>
            <w:vAlign w:val="bottom"/>
          </w:tcPr>
          <w:p>
            <w:pPr>
              <w:jc w:val="right"/>
              <w:ind w:right="57"/>
              <w:spacing w:after="0"/>
              <w:rPr>
                <w:sz w:val="20"/>
                <w:szCs w:val="20"/>
                <w:color w:val="auto"/>
              </w:rPr>
            </w:pPr>
            <w:r>
              <w:rPr>
                <w:rFonts w:ascii="Arial" w:cs="Arial" w:eastAsia="Arial" w:hAnsi="Arial"/>
                <w:sz w:val="13"/>
                <w:szCs w:val="13"/>
                <w:color w:val="auto"/>
              </w:rPr>
              <w:t>827,598</w:t>
            </w:r>
          </w:p>
        </w:tc>
      </w:tr>
      <w:tr>
        <w:trPr>
          <w:trHeight w:val="43"/>
        </w:trPr>
        <w:tc>
          <w:tcPr>
            <w:tcW w:w="3520" w:type="dxa"/>
            <w:vAlign w:val="bottom"/>
            <w:tcBorders>
              <w:bottom w:val="single" w:sz="8" w:color="999999"/>
            </w:tcBorders>
          </w:tcPr>
          <w:p>
            <w:pPr>
              <w:spacing w:after="0"/>
              <w:rPr>
                <w:sz w:val="3"/>
                <w:szCs w:val="3"/>
                <w:color w:val="auto"/>
              </w:rPr>
            </w:pPr>
          </w:p>
        </w:tc>
        <w:tc>
          <w:tcPr>
            <w:tcW w:w="1640" w:type="dxa"/>
            <w:vAlign w:val="bottom"/>
            <w:tcBorders>
              <w:bottom w:val="single" w:sz="8" w:color="999999"/>
            </w:tcBorders>
          </w:tcPr>
          <w:p>
            <w:pPr>
              <w:spacing w:after="0"/>
              <w:rPr>
                <w:sz w:val="3"/>
                <w:szCs w:val="3"/>
                <w:color w:val="auto"/>
              </w:rPr>
            </w:pPr>
          </w:p>
        </w:tc>
        <w:tc>
          <w:tcPr>
            <w:tcW w:w="560" w:type="dxa"/>
            <w:vAlign w:val="bottom"/>
            <w:tcBorders>
              <w:bottom w:val="single" w:sz="8" w:color="999999"/>
            </w:tcBorders>
          </w:tcPr>
          <w:p>
            <w:pPr>
              <w:spacing w:after="0"/>
              <w:rPr>
                <w:sz w:val="3"/>
                <w:szCs w:val="3"/>
                <w:color w:val="auto"/>
              </w:rPr>
            </w:pPr>
          </w:p>
        </w:tc>
        <w:tc>
          <w:tcPr>
            <w:tcW w:w="1060" w:type="dxa"/>
            <w:vAlign w:val="bottom"/>
            <w:tcBorders>
              <w:bottom w:val="single" w:sz="8" w:color="999999"/>
            </w:tcBorders>
          </w:tcPr>
          <w:p>
            <w:pPr>
              <w:spacing w:after="0"/>
              <w:rPr>
                <w:sz w:val="3"/>
                <w:szCs w:val="3"/>
                <w:color w:val="auto"/>
              </w:rPr>
            </w:pPr>
          </w:p>
        </w:tc>
        <w:tc>
          <w:tcPr>
            <w:tcW w:w="800" w:type="dxa"/>
            <w:vAlign w:val="bottom"/>
            <w:tcBorders>
              <w:bottom w:val="single" w:sz="8" w:color="999999"/>
            </w:tcBorders>
          </w:tcPr>
          <w:p>
            <w:pPr>
              <w:spacing w:after="0"/>
              <w:rPr>
                <w:sz w:val="3"/>
                <w:szCs w:val="3"/>
                <w:color w:val="auto"/>
              </w:rPr>
            </w:pPr>
          </w:p>
        </w:tc>
        <w:tc>
          <w:tcPr>
            <w:tcW w:w="1100" w:type="dxa"/>
            <w:vAlign w:val="bottom"/>
            <w:tcBorders>
              <w:bottom w:val="single" w:sz="8" w:color="999999"/>
            </w:tcBorders>
          </w:tcPr>
          <w:p>
            <w:pPr>
              <w:spacing w:after="0"/>
              <w:rPr>
                <w:sz w:val="3"/>
                <w:szCs w:val="3"/>
                <w:color w:val="auto"/>
              </w:rPr>
            </w:pPr>
          </w:p>
        </w:tc>
        <w:tc>
          <w:tcPr>
            <w:tcW w:w="1120" w:type="dxa"/>
            <w:vAlign w:val="bottom"/>
            <w:tcBorders>
              <w:bottom w:val="single" w:sz="8" w:color="999999"/>
            </w:tcBorders>
          </w:tcPr>
          <w:p>
            <w:pPr>
              <w:spacing w:after="0"/>
              <w:rPr>
                <w:sz w:val="3"/>
                <w:szCs w:val="3"/>
                <w:color w:val="auto"/>
              </w:rPr>
            </w:pPr>
          </w:p>
        </w:tc>
        <w:tc>
          <w:tcPr>
            <w:tcW w:w="1220" w:type="dxa"/>
            <w:vAlign w:val="bottom"/>
            <w:tcBorders>
              <w:bottom w:val="single" w:sz="8" w:color="999999"/>
            </w:tcBorders>
          </w:tcPr>
          <w:p>
            <w:pPr>
              <w:spacing w:after="0"/>
              <w:rPr>
                <w:sz w:val="3"/>
                <w:szCs w:val="3"/>
                <w:color w:val="auto"/>
              </w:rPr>
            </w:pPr>
          </w:p>
        </w:tc>
      </w:tr>
      <w:tr>
        <w:trPr>
          <w:trHeight w:val="177"/>
        </w:trPr>
        <w:tc>
          <w:tcPr>
            <w:tcW w:w="3520" w:type="dxa"/>
            <w:vAlign w:val="bottom"/>
          </w:tcPr>
          <w:p>
            <w:pPr>
              <w:spacing w:after="0"/>
              <w:rPr>
                <w:sz w:val="20"/>
                <w:szCs w:val="20"/>
                <w:color w:val="auto"/>
              </w:rPr>
            </w:pPr>
            <w:r>
              <w:rPr>
                <w:rFonts w:ascii="Arial" w:cs="Arial" w:eastAsia="Arial" w:hAnsi="Arial"/>
                <w:sz w:val="13"/>
                <w:szCs w:val="13"/>
                <w:b w:val="1"/>
                <w:bCs w:val="1"/>
                <w:color w:val="00548B"/>
              </w:rPr>
              <w:t>Diane E. Ratekin</w:t>
            </w:r>
          </w:p>
        </w:tc>
        <w:tc>
          <w:tcPr>
            <w:tcW w:w="1640" w:type="dxa"/>
            <w:vAlign w:val="bottom"/>
          </w:tcPr>
          <w:p>
            <w:pPr>
              <w:ind w:left="1300"/>
              <w:spacing w:after="0"/>
              <w:rPr>
                <w:sz w:val="20"/>
                <w:szCs w:val="20"/>
                <w:color w:val="auto"/>
              </w:rPr>
            </w:pPr>
            <w:r>
              <w:rPr>
                <w:rFonts w:ascii="Arial" w:cs="Arial" w:eastAsia="Arial" w:hAnsi="Arial"/>
                <w:sz w:val="13"/>
                <w:szCs w:val="13"/>
                <w:color w:val="auto"/>
              </w:rPr>
              <w:t>2019</w:t>
            </w:r>
          </w:p>
        </w:tc>
        <w:tc>
          <w:tcPr>
            <w:tcW w:w="560" w:type="dxa"/>
            <w:vAlign w:val="bottom"/>
          </w:tcPr>
          <w:p>
            <w:pPr>
              <w:jc w:val="center"/>
              <w:spacing w:after="0"/>
              <w:rPr>
                <w:sz w:val="20"/>
                <w:szCs w:val="20"/>
                <w:color w:val="auto"/>
              </w:rPr>
            </w:pPr>
            <w:r>
              <w:rPr>
                <w:rFonts w:ascii="Arial" w:cs="Arial" w:eastAsia="Arial" w:hAnsi="Arial"/>
                <w:sz w:val="13"/>
                <w:szCs w:val="13"/>
                <w:color w:val="auto"/>
                <w:w w:val="97"/>
              </w:rPr>
              <w:t>400,000</w:t>
            </w: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259,720</w:t>
            </w: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459,984</w:t>
            </w:r>
          </w:p>
        </w:tc>
        <w:tc>
          <w:tcPr>
            <w:tcW w:w="1100" w:type="dxa"/>
            <w:vAlign w:val="bottom"/>
          </w:tcPr>
          <w:p>
            <w:pPr>
              <w:jc w:val="right"/>
              <w:ind w:right="57"/>
              <w:spacing w:after="0"/>
              <w:rPr>
                <w:sz w:val="20"/>
                <w:szCs w:val="20"/>
                <w:color w:val="auto"/>
              </w:rPr>
            </w:pPr>
            <w:r>
              <w:rPr>
                <w:rFonts w:ascii="Arial" w:cs="Arial" w:eastAsia="Arial" w:hAnsi="Arial"/>
                <w:sz w:val="13"/>
                <w:szCs w:val="13"/>
                <w:color w:val="auto"/>
              </w:rPr>
              <w:t>32,858</w:t>
            </w:r>
          </w:p>
        </w:tc>
        <w:tc>
          <w:tcPr>
            <w:tcW w:w="1120" w:type="dxa"/>
            <w:vAlign w:val="bottom"/>
          </w:tcPr>
          <w:p>
            <w:pPr>
              <w:jc w:val="right"/>
              <w:ind w:right="77"/>
              <w:spacing w:after="0"/>
              <w:rPr>
                <w:sz w:val="20"/>
                <w:szCs w:val="20"/>
                <w:color w:val="auto"/>
              </w:rPr>
            </w:pPr>
            <w:r>
              <w:rPr>
                <w:rFonts w:ascii="Arial" w:cs="Arial" w:eastAsia="Arial" w:hAnsi="Arial"/>
                <w:sz w:val="13"/>
                <w:szCs w:val="13"/>
                <w:color w:val="auto"/>
              </w:rPr>
              <w:t>57,519</w:t>
            </w:r>
          </w:p>
        </w:tc>
        <w:tc>
          <w:tcPr>
            <w:tcW w:w="1220" w:type="dxa"/>
            <w:vAlign w:val="bottom"/>
          </w:tcPr>
          <w:p>
            <w:pPr>
              <w:jc w:val="right"/>
              <w:ind w:right="57"/>
              <w:spacing w:after="0"/>
              <w:rPr>
                <w:sz w:val="20"/>
                <w:szCs w:val="20"/>
                <w:color w:val="auto"/>
              </w:rPr>
            </w:pPr>
            <w:r>
              <w:rPr>
                <w:rFonts w:ascii="Arial" w:cs="Arial" w:eastAsia="Arial" w:hAnsi="Arial"/>
                <w:sz w:val="13"/>
                <w:szCs w:val="13"/>
                <w:color w:val="auto"/>
              </w:rPr>
              <w:t>1,210,081</w:t>
            </w:r>
          </w:p>
        </w:tc>
      </w:tr>
      <w:tr>
        <w:trPr>
          <w:trHeight w:val="135"/>
        </w:trPr>
        <w:tc>
          <w:tcPr>
            <w:tcW w:w="3520" w:type="dxa"/>
            <w:vAlign w:val="bottom"/>
          </w:tcPr>
          <w:p>
            <w:pPr>
              <w:ind w:left="160"/>
              <w:spacing w:after="0" w:line="135" w:lineRule="exact"/>
              <w:rPr>
                <w:sz w:val="20"/>
                <w:szCs w:val="20"/>
                <w:color w:val="auto"/>
              </w:rPr>
            </w:pPr>
            <w:r>
              <w:rPr>
                <w:rFonts w:ascii="Arial" w:cs="Arial" w:eastAsia="Arial" w:hAnsi="Arial"/>
                <w:sz w:val="13"/>
                <w:szCs w:val="13"/>
                <w:color w:val="auto"/>
              </w:rPr>
              <w:t>Executive Vice President,</w:t>
            </w:r>
          </w:p>
        </w:tc>
        <w:tc>
          <w:tcPr>
            <w:tcW w:w="1640" w:type="dxa"/>
            <w:vAlign w:val="bottom"/>
          </w:tcPr>
          <w:p>
            <w:pPr>
              <w:ind w:left="1300"/>
              <w:spacing w:after="0" w:line="135" w:lineRule="exact"/>
              <w:rPr>
                <w:sz w:val="20"/>
                <w:szCs w:val="20"/>
                <w:color w:val="auto"/>
              </w:rPr>
            </w:pPr>
            <w:r>
              <w:rPr>
                <w:rFonts w:ascii="Arial" w:cs="Arial" w:eastAsia="Arial" w:hAnsi="Arial"/>
                <w:sz w:val="13"/>
                <w:szCs w:val="13"/>
                <w:color w:val="auto"/>
              </w:rPr>
              <w:t>2018</w:t>
            </w:r>
          </w:p>
        </w:tc>
        <w:tc>
          <w:tcPr>
            <w:tcW w:w="560" w:type="dxa"/>
            <w:vAlign w:val="bottom"/>
          </w:tcPr>
          <w:p>
            <w:pPr>
              <w:jc w:val="center"/>
              <w:spacing w:after="0" w:line="135" w:lineRule="exact"/>
              <w:rPr>
                <w:sz w:val="20"/>
                <w:szCs w:val="20"/>
                <w:color w:val="auto"/>
              </w:rPr>
            </w:pPr>
            <w:r>
              <w:rPr>
                <w:rFonts w:ascii="Arial" w:cs="Arial" w:eastAsia="Arial" w:hAnsi="Arial"/>
                <w:sz w:val="13"/>
                <w:szCs w:val="13"/>
                <w:color w:val="auto"/>
                <w:w w:val="97"/>
              </w:rPr>
              <w:t>400,000</w:t>
            </w:r>
          </w:p>
        </w:tc>
        <w:tc>
          <w:tcPr>
            <w:tcW w:w="10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234,060</w:t>
            </w:r>
          </w:p>
        </w:tc>
        <w:tc>
          <w:tcPr>
            <w:tcW w:w="8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460,013</w:t>
            </w:r>
          </w:p>
        </w:tc>
        <w:tc>
          <w:tcPr>
            <w:tcW w:w="11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0</w:t>
            </w:r>
          </w:p>
        </w:tc>
        <w:tc>
          <w:tcPr>
            <w:tcW w:w="11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35,935</w:t>
            </w:r>
          </w:p>
        </w:tc>
        <w:tc>
          <w:tcPr>
            <w:tcW w:w="12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1,130,008</w:t>
            </w:r>
          </w:p>
        </w:tc>
      </w:tr>
      <w:tr>
        <w:trPr>
          <w:trHeight w:val="135"/>
        </w:trPr>
        <w:tc>
          <w:tcPr>
            <w:tcW w:w="3520" w:type="dxa"/>
            <w:vAlign w:val="bottom"/>
          </w:tcPr>
          <w:p>
            <w:pPr>
              <w:ind w:left="160"/>
              <w:spacing w:after="0" w:line="135" w:lineRule="exact"/>
              <w:rPr>
                <w:sz w:val="20"/>
                <w:szCs w:val="20"/>
                <w:color w:val="auto"/>
              </w:rPr>
            </w:pPr>
            <w:r>
              <w:rPr>
                <w:rFonts w:ascii="Arial" w:cs="Arial" w:eastAsia="Arial" w:hAnsi="Arial"/>
                <w:sz w:val="13"/>
                <w:szCs w:val="13"/>
                <w:color w:val="auto"/>
              </w:rPr>
              <w:t>General Counsel and</w:t>
            </w:r>
          </w:p>
        </w:tc>
        <w:tc>
          <w:tcPr>
            <w:tcW w:w="1640" w:type="dxa"/>
            <w:vAlign w:val="bottom"/>
          </w:tcPr>
          <w:p>
            <w:pPr>
              <w:ind w:left="1300"/>
              <w:spacing w:after="0" w:line="135" w:lineRule="exact"/>
              <w:rPr>
                <w:sz w:val="20"/>
                <w:szCs w:val="20"/>
                <w:color w:val="auto"/>
              </w:rPr>
            </w:pPr>
            <w:r>
              <w:rPr>
                <w:rFonts w:ascii="Arial" w:cs="Arial" w:eastAsia="Arial" w:hAnsi="Arial"/>
                <w:sz w:val="13"/>
                <w:szCs w:val="13"/>
                <w:color w:val="auto"/>
              </w:rPr>
              <w:t>2017</w:t>
            </w:r>
          </w:p>
        </w:tc>
        <w:tc>
          <w:tcPr>
            <w:tcW w:w="560" w:type="dxa"/>
            <w:vAlign w:val="bottom"/>
          </w:tcPr>
          <w:p>
            <w:pPr>
              <w:jc w:val="center"/>
              <w:spacing w:after="0" w:line="135" w:lineRule="exact"/>
              <w:rPr>
                <w:sz w:val="20"/>
                <w:szCs w:val="20"/>
                <w:color w:val="auto"/>
              </w:rPr>
            </w:pPr>
            <w:r>
              <w:rPr>
                <w:rFonts w:ascii="Arial" w:cs="Arial" w:eastAsia="Arial" w:hAnsi="Arial"/>
                <w:sz w:val="13"/>
                <w:szCs w:val="13"/>
                <w:color w:val="auto"/>
                <w:w w:val="97"/>
              </w:rPr>
              <w:t>400,000</w:t>
            </w:r>
          </w:p>
        </w:tc>
        <w:tc>
          <w:tcPr>
            <w:tcW w:w="10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120,400</w:t>
            </w:r>
          </w:p>
        </w:tc>
        <w:tc>
          <w:tcPr>
            <w:tcW w:w="8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460,003</w:t>
            </w:r>
          </w:p>
        </w:tc>
        <w:tc>
          <w:tcPr>
            <w:tcW w:w="11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18,353</w:t>
            </w:r>
          </w:p>
        </w:tc>
        <w:tc>
          <w:tcPr>
            <w:tcW w:w="11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31,719</w:t>
            </w:r>
          </w:p>
        </w:tc>
        <w:tc>
          <w:tcPr>
            <w:tcW w:w="12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1,030,475</w:t>
            </w:r>
          </w:p>
        </w:tc>
      </w:tr>
      <w:tr>
        <w:trPr>
          <w:trHeight w:val="153"/>
        </w:trPr>
        <w:tc>
          <w:tcPr>
            <w:tcW w:w="3520" w:type="dxa"/>
            <w:vAlign w:val="bottom"/>
            <w:tcBorders>
              <w:bottom w:val="single" w:sz="8" w:color="00548B"/>
            </w:tcBorders>
          </w:tcPr>
          <w:p>
            <w:pPr>
              <w:ind w:left="160"/>
              <w:spacing w:after="0"/>
              <w:rPr>
                <w:sz w:val="20"/>
                <w:szCs w:val="20"/>
                <w:color w:val="auto"/>
              </w:rPr>
            </w:pPr>
            <w:r>
              <w:rPr>
                <w:rFonts w:ascii="Arial" w:cs="Arial" w:eastAsia="Arial" w:hAnsi="Arial"/>
                <w:sz w:val="13"/>
                <w:szCs w:val="13"/>
                <w:color w:val="auto"/>
              </w:rPr>
              <w:t>Corporate Secretary</w:t>
            </w:r>
          </w:p>
        </w:tc>
        <w:tc>
          <w:tcPr>
            <w:tcW w:w="1640" w:type="dxa"/>
            <w:vAlign w:val="bottom"/>
            <w:tcBorders>
              <w:bottom w:val="single" w:sz="8" w:color="00548B"/>
            </w:tcBorders>
          </w:tcPr>
          <w:p>
            <w:pPr>
              <w:spacing w:after="0"/>
              <w:rPr>
                <w:sz w:val="13"/>
                <w:szCs w:val="13"/>
                <w:color w:val="auto"/>
              </w:rPr>
            </w:pPr>
          </w:p>
        </w:tc>
        <w:tc>
          <w:tcPr>
            <w:tcW w:w="560" w:type="dxa"/>
            <w:vAlign w:val="bottom"/>
            <w:tcBorders>
              <w:bottom w:val="single" w:sz="8" w:color="00548B"/>
            </w:tcBorders>
          </w:tcPr>
          <w:p>
            <w:pPr>
              <w:spacing w:after="0"/>
              <w:rPr>
                <w:sz w:val="13"/>
                <w:szCs w:val="13"/>
                <w:color w:val="auto"/>
              </w:rPr>
            </w:pPr>
          </w:p>
        </w:tc>
        <w:tc>
          <w:tcPr>
            <w:tcW w:w="1060" w:type="dxa"/>
            <w:vAlign w:val="bottom"/>
            <w:tcBorders>
              <w:bottom w:val="single" w:sz="8" w:color="00548B"/>
            </w:tcBorders>
          </w:tcPr>
          <w:p>
            <w:pPr>
              <w:spacing w:after="0"/>
              <w:rPr>
                <w:sz w:val="13"/>
                <w:szCs w:val="13"/>
                <w:color w:val="auto"/>
              </w:rPr>
            </w:pPr>
          </w:p>
        </w:tc>
        <w:tc>
          <w:tcPr>
            <w:tcW w:w="800" w:type="dxa"/>
            <w:vAlign w:val="bottom"/>
            <w:tcBorders>
              <w:bottom w:val="single" w:sz="8" w:color="00548B"/>
            </w:tcBorders>
          </w:tcPr>
          <w:p>
            <w:pPr>
              <w:spacing w:after="0"/>
              <w:rPr>
                <w:sz w:val="13"/>
                <w:szCs w:val="13"/>
                <w:color w:val="auto"/>
              </w:rPr>
            </w:pPr>
          </w:p>
        </w:tc>
        <w:tc>
          <w:tcPr>
            <w:tcW w:w="1100" w:type="dxa"/>
            <w:vAlign w:val="bottom"/>
            <w:tcBorders>
              <w:bottom w:val="single" w:sz="8" w:color="00548B"/>
            </w:tcBorders>
          </w:tcPr>
          <w:p>
            <w:pPr>
              <w:spacing w:after="0"/>
              <w:rPr>
                <w:sz w:val="13"/>
                <w:szCs w:val="13"/>
                <w:color w:val="auto"/>
              </w:rPr>
            </w:pPr>
          </w:p>
        </w:tc>
        <w:tc>
          <w:tcPr>
            <w:tcW w:w="1120" w:type="dxa"/>
            <w:vAlign w:val="bottom"/>
            <w:tcBorders>
              <w:bottom w:val="single" w:sz="8" w:color="00548B"/>
            </w:tcBorders>
          </w:tcPr>
          <w:p>
            <w:pPr>
              <w:spacing w:after="0"/>
              <w:rPr>
                <w:sz w:val="13"/>
                <w:szCs w:val="13"/>
                <w:color w:val="auto"/>
              </w:rPr>
            </w:pPr>
          </w:p>
        </w:tc>
        <w:tc>
          <w:tcPr>
            <w:tcW w:w="1220" w:type="dxa"/>
            <w:vAlign w:val="bottom"/>
            <w:tcBorders>
              <w:bottom w:val="single" w:sz="8" w:color="00548B"/>
            </w:tcBorders>
          </w:tcPr>
          <w:p>
            <w:pPr>
              <w:spacing w:after="0"/>
              <w:rPr>
                <w:sz w:val="13"/>
                <w:szCs w:val="13"/>
                <w:color w:val="auto"/>
              </w:rPr>
            </w:pPr>
          </w:p>
        </w:tc>
      </w:tr>
    </w:tbl>
    <w:p>
      <w:pPr>
        <w:spacing w:after="0" w:line="218" w:lineRule="exact"/>
        <w:rPr>
          <w:sz w:val="20"/>
          <w:szCs w:val="20"/>
          <w:color w:val="auto"/>
        </w:rPr>
      </w:pPr>
    </w:p>
    <w:p>
      <w:pPr>
        <w:jc w:val="both"/>
        <w:ind w:left="660" w:right="20" w:hanging="544"/>
        <w:spacing w:after="0" w:line="253"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This column represents the aggregate grant date fair value of restricted stock and performance share unit awards. The value of the performance share units in the table is consistent with the estimate of aggregate compensation cost to be recognized over the service period determined as of the grant date under FASB ASC Topic 718.</w:t>
      </w:r>
    </w:p>
    <w:p>
      <w:pPr>
        <w:spacing w:after="0" w:line="66" w:lineRule="exact"/>
        <w:rPr>
          <w:rFonts w:ascii="Arial" w:cs="Arial" w:eastAsia="Arial" w:hAnsi="Arial"/>
          <w:sz w:val="16"/>
          <w:szCs w:val="16"/>
          <w:color w:val="auto"/>
        </w:rPr>
      </w:pPr>
    </w:p>
    <w:p>
      <w:pPr>
        <w:jc w:val="both"/>
        <w:ind w:left="660" w:hanging="544"/>
        <w:spacing w:after="0" w:line="250"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amounts in this column represent investment gains in the deferred compensation plan. Huron does not offer a pension plan. The amount shown above represents that portion of the account earnings that exceeded the SEC benchmark “market” rate equal to 120% of the long-term applicable federal rate (based on the average rate for 2019, 2018, and 2017 of 3.04%, 3.58% and 2.72%, respectively). For 2019, the actual earnings for Mr. Roth, Mr. Hussey and Ms. Ratekin were $728,639, $305,035 and $39,648, respectively. Please see the section entitled “2019 Nonqualified Deferred Compensation” below for more detail.</w:t>
      </w:r>
    </w:p>
    <w:p>
      <w:pPr>
        <w:spacing w:after="0" w:line="67" w:lineRule="exact"/>
        <w:rPr>
          <w:rFonts w:ascii="Arial" w:cs="Arial" w:eastAsia="Arial" w:hAnsi="Arial"/>
          <w:sz w:val="16"/>
          <w:szCs w:val="16"/>
          <w:color w:val="auto"/>
        </w:rPr>
      </w:pPr>
    </w:p>
    <w:p>
      <w:pPr>
        <w:ind w:left="660" w:hanging="544"/>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All Other Compensation for 2019 is detailed in the table below.</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00548B"/>
        </w:rPr>
        <w:t>2019 All Other Compensation</w:t>
      </w:r>
    </w:p>
    <w:p>
      <w:pPr>
        <w:spacing w:after="0" w:line="15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00" w:type="dxa"/>
            <w:vAlign w:val="bottom"/>
            <w:shd w:val="clear" w:color="auto" w:fill="00548B"/>
          </w:tcPr>
          <w:p>
            <w:pPr>
              <w:spacing w:after="0"/>
              <w:rPr>
                <w:sz w:val="14"/>
                <w:szCs w:val="14"/>
                <w:color w:val="auto"/>
              </w:rPr>
            </w:pPr>
          </w:p>
        </w:tc>
        <w:tc>
          <w:tcPr>
            <w:tcW w:w="2140" w:type="dxa"/>
            <w:vAlign w:val="bottom"/>
            <w:shd w:val="clear" w:color="auto" w:fill="00548B"/>
          </w:tcPr>
          <w:p>
            <w:pPr>
              <w:spacing w:after="0"/>
              <w:rPr>
                <w:sz w:val="14"/>
                <w:szCs w:val="14"/>
                <w:color w:val="auto"/>
              </w:rPr>
            </w:pPr>
          </w:p>
        </w:tc>
        <w:tc>
          <w:tcPr>
            <w:tcW w:w="1720" w:type="dxa"/>
            <w:vAlign w:val="bottom"/>
            <w:shd w:val="clear" w:color="auto" w:fill="00548B"/>
          </w:tcPr>
          <w:p>
            <w:pPr>
              <w:jc w:val="right"/>
              <w:ind w:right="228"/>
              <w:spacing w:after="0"/>
              <w:rPr>
                <w:sz w:val="20"/>
                <w:szCs w:val="20"/>
                <w:color w:val="auto"/>
              </w:rPr>
            </w:pPr>
            <w:r>
              <w:rPr>
                <w:rFonts w:ascii="Arial" w:cs="Arial" w:eastAsia="Arial" w:hAnsi="Arial"/>
                <w:sz w:val="14"/>
                <w:szCs w:val="14"/>
                <w:b w:val="1"/>
                <w:bCs w:val="1"/>
                <w:color w:val="D8D8D8"/>
              </w:rPr>
              <w:t>Executive $1MM</w:t>
            </w:r>
          </w:p>
        </w:tc>
        <w:tc>
          <w:tcPr>
            <w:tcW w:w="1920" w:type="dxa"/>
            <w:vAlign w:val="bottom"/>
            <w:shd w:val="clear" w:color="auto" w:fill="00548B"/>
          </w:tcPr>
          <w:p>
            <w:pPr>
              <w:spacing w:after="0"/>
              <w:rPr>
                <w:sz w:val="14"/>
                <w:szCs w:val="14"/>
                <w:color w:val="auto"/>
              </w:rPr>
            </w:pPr>
          </w:p>
        </w:tc>
        <w:tc>
          <w:tcPr>
            <w:tcW w:w="1680" w:type="dxa"/>
            <w:vAlign w:val="bottom"/>
            <w:shd w:val="clear" w:color="auto" w:fill="00548B"/>
          </w:tcPr>
          <w:p>
            <w:pPr>
              <w:jc w:val="center"/>
              <w:ind w:right="8"/>
              <w:spacing w:after="0"/>
              <w:rPr>
                <w:sz w:val="20"/>
                <w:szCs w:val="20"/>
                <w:color w:val="auto"/>
              </w:rPr>
            </w:pPr>
            <w:r>
              <w:rPr>
                <w:rFonts w:ascii="Arial" w:cs="Arial" w:eastAsia="Arial" w:hAnsi="Arial"/>
                <w:sz w:val="14"/>
                <w:szCs w:val="14"/>
                <w:b w:val="1"/>
                <w:bCs w:val="1"/>
                <w:color w:val="D8D8D8"/>
              </w:rPr>
              <w:t>Other Benefits</w:t>
            </w:r>
          </w:p>
        </w:tc>
        <w:tc>
          <w:tcPr>
            <w:tcW w:w="1760" w:type="dxa"/>
            <w:vAlign w:val="bottom"/>
            <w:shd w:val="clear" w:color="auto" w:fill="00548B"/>
          </w:tcPr>
          <w:p>
            <w:pPr>
              <w:jc w:val="center"/>
              <w:ind w:right="8"/>
              <w:spacing w:after="0"/>
              <w:rPr>
                <w:sz w:val="20"/>
                <w:szCs w:val="20"/>
                <w:color w:val="auto"/>
              </w:rPr>
            </w:pPr>
            <w:r>
              <w:rPr>
                <w:rFonts w:ascii="Arial" w:cs="Arial" w:eastAsia="Arial" w:hAnsi="Arial"/>
                <w:sz w:val="14"/>
                <w:szCs w:val="14"/>
                <w:b w:val="1"/>
                <w:bCs w:val="1"/>
                <w:color w:val="D8D8D8"/>
              </w:rPr>
              <w:t>Total All</w:t>
            </w:r>
          </w:p>
        </w:tc>
      </w:tr>
      <w:tr>
        <w:trPr>
          <w:trHeight w:val="162"/>
        </w:trPr>
        <w:tc>
          <w:tcPr>
            <w:tcW w:w="1800" w:type="dxa"/>
            <w:vAlign w:val="bottom"/>
            <w:shd w:val="clear" w:color="auto" w:fill="00548B"/>
          </w:tcPr>
          <w:p>
            <w:pPr>
              <w:spacing w:after="0"/>
              <w:rPr>
                <w:sz w:val="14"/>
                <w:szCs w:val="14"/>
                <w:color w:val="auto"/>
              </w:rPr>
            </w:pPr>
          </w:p>
        </w:tc>
        <w:tc>
          <w:tcPr>
            <w:tcW w:w="2140" w:type="dxa"/>
            <w:vAlign w:val="bottom"/>
            <w:shd w:val="clear" w:color="auto" w:fill="00548B"/>
          </w:tcPr>
          <w:p>
            <w:pPr>
              <w:jc w:val="right"/>
              <w:ind w:right="228"/>
              <w:spacing w:after="0"/>
              <w:rPr>
                <w:sz w:val="20"/>
                <w:szCs w:val="20"/>
                <w:color w:val="auto"/>
              </w:rPr>
            </w:pPr>
            <w:r>
              <w:rPr>
                <w:rFonts w:ascii="Arial" w:cs="Arial" w:eastAsia="Arial" w:hAnsi="Arial"/>
                <w:sz w:val="14"/>
                <w:szCs w:val="14"/>
                <w:b w:val="1"/>
                <w:bCs w:val="1"/>
                <w:color w:val="D8D8D8"/>
              </w:rPr>
              <w:t>Executive Long-</w:t>
            </w:r>
          </w:p>
        </w:tc>
        <w:tc>
          <w:tcPr>
            <w:tcW w:w="172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rPr>
              <w:t>Term Life</w:t>
            </w:r>
          </w:p>
        </w:tc>
        <w:tc>
          <w:tcPr>
            <w:tcW w:w="1920" w:type="dxa"/>
            <w:vAlign w:val="bottom"/>
            <w:shd w:val="clear" w:color="auto" w:fill="00548B"/>
          </w:tcPr>
          <w:p>
            <w:pPr>
              <w:jc w:val="right"/>
              <w:ind w:right="248"/>
              <w:spacing w:after="0"/>
              <w:rPr>
                <w:sz w:val="20"/>
                <w:szCs w:val="20"/>
                <w:color w:val="auto"/>
              </w:rPr>
            </w:pPr>
            <w:r>
              <w:rPr>
                <w:rFonts w:ascii="Arial" w:cs="Arial" w:eastAsia="Arial" w:hAnsi="Arial"/>
                <w:sz w:val="14"/>
                <w:szCs w:val="14"/>
                <w:b w:val="1"/>
                <w:bCs w:val="1"/>
                <w:color w:val="D8D8D8"/>
              </w:rPr>
              <w:t>Company Provided</w:t>
            </w:r>
          </w:p>
        </w:tc>
        <w:tc>
          <w:tcPr>
            <w:tcW w:w="1680" w:type="dxa"/>
            <w:vAlign w:val="bottom"/>
            <w:shd w:val="clear" w:color="auto" w:fill="00548B"/>
          </w:tcPr>
          <w:p>
            <w:pPr>
              <w:jc w:val="center"/>
              <w:ind w:right="8"/>
              <w:spacing w:after="0"/>
              <w:rPr>
                <w:sz w:val="20"/>
                <w:szCs w:val="20"/>
                <w:color w:val="auto"/>
              </w:rPr>
            </w:pPr>
            <w:r>
              <w:rPr>
                <w:rFonts w:ascii="Arial" w:cs="Arial" w:eastAsia="Arial" w:hAnsi="Arial"/>
                <w:sz w:val="14"/>
                <w:szCs w:val="14"/>
                <w:b w:val="1"/>
                <w:bCs w:val="1"/>
                <w:color w:val="D8D8D8"/>
                <w:w w:val="96"/>
              </w:rPr>
              <w:t>and</w:t>
            </w:r>
          </w:p>
        </w:tc>
        <w:tc>
          <w:tcPr>
            <w:tcW w:w="1760" w:type="dxa"/>
            <w:vAlign w:val="bottom"/>
            <w:shd w:val="clear" w:color="auto" w:fill="00548B"/>
          </w:tcPr>
          <w:p>
            <w:pPr>
              <w:jc w:val="center"/>
              <w:ind w:right="28"/>
              <w:spacing w:after="0"/>
              <w:rPr>
                <w:sz w:val="20"/>
                <w:szCs w:val="20"/>
                <w:color w:val="auto"/>
              </w:rPr>
            </w:pPr>
            <w:r>
              <w:rPr>
                <w:rFonts w:ascii="Arial" w:cs="Arial" w:eastAsia="Arial" w:hAnsi="Arial"/>
                <w:sz w:val="14"/>
                <w:szCs w:val="14"/>
                <w:b w:val="1"/>
                <w:bCs w:val="1"/>
                <w:color w:val="D8D8D8"/>
              </w:rPr>
              <w:t>Other</w:t>
            </w:r>
          </w:p>
        </w:tc>
      </w:tr>
      <w:tr>
        <w:trPr>
          <w:trHeight w:val="162"/>
        </w:trPr>
        <w:tc>
          <w:tcPr>
            <w:tcW w:w="1800" w:type="dxa"/>
            <w:vAlign w:val="bottom"/>
            <w:shd w:val="clear" w:color="auto" w:fill="00548B"/>
          </w:tcPr>
          <w:p>
            <w:pPr>
              <w:spacing w:after="0"/>
              <w:rPr>
                <w:sz w:val="14"/>
                <w:szCs w:val="14"/>
                <w:color w:val="auto"/>
              </w:rPr>
            </w:pPr>
          </w:p>
        </w:tc>
        <w:tc>
          <w:tcPr>
            <w:tcW w:w="2140" w:type="dxa"/>
            <w:vAlign w:val="bottom"/>
            <w:shd w:val="clear" w:color="auto" w:fill="00548B"/>
          </w:tcPr>
          <w:p>
            <w:pPr>
              <w:jc w:val="right"/>
              <w:ind w:right="268"/>
              <w:spacing w:after="0"/>
              <w:rPr>
                <w:sz w:val="20"/>
                <w:szCs w:val="20"/>
                <w:color w:val="auto"/>
              </w:rPr>
            </w:pPr>
            <w:r>
              <w:rPr>
                <w:rFonts w:ascii="Arial" w:cs="Arial" w:eastAsia="Arial" w:hAnsi="Arial"/>
                <w:sz w:val="14"/>
                <w:szCs w:val="14"/>
                <w:b w:val="1"/>
                <w:bCs w:val="1"/>
                <w:color w:val="D8D8D8"/>
              </w:rPr>
              <w:t>Term Disability</w:t>
            </w:r>
          </w:p>
        </w:tc>
        <w:tc>
          <w:tcPr>
            <w:tcW w:w="172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rPr>
              <w:t>Insurance</w:t>
            </w:r>
          </w:p>
        </w:tc>
        <w:tc>
          <w:tcPr>
            <w:tcW w:w="1920" w:type="dxa"/>
            <w:vAlign w:val="bottom"/>
            <w:shd w:val="clear" w:color="auto" w:fill="00548B"/>
          </w:tcPr>
          <w:p>
            <w:pPr>
              <w:jc w:val="right"/>
              <w:ind w:right="468"/>
              <w:spacing w:after="0"/>
              <w:rPr>
                <w:sz w:val="20"/>
                <w:szCs w:val="20"/>
                <w:color w:val="auto"/>
              </w:rPr>
            </w:pPr>
            <w:r>
              <w:rPr>
                <w:rFonts w:ascii="Arial" w:cs="Arial" w:eastAsia="Arial" w:hAnsi="Arial"/>
                <w:sz w:val="14"/>
                <w:szCs w:val="14"/>
                <w:b w:val="1"/>
                <w:bCs w:val="1"/>
                <w:color w:val="D8D8D8"/>
              </w:rPr>
              <w:t>401(k) Match</w:t>
            </w:r>
          </w:p>
        </w:tc>
        <w:tc>
          <w:tcPr>
            <w:tcW w:w="1680" w:type="dxa"/>
            <w:vAlign w:val="bottom"/>
            <w:shd w:val="clear" w:color="auto" w:fill="00548B"/>
          </w:tcPr>
          <w:p>
            <w:pPr>
              <w:jc w:val="center"/>
              <w:ind w:right="8"/>
              <w:spacing w:after="0"/>
              <w:rPr>
                <w:sz w:val="20"/>
                <w:szCs w:val="20"/>
                <w:color w:val="auto"/>
              </w:rPr>
            </w:pPr>
            <w:r>
              <w:rPr>
                <w:rFonts w:ascii="Arial" w:cs="Arial" w:eastAsia="Arial" w:hAnsi="Arial"/>
                <w:sz w:val="14"/>
                <w:szCs w:val="14"/>
                <w:b w:val="1"/>
                <w:bCs w:val="1"/>
                <w:color w:val="D8D8D8"/>
              </w:rPr>
              <w:t>Perquisites</w:t>
            </w:r>
          </w:p>
        </w:tc>
        <w:tc>
          <w:tcPr>
            <w:tcW w:w="1760" w:type="dxa"/>
            <w:vAlign w:val="bottom"/>
            <w:shd w:val="clear" w:color="auto" w:fill="00548B"/>
          </w:tcPr>
          <w:p>
            <w:pPr>
              <w:jc w:val="center"/>
              <w:ind w:right="8"/>
              <w:spacing w:after="0"/>
              <w:rPr>
                <w:sz w:val="20"/>
                <w:szCs w:val="20"/>
                <w:color w:val="auto"/>
              </w:rPr>
            </w:pPr>
            <w:r>
              <w:rPr>
                <w:rFonts w:ascii="Arial" w:cs="Arial" w:eastAsia="Arial" w:hAnsi="Arial"/>
                <w:sz w:val="14"/>
                <w:szCs w:val="14"/>
                <w:b w:val="1"/>
                <w:bCs w:val="1"/>
                <w:color w:val="D8D8D8"/>
              </w:rPr>
              <w:t>Compensation</w:t>
            </w:r>
          </w:p>
        </w:tc>
      </w:tr>
      <w:tr>
        <w:trPr>
          <w:trHeight w:val="189"/>
        </w:trPr>
        <w:tc>
          <w:tcPr>
            <w:tcW w:w="1800" w:type="dxa"/>
            <w:vAlign w:val="bottom"/>
            <w:shd w:val="clear" w:color="auto" w:fill="00548B"/>
          </w:tcPr>
          <w:p>
            <w:pPr>
              <w:spacing w:after="0"/>
              <w:rPr>
                <w:sz w:val="20"/>
                <w:szCs w:val="20"/>
                <w:color w:val="auto"/>
              </w:rPr>
            </w:pPr>
            <w:r>
              <w:rPr>
                <w:rFonts w:ascii="Arial" w:cs="Arial" w:eastAsia="Arial" w:hAnsi="Arial"/>
                <w:sz w:val="14"/>
                <w:szCs w:val="14"/>
                <w:b w:val="1"/>
                <w:bCs w:val="1"/>
                <w:color w:val="D8D8D8"/>
              </w:rPr>
              <w:t>Name</w:t>
            </w:r>
          </w:p>
        </w:tc>
        <w:tc>
          <w:tcPr>
            <w:tcW w:w="2140" w:type="dxa"/>
            <w:vAlign w:val="bottom"/>
            <w:shd w:val="clear" w:color="auto" w:fill="00548B"/>
          </w:tcPr>
          <w:p>
            <w:pPr>
              <w:jc w:val="right"/>
              <w:ind w:right="608"/>
              <w:spacing w:after="0"/>
              <w:rPr>
                <w:sz w:val="20"/>
                <w:szCs w:val="20"/>
                <w:color w:val="auto"/>
              </w:rPr>
            </w:pPr>
            <w:r>
              <w:rPr>
                <w:rFonts w:ascii="Arial" w:cs="Arial" w:eastAsia="Arial" w:hAnsi="Arial"/>
                <w:sz w:val="14"/>
                <w:szCs w:val="14"/>
                <w:b w:val="1"/>
                <w:bCs w:val="1"/>
                <w:color w:val="D8D8D8"/>
              </w:rPr>
              <w:t>($)(1)</w:t>
            </w:r>
          </w:p>
        </w:tc>
        <w:tc>
          <w:tcPr>
            <w:tcW w:w="172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rPr>
              <w:t>($)(2)</w:t>
            </w:r>
          </w:p>
        </w:tc>
        <w:tc>
          <w:tcPr>
            <w:tcW w:w="1920" w:type="dxa"/>
            <w:vAlign w:val="bottom"/>
            <w:shd w:val="clear" w:color="auto" w:fill="00548B"/>
          </w:tcPr>
          <w:p>
            <w:pPr>
              <w:jc w:val="right"/>
              <w:ind w:right="728"/>
              <w:spacing w:after="0"/>
              <w:rPr>
                <w:sz w:val="20"/>
                <w:szCs w:val="20"/>
                <w:color w:val="auto"/>
              </w:rPr>
            </w:pPr>
            <w:r>
              <w:rPr>
                <w:rFonts w:ascii="Arial" w:cs="Arial" w:eastAsia="Arial" w:hAnsi="Arial"/>
                <w:sz w:val="14"/>
                <w:szCs w:val="14"/>
                <w:b w:val="1"/>
                <w:bCs w:val="1"/>
                <w:color w:val="D8D8D8"/>
              </w:rPr>
              <w:t>($)(3)</w:t>
            </w:r>
          </w:p>
        </w:tc>
        <w:tc>
          <w:tcPr>
            <w:tcW w:w="1680" w:type="dxa"/>
            <w:vAlign w:val="bottom"/>
            <w:shd w:val="clear" w:color="auto" w:fill="00548B"/>
          </w:tcPr>
          <w:p>
            <w:pPr>
              <w:jc w:val="center"/>
              <w:ind w:right="8"/>
              <w:spacing w:after="0"/>
              <w:rPr>
                <w:sz w:val="20"/>
                <w:szCs w:val="20"/>
                <w:color w:val="auto"/>
              </w:rPr>
            </w:pPr>
            <w:r>
              <w:rPr>
                <w:rFonts w:ascii="Arial" w:cs="Arial" w:eastAsia="Arial" w:hAnsi="Arial"/>
                <w:sz w:val="14"/>
                <w:szCs w:val="14"/>
                <w:b w:val="1"/>
                <w:bCs w:val="1"/>
                <w:color w:val="D8D8D8"/>
              </w:rPr>
              <w:t>($)(4)</w:t>
            </w:r>
          </w:p>
        </w:tc>
        <w:tc>
          <w:tcPr>
            <w:tcW w:w="1760" w:type="dxa"/>
            <w:vAlign w:val="bottom"/>
            <w:shd w:val="clear" w:color="auto" w:fill="00548B"/>
          </w:tcPr>
          <w:p>
            <w:pPr>
              <w:jc w:val="center"/>
              <w:ind w:right="28"/>
              <w:spacing w:after="0"/>
              <w:rPr>
                <w:sz w:val="20"/>
                <w:szCs w:val="20"/>
                <w:color w:val="auto"/>
              </w:rPr>
            </w:pPr>
            <w:r>
              <w:rPr>
                <w:rFonts w:ascii="Arial" w:cs="Arial" w:eastAsia="Arial" w:hAnsi="Arial"/>
                <w:sz w:val="14"/>
                <w:szCs w:val="14"/>
                <w:b w:val="1"/>
                <w:bCs w:val="1"/>
                <w:color w:val="D8D8D8"/>
              </w:rPr>
              <w:t>($)</w:t>
            </w:r>
          </w:p>
        </w:tc>
      </w:tr>
      <w:tr>
        <w:trPr>
          <w:trHeight w:val="162"/>
        </w:trPr>
        <w:tc>
          <w:tcPr>
            <w:tcW w:w="1800" w:type="dxa"/>
            <w:vAlign w:val="bottom"/>
            <w:tcBorders>
              <w:bottom w:val="single" w:sz="8" w:color="999999"/>
            </w:tcBorders>
          </w:tcPr>
          <w:p>
            <w:pPr>
              <w:spacing w:after="0"/>
              <w:rPr>
                <w:sz w:val="20"/>
                <w:szCs w:val="20"/>
                <w:color w:val="auto"/>
              </w:rPr>
            </w:pPr>
            <w:r>
              <w:rPr>
                <w:rFonts w:ascii="Arial" w:cs="Arial" w:eastAsia="Arial" w:hAnsi="Arial"/>
                <w:sz w:val="14"/>
                <w:szCs w:val="14"/>
                <w:color w:val="auto"/>
              </w:rPr>
              <w:t>James H. Roth</w:t>
            </w:r>
          </w:p>
        </w:tc>
        <w:tc>
          <w:tcPr>
            <w:tcW w:w="2140" w:type="dxa"/>
            <w:vAlign w:val="bottom"/>
            <w:tcBorders>
              <w:bottom w:val="single" w:sz="8" w:color="999999"/>
            </w:tcBorders>
          </w:tcPr>
          <w:p>
            <w:pPr>
              <w:jc w:val="right"/>
              <w:ind w:right="228"/>
              <w:spacing w:after="0"/>
              <w:rPr>
                <w:sz w:val="20"/>
                <w:szCs w:val="20"/>
                <w:color w:val="auto"/>
              </w:rPr>
            </w:pPr>
            <w:r>
              <w:rPr>
                <w:rFonts w:ascii="Arial" w:cs="Arial" w:eastAsia="Arial" w:hAnsi="Arial"/>
                <w:sz w:val="14"/>
                <w:szCs w:val="14"/>
                <w:color w:val="auto"/>
              </w:rPr>
              <w:t>6,776</w:t>
            </w:r>
          </w:p>
        </w:tc>
        <w:tc>
          <w:tcPr>
            <w:tcW w:w="1720" w:type="dxa"/>
            <w:vAlign w:val="bottom"/>
            <w:tcBorders>
              <w:bottom w:val="single" w:sz="8" w:color="999999"/>
            </w:tcBorders>
          </w:tcPr>
          <w:p>
            <w:pPr>
              <w:jc w:val="right"/>
              <w:ind w:right="228"/>
              <w:spacing w:after="0"/>
              <w:rPr>
                <w:sz w:val="20"/>
                <w:szCs w:val="20"/>
                <w:color w:val="auto"/>
              </w:rPr>
            </w:pPr>
            <w:r>
              <w:rPr>
                <w:rFonts w:ascii="Arial" w:cs="Arial" w:eastAsia="Arial" w:hAnsi="Arial"/>
                <w:sz w:val="14"/>
                <w:szCs w:val="14"/>
                <w:color w:val="auto"/>
              </w:rPr>
              <w:t>4,433</w:t>
            </w:r>
          </w:p>
        </w:tc>
        <w:tc>
          <w:tcPr>
            <w:tcW w:w="1920" w:type="dxa"/>
            <w:vAlign w:val="bottom"/>
            <w:tcBorders>
              <w:bottom w:val="single" w:sz="8" w:color="999999"/>
            </w:tcBorders>
          </w:tcPr>
          <w:p>
            <w:pPr>
              <w:jc w:val="right"/>
              <w:ind w:right="228"/>
              <w:spacing w:after="0"/>
              <w:rPr>
                <w:sz w:val="20"/>
                <w:szCs w:val="20"/>
                <w:color w:val="auto"/>
              </w:rPr>
            </w:pPr>
            <w:r>
              <w:rPr>
                <w:rFonts w:ascii="Arial" w:cs="Arial" w:eastAsia="Arial" w:hAnsi="Arial"/>
                <w:sz w:val="14"/>
                <w:szCs w:val="14"/>
                <w:color w:val="auto"/>
              </w:rPr>
              <w:t>16,800</w:t>
            </w:r>
          </w:p>
        </w:tc>
        <w:tc>
          <w:tcPr>
            <w:tcW w:w="1680" w:type="dxa"/>
            <w:vAlign w:val="bottom"/>
            <w:tcBorders>
              <w:bottom w:val="single" w:sz="8" w:color="999999"/>
            </w:tcBorders>
          </w:tcPr>
          <w:p>
            <w:pPr>
              <w:jc w:val="right"/>
              <w:ind w:right="308"/>
              <w:spacing w:after="0"/>
              <w:rPr>
                <w:sz w:val="20"/>
                <w:szCs w:val="20"/>
                <w:color w:val="auto"/>
              </w:rPr>
            </w:pPr>
            <w:r>
              <w:rPr>
                <w:rFonts w:ascii="Arial" w:cs="Arial" w:eastAsia="Arial" w:hAnsi="Arial"/>
                <w:sz w:val="14"/>
                <w:szCs w:val="14"/>
                <w:color w:val="auto"/>
              </w:rPr>
              <w:t>4,945</w:t>
            </w:r>
          </w:p>
        </w:tc>
        <w:tc>
          <w:tcPr>
            <w:tcW w:w="1760" w:type="dxa"/>
            <w:vAlign w:val="bottom"/>
            <w:tcBorders>
              <w:bottom w:val="single" w:sz="8" w:color="999999"/>
            </w:tcBorders>
          </w:tcPr>
          <w:p>
            <w:pPr>
              <w:jc w:val="right"/>
              <w:ind w:right="268"/>
              <w:spacing w:after="0"/>
              <w:rPr>
                <w:sz w:val="20"/>
                <w:szCs w:val="20"/>
                <w:color w:val="auto"/>
              </w:rPr>
            </w:pPr>
            <w:r>
              <w:rPr>
                <w:rFonts w:ascii="Arial" w:cs="Arial" w:eastAsia="Arial" w:hAnsi="Arial"/>
                <w:sz w:val="14"/>
                <w:szCs w:val="14"/>
                <w:color w:val="auto"/>
              </w:rPr>
              <w:t>32,954</w:t>
            </w:r>
          </w:p>
        </w:tc>
      </w:tr>
      <w:tr>
        <w:trPr>
          <w:trHeight w:val="155"/>
        </w:trPr>
        <w:tc>
          <w:tcPr>
            <w:tcW w:w="1800" w:type="dxa"/>
            <w:vAlign w:val="bottom"/>
            <w:tcBorders>
              <w:bottom w:val="single" w:sz="8" w:color="999999"/>
            </w:tcBorders>
          </w:tcPr>
          <w:p>
            <w:pPr>
              <w:spacing w:after="0" w:line="155" w:lineRule="exact"/>
              <w:rPr>
                <w:sz w:val="20"/>
                <w:szCs w:val="20"/>
                <w:color w:val="auto"/>
              </w:rPr>
            </w:pPr>
            <w:r>
              <w:rPr>
                <w:rFonts w:ascii="Arial" w:cs="Arial" w:eastAsia="Arial" w:hAnsi="Arial"/>
                <w:sz w:val="14"/>
                <w:szCs w:val="14"/>
                <w:color w:val="auto"/>
              </w:rPr>
              <w:t>C. Mark Hussey</w:t>
            </w:r>
          </w:p>
        </w:tc>
        <w:tc>
          <w:tcPr>
            <w:tcW w:w="2140" w:type="dxa"/>
            <w:vAlign w:val="bottom"/>
            <w:tcBorders>
              <w:bottom w:val="single" w:sz="8" w:color="999999"/>
            </w:tcBorders>
          </w:tcPr>
          <w:p>
            <w:pPr>
              <w:jc w:val="right"/>
              <w:ind w:right="228"/>
              <w:spacing w:after="0" w:line="155" w:lineRule="exact"/>
              <w:rPr>
                <w:sz w:val="20"/>
                <w:szCs w:val="20"/>
                <w:color w:val="auto"/>
              </w:rPr>
            </w:pPr>
            <w:r>
              <w:rPr>
                <w:rFonts w:ascii="Arial" w:cs="Arial" w:eastAsia="Arial" w:hAnsi="Arial"/>
                <w:sz w:val="14"/>
                <w:szCs w:val="14"/>
                <w:color w:val="auto"/>
              </w:rPr>
              <w:t>7,101</w:t>
            </w:r>
          </w:p>
        </w:tc>
        <w:tc>
          <w:tcPr>
            <w:tcW w:w="1720" w:type="dxa"/>
            <w:vAlign w:val="bottom"/>
            <w:tcBorders>
              <w:bottom w:val="single" w:sz="8" w:color="999999"/>
            </w:tcBorders>
          </w:tcPr>
          <w:p>
            <w:pPr>
              <w:jc w:val="right"/>
              <w:ind w:right="228"/>
              <w:spacing w:after="0" w:line="155" w:lineRule="exact"/>
              <w:rPr>
                <w:sz w:val="20"/>
                <w:szCs w:val="20"/>
                <w:color w:val="auto"/>
              </w:rPr>
            </w:pPr>
            <w:r>
              <w:rPr>
                <w:rFonts w:ascii="Arial" w:cs="Arial" w:eastAsia="Arial" w:hAnsi="Arial"/>
                <w:sz w:val="14"/>
                <w:szCs w:val="14"/>
                <w:color w:val="auto"/>
              </w:rPr>
              <w:t>3,204</w:t>
            </w:r>
          </w:p>
        </w:tc>
        <w:tc>
          <w:tcPr>
            <w:tcW w:w="1920" w:type="dxa"/>
            <w:vAlign w:val="bottom"/>
            <w:tcBorders>
              <w:bottom w:val="single" w:sz="8" w:color="999999"/>
            </w:tcBorders>
          </w:tcPr>
          <w:p>
            <w:pPr>
              <w:jc w:val="right"/>
              <w:ind w:right="228"/>
              <w:spacing w:after="0" w:line="155" w:lineRule="exact"/>
              <w:rPr>
                <w:sz w:val="20"/>
                <w:szCs w:val="20"/>
                <w:color w:val="auto"/>
              </w:rPr>
            </w:pPr>
            <w:r>
              <w:rPr>
                <w:rFonts w:ascii="Arial" w:cs="Arial" w:eastAsia="Arial" w:hAnsi="Arial"/>
                <w:sz w:val="14"/>
                <w:szCs w:val="14"/>
                <w:color w:val="auto"/>
              </w:rPr>
              <w:t>16,800</w:t>
            </w:r>
          </w:p>
        </w:tc>
        <w:tc>
          <w:tcPr>
            <w:tcW w:w="1680" w:type="dxa"/>
            <w:vAlign w:val="bottom"/>
            <w:tcBorders>
              <w:bottom w:val="single" w:sz="8" w:color="999999"/>
            </w:tcBorders>
          </w:tcPr>
          <w:p>
            <w:pPr>
              <w:jc w:val="right"/>
              <w:ind w:right="308"/>
              <w:spacing w:after="0" w:line="155" w:lineRule="exact"/>
              <w:rPr>
                <w:sz w:val="20"/>
                <w:szCs w:val="20"/>
                <w:color w:val="auto"/>
              </w:rPr>
            </w:pPr>
            <w:r>
              <w:rPr>
                <w:rFonts w:ascii="Arial" w:cs="Arial" w:eastAsia="Arial" w:hAnsi="Arial"/>
                <w:sz w:val="14"/>
                <w:szCs w:val="14"/>
                <w:color w:val="auto"/>
              </w:rPr>
              <w:t>4,470</w:t>
            </w:r>
          </w:p>
        </w:tc>
        <w:tc>
          <w:tcPr>
            <w:tcW w:w="1760" w:type="dxa"/>
            <w:vAlign w:val="bottom"/>
            <w:tcBorders>
              <w:bottom w:val="single" w:sz="8" w:color="999999"/>
            </w:tcBorders>
          </w:tcPr>
          <w:p>
            <w:pPr>
              <w:jc w:val="right"/>
              <w:ind w:right="268"/>
              <w:spacing w:after="0" w:line="155" w:lineRule="exact"/>
              <w:rPr>
                <w:sz w:val="20"/>
                <w:szCs w:val="20"/>
                <w:color w:val="auto"/>
              </w:rPr>
            </w:pPr>
            <w:r>
              <w:rPr>
                <w:rFonts w:ascii="Arial" w:cs="Arial" w:eastAsia="Arial" w:hAnsi="Arial"/>
                <w:sz w:val="14"/>
                <w:szCs w:val="14"/>
                <w:color w:val="auto"/>
              </w:rPr>
              <w:t>31,575</w:t>
            </w:r>
          </w:p>
        </w:tc>
      </w:tr>
      <w:tr>
        <w:trPr>
          <w:trHeight w:val="155"/>
        </w:trPr>
        <w:tc>
          <w:tcPr>
            <w:tcW w:w="1800" w:type="dxa"/>
            <w:vAlign w:val="bottom"/>
            <w:tcBorders>
              <w:bottom w:val="single" w:sz="8" w:color="999999"/>
            </w:tcBorders>
          </w:tcPr>
          <w:p>
            <w:pPr>
              <w:spacing w:after="0" w:line="155" w:lineRule="exact"/>
              <w:rPr>
                <w:sz w:val="20"/>
                <w:szCs w:val="20"/>
                <w:color w:val="auto"/>
              </w:rPr>
            </w:pPr>
            <w:r>
              <w:rPr>
                <w:rFonts w:ascii="Arial" w:cs="Arial" w:eastAsia="Arial" w:hAnsi="Arial"/>
                <w:sz w:val="14"/>
                <w:szCs w:val="14"/>
                <w:color w:val="auto"/>
              </w:rPr>
              <w:t>John D. Kelly</w:t>
            </w:r>
          </w:p>
        </w:tc>
        <w:tc>
          <w:tcPr>
            <w:tcW w:w="2140" w:type="dxa"/>
            <w:vAlign w:val="bottom"/>
            <w:tcBorders>
              <w:bottom w:val="single" w:sz="8" w:color="999999"/>
            </w:tcBorders>
          </w:tcPr>
          <w:p>
            <w:pPr>
              <w:jc w:val="right"/>
              <w:ind w:right="228"/>
              <w:spacing w:after="0" w:line="155" w:lineRule="exact"/>
              <w:rPr>
                <w:sz w:val="20"/>
                <w:szCs w:val="20"/>
                <w:color w:val="auto"/>
              </w:rPr>
            </w:pPr>
            <w:r>
              <w:rPr>
                <w:rFonts w:ascii="Arial" w:cs="Arial" w:eastAsia="Arial" w:hAnsi="Arial"/>
                <w:sz w:val="14"/>
                <w:szCs w:val="14"/>
                <w:color w:val="auto"/>
              </w:rPr>
              <w:t>3,145</w:t>
            </w:r>
          </w:p>
        </w:tc>
        <w:tc>
          <w:tcPr>
            <w:tcW w:w="1720" w:type="dxa"/>
            <w:vAlign w:val="bottom"/>
            <w:tcBorders>
              <w:bottom w:val="single" w:sz="8" w:color="999999"/>
            </w:tcBorders>
          </w:tcPr>
          <w:p>
            <w:pPr>
              <w:jc w:val="right"/>
              <w:ind w:right="228"/>
              <w:spacing w:after="0" w:line="155" w:lineRule="exact"/>
              <w:rPr>
                <w:sz w:val="20"/>
                <w:szCs w:val="20"/>
                <w:color w:val="auto"/>
              </w:rPr>
            </w:pPr>
            <w:r>
              <w:rPr>
                <w:rFonts w:ascii="Arial" w:cs="Arial" w:eastAsia="Arial" w:hAnsi="Arial"/>
                <w:sz w:val="14"/>
                <w:szCs w:val="14"/>
                <w:color w:val="auto"/>
              </w:rPr>
              <w:t>1,058</w:t>
            </w:r>
          </w:p>
        </w:tc>
        <w:tc>
          <w:tcPr>
            <w:tcW w:w="1920" w:type="dxa"/>
            <w:vAlign w:val="bottom"/>
            <w:tcBorders>
              <w:bottom w:val="single" w:sz="8" w:color="999999"/>
            </w:tcBorders>
          </w:tcPr>
          <w:p>
            <w:pPr>
              <w:jc w:val="right"/>
              <w:ind w:right="228"/>
              <w:spacing w:after="0" w:line="155" w:lineRule="exact"/>
              <w:rPr>
                <w:sz w:val="20"/>
                <w:szCs w:val="20"/>
                <w:color w:val="auto"/>
              </w:rPr>
            </w:pPr>
            <w:r>
              <w:rPr>
                <w:rFonts w:ascii="Arial" w:cs="Arial" w:eastAsia="Arial" w:hAnsi="Arial"/>
                <w:sz w:val="14"/>
                <w:szCs w:val="14"/>
                <w:color w:val="auto"/>
              </w:rPr>
              <w:t>16,800</w:t>
            </w:r>
          </w:p>
        </w:tc>
        <w:tc>
          <w:tcPr>
            <w:tcW w:w="1680" w:type="dxa"/>
            <w:vAlign w:val="bottom"/>
            <w:tcBorders>
              <w:bottom w:val="single" w:sz="8" w:color="999999"/>
            </w:tcBorders>
          </w:tcPr>
          <w:p>
            <w:pPr>
              <w:jc w:val="right"/>
              <w:ind w:right="308"/>
              <w:spacing w:after="0" w:line="155" w:lineRule="exact"/>
              <w:rPr>
                <w:sz w:val="20"/>
                <w:szCs w:val="20"/>
                <w:color w:val="auto"/>
              </w:rPr>
            </w:pPr>
            <w:r>
              <w:rPr>
                <w:rFonts w:ascii="Arial" w:cs="Arial" w:eastAsia="Arial" w:hAnsi="Arial"/>
                <w:sz w:val="14"/>
                <w:szCs w:val="14"/>
                <w:color w:val="auto"/>
              </w:rPr>
              <w:t>4,470</w:t>
            </w:r>
          </w:p>
        </w:tc>
        <w:tc>
          <w:tcPr>
            <w:tcW w:w="1760" w:type="dxa"/>
            <w:vAlign w:val="bottom"/>
            <w:tcBorders>
              <w:bottom w:val="single" w:sz="8" w:color="999999"/>
            </w:tcBorders>
          </w:tcPr>
          <w:p>
            <w:pPr>
              <w:jc w:val="right"/>
              <w:ind w:right="268"/>
              <w:spacing w:after="0" w:line="155" w:lineRule="exact"/>
              <w:rPr>
                <w:sz w:val="20"/>
                <w:szCs w:val="20"/>
                <w:color w:val="auto"/>
              </w:rPr>
            </w:pPr>
            <w:r>
              <w:rPr>
                <w:rFonts w:ascii="Arial" w:cs="Arial" w:eastAsia="Arial" w:hAnsi="Arial"/>
                <w:sz w:val="14"/>
                <w:szCs w:val="14"/>
                <w:color w:val="auto"/>
              </w:rPr>
              <w:t>25,473</w:t>
            </w:r>
          </w:p>
        </w:tc>
      </w:tr>
      <w:tr>
        <w:trPr>
          <w:trHeight w:val="155"/>
        </w:trPr>
        <w:tc>
          <w:tcPr>
            <w:tcW w:w="1800" w:type="dxa"/>
            <w:vAlign w:val="bottom"/>
            <w:tcBorders>
              <w:bottom w:val="single" w:sz="8" w:color="00548B"/>
            </w:tcBorders>
          </w:tcPr>
          <w:p>
            <w:pPr>
              <w:spacing w:after="0" w:line="155" w:lineRule="exact"/>
              <w:rPr>
                <w:sz w:val="20"/>
                <w:szCs w:val="20"/>
                <w:color w:val="auto"/>
              </w:rPr>
            </w:pPr>
            <w:r>
              <w:rPr>
                <w:rFonts w:ascii="Arial" w:cs="Arial" w:eastAsia="Arial" w:hAnsi="Arial"/>
                <w:sz w:val="14"/>
                <w:szCs w:val="14"/>
                <w:color w:val="auto"/>
              </w:rPr>
              <w:t>Diane E. Ratekin</w:t>
            </w:r>
          </w:p>
        </w:tc>
        <w:tc>
          <w:tcPr>
            <w:tcW w:w="2140" w:type="dxa"/>
            <w:vAlign w:val="bottom"/>
            <w:tcBorders>
              <w:bottom w:val="single" w:sz="8" w:color="00548B"/>
            </w:tcBorders>
          </w:tcPr>
          <w:p>
            <w:pPr>
              <w:jc w:val="right"/>
              <w:ind w:right="228"/>
              <w:spacing w:after="0" w:line="155" w:lineRule="exact"/>
              <w:rPr>
                <w:sz w:val="20"/>
                <w:szCs w:val="20"/>
                <w:color w:val="auto"/>
              </w:rPr>
            </w:pPr>
            <w:r>
              <w:rPr>
                <w:rFonts w:ascii="Arial" w:cs="Arial" w:eastAsia="Arial" w:hAnsi="Arial"/>
                <w:sz w:val="14"/>
                <w:szCs w:val="14"/>
                <w:color w:val="auto"/>
              </w:rPr>
              <w:t>7,952</w:t>
            </w:r>
          </w:p>
        </w:tc>
        <w:tc>
          <w:tcPr>
            <w:tcW w:w="1720" w:type="dxa"/>
            <w:vAlign w:val="bottom"/>
            <w:tcBorders>
              <w:bottom w:val="single" w:sz="8" w:color="00548B"/>
            </w:tcBorders>
          </w:tcPr>
          <w:p>
            <w:pPr>
              <w:jc w:val="right"/>
              <w:ind w:right="228"/>
              <w:spacing w:after="0" w:line="155" w:lineRule="exact"/>
              <w:rPr>
                <w:sz w:val="20"/>
                <w:szCs w:val="20"/>
                <w:color w:val="auto"/>
              </w:rPr>
            </w:pPr>
            <w:r>
              <w:rPr>
                <w:rFonts w:ascii="Arial" w:cs="Arial" w:eastAsia="Arial" w:hAnsi="Arial"/>
                <w:sz w:val="14"/>
                <w:szCs w:val="14"/>
                <w:color w:val="auto"/>
              </w:rPr>
              <w:t>7,488</w:t>
            </w:r>
          </w:p>
        </w:tc>
        <w:tc>
          <w:tcPr>
            <w:tcW w:w="1920" w:type="dxa"/>
            <w:vAlign w:val="bottom"/>
            <w:tcBorders>
              <w:bottom w:val="single" w:sz="8" w:color="00548B"/>
            </w:tcBorders>
          </w:tcPr>
          <w:p>
            <w:pPr>
              <w:jc w:val="right"/>
              <w:ind w:right="228"/>
              <w:spacing w:after="0" w:line="155" w:lineRule="exact"/>
              <w:rPr>
                <w:sz w:val="20"/>
                <w:szCs w:val="20"/>
                <w:color w:val="auto"/>
              </w:rPr>
            </w:pPr>
            <w:r>
              <w:rPr>
                <w:rFonts w:ascii="Arial" w:cs="Arial" w:eastAsia="Arial" w:hAnsi="Arial"/>
                <w:sz w:val="14"/>
                <w:szCs w:val="14"/>
                <w:color w:val="auto"/>
              </w:rPr>
              <w:t>16,800</w:t>
            </w:r>
          </w:p>
        </w:tc>
        <w:tc>
          <w:tcPr>
            <w:tcW w:w="1680" w:type="dxa"/>
            <w:vAlign w:val="bottom"/>
            <w:tcBorders>
              <w:bottom w:val="single" w:sz="8" w:color="00548B"/>
            </w:tcBorders>
          </w:tcPr>
          <w:p>
            <w:pPr>
              <w:jc w:val="right"/>
              <w:ind w:right="248"/>
              <w:spacing w:after="0" w:line="155" w:lineRule="exact"/>
              <w:rPr>
                <w:sz w:val="20"/>
                <w:szCs w:val="20"/>
                <w:color w:val="auto"/>
              </w:rPr>
            </w:pPr>
            <w:r>
              <w:rPr>
                <w:rFonts w:ascii="Arial" w:cs="Arial" w:eastAsia="Arial" w:hAnsi="Arial"/>
                <w:sz w:val="14"/>
                <w:szCs w:val="14"/>
                <w:color w:val="auto"/>
              </w:rPr>
              <w:t>25,279*</w:t>
            </w:r>
          </w:p>
        </w:tc>
        <w:tc>
          <w:tcPr>
            <w:tcW w:w="1760" w:type="dxa"/>
            <w:vAlign w:val="bottom"/>
            <w:tcBorders>
              <w:bottom w:val="single" w:sz="8" w:color="00548B"/>
            </w:tcBorders>
          </w:tcPr>
          <w:p>
            <w:pPr>
              <w:jc w:val="right"/>
              <w:ind w:right="268"/>
              <w:spacing w:after="0" w:line="155" w:lineRule="exact"/>
              <w:rPr>
                <w:sz w:val="20"/>
                <w:szCs w:val="20"/>
                <w:color w:val="auto"/>
              </w:rPr>
            </w:pPr>
            <w:r>
              <w:rPr>
                <w:rFonts w:ascii="Arial" w:cs="Arial" w:eastAsia="Arial" w:hAnsi="Arial"/>
                <w:sz w:val="14"/>
                <w:szCs w:val="14"/>
                <w:color w:val="auto"/>
              </w:rPr>
              <w:t>57,519</w:t>
            </w:r>
          </w:p>
        </w:tc>
      </w:tr>
    </w:tbl>
    <w:p>
      <w:pPr>
        <w:spacing w:after="0" w:line="218" w:lineRule="exact"/>
        <w:rPr>
          <w:sz w:val="20"/>
          <w:szCs w:val="20"/>
          <w:color w:val="auto"/>
        </w:rPr>
      </w:pPr>
    </w:p>
    <w:p>
      <w:pPr>
        <w:ind w:left="660" w:hanging="544"/>
        <w:spacing w:after="0"/>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aggregate amount is related to legal fees paid by Huron in connection with her retirement transition agreement and an executive physical.</w:t>
      </w:r>
    </w:p>
    <w:p>
      <w:pPr>
        <w:spacing w:after="0" w:line="86" w:lineRule="exact"/>
        <w:rPr>
          <w:sz w:val="20"/>
          <w:szCs w:val="20"/>
          <w:color w:val="auto"/>
        </w:rPr>
      </w:pPr>
    </w:p>
    <w:p>
      <w:pPr>
        <w:ind w:left="660" w:hanging="544"/>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Executive Long-Term Disability is provided to all executives and managing directors.</w:t>
      </w:r>
    </w:p>
    <w:p>
      <w:pPr>
        <w:spacing w:after="0" w:line="86" w:lineRule="exact"/>
        <w:rPr>
          <w:rFonts w:ascii="Arial" w:cs="Arial" w:eastAsia="Arial" w:hAnsi="Arial"/>
          <w:sz w:val="16"/>
          <w:szCs w:val="16"/>
          <w:color w:val="auto"/>
        </w:rPr>
      </w:pPr>
    </w:p>
    <w:p>
      <w:pPr>
        <w:ind w:left="660" w:hanging="544"/>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Executive Term Life Insurance is provided to all executives and managing directors.</w:t>
      </w:r>
    </w:p>
    <w:p>
      <w:pPr>
        <w:spacing w:after="0" w:line="86" w:lineRule="exact"/>
        <w:rPr>
          <w:rFonts w:ascii="Arial" w:cs="Arial" w:eastAsia="Arial" w:hAnsi="Arial"/>
          <w:sz w:val="16"/>
          <w:szCs w:val="16"/>
          <w:color w:val="auto"/>
        </w:rPr>
      </w:pPr>
    </w:p>
    <w:p>
      <w:pPr>
        <w:ind w:left="660" w:hanging="544"/>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Huron provides a Company 401(k) match to all participating employees.</w:t>
      </w:r>
    </w:p>
    <w:p>
      <w:pPr>
        <w:spacing w:after="0" w:line="86" w:lineRule="exact"/>
        <w:rPr>
          <w:rFonts w:ascii="Arial" w:cs="Arial" w:eastAsia="Arial" w:hAnsi="Arial"/>
          <w:sz w:val="16"/>
          <w:szCs w:val="16"/>
          <w:color w:val="auto"/>
        </w:rPr>
      </w:pPr>
    </w:p>
    <w:p>
      <w:pPr>
        <w:ind w:left="660" w:right="20" w:hanging="544"/>
        <w:spacing w:after="0" w:line="260"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Other Benefits and Perquisites include the cost of any legal fees and executive physicals, which Huron pays for executives and certain managing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71120</wp:posOffset>
            </wp:positionV>
            <wp:extent cx="11226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137" w:lineRule="exact"/>
        <w:rPr>
          <w:sz w:val="20"/>
          <w:szCs w:val="20"/>
          <w:color w:val="auto"/>
        </w:rPr>
      </w:pPr>
    </w:p>
    <w:p>
      <w:pPr>
        <w:ind w:left="340" w:hanging="224"/>
        <w:spacing w:after="0"/>
        <w:tabs>
          <w:tab w:leader="none" w:pos="340" w:val="left"/>
        </w:tabs>
        <w:numPr>
          <w:ilvl w:val="0"/>
          <w:numId w:val="40"/>
        </w:numPr>
        <w:rPr>
          <w:rFonts w:ascii="Arial" w:cs="Arial" w:eastAsia="Arial" w:hAnsi="Arial"/>
          <w:sz w:val="12"/>
          <w:szCs w:val="12"/>
          <w:i w:val="1"/>
          <w:iCs w:val="1"/>
          <w:color w:val="auto"/>
        </w:rPr>
      </w:pPr>
      <w:r>
        <w:rPr>
          <w:rFonts w:ascii="Arial" w:cs="Arial" w:eastAsia="Arial" w:hAnsi="Arial"/>
          <w:sz w:val="12"/>
          <w:szCs w:val="12"/>
          <w:i w:val="1"/>
          <w:iCs w:val="1"/>
          <w:color w:val="auto"/>
        </w:rPr>
        <w:t>Mr. Roth also served as President until February 2019.</w:t>
      </w:r>
    </w:p>
    <w:p>
      <w:pPr>
        <w:spacing w:after="0" w:line="9" w:lineRule="exact"/>
        <w:rPr>
          <w:rFonts w:ascii="Arial" w:cs="Arial" w:eastAsia="Arial" w:hAnsi="Arial"/>
          <w:sz w:val="12"/>
          <w:szCs w:val="12"/>
          <w:i w:val="1"/>
          <w:iCs w:val="1"/>
          <w:color w:val="auto"/>
        </w:rPr>
      </w:pPr>
    </w:p>
    <w:p>
      <w:pPr>
        <w:ind w:left="120"/>
        <w:spacing w:after="0" w:line="234" w:lineRule="auto"/>
        <w:rPr>
          <w:rFonts w:ascii="Arial" w:cs="Arial" w:eastAsia="Arial" w:hAnsi="Arial"/>
          <w:sz w:val="12"/>
          <w:szCs w:val="12"/>
          <w:i w:val="1"/>
          <w:iCs w:val="1"/>
          <w:color w:val="auto"/>
        </w:rPr>
      </w:pPr>
      <w:r>
        <w:rPr>
          <w:rFonts w:ascii="Arial" w:cs="Arial" w:eastAsia="Arial" w:hAnsi="Arial"/>
          <w:sz w:val="12"/>
          <w:szCs w:val="12"/>
          <w:i w:val="1"/>
          <w:iCs w:val="1"/>
          <w:color w:val="auto"/>
        </w:rPr>
        <w:t>8   Mr. Hussey became President in February 2019.</w:t>
      </w:r>
    </w:p>
    <w:p>
      <w:pPr>
        <w:ind w:left="120"/>
        <w:spacing w:after="0"/>
        <w:rPr>
          <w:rFonts w:ascii="Arial" w:cs="Arial" w:eastAsia="Arial" w:hAnsi="Arial"/>
          <w:sz w:val="12"/>
          <w:szCs w:val="12"/>
          <w:i w:val="1"/>
          <w:iCs w:val="1"/>
          <w:color w:val="auto"/>
        </w:rPr>
      </w:pPr>
      <w:r>
        <w:rPr>
          <w:rFonts w:ascii="Arial" w:cs="Arial" w:eastAsia="Arial" w:hAnsi="Arial"/>
          <w:sz w:val="12"/>
          <w:szCs w:val="12"/>
          <w:i w:val="1"/>
          <w:iCs w:val="1"/>
          <w:color w:val="auto"/>
        </w:rPr>
        <w:t>9   Mr. Kelly was appointed Executive Vice President and Chief Financial Officer effective January 2017.</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00548B"/>
        </w:rPr>
        <w:t>35</w:t>
      </w:r>
    </w:p>
    <w:p>
      <w:pPr>
        <w:sectPr>
          <w:pgSz w:w="11900" w:h="16838" w:orient="portrait"/>
          <w:cols w:equalWidth="0" w:num="1">
            <w:col w:w="11140"/>
          </w:cols>
          <w:pgMar w:left="32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00548B"/>
        </w:rPr>
        <w:t>CEO Pay Ratio</w:t>
      </w:r>
    </w:p>
    <w:p>
      <w:pPr>
        <w:spacing w:after="0" w:line="25" w:lineRule="exact"/>
        <w:rPr>
          <w:sz w:val="20"/>
          <w:szCs w:val="20"/>
          <w:color w:val="auto"/>
        </w:rPr>
      </w:pPr>
    </w:p>
    <w:p>
      <w:pPr>
        <w:jc w:val="both"/>
        <w:ind w:left="120" w:right="20"/>
        <w:spacing w:after="0" w:line="250" w:lineRule="auto"/>
        <w:rPr>
          <w:sz w:val="20"/>
          <w:szCs w:val="20"/>
          <w:color w:val="auto"/>
        </w:rPr>
      </w:pPr>
      <w:r>
        <w:rPr>
          <w:rFonts w:ascii="Arial" w:cs="Arial" w:eastAsia="Arial" w:hAnsi="Arial"/>
          <w:sz w:val="16"/>
          <w:szCs w:val="16"/>
          <w:color w:val="auto"/>
        </w:rPr>
        <w:t>As required by Section 953(b) of the Dodd-Frank Wall Street Reform and Consumer Protection Act, the Company is providing the following disclosure about the relationship of the annual total compensation of our median-paid employee to the annual total compensation of Mr. Roth, our CEO. We believe that the pay ratio disclosed below is a reasonable estimate calculated in a manner consistent with Item 402(u) of Regulation S-K. SEC rules for identifying the median employee and calculating the pay ratio allow companies to apply various methodologies and apply various assumptions and, as a result, the pay ratio reported by us may not be comparable to the pay ratio reported by other companies.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For 2019</w:t>
      </w:r>
    </w:p>
    <w:p>
      <w:pPr>
        <w:spacing w:after="0" w:line="127" w:lineRule="exact"/>
        <w:rPr>
          <w:sz w:val="20"/>
          <w:szCs w:val="20"/>
          <w:color w:val="auto"/>
        </w:rPr>
      </w:pPr>
    </w:p>
    <w:p>
      <w:pPr>
        <w:ind w:left="980" w:hanging="432"/>
        <w:spacing w:after="0"/>
        <w:tabs>
          <w:tab w:leader="none" w:pos="980" w:val="left"/>
        </w:tabs>
        <w:numPr>
          <w:ilvl w:val="0"/>
          <w:numId w:val="41"/>
        </w:numPr>
        <w:rPr>
          <w:rFonts w:ascii="Arial" w:cs="Arial" w:eastAsia="Arial" w:hAnsi="Arial"/>
          <w:sz w:val="16"/>
          <w:szCs w:val="16"/>
          <w:color w:val="00548B"/>
        </w:rPr>
      </w:pPr>
      <w:r>
        <w:rPr>
          <w:rFonts w:ascii="Arial" w:cs="Arial" w:eastAsia="Arial" w:hAnsi="Arial"/>
          <w:sz w:val="16"/>
          <w:szCs w:val="16"/>
          <w:color w:val="auto"/>
        </w:rPr>
        <w:t>The annual total compensation of our median employee, was $122,105.</w:t>
      </w:r>
    </w:p>
    <w:p>
      <w:pPr>
        <w:spacing w:after="0" w:line="5" w:lineRule="exact"/>
        <w:rPr>
          <w:rFonts w:ascii="Arial" w:cs="Arial" w:eastAsia="Arial" w:hAnsi="Arial"/>
          <w:sz w:val="16"/>
          <w:szCs w:val="16"/>
          <w:color w:val="00548B"/>
        </w:rPr>
      </w:pPr>
    </w:p>
    <w:p>
      <w:pPr>
        <w:ind w:left="980" w:hanging="432"/>
        <w:spacing w:after="0"/>
        <w:tabs>
          <w:tab w:leader="none" w:pos="980" w:val="left"/>
        </w:tabs>
        <w:numPr>
          <w:ilvl w:val="0"/>
          <w:numId w:val="41"/>
        </w:numPr>
        <w:rPr>
          <w:rFonts w:ascii="Arial" w:cs="Arial" w:eastAsia="Arial" w:hAnsi="Arial"/>
          <w:sz w:val="16"/>
          <w:szCs w:val="16"/>
          <w:color w:val="00548B"/>
        </w:rPr>
      </w:pPr>
      <w:r>
        <w:rPr>
          <w:rFonts w:ascii="Arial" w:cs="Arial" w:eastAsia="Arial" w:hAnsi="Arial"/>
          <w:sz w:val="16"/>
          <w:szCs w:val="16"/>
          <w:color w:val="auto"/>
        </w:rPr>
        <w:t>Mr. Roth’s annual total compensation, as reflected in the Summary Compensation Table included in this Proxy Statement, was $4,842,081.</w:t>
      </w:r>
    </w:p>
    <w:p>
      <w:pPr>
        <w:spacing w:after="0" w:line="5" w:lineRule="exact"/>
        <w:rPr>
          <w:rFonts w:ascii="Arial" w:cs="Arial" w:eastAsia="Arial" w:hAnsi="Arial"/>
          <w:sz w:val="16"/>
          <w:szCs w:val="16"/>
          <w:color w:val="00548B"/>
        </w:rPr>
      </w:pPr>
    </w:p>
    <w:p>
      <w:pPr>
        <w:ind w:left="980" w:right="20" w:hanging="432"/>
        <w:spacing w:after="0" w:line="260" w:lineRule="auto"/>
        <w:tabs>
          <w:tab w:leader="none" w:pos="980" w:val="left"/>
        </w:tabs>
        <w:numPr>
          <w:ilvl w:val="0"/>
          <w:numId w:val="41"/>
        </w:numPr>
        <w:rPr>
          <w:rFonts w:ascii="Arial" w:cs="Arial" w:eastAsia="Arial" w:hAnsi="Arial"/>
          <w:sz w:val="16"/>
          <w:szCs w:val="16"/>
          <w:color w:val="00548B"/>
        </w:rPr>
      </w:pPr>
      <w:r>
        <w:rPr>
          <w:rFonts w:ascii="Arial" w:cs="Arial" w:eastAsia="Arial" w:hAnsi="Arial"/>
          <w:sz w:val="16"/>
          <w:szCs w:val="16"/>
          <w:color w:val="auto"/>
        </w:rPr>
        <w:t>Based on this information, the ratio of the annual total compensation of Mr. Roth to the annual total compensation of our median employee is estimated to be 39.7 to 1.</w:t>
      </w:r>
    </w:p>
    <w:p>
      <w:pPr>
        <w:spacing w:after="0" w:line="155" w:lineRule="exact"/>
        <w:rPr>
          <w:sz w:val="20"/>
          <w:szCs w:val="20"/>
          <w:color w:val="auto"/>
        </w:rPr>
      </w:pPr>
    </w:p>
    <w:p>
      <w:pPr>
        <w:jc w:val="both"/>
        <w:ind w:left="120"/>
        <w:spacing w:after="0" w:line="251" w:lineRule="auto"/>
        <w:rPr>
          <w:sz w:val="20"/>
          <w:szCs w:val="20"/>
          <w:color w:val="auto"/>
        </w:rPr>
      </w:pPr>
      <w:r>
        <w:rPr>
          <w:rFonts w:ascii="Arial" w:cs="Arial" w:eastAsia="Arial" w:hAnsi="Arial"/>
          <w:sz w:val="16"/>
          <w:szCs w:val="16"/>
          <w:color w:val="auto"/>
        </w:rPr>
        <w:t>We identified the median employee by examining the 2019 total compensation for all individuals using the same methodology we use for our NEOs as set forth in the 2019 Summary Compensation Table, excluding our CEO, who were employed by us on December 31, 2019. We included all employees, whether employed on a full-time or part-time basis. We annualized the base compensation and bonus for all employees that were not employed by us for all of 2019 unless they were designated as temporary or seasonal positions.</w:t>
      </w:r>
    </w:p>
    <w:p>
      <w:pPr>
        <w:spacing w:after="0" w:line="162" w:lineRule="exact"/>
        <w:rPr>
          <w:sz w:val="20"/>
          <w:szCs w:val="20"/>
          <w:color w:val="auto"/>
        </w:rPr>
      </w:pPr>
    </w:p>
    <w:p>
      <w:pPr>
        <w:jc w:val="both"/>
        <w:ind w:left="120" w:right="20"/>
        <w:spacing w:after="0" w:line="251" w:lineRule="auto"/>
        <w:rPr>
          <w:sz w:val="20"/>
          <w:szCs w:val="20"/>
          <w:color w:val="auto"/>
        </w:rPr>
      </w:pPr>
      <w:r>
        <w:rPr>
          <w:rFonts w:ascii="Arial" w:cs="Arial" w:eastAsia="Arial" w:hAnsi="Arial"/>
          <w:sz w:val="16"/>
          <w:szCs w:val="16"/>
          <w:color w:val="auto"/>
        </w:rPr>
        <w:t>In addition, in order to identify our median employee, we (i) utilized the exemption permitted under Item 402(u) of Regulation S-K to exclude a total of 140 employees from Canada, the United Kingdom, Singapore, and Switzerland (which, in the aggregate, comprised less than 5% of our total employee population as of December 31, 2019), resulting in a net employee population of 3,811 and (ii) adjusted non-U.S. employee pay applying foreign currency exchange rates as of December 31, 2019.</w:t>
      </w:r>
    </w:p>
    <w:p>
      <w:pPr>
        <w:spacing w:after="0" w:line="175" w:lineRule="exact"/>
        <w:rPr>
          <w:sz w:val="20"/>
          <w:szCs w:val="20"/>
          <w:color w:val="auto"/>
        </w:rPr>
      </w:pPr>
    </w:p>
    <w:p>
      <w:pPr>
        <w:jc w:val="both"/>
        <w:ind w:left="120"/>
        <w:spacing w:after="0" w:line="253" w:lineRule="auto"/>
        <w:rPr>
          <w:sz w:val="20"/>
          <w:szCs w:val="20"/>
          <w:color w:val="auto"/>
        </w:rPr>
      </w:pPr>
      <w:r>
        <w:rPr>
          <w:rFonts w:ascii="Arial" w:cs="Arial" w:eastAsia="Arial" w:hAnsi="Arial"/>
          <w:sz w:val="16"/>
          <w:szCs w:val="16"/>
          <w:color w:val="auto"/>
        </w:rPr>
        <w:t>We identified our median employee for the 2018 Proxy Statement by calculating total compensation inclusive of one-time, special and retention awards. For the 2019 Proxy Statement, we again included all forms of compensation, including one-time, special and retention awards to identify our median employee. This resulted in identifying a median employee with compensation substantially similar to that of our median employee in the prior year.</w:t>
      </w:r>
    </w:p>
    <w:p>
      <w:pPr>
        <w:spacing w:after="0" w:line="161" w:lineRule="exact"/>
        <w:rPr>
          <w:sz w:val="20"/>
          <w:szCs w:val="20"/>
          <w:color w:val="auto"/>
        </w:rPr>
      </w:pPr>
    </w:p>
    <w:p>
      <w:pPr>
        <w:jc w:val="both"/>
        <w:ind w:left="120" w:right="20"/>
        <w:spacing w:after="0" w:line="260" w:lineRule="auto"/>
        <w:rPr>
          <w:sz w:val="20"/>
          <w:szCs w:val="20"/>
          <w:color w:val="auto"/>
        </w:rPr>
      </w:pPr>
      <w:r>
        <w:rPr>
          <w:rFonts w:ascii="Arial" w:cs="Arial" w:eastAsia="Arial" w:hAnsi="Arial"/>
          <w:sz w:val="16"/>
          <w:szCs w:val="16"/>
          <w:color w:val="auto"/>
        </w:rPr>
        <w:t>After identifying the median employee, we calculated annual total compensation for that employee using the same methodology we use for our NEOs as set forth in the 2019 Summary Compensation Table.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00548B"/>
        </w:rPr>
        <w:t>36</w:t>
      </w:r>
    </w:p>
    <w:p>
      <w:pPr>
        <w:sectPr>
          <w:pgSz w:w="11900" w:h="16838" w:orient="portrait"/>
          <w:cols w:equalWidth="0" w:num="1">
            <w:col w:w="11140"/>
          </w:cols>
          <w:pgMar w:left="32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48B"/>
        </w:rPr>
        <w:t>2019 G</w:t>
      </w:r>
      <w:r>
        <w:rPr>
          <w:rFonts w:ascii="Arial" w:cs="Arial" w:eastAsia="Arial" w:hAnsi="Arial"/>
          <w:sz w:val="14"/>
          <w:szCs w:val="14"/>
          <w:b w:val="1"/>
          <w:bCs w:val="1"/>
          <w:color w:val="00548B"/>
        </w:rPr>
        <w:t>RANTS OF</w:t>
      </w:r>
      <w:r>
        <w:rPr>
          <w:rFonts w:ascii="Arial" w:cs="Arial" w:eastAsia="Arial" w:hAnsi="Arial"/>
          <w:sz w:val="18"/>
          <w:szCs w:val="18"/>
          <w:b w:val="1"/>
          <w:bCs w:val="1"/>
          <w:color w:val="00548B"/>
        </w:rPr>
        <w:t xml:space="preserve"> P</w:t>
      </w:r>
      <w:r>
        <w:rPr>
          <w:rFonts w:ascii="Arial" w:cs="Arial" w:eastAsia="Arial" w:hAnsi="Arial"/>
          <w:sz w:val="14"/>
          <w:szCs w:val="14"/>
          <w:b w:val="1"/>
          <w:bCs w:val="1"/>
          <w:color w:val="00548B"/>
        </w:rPr>
        <w:t>LAN</w:t>
      </w:r>
      <w:r>
        <w:rPr>
          <w:rFonts w:ascii="Arial" w:cs="Arial" w:eastAsia="Arial" w:hAnsi="Arial"/>
          <w:sz w:val="18"/>
          <w:szCs w:val="18"/>
          <w:b w:val="1"/>
          <w:bCs w:val="1"/>
          <w:color w:val="00548B"/>
        </w:rPr>
        <w:t>-B</w:t>
      </w:r>
      <w:r>
        <w:rPr>
          <w:rFonts w:ascii="Arial" w:cs="Arial" w:eastAsia="Arial" w:hAnsi="Arial"/>
          <w:sz w:val="14"/>
          <w:szCs w:val="14"/>
          <w:b w:val="1"/>
          <w:bCs w:val="1"/>
          <w:color w:val="00548B"/>
        </w:rPr>
        <w:t>ASED</w:t>
      </w:r>
      <w:r>
        <w:rPr>
          <w:rFonts w:ascii="Arial" w:cs="Arial" w:eastAsia="Arial" w:hAnsi="Arial"/>
          <w:sz w:val="18"/>
          <w:szCs w:val="18"/>
          <w:b w:val="1"/>
          <w:bCs w:val="1"/>
          <w:color w:val="00548B"/>
        </w:rPr>
        <w:t xml:space="preserve"> A</w:t>
      </w:r>
      <w:r>
        <w:rPr>
          <w:rFonts w:ascii="Arial" w:cs="Arial" w:eastAsia="Arial" w:hAnsi="Arial"/>
          <w:sz w:val="14"/>
          <w:szCs w:val="14"/>
          <w:b w:val="1"/>
          <w:bCs w:val="1"/>
          <w:color w:val="00548B"/>
        </w:rPr>
        <w:t>WARDS</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summarizes the grants of equity awards and annual cash incentive awards for 2019 to each named executive officer.</w:t>
      </w:r>
    </w:p>
    <w:p>
      <w:pPr>
        <w:spacing w:after="0" w:line="183"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2920" w:type="dxa"/>
            <w:vAlign w:val="bottom"/>
            <w:shd w:val="clear" w:color="auto" w:fill="00548B"/>
          </w:tcPr>
          <w:p>
            <w:pPr>
              <w:spacing w:after="0"/>
              <w:rPr>
                <w:sz w:val="13"/>
                <w:szCs w:val="13"/>
                <w:color w:val="auto"/>
              </w:rPr>
            </w:pPr>
          </w:p>
        </w:tc>
        <w:tc>
          <w:tcPr>
            <w:tcW w:w="720" w:type="dxa"/>
            <w:vAlign w:val="bottom"/>
            <w:shd w:val="clear" w:color="auto" w:fill="00548B"/>
          </w:tcPr>
          <w:p>
            <w:pPr>
              <w:spacing w:after="0"/>
              <w:rPr>
                <w:sz w:val="13"/>
                <w:szCs w:val="13"/>
                <w:color w:val="auto"/>
              </w:rPr>
            </w:pPr>
          </w:p>
        </w:tc>
        <w:tc>
          <w:tcPr>
            <w:tcW w:w="1060" w:type="dxa"/>
            <w:vAlign w:val="bottom"/>
            <w:shd w:val="clear" w:color="auto" w:fill="00548B"/>
          </w:tcPr>
          <w:p>
            <w:pPr>
              <w:spacing w:after="0"/>
              <w:rPr>
                <w:sz w:val="13"/>
                <w:szCs w:val="13"/>
                <w:color w:val="auto"/>
              </w:rPr>
            </w:pPr>
          </w:p>
        </w:tc>
        <w:tc>
          <w:tcPr>
            <w:tcW w:w="2540" w:type="dxa"/>
            <w:vAlign w:val="bottom"/>
            <w:gridSpan w:val="3"/>
            <w:shd w:val="clear" w:color="auto" w:fill="00548B"/>
          </w:tcPr>
          <w:p>
            <w:pPr>
              <w:jc w:val="center"/>
              <w:ind w:right="229"/>
              <w:spacing w:after="0"/>
              <w:rPr>
                <w:sz w:val="20"/>
                <w:szCs w:val="20"/>
                <w:color w:val="auto"/>
              </w:rPr>
            </w:pPr>
            <w:r>
              <w:rPr>
                <w:rFonts w:ascii="Arial" w:cs="Arial" w:eastAsia="Arial" w:hAnsi="Arial"/>
                <w:sz w:val="13"/>
                <w:szCs w:val="13"/>
                <w:b w:val="1"/>
                <w:bCs w:val="1"/>
                <w:color w:val="D8D8D8"/>
                <w:w w:val="97"/>
              </w:rPr>
              <w:t>Estimated Future Payouts</w:t>
            </w:r>
          </w:p>
        </w:tc>
        <w:tc>
          <w:tcPr>
            <w:tcW w:w="2160" w:type="dxa"/>
            <w:vAlign w:val="bottom"/>
            <w:gridSpan w:val="3"/>
            <w:shd w:val="clear" w:color="auto" w:fill="00548B"/>
          </w:tcPr>
          <w:p>
            <w:pPr>
              <w:jc w:val="center"/>
              <w:ind w:right="9"/>
              <w:spacing w:after="0"/>
              <w:rPr>
                <w:sz w:val="20"/>
                <w:szCs w:val="20"/>
                <w:color w:val="auto"/>
              </w:rPr>
            </w:pPr>
            <w:r>
              <w:rPr>
                <w:rFonts w:ascii="Arial" w:cs="Arial" w:eastAsia="Arial" w:hAnsi="Arial"/>
                <w:sz w:val="13"/>
                <w:szCs w:val="13"/>
                <w:b w:val="1"/>
                <w:bCs w:val="1"/>
                <w:color w:val="D8D8D8"/>
                <w:w w:val="97"/>
              </w:rPr>
              <w:t>Estimated Future Payouts</w:t>
            </w:r>
          </w:p>
        </w:tc>
        <w:tc>
          <w:tcPr>
            <w:tcW w:w="760" w:type="dxa"/>
            <w:vAlign w:val="bottom"/>
            <w:shd w:val="clear" w:color="auto" w:fill="00548B"/>
          </w:tcPr>
          <w:p>
            <w:pPr>
              <w:spacing w:after="0"/>
              <w:rPr>
                <w:sz w:val="13"/>
                <w:szCs w:val="13"/>
                <w:color w:val="auto"/>
              </w:rPr>
            </w:pPr>
          </w:p>
        </w:tc>
        <w:tc>
          <w:tcPr>
            <w:tcW w:w="860" w:type="dxa"/>
            <w:vAlign w:val="bottom"/>
            <w:shd w:val="clear" w:color="auto" w:fill="00548B"/>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920" w:type="dxa"/>
            <w:vAlign w:val="bottom"/>
            <w:shd w:val="clear" w:color="auto" w:fill="00548B"/>
          </w:tcPr>
          <w:p>
            <w:pPr>
              <w:spacing w:after="0"/>
              <w:rPr>
                <w:sz w:val="11"/>
                <w:szCs w:val="11"/>
                <w:color w:val="auto"/>
              </w:rPr>
            </w:pPr>
          </w:p>
        </w:tc>
        <w:tc>
          <w:tcPr>
            <w:tcW w:w="720" w:type="dxa"/>
            <w:vAlign w:val="bottom"/>
            <w:shd w:val="clear" w:color="auto" w:fill="00548B"/>
          </w:tcPr>
          <w:p>
            <w:pPr>
              <w:spacing w:after="0"/>
              <w:rPr>
                <w:sz w:val="11"/>
                <w:szCs w:val="11"/>
                <w:color w:val="auto"/>
              </w:rPr>
            </w:pPr>
          </w:p>
        </w:tc>
        <w:tc>
          <w:tcPr>
            <w:tcW w:w="1060" w:type="dxa"/>
            <w:vAlign w:val="bottom"/>
            <w:shd w:val="clear" w:color="auto" w:fill="00548B"/>
          </w:tcPr>
          <w:p>
            <w:pPr>
              <w:spacing w:after="0"/>
              <w:rPr>
                <w:sz w:val="11"/>
                <w:szCs w:val="11"/>
                <w:color w:val="auto"/>
              </w:rPr>
            </w:pPr>
          </w:p>
        </w:tc>
        <w:tc>
          <w:tcPr>
            <w:tcW w:w="2540" w:type="dxa"/>
            <w:vAlign w:val="bottom"/>
            <w:gridSpan w:val="3"/>
            <w:shd w:val="clear" w:color="auto" w:fill="00548B"/>
          </w:tcPr>
          <w:p>
            <w:pPr>
              <w:jc w:val="center"/>
              <w:ind w:right="229"/>
              <w:spacing w:after="0" w:line="135" w:lineRule="exact"/>
              <w:rPr>
                <w:sz w:val="20"/>
                <w:szCs w:val="20"/>
                <w:color w:val="auto"/>
              </w:rPr>
            </w:pPr>
            <w:r>
              <w:rPr>
                <w:rFonts w:ascii="Arial" w:cs="Arial" w:eastAsia="Arial" w:hAnsi="Arial"/>
                <w:sz w:val="13"/>
                <w:szCs w:val="13"/>
                <w:b w:val="1"/>
                <w:bCs w:val="1"/>
                <w:color w:val="D8D8D8"/>
                <w:w w:val="96"/>
              </w:rPr>
              <w:t>Under Non Equity Incentive</w:t>
            </w:r>
          </w:p>
        </w:tc>
        <w:tc>
          <w:tcPr>
            <w:tcW w:w="2160" w:type="dxa"/>
            <w:vAlign w:val="bottom"/>
            <w:gridSpan w:val="3"/>
            <w:shd w:val="clear" w:color="auto" w:fill="00548B"/>
          </w:tcPr>
          <w:p>
            <w:pPr>
              <w:jc w:val="center"/>
              <w:ind w:right="9"/>
              <w:spacing w:after="0" w:line="135" w:lineRule="exact"/>
              <w:rPr>
                <w:sz w:val="20"/>
                <w:szCs w:val="20"/>
                <w:color w:val="auto"/>
              </w:rPr>
            </w:pPr>
            <w:r>
              <w:rPr>
                <w:rFonts w:ascii="Arial" w:cs="Arial" w:eastAsia="Arial" w:hAnsi="Arial"/>
                <w:sz w:val="13"/>
                <w:szCs w:val="13"/>
                <w:b w:val="1"/>
                <w:bCs w:val="1"/>
                <w:color w:val="D8D8D8"/>
                <w:w w:val="96"/>
              </w:rPr>
              <w:t>Under Equity Incentive</w:t>
            </w:r>
          </w:p>
        </w:tc>
        <w:tc>
          <w:tcPr>
            <w:tcW w:w="760" w:type="dxa"/>
            <w:vAlign w:val="bottom"/>
            <w:shd w:val="clear" w:color="auto" w:fill="00548B"/>
          </w:tcPr>
          <w:p>
            <w:pPr>
              <w:spacing w:after="0"/>
              <w:rPr>
                <w:sz w:val="11"/>
                <w:szCs w:val="11"/>
                <w:color w:val="auto"/>
              </w:rPr>
            </w:pPr>
          </w:p>
        </w:tc>
        <w:tc>
          <w:tcPr>
            <w:tcW w:w="860" w:type="dxa"/>
            <w:vAlign w:val="bottom"/>
            <w:shd w:val="clear" w:color="auto" w:fill="00548B"/>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920" w:type="dxa"/>
            <w:vAlign w:val="bottom"/>
            <w:shd w:val="clear" w:color="auto" w:fill="00548B"/>
          </w:tcPr>
          <w:p>
            <w:pPr>
              <w:spacing w:after="0"/>
              <w:rPr>
                <w:sz w:val="14"/>
                <w:szCs w:val="14"/>
                <w:color w:val="auto"/>
              </w:rPr>
            </w:pPr>
          </w:p>
        </w:tc>
        <w:tc>
          <w:tcPr>
            <w:tcW w:w="720" w:type="dxa"/>
            <w:vAlign w:val="bottom"/>
            <w:shd w:val="clear" w:color="auto" w:fill="00548B"/>
          </w:tcPr>
          <w:p>
            <w:pPr>
              <w:spacing w:after="0"/>
              <w:rPr>
                <w:sz w:val="14"/>
                <w:szCs w:val="14"/>
                <w:color w:val="auto"/>
              </w:rPr>
            </w:pPr>
          </w:p>
        </w:tc>
        <w:tc>
          <w:tcPr>
            <w:tcW w:w="1060" w:type="dxa"/>
            <w:vAlign w:val="bottom"/>
            <w:shd w:val="clear" w:color="auto" w:fill="00548B"/>
          </w:tcPr>
          <w:p>
            <w:pPr>
              <w:spacing w:after="0"/>
              <w:rPr>
                <w:sz w:val="14"/>
                <w:szCs w:val="14"/>
                <w:color w:val="auto"/>
              </w:rPr>
            </w:pPr>
          </w:p>
        </w:tc>
        <w:tc>
          <w:tcPr>
            <w:tcW w:w="2540" w:type="dxa"/>
            <w:vAlign w:val="bottom"/>
            <w:gridSpan w:val="3"/>
            <w:shd w:val="clear" w:color="auto" w:fill="00548B"/>
          </w:tcPr>
          <w:p>
            <w:pPr>
              <w:jc w:val="center"/>
              <w:ind w:right="209"/>
              <w:spacing w:after="0"/>
              <w:rPr>
                <w:sz w:val="20"/>
                <w:szCs w:val="20"/>
                <w:color w:val="auto"/>
              </w:rPr>
            </w:pPr>
            <w:r>
              <w:rPr>
                <w:rFonts w:ascii="Arial" w:cs="Arial" w:eastAsia="Arial" w:hAnsi="Arial"/>
                <w:sz w:val="13"/>
                <w:szCs w:val="13"/>
                <w:b w:val="1"/>
                <w:bCs w:val="1"/>
                <w:color w:val="D8D8D8"/>
                <w:w w:val="96"/>
              </w:rPr>
              <w:t>Plan Awards (1)</w:t>
            </w:r>
          </w:p>
        </w:tc>
        <w:tc>
          <w:tcPr>
            <w:tcW w:w="2160" w:type="dxa"/>
            <w:vAlign w:val="bottom"/>
            <w:gridSpan w:val="3"/>
            <w:shd w:val="clear" w:color="auto" w:fill="00548B"/>
          </w:tcPr>
          <w:p>
            <w:pPr>
              <w:jc w:val="center"/>
              <w:spacing w:after="0"/>
              <w:rPr>
                <w:sz w:val="20"/>
                <w:szCs w:val="20"/>
                <w:color w:val="auto"/>
              </w:rPr>
            </w:pPr>
            <w:r>
              <w:rPr>
                <w:rFonts w:ascii="Arial" w:cs="Arial" w:eastAsia="Arial" w:hAnsi="Arial"/>
                <w:sz w:val="13"/>
                <w:szCs w:val="13"/>
                <w:b w:val="1"/>
                <w:bCs w:val="1"/>
                <w:color w:val="D8D8D8"/>
                <w:w w:val="96"/>
              </w:rPr>
              <w:t>Plan Awards (2)</w:t>
            </w:r>
          </w:p>
        </w:tc>
        <w:tc>
          <w:tcPr>
            <w:tcW w:w="760" w:type="dxa"/>
            <w:vAlign w:val="bottom"/>
            <w:vMerge w:val="restart"/>
            <w:shd w:val="clear" w:color="auto" w:fill="00548B"/>
          </w:tcPr>
          <w:p>
            <w:pPr>
              <w:jc w:val="center"/>
              <w:spacing w:after="0"/>
              <w:rPr>
                <w:sz w:val="20"/>
                <w:szCs w:val="20"/>
                <w:color w:val="auto"/>
              </w:rPr>
            </w:pPr>
            <w:r>
              <w:rPr>
                <w:rFonts w:ascii="Arial" w:cs="Arial" w:eastAsia="Arial" w:hAnsi="Arial"/>
                <w:sz w:val="13"/>
                <w:szCs w:val="13"/>
                <w:b w:val="1"/>
                <w:bCs w:val="1"/>
                <w:color w:val="D8D8D8"/>
                <w:w w:val="98"/>
              </w:rPr>
              <w:t>All Other</w:t>
            </w:r>
          </w:p>
        </w:tc>
        <w:tc>
          <w:tcPr>
            <w:tcW w:w="860" w:type="dxa"/>
            <w:vAlign w:val="bottom"/>
            <w:shd w:val="clear" w:color="auto" w:fill="00548B"/>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920" w:type="dxa"/>
            <w:vAlign w:val="bottom"/>
            <w:shd w:val="clear" w:color="auto" w:fill="00548B"/>
          </w:tcPr>
          <w:p>
            <w:pPr>
              <w:spacing w:after="0"/>
              <w:rPr>
                <w:sz w:val="9"/>
                <w:szCs w:val="9"/>
                <w:color w:val="auto"/>
              </w:rPr>
            </w:pPr>
          </w:p>
        </w:tc>
        <w:tc>
          <w:tcPr>
            <w:tcW w:w="720" w:type="dxa"/>
            <w:vAlign w:val="bottom"/>
            <w:shd w:val="clear" w:color="auto" w:fill="00548B"/>
          </w:tcPr>
          <w:p>
            <w:pPr>
              <w:spacing w:after="0"/>
              <w:rPr>
                <w:sz w:val="9"/>
                <w:szCs w:val="9"/>
                <w:color w:val="auto"/>
              </w:rPr>
            </w:pPr>
          </w:p>
        </w:tc>
        <w:tc>
          <w:tcPr>
            <w:tcW w:w="1060" w:type="dxa"/>
            <w:vAlign w:val="bottom"/>
            <w:shd w:val="clear" w:color="auto" w:fill="00548B"/>
          </w:tcPr>
          <w:p>
            <w:pPr>
              <w:spacing w:after="0"/>
              <w:rPr>
                <w:sz w:val="9"/>
                <w:szCs w:val="9"/>
                <w:color w:val="auto"/>
              </w:rPr>
            </w:pPr>
          </w:p>
        </w:tc>
        <w:tc>
          <w:tcPr>
            <w:tcW w:w="760" w:type="dxa"/>
            <w:vAlign w:val="bottom"/>
            <w:shd w:val="clear" w:color="auto" w:fill="00548B"/>
          </w:tcPr>
          <w:p>
            <w:pPr>
              <w:spacing w:after="0"/>
              <w:rPr>
                <w:sz w:val="9"/>
                <w:szCs w:val="9"/>
                <w:color w:val="auto"/>
              </w:rPr>
            </w:pPr>
          </w:p>
        </w:tc>
        <w:tc>
          <w:tcPr>
            <w:tcW w:w="700" w:type="dxa"/>
            <w:vAlign w:val="bottom"/>
            <w:shd w:val="clear" w:color="auto" w:fill="00548B"/>
          </w:tcPr>
          <w:p>
            <w:pPr>
              <w:spacing w:after="0"/>
              <w:rPr>
                <w:sz w:val="9"/>
                <w:szCs w:val="9"/>
                <w:color w:val="auto"/>
              </w:rPr>
            </w:pPr>
          </w:p>
        </w:tc>
        <w:tc>
          <w:tcPr>
            <w:tcW w:w="1080" w:type="dxa"/>
            <w:vAlign w:val="bottom"/>
            <w:shd w:val="clear" w:color="auto" w:fill="00548B"/>
          </w:tcPr>
          <w:p>
            <w:pPr>
              <w:spacing w:after="0"/>
              <w:rPr>
                <w:sz w:val="9"/>
                <w:szCs w:val="9"/>
                <w:color w:val="auto"/>
              </w:rPr>
            </w:pPr>
          </w:p>
        </w:tc>
        <w:tc>
          <w:tcPr>
            <w:tcW w:w="760" w:type="dxa"/>
            <w:vAlign w:val="bottom"/>
            <w:shd w:val="clear" w:color="auto" w:fill="00548B"/>
          </w:tcPr>
          <w:p>
            <w:pPr>
              <w:spacing w:after="0"/>
              <w:rPr>
                <w:sz w:val="9"/>
                <w:szCs w:val="9"/>
                <w:color w:val="auto"/>
              </w:rPr>
            </w:pPr>
          </w:p>
        </w:tc>
        <w:tc>
          <w:tcPr>
            <w:tcW w:w="620" w:type="dxa"/>
            <w:vAlign w:val="bottom"/>
            <w:shd w:val="clear" w:color="auto" w:fill="00548B"/>
          </w:tcPr>
          <w:p>
            <w:pPr>
              <w:spacing w:after="0"/>
              <w:rPr>
                <w:sz w:val="9"/>
                <w:szCs w:val="9"/>
                <w:color w:val="auto"/>
              </w:rPr>
            </w:pPr>
          </w:p>
        </w:tc>
        <w:tc>
          <w:tcPr>
            <w:tcW w:w="780" w:type="dxa"/>
            <w:vAlign w:val="bottom"/>
            <w:shd w:val="clear" w:color="auto" w:fill="00548B"/>
          </w:tcPr>
          <w:p>
            <w:pPr>
              <w:spacing w:after="0"/>
              <w:rPr>
                <w:sz w:val="9"/>
                <w:szCs w:val="9"/>
                <w:color w:val="auto"/>
              </w:rPr>
            </w:pPr>
          </w:p>
        </w:tc>
        <w:tc>
          <w:tcPr>
            <w:tcW w:w="760" w:type="dxa"/>
            <w:vAlign w:val="bottom"/>
            <w:vMerge w:val="continue"/>
            <w:shd w:val="clear" w:color="auto" w:fill="00548B"/>
          </w:tcPr>
          <w:p>
            <w:pPr>
              <w:spacing w:after="0"/>
              <w:rPr>
                <w:sz w:val="9"/>
                <w:szCs w:val="9"/>
                <w:color w:val="auto"/>
              </w:rPr>
            </w:pPr>
          </w:p>
        </w:tc>
        <w:tc>
          <w:tcPr>
            <w:tcW w:w="860" w:type="dxa"/>
            <w:vAlign w:val="bottom"/>
            <w:shd w:val="clear" w:color="auto" w:fill="00548B"/>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920" w:type="dxa"/>
            <w:vAlign w:val="bottom"/>
            <w:shd w:val="clear" w:color="auto" w:fill="00548B"/>
          </w:tcPr>
          <w:p>
            <w:pPr>
              <w:spacing w:after="0"/>
              <w:rPr>
                <w:sz w:val="11"/>
                <w:szCs w:val="11"/>
                <w:color w:val="auto"/>
              </w:rPr>
            </w:pPr>
          </w:p>
        </w:tc>
        <w:tc>
          <w:tcPr>
            <w:tcW w:w="720" w:type="dxa"/>
            <w:vAlign w:val="bottom"/>
            <w:shd w:val="clear" w:color="auto" w:fill="00548B"/>
          </w:tcPr>
          <w:p>
            <w:pPr>
              <w:spacing w:after="0"/>
              <w:rPr>
                <w:sz w:val="11"/>
                <w:szCs w:val="11"/>
                <w:color w:val="auto"/>
              </w:rPr>
            </w:pPr>
          </w:p>
        </w:tc>
        <w:tc>
          <w:tcPr>
            <w:tcW w:w="1060" w:type="dxa"/>
            <w:vAlign w:val="bottom"/>
            <w:shd w:val="clear" w:color="auto" w:fill="00548B"/>
          </w:tcPr>
          <w:p>
            <w:pPr>
              <w:spacing w:after="0"/>
              <w:rPr>
                <w:sz w:val="11"/>
                <w:szCs w:val="11"/>
                <w:color w:val="auto"/>
              </w:rPr>
            </w:pPr>
          </w:p>
        </w:tc>
        <w:tc>
          <w:tcPr>
            <w:tcW w:w="760" w:type="dxa"/>
            <w:vAlign w:val="bottom"/>
            <w:shd w:val="clear" w:color="auto" w:fill="00548B"/>
          </w:tcPr>
          <w:p>
            <w:pPr>
              <w:spacing w:after="0"/>
              <w:rPr>
                <w:sz w:val="11"/>
                <w:szCs w:val="11"/>
                <w:color w:val="auto"/>
              </w:rPr>
            </w:pPr>
          </w:p>
        </w:tc>
        <w:tc>
          <w:tcPr>
            <w:tcW w:w="700" w:type="dxa"/>
            <w:vAlign w:val="bottom"/>
            <w:shd w:val="clear" w:color="auto" w:fill="00548B"/>
          </w:tcPr>
          <w:p>
            <w:pPr>
              <w:spacing w:after="0"/>
              <w:rPr>
                <w:sz w:val="11"/>
                <w:szCs w:val="11"/>
                <w:color w:val="auto"/>
              </w:rPr>
            </w:pPr>
          </w:p>
        </w:tc>
        <w:tc>
          <w:tcPr>
            <w:tcW w:w="1080" w:type="dxa"/>
            <w:vAlign w:val="bottom"/>
            <w:shd w:val="clear" w:color="auto" w:fill="00548B"/>
          </w:tcPr>
          <w:p>
            <w:pPr>
              <w:spacing w:after="0"/>
              <w:rPr>
                <w:sz w:val="11"/>
                <w:szCs w:val="11"/>
                <w:color w:val="auto"/>
              </w:rPr>
            </w:pPr>
          </w:p>
        </w:tc>
        <w:tc>
          <w:tcPr>
            <w:tcW w:w="760" w:type="dxa"/>
            <w:vAlign w:val="bottom"/>
            <w:shd w:val="clear" w:color="auto" w:fill="00548B"/>
          </w:tcPr>
          <w:p>
            <w:pPr>
              <w:spacing w:after="0"/>
              <w:rPr>
                <w:sz w:val="11"/>
                <w:szCs w:val="11"/>
                <w:color w:val="auto"/>
              </w:rPr>
            </w:pPr>
          </w:p>
        </w:tc>
        <w:tc>
          <w:tcPr>
            <w:tcW w:w="620" w:type="dxa"/>
            <w:vAlign w:val="bottom"/>
            <w:shd w:val="clear" w:color="auto" w:fill="00548B"/>
          </w:tcPr>
          <w:p>
            <w:pPr>
              <w:spacing w:after="0"/>
              <w:rPr>
                <w:sz w:val="11"/>
                <w:szCs w:val="11"/>
                <w:color w:val="auto"/>
              </w:rPr>
            </w:pPr>
          </w:p>
        </w:tc>
        <w:tc>
          <w:tcPr>
            <w:tcW w:w="780" w:type="dxa"/>
            <w:vAlign w:val="bottom"/>
            <w:shd w:val="clear" w:color="auto" w:fill="00548B"/>
          </w:tcPr>
          <w:p>
            <w:pPr>
              <w:spacing w:after="0"/>
              <w:rPr>
                <w:sz w:val="11"/>
                <w:szCs w:val="11"/>
                <w:color w:val="auto"/>
              </w:rPr>
            </w:pPr>
          </w:p>
        </w:tc>
        <w:tc>
          <w:tcPr>
            <w:tcW w:w="76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D8D8D8"/>
                <w:w w:val="95"/>
              </w:rPr>
              <w:t>Stock</w:t>
            </w:r>
          </w:p>
        </w:tc>
        <w:tc>
          <w:tcPr>
            <w:tcW w:w="86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D8D8D8"/>
                <w:w w:val="97"/>
              </w:rPr>
              <w:t>Full Grant</w:t>
            </w:r>
          </w:p>
        </w:tc>
        <w:tc>
          <w:tcPr>
            <w:tcW w:w="0" w:type="dxa"/>
            <w:vAlign w:val="bottom"/>
          </w:tcPr>
          <w:p>
            <w:pPr>
              <w:spacing w:after="0"/>
              <w:rPr>
                <w:sz w:val="1"/>
                <w:szCs w:val="1"/>
                <w:color w:val="auto"/>
              </w:rPr>
            </w:pPr>
          </w:p>
        </w:tc>
      </w:tr>
      <w:tr>
        <w:trPr>
          <w:trHeight w:val="135"/>
        </w:trPr>
        <w:tc>
          <w:tcPr>
            <w:tcW w:w="2920" w:type="dxa"/>
            <w:vAlign w:val="bottom"/>
            <w:shd w:val="clear" w:color="auto" w:fill="00548B"/>
          </w:tcPr>
          <w:p>
            <w:pPr>
              <w:spacing w:after="0"/>
              <w:rPr>
                <w:sz w:val="11"/>
                <w:szCs w:val="11"/>
                <w:color w:val="auto"/>
              </w:rPr>
            </w:pPr>
          </w:p>
        </w:tc>
        <w:tc>
          <w:tcPr>
            <w:tcW w:w="720" w:type="dxa"/>
            <w:vAlign w:val="bottom"/>
            <w:shd w:val="clear" w:color="auto" w:fill="00548B"/>
          </w:tcPr>
          <w:p>
            <w:pPr>
              <w:spacing w:after="0"/>
              <w:rPr>
                <w:sz w:val="11"/>
                <w:szCs w:val="11"/>
                <w:color w:val="auto"/>
              </w:rPr>
            </w:pPr>
          </w:p>
        </w:tc>
        <w:tc>
          <w:tcPr>
            <w:tcW w:w="1060" w:type="dxa"/>
            <w:vAlign w:val="bottom"/>
            <w:shd w:val="clear" w:color="auto" w:fill="00548B"/>
          </w:tcPr>
          <w:p>
            <w:pPr>
              <w:spacing w:after="0"/>
              <w:rPr>
                <w:sz w:val="11"/>
                <w:szCs w:val="11"/>
                <w:color w:val="auto"/>
              </w:rPr>
            </w:pPr>
          </w:p>
        </w:tc>
        <w:tc>
          <w:tcPr>
            <w:tcW w:w="760" w:type="dxa"/>
            <w:vAlign w:val="bottom"/>
            <w:shd w:val="clear" w:color="auto" w:fill="00548B"/>
          </w:tcPr>
          <w:p>
            <w:pPr>
              <w:spacing w:after="0"/>
              <w:rPr>
                <w:sz w:val="11"/>
                <w:szCs w:val="11"/>
                <w:color w:val="auto"/>
              </w:rPr>
            </w:pPr>
          </w:p>
        </w:tc>
        <w:tc>
          <w:tcPr>
            <w:tcW w:w="700" w:type="dxa"/>
            <w:vAlign w:val="bottom"/>
            <w:shd w:val="clear" w:color="auto" w:fill="00548B"/>
          </w:tcPr>
          <w:p>
            <w:pPr>
              <w:spacing w:after="0"/>
              <w:rPr>
                <w:sz w:val="11"/>
                <w:szCs w:val="11"/>
                <w:color w:val="auto"/>
              </w:rPr>
            </w:pPr>
          </w:p>
        </w:tc>
        <w:tc>
          <w:tcPr>
            <w:tcW w:w="1080" w:type="dxa"/>
            <w:vAlign w:val="bottom"/>
            <w:shd w:val="clear" w:color="auto" w:fill="00548B"/>
          </w:tcPr>
          <w:p>
            <w:pPr>
              <w:spacing w:after="0"/>
              <w:rPr>
                <w:sz w:val="11"/>
                <w:szCs w:val="11"/>
                <w:color w:val="auto"/>
              </w:rPr>
            </w:pPr>
          </w:p>
        </w:tc>
        <w:tc>
          <w:tcPr>
            <w:tcW w:w="760" w:type="dxa"/>
            <w:vAlign w:val="bottom"/>
            <w:shd w:val="clear" w:color="auto" w:fill="00548B"/>
          </w:tcPr>
          <w:p>
            <w:pPr>
              <w:spacing w:after="0"/>
              <w:rPr>
                <w:sz w:val="11"/>
                <w:szCs w:val="11"/>
                <w:color w:val="auto"/>
              </w:rPr>
            </w:pPr>
          </w:p>
        </w:tc>
        <w:tc>
          <w:tcPr>
            <w:tcW w:w="620" w:type="dxa"/>
            <w:vAlign w:val="bottom"/>
            <w:shd w:val="clear" w:color="auto" w:fill="00548B"/>
          </w:tcPr>
          <w:p>
            <w:pPr>
              <w:spacing w:after="0"/>
              <w:rPr>
                <w:sz w:val="11"/>
                <w:szCs w:val="11"/>
                <w:color w:val="auto"/>
              </w:rPr>
            </w:pPr>
          </w:p>
        </w:tc>
        <w:tc>
          <w:tcPr>
            <w:tcW w:w="780" w:type="dxa"/>
            <w:vAlign w:val="bottom"/>
            <w:shd w:val="clear" w:color="auto" w:fill="00548B"/>
          </w:tcPr>
          <w:p>
            <w:pPr>
              <w:spacing w:after="0"/>
              <w:rPr>
                <w:sz w:val="11"/>
                <w:szCs w:val="11"/>
                <w:color w:val="auto"/>
              </w:rPr>
            </w:pPr>
          </w:p>
        </w:tc>
        <w:tc>
          <w:tcPr>
            <w:tcW w:w="76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D8D8D8"/>
                <w:w w:val="97"/>
              </w:rPr>
              <w:t>Awards:</w:t>
            </w:r>
          </w:p>
        </w:tc>
        <w:tc>
          <w:tcPr>
            <w:tcW w:w="86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D8D8D8"/>
                <w:w w:val="93"/>
              </w:rPr>
              <w:t>Date Fair</w:t>
            </w:r>
          </w:p>
        </w:tc>
        <w:tc>
          <w:tcPr>
            <w:tcW w:w="0" w:type="dxa"/>
            <w:vAlign w:val="bottom"/>
          </w:tcPr>
          <w:p>
            <w:pPr>
              <w:spacing w:after="0"/>
              <w:rPr>
                <w:sz w:val="1"/>
                <w:szCs w:val="1"/>
                <w:color w:val="auto"/>
              </w:rPr>
            </w:pPr>
          </w:p>
        </w:tc>
      </w:tr>
      <w:tr>
        <w:trPr>
          <w:trHeight w:val="135"/>
        </w:trPr>
        <w:tc>
          <w:tcPr>
            <w:tcW w:w="2920" w:type="dxa"/>
            <w:vAlign w:val="bottom"/>
            <w:shd w:val="clear" w:color="auto" w:fill="00548B"/>
          </w:tcPr>
          <w:p>
            <w:pPr>
              <w:spacing w:after="0"/>
              <w:rPr>
                <w:sz w:val="11"/>
                <w:szCs w:val="11"/>
                <w:color w:val="auto"/>
              </w:rPr>
            </w:pPr>
          </w:p>
        </w:tc>
        <w:tc>
          <w:tcPr>
            <w:tcW w:w="720" w:type="dxa"/>
            <w:vAlign w:val="bottom"/>
            <w:shd w:val="clear" w:color="auto" w:fill="00548B"/>
          </w:tcPr>
          <w:p>
            <w:pPr>
              <w:spacing w:after="0"/>
              <w:rPr>
                <w:sz w:val="11"/>
                <w:szCs w:val="11"/>
                <w:color w:val="auto"/>
              </w:rPr>
            </w:pPr>
          </w:p>
        </w:tc>
        <w:tc>
          <w:tcPr>
            <w:tcW w:w="1060" w:type="dxa"/>
            <w:vAlign w:val="bottom"/>
            <w:shd w:val="clear" w:color="auto" w:fill="00548B"/>
          </w:tcPr>
          <w:p>
            <w:pPr>
              <w:ind w:left="300"/>
              <w:spacing w:after="0" w:line="135" w:lineRule="exact"/>
              <w:rPr>
                <w:sz w:val="20"/>
                <w:szCs w:val="20"/>
                <w:color w:val="auto"/>
              </w:rPr>
            </w:pPr>
            <w:r>
              <w:rPr>
                <w:rFonts w:ascii="Arial" w:cs="Arial" w:eastAsia="Arial" w:hAnsi="Arial"/>
                <w:sz w:val="13"/>
                <w:szCs w:val="13"/>
                <w:b w:val="1"/>
                <w:bCs w:val="1"/>
                <w:color w:val="D8D8D8"/>
              </w:rPr>
              <w:t>Date of</w:t>
            </w:r>
          </w:p>
        </w:tc>
        <w:tc>
          <w:tcPr>
            <w:tcW w:w="760" w:type="dxa"/>
            <w:vAlign w:val="bottom"/>
            <w:shd w:val="clear" w:color="auto" w:fill="00548B"/>
          </w:tcPr>
          <w:p>
            <w:pPr>
              <w:spacing w:after="0"/>
              <w:rPr>
                <w:sz w:val="11"/>
                <w:szCs w:val="11"/>
                <w:color w:val="auto"/>
              </w:rPr>
            </w:pPr>
          </w:p>
        </w:tc>
        <w:tc>
          <w:tcPr>
            <w:tcW w:w="700" w:type="dxa"/>
            <w:vAlign w:val="bottom"/>
            <w:shd w:val="clear" w:color="auto" w:fill="00548B"/>
          </w:tcPr>
          <w:p>
            <w:pPr>
              <w:spacing w:after="0"/>
              <w:rPr>
                <w:sz w:val="11"/>
                <w:szCs w:val="11"/>
                <w:color w:val="auto"/>
              </w:rPr>
            </w:pPr>
          </w:p>
        </w:tc>
        <w:tc>
          <w:tcPr>
            <w:tcW w:w="1080" w:type="dxa"/>
            <w:vAlign w:val="bottom"/>
            <w:shd w:val="clear" w:color="auto" w:fill="00548B"/>
          </w:tcPr>
          <w:p>
            <w:pPr>
              <w:spacing w:after="0"/>
              <w:rPr>
                <w:sz w:val="11"/>
                <w:szCs w:val="11"/>
                <w:color w:val="auto"/>
              </w:rPr>
            </w:pPr>
          </w:p>
        </w:tc>
        <w:tc>
          <w:tcPr>
            <w:tcW w:w="760" w:type="dxa"/>
            <w:vAlign w:val="bottom"/>
            <w:shd w:val="clear" w:color="auto" w:fill="00548B"/>
          </w:tcPr>
          <w:p>
            <w:pPr>
              <w:spacing w:after="0"/>
              <w:rPr>
                <w:sz w:val="11"/>
                <w:szCs w:val="11"/>
                <w:color w:val="auto"/>
              </w:rPr>
            </w:pPr>
          </w:p>
        </w:tc>
        <w:tc>
          <w:tcPr>
            <w:tcW w:w="620" w:type="dxa"/>
            <w:vAlign w:val="bottom"/>
            <w:shd w:val="clear" w:color="auto" w:fill="00548B"/>
          </w:tcPr>
          <w:p>
            <w:pPr>
              <w:spacing w:after="0"/>
              <w:rPr>
                <w:sz w:val="11"/>
                <w:szCs w:val="11"/>
                <w:color w:val="auto"/>
              </w:rPr>
            </w:pPr>
          </w:p>
        </w:tc>
        <w:tc>
          <w:tcPr>
            <w:tcW w:w="780" w:type="dxa"/>
            <w:vAlign w:val="bottom"/>
            <w:shd w:val="clear" w:color="auto" w:fill="00548B"/>
          </w:tcPr>
          <w:p>
            <w:pPr>
              <w:spacing w:after="0"/>
              <w:rPr>
                <w:sz w:val="11"/>
                <w:szCs w:val="11"/>
                <w:color w:val="auto"/>
              </w:rPr>
            </w:pPr>
          </w:p>
        </w:tc>
        <w:tc>
          <w:tcPr>
            <w:tcW w:w="76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D8D8D8"/>
                <w:w w:val="95"/>
              </w:rPr>
              <w:t>Number of</w:t>
            </w:r>
          </w:p>
        </w:tc>
        <w:tc>
          <w:tcPr>
            <w:tcW w:w="86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D8D8D8"/>
                <w:w w:val="94"/>
              </w:rPr>
              <w:t>Value of</w:t>
            </w:r>
          </w:p>
        </w:tc>
        <w:tc>
          <w:tcPr>
            <w:tcW w:w="0" w:type="dxa"/>
            <w:vAlign w:val="bottom"/>
          </w:tcPr>
          <w:p>
            <w:pPr>
              <w:spacing w:after="0"/>
              <w:rPr>
                <w:sz w:val="1"/>
                <w:szCs w:val="1"/>
                <w:color w:val="auto"/>
              </w:rPr>
            </w:pPr>
          </w:p>
        </w:tc>
      </w:tr>
      <w:tr>
        <w:trPr>
          <w:trHeight w:val="135"/>
        </w:trPr>
        <w:tc>
          <w:tcPr>
            <w:tcW w:w="2920" w:type="dxa"/>
            <w:vAlign w:val="bottom"/>
            <w:shd w:val="clear" w:color="auto" w:fill="00548B"/>
          </w:tcPr>
          <w:p>
            <w:pPr>
              <w:spacing w:after="0"/>
              <w:rPr>
                <w:sz w:val="11"/>
                <w:szCs w:val="11"/>
                <w:color w:val="auto"/>
              </w:rPr>
            </w:pPr>
          </w:p>
        </w:tc>
        <w:tc>
          <w:tcPr>
            <w:tcW w:w="720" w:type="dxa"/>
            <w:vAlign w:val="bottom"/>
            <w:shd w:val="clear" w:color="auto" w:fill="00548B"/>
          </w:tcPr>
          <w:p>
            <w:pPr>
              <w:spacing w:after="0"/>
              <w:rPr>
                <w:sz w:val="11"/>
                <w:szCs w:val="11"/>
                <w:color w:val="auto"/>
              </w:rPr>
            </w:pPr>
          </w:p>
        </w:tc>
        <w:tc>
          <w:tcPr>
            <w:tcW w:w="1060" w:type="dxa"/>
            <w:vAlign w:val="bottom"/>
            <w:shd w:val="clear" w:color="auto" w:fill="00548B"/>
          </w:tcPr>
          <w:p>
            <w:pPr>
              <w:ind w:left="80"/>
              <w:spacing w:after="0" w:line="135" w:lineRule="exact"/>
              <w:rPr>
                <w:sz w:val="20"/>
                <w:szCs w:val="20"/>
                <w:color w:val="auto"/>
              </w:rPr>
            </w:pPr>
            <w:r>
              <w:rPr>
                <w:rFonts w:ascii="Arial" w:cs="Arial" w:eastAsia="Arial" w:hAnsi="Arial"/>
                <w:sz w:val="13"/>
                <w:szCs w:val="13"/>
                <w:b w:val="1"/>
                <w:bCs w:val="1"/>
                <w:color w:val="D8D8D8"/>
              </w:rPr>
              <w:t>Compensation</w:t>
            </w:r>
          </w:p>
        </w:tc>
        <w:tc>
          <w:tcPr>
            <w:tcW w:w="760" w:type="dxa"/>
            <w:vAlign w:val="bottom"/>
            <w:shd w:val="clear" w:color="auto" w:fill="00548B"/>
          </w:tcPr>
          <w:p>
            <w:pPr>
              <w:spacing w:after="0"/>
              <w:rPr>
                <w:sz w:val="11"/>
                <w:szCs w:val="11"/>
                <w:color w:val="auto"/>
              </w:rPr>
            </w:pPr>
          </w:p>
        </w:tc>
        <w:tc>
          <w:tcPr>
            <w:tcW w:w="700" w:type="dxa"/>
            <w:vAlign w:val="bottom"/>
            <w:shd w:val="clear" w:color="auto" w:fill="00548B"/>
          </w:tcPr>
          <w:p>
            <w:pPr>
              <w:spacing w:after="0"/>
              <w:rPr>
                <w:sz w:val="11"/>
                <w:szCs w:val="11"/>
                <w:color w:val="auto"/>
              </w:rPr>
            </w:pPr>
          </w:p>
        </w:tc>
        <w:tc>
          <w:tcPr>
            <w:tcW w:w="1080" w:type="dxa"/>
            <w:vAlign w:val="bottom"/>
            <w:shd w:val="clear" w:color="auto" w:fill="00548B"/>
          </w:tcPr>
          <w:p>
            <w:pPr>
              <w:spacing w:after="0"/>
              <w:rPr>
                <w:sz w:val="11"/>
                <w:szCs w:val="11"/>
                <w:color w:val="auto"/>
              </w:rPr>
            </w:pPr>
          </w:p>
        </w:tc>
        <w:tc>
          <w:tcPr>
            <w:tcW w:w="760" w:type="dxa"/>
            <w:vAlign w:val="bottom"/>
            <w:shd w:val="clear" w:color="auto" w:fill="00548B"/>
          </w:tcPr>
          <w:p>
            <w:pPr>
              <w:spacing w:after="0"/>
              <w:rPr>
                <w:sz w:val="11"/>
                <w:szCs w:val="11"/>
                <w:color w:val="auto"/>
              </w:rPr>
            </w:pPr>
          </w:p>
        </w:tc>
        <w:tc>
          <w:tcPr>
            <w:tcW w:w="620" w:type="dxa"/>
            <w:vAlign w:val="bottom"/>
            <w:shd w:val="clear" w:color="auto" w:fill="00548B"/>
          </w:tcPr>
          <w:p>
            <w:pPr>
              <w:spacing w:after="0"/>
              <w:rPr>
                <w:sz w:val="11"/>
                <w:szCs w:val="11"/>
                <w:color w:val="auto"/>
              </w:rPr>
            </w:pPr>
          </w:p>
        </w:tc>
        <w:tc>
          <w:tcPr>
            <w:tcW w:w="780" w:type="dxa"/>
            <w:vAlign w:val="bottom"/>
            <w:shd w:val="clear" w:color="auto" w:fill="00548B"/>
          </w:tcPr>
          <w:p>
            <w:pPr>
              <w:spacing w:after="0"/>
              <w:rPr>
                <w:sz w:val="11"/>
                <w:szCs w:val="11"/>
                <w:color w:val="auto"/>
              </w:rPr>
            </w:pPr>
          </w:p>
        </w:tc>
        <w:tc>
          <w:tcPr>
            <w:tcW w:w="76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D8D8D8"/>
                <w:w w:val="97"/>
              </w:rPr>
              <w:t>Shares of</w:t>
            </w:r>
          </w:p>
        </w:tc>
        <w:tc>
          <w:tcPr>
            <w:tcW w:w="86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D8D8D8"/>
              </w:rPr>
              <w:t>Each</w:t>
            </w:r>
          </w:p>
        </w:tc>
        <w:tc>
          <w:tcPr>
            <w:tcW w:w="0" w:type="dxa"/>
            <w:vAlign w:val="bottom"/>
          </w:tcPr>
          <w:p>
            <w:pPr>
              <w:spacing w:after="0"/>
              <w:rPr>
                <w:sz w:val="1"/>
                <w:szCs w:val="1"/>
                <w:color w:val="auto"/>
              </w:rPr>
            </w:pPr>
          </w:p>
        </w:tc>
      </w:tr>
      <w:tr>
        <w:trPr>
          <w:trHeight w:val="135"/>
        </w:trPr>
        <w:tc>
          <w:tcPr>
            <w:tcW w:w="2920" w:type="dxa"/>
            <w:vAlign w:val="bottom"/>
            <w:shd w:val="clear" w:color="auto" w:fill="00548B"/>
          </w:tcPr>
          <w:p>
            <w:pPr>
              <w:spacing w:after="0"/>
              <w:rPr>
                <w:sz w:val="11"/>
                <w:szCs w:val="11"/>
                <w:color w:val="auto"/>
              </w:rPr>
            </w:pPr>
          </w:p>
        </w:tc>
        <w:tc>
          <w:tcPr>
            <w:tcW w:w="720" w:type="dxa"/>
            <w:vAlign w:val="bottom"/>
            <w:shd w:val="clear" w:color="auto" w:fill="00548B"/>
          </w:tcPr>
          <w:p>
            <w:pPr>
              <w:jc w:val="right"/>
              <w:ind w:right="150"/>
              <w:spacing w:after="0" w:line="135" w:lineRule="exact"/>
              <w:rPr>
                <w:sz w:val="20"/>
                <w:szCs w:val="20"/>
                <w:color w:val="auto"/>
              </w:rPr>
            </w:pPr>
            <w:r>
              <w:rPr>
                <w:rFonts w:ascii="Arial" w:cs="Arial" w:eastAsia="Arial" w:hAnsi="Arial"/>
                <w:sz w:val="13"/>
                <w:szCs w:val="13"/>
                <w:b w:val="1"/>
                <w:bCs w:val="1"/>
                <w:color w:val="D8D8D8"/>
              </w:rPr>
              <w:t>Grant</w:t>
            </w:r>
          </w:p>
        </w:tc>
        <w:tc>
          <w:tcPr>
            <w:tcW w:w="1060" w:type="dxa"/>
            <w:vAlign w:val="bottom"/>
            <w:shd w:val="clear" w:color="auto" w:fill="00548B"/>
          </w:tcPr>
          <w:p>
            <w:pPr>
              <w:ind w:left="180"/>
              <w:spacing w:after="0" w:line="135" w:lineRule="exact"/>
              <w:rPr>
                <w:sz w:val="20"/>
                <w:szCs w:val="20"/>
                <w:color w:val="auto"/>
              </w:rPr>
            </w:pPr>
            <w:r>
              <w:rPr>
                <w:rFonts w:ascii="Arial" w:cs="Arial" w:eastAsia="Arial" w:hAnsi="Arial"/>
                <w:sz w:val="13"/>
                <w:szCs w:val="13"/>
                <w:b w:val="1"/>
                <w:bCs w:val="1"/>
                <w:color w:val="D8D8D8"/>
              </w:rPr>
              <w:t>Committee</w:t>
            </w:r>
          </w:p>
        </w:tc>
        <w:tc>
          <w:tcPr>
            <w:tcW w:w="760" w:type="dxa"/>
            <w:vAlign w:val="bottom"/>
            <w:shd w:val="clear" w:color="auto" w:fill="00548B"/>
          </w:tcPr>
          <w:p>
            <w:pPr>
              <w:jc w:val="center"/>
              <w:ind w:right="11"/>
              <w:spacing w:after="0" w:line="135" w:lineRule="exact"/>
              <w:rPr>
                <w:sz w:val="20"/>
                <w:szCs w:val="20"/>
                <w:color w:val="auto"/>
              </w:rPr>
            </w:pPr>
            <w:r>
              <w:rPr>
                <w:rFonts w:ascii="Arial" w:cs="Arial" w:eastAsia="Arial" w:hAnsi="Arial"/>
                <w:sz w:val="13"/>
                <w:szCs w:val="13"/>
                <w:b w:val="1"/>
                <w:bCs w:val="1"/>
                <w:color w:val="D8D8D8"/>
                <w:w w:val="95"/>
              </w:rPr>
              <w:t>Threshold</w:t>
            </w:r>
          </w:p>
        </w:tc>
        <w:tc>
          <w:tcPr>
            <w:tcW w:w="70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D8D8D8"/>
                <w:w w:val="95"/>
              </w:rPr>
              <w:t>Target</w:t>
            </w:r>
          </w:p>
        </w:tc>
        <w:tc>
          <w:tcPr>
            <w:tcW w:w="1080" w:type="dxa"/>
            <w:vAlign w:val="bottom"/>
            <w:shd w:val="clear" w:color="auto" w:fill="00548B"/>
          </w:tcPr>
          <w:p>
            <w:pPr>
              <w:jc w:val="center"/>
              <w:ind w:right="189"/>
              <w:spacing w:after="0" w:line="135" w:lineRule="exact"/>
              <w:rPr>
                <w:sz w:val="20"/>
                <w:szCs w:val="20"/>
                <w:color w:val="auto"/>
              </w:rPr>
            </w:pPr>
            <w:r>
              <w:rPr>
                <w:rFonts w:ascii="Arial" w:cs="Arial" w:eastAsia="Arial" w:hAnsi="Arial"/>
                <w:sz w:val="13"/>
                <w:szCs w:val="13"/>
                <w:b w:val="1"/>
                <w:bCs w:val="1"/>
                <w:color w:val="D8D8D8"/>
                <w:w w:val="96"/>
              </w:rPr>
              <w:t>Maximum</w:t>
            </w:r>
          </w:p>
        </w:tc>
        <w:tc>
          <w:tcPr>
            <w:tcW w:w="760" w:type="dxa"/>
            <w:vAlign w:val="bottom"/>
            <w:shd w:val="clear" w:color="auto" w:fill="00548B"/>
          </w:tcPr>
          <w:p>
            <w:pPr>
              <w:ind w:left="60"/>
              <w:spacing w:after="0" w:line="135" w:lineRule="exact"/>
              <w:rPr>
                <w:sz w:val="20"/>
                <w:szCs w:val="20"/>
                <w:color w:val="auto"/>
              </w:rPr>
            </w:pPr>
            <w:r>
              <w:rPr>
                <w:rFonts w:ascii="Arial" w:cs="Arial" w:eastAsia="Arial" w:hAnsi="Arial"/>
                <w:sz w:val="13"/>
                <w:szCs w:val="13"/>
                <w:b w:val="1"/>
                <w:bCs w:val="1"/>
                <w:color w:val="D8D8D8"/>
              </w:rPr>
              <w:t>Threshold</w:t>
            </w:r>
          </w:p>
        </w:tc>
        <w:tc>
          <w:tcPr>
            <w:tcW w:w="62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D8D8D8"/>
                <w:w w:val="90"/>
              </w:rPr>
              <w:t>Target</w:t>
            </w:r>
          </w:p>
        </w:tc>
        <w:tc>
          <w:tcPr>
            <w:tcW w:w="780" w:type="dxa"/>
            <w:vAlign w:val="bottom"/>
            <w:shd w:val="clear" w:color="auto" w:fill="00548B"/>
          </w:tcPr>
          <w:p>
            <w:pPr>
              <w:jc w:val="right"/>
              <w:ind w:right="49"/>
              <w:spacing w:after="0" w:line="135" w:lineRule="exact"/>
              <w:rPr>
                <w:sz w:val="20"/>
                <w:szCs w:val="20"/>
                <w:color w:val="auto"/>
              </w:rPr>
            </w:pPr>
            <w:r>
              <w:rPr>
                <w:rFonts w:ascii="Arial" w:cs="Arial" w:eastAsia="Arial" w:hAnsi="Arial"/>
                <w:sz w:val="13"/>
                <w:szCs w:val="13"/>
                <w:b w:val="1"/>
                <w:bCs w:val="1"/>
                <w:color w:val="D8D8D8"/>
              </w:rPr>
              <w:t>Maximum</w:t>
            </w:r>
          </w:p>
        </w:tc>
        <w:tc>
          <w:tcPr>
            <w:tcW w:w="76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D8D8D8"/>
                <w:w w:val="95"/>
              </w:rPr>
              <w:t>Stock</w:t>
            </w:r>
          </w:p>
        </w:tc>
        <w:tc>
          <w:tcPr>
            <w:tcW w:w="86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D8D8D8"/>
              </w:rPr>
              <w:t>Award</w:t>
            </w:r>
          </w:p>
        </w:tc>
        <w:tc>
          <w:tcPr>
            <w:tcW w:w="0" w:type="dxa"/>
            <w:vAlign w:val="bottom"/>
          </w:tcPr>
          <w:p>
            <w:pPr>
              <w:spacing w:after="0"/>
              <w:rPr>
                <w:sz w:val="1"/>
                <w:szCs w:val="1"/>
                <w:color w:val="auto"/>
              </w:rPr>
            </w:pPr>
          </w:p>
        </w:tc>
      </w:tr>
      <w:tr>
        <w:trPr>
          <w:trHeight w:val="170"/>
        </w:trPr>
        <w:tc>
          <w:tcPr>
            <w:tcW w:w="2920" w:type="dxa"/>
            <w:vAlign w:val="bottom"/>
            <w:shd w:val="clear" w:color="auto" w:fill="00548B"/>
          </w:tcPr>
          <w:p>
            <w:pPr>
              <w:spacing w:after="0"/>
              <w:rPr>
                <w:sz w:val="20"/>
                <w:szCs w:val="20"/>
                <w:color w:val="auto"/>
              </w:rPr>
            </w:pPr>
            <w:r>
              <w:rPr>
                <w:rFonts w:ascii="Arial" w:cs="Arial" w:eastAsia="Arial" w:hAnsi="Arial"/>
                <w:sz w:val="13"/>
                <w:szCs w:val="13"/>
                <w:b w:val="1"/>
                <w:bCs w:val="1"/>
                <w:color w:val="D8D8D8"/>
              </w:rPr>
              <w:t>Name</w:t>
            </w:r>
          </w:p>
        </w:tc>
        <w:tc>
          <w:tcPr>
            <w:tcW w:w="720" w:type="dxa"/>
            <w:vAlign w:val="bottom"/>
            <w:shd w:val="clear" w:color="auto" w:fill="00548B"/>
          </w:tcPr>
          <w:p>
            <w:pPr>
              <w:jc w:val="right"/>
              <w:ind w:right="170"/>
              <w:spacing w:after="0"/>
              <w:rPr>
                <w:sz w:val="20"/>
                <w:szCs w:val="20"/>
                <w:color w:val="auto"/>
              </w:rPr>
            </w:pPr>
            <w:r>
              <w:rPr>
                <w:rFonts w:ascii="Arial" w:cs="Arial" w:eastAsia="Arial" w:hAnsi="Arial"/>
                <w:sz w:val="13"/>
                <w:szCs w:val="13"/>
                <w:b w:val="1"/>
                <w:bCs w:val="1"/>
                <w:color w:val="D8D8D8"/>
              </w:rPr>
              <w:t>Date</w:t>
            </w:r>
          </w:p>
        </w:tc>
        <w:tc>
          <w:tcPr>
            <w:tcW w:w="1060" w:type="dxa"/>
            <w:vAlign w:val="bottom"/>
            <w:shd w:val="clear" w:color="auto" w:fill="00548B"/>
          </w:tcPr>
          <w:p>
            <w:pPr>
              <w:ind w:left="320"/>
              <w:spacing w:after="0"/>
              <w:rPr>
                <w:sz w:val="20"/>
                <w:szCs w:val="20"/>
                <w:color w:val="auto"/>
              </w:rPr>
            </w:pPr>
            <w:r>
              <w:rPr>
                <w:rFonts w:ascii="Arial" w:cs="Arial" w:eastAsia="Arial" w:hAnsi="Arial"/>
                <w:sz w:val="13"/>
                <w:szCs w:val="13"/>
                <w:b w:val="1"/>
                <w:bCs w:val="1"/>
                <w:color w:val="D8D8D8"/>
              </w:rPr>
              <w:t>Action</w:t>
            </w:r>
          </w:p>
        </w:tc>
        <w:tc>
          <w:tcPr>
            <w:tcW w:w="760" w:type="dxa"/>
            <w:vAlign w:val="bottom"/>
            <w:shd w:val="clear" w:color="auto" w:fill="00548B"/>
          </w:tcPr>
          <w:p>
            <w:pPr>
              <w:jc w:val="center"/>
              <w:ind w:right="11"/>
              <w:spacing w:after="0"/>
              <w:rPr>
                <w:sz w:val="20"/>
                <w:szCs w:val="20"/>
                <w:color w:val="auto"/>
              </w:rPr>
            </w:pPr>
            <w:r>
              <w:rPr>
                <w:rFonts w:ascii="Arial" w:cs="Arial" w:eastAsia="Arial" w:hAnsi="Arial"/>
                <w:sz w:val="13"/>
                <w:szCs w:val="13"/>
                <w:b w:val="1"/>
                <w:bCs w:val="1"/>
                <w:color w:val="D8D8D8"/>
              </w:rPr>
              <w:t>($)</w:t>
            </w:r>
          </w:p>
        </w:tc>
        <w:tc>
          <w:tcPr>
            <w:tcW w:w="700" w:type="dxa"/>
            <w:vAlign w:val="bottom"/>
            <w:shd w:val="clear" w:color="auto" w:fill="00548B"/>
          </w:tcPr>
          <w:p>
            <w:pPr>
              <w:jc w:val="right"/>
              <w:ind w:right="229"/>
              <w:spacing w:after="0"/>
              <w:rPr>
                <w:sz w:val="20"/>
                <w:szCs w:val="20"/>
                <w:color w:val="auto"/>
              </w:rPr>
            </w:pPr>
            <w:r>
              <w:rPr>
                <w:rFonts w:ascii="Arial" w:cs="Arial" w:eastAsia="Arial" w:hAnsi="Arial"/>
                <w:sz w:val="13"/>
                <w:szCs w:val="13"/>
                <w:b w:val="1"/>
                <w:bCs w:val="1"/>
                <w:color w:val="D8D8D8"/>
              </w:rPr>
              <w:t>($)</w:t>
            </w:r>
          </w:p>
        </w:tc>
        <w:tc>
          <w:tcPr>
            <w:tcW w:w="1080" w:type="dxa"/>
            <w:vAlign w:val="bottom"/>
            <w:shd w:val="clear" w:color="auto" w:fill="00548B"/>
          </w:tcPr>
          <w:p>
            <w:pPr>
              <w:jc w:val="center"/>
              <w:ind w:right="209"/>
              <w:spacing w:after="0"/>
              <w:rPr>
                <w:sz w:val="20"/>
                <w:szCs w:val="20"/>
                <w:color w:val="auto"/>
              </w:rPr>
            </w:pPr>
            <w:r>
              <w:rPr>
                <w:rFonts w:ascii="Arial" w:cs="Arial" w:eastAsia="Arial" w:hAnsi="Arial"/>
                <w:sz w:val="13"/>
                <w:szCs w:val="13"/>
                <w:b w:val="1"/>
                <w:bCs w:val="1"/>
                <w:color w:val="D8D8D8"/>
              </w:rPr>
              <w:t>($)</w:t>
            </w:r>
          </w:p>
        </w:tc>
        <w:tc>
          <w:tcPr>
            <w:tcW w:w="760" w:type="dxa"/>
            <w:vAlign w:val="bottom"/>
            <w:shd w:val="clear" w:color="auto" w:fill="00548B"/>
          </w:tcPr>
          <w:p>
            <w:pPr>
              <w:ind w:left="280"/>
              <w:spacing w:after="0"/>
              <w:rPr>
                <w:sz w:val="20"/>
                <w:szCs w:val="20"/>
                <w:color w:val="auto"/>
              </w:rPr>
            </w:pPr>
            <w:r>
              <w:rPr>
                <w:rFonts w:ascii="Arial" w:cs="Arial" w:eastAsia="Arial" w:hAnsi="Arial"/>
                <w:sz w:val="13"/>
                <w:szCs w:val="13"/>
                <w:b w:val="1"/>
                <w:bCs w:val="1"/>
                <w:color w:val="D8D8D8"/>
              </w:rPr>
              <w:t>(#)</w:t>
            </w:r>
          </w:p>
        </w:tc>
        <w:tc>
          <w:tcPr>
            <w:tcW w:w="620" w:type="dxa"/>
            <w:vAlign w:val="bottom"/>
            <w:shd w:val="clear" w:color="auto" w:fill="00548B"/>
          </w:tcPr>
          <w:p>
            <w:pPr>
              <w:jc w:val="center"/>
              <w:spacing w:after="0"/>
              <w:rPr>
                <w:sz w:val="20"/>
                <w:szCs w:val="20"/>
                <w:color w:val="auto"/>
              </w:rPr>
            </w:pPr>
            <w:r>
              <w:rPr>
                <w:rFonts w:ascii="Arial" w:cs="Arial" w:eastAsia="Arial" w:hAnsi="Arial"/>
                <w:sz w:val="13"/>
                <w:szCs w:val="13"/>
                <w:b w:val="1"/>
                <w:bCs w:val="1"/>
                <w:color w:val="D8D8D8"/>
              </w:rPr>
              <w:t>(#)</w:t>
            </w:r>
          </w:p>
        </w:tc>
        <w:tc>
          <w:tcPr>
            <w:tcW w:w="780" w:type="dxa"/>
            <w:vAlign w:val="bottom"/>
            <w:shd w:val="clear" w:color="auto" w:fill="00548B"/>
          </w:tcPr>
          <w:p>
            <w:pPr>
              <w:jc w:val="right"/>
              <w:ind w:right="269"/>
              <w:spacing w:after="0"/>
              <w:rPr>
                <w:sz w:val="20"/>
                <w:szCs w:val="20"/>
                <w:color w:val="auto"/>
              </w:rPr>
            </w:pPr>
            <w:r>
              <w:rPr>
                <w:rFonts w:ascii="Arial" w:cs="Arial" w:eastAsia="Arial" w:hAnsi="Arial"/>
                <w:sz w:val="13"/>
                <w:szCs w:val="13"/>
                <w:b w:val="1"/>
                <w:bCs w:val="1"/>
                <w:color w:val="D8D8D8"/>
              </w:rPr>
              <w:t>(#)</w:t>
            </w:r>
          </w:p>
        </w:tc>
        <w:tc>
          <w:tcPr>
            <w:tcW w:w="760" w:type="dxa"/>
            <w:vAlign w:val="bottom"/>
            <w:shd w:val="clear" w:color="auto" w:fill="00548B"/>
          </w:tcPr>
          <w:p>
            <w:pPr>
              <w:jc w:val="center"/>
              <w:spacing w:after="0"/>
              <w:rPr>
                <w:sz w:val="20"/>
                <w:szCs w:val="20"/>
                <w:color w:val="auto"/>
              </w:rPr>
            </w:pPr>
            <w:r>
              <w:rPr>
                <w:rFonts w:ascii="Arial" w:cs="Arial" w:eastAsia="Arial" w:hAnsi="Arial"/>
                <w:sz w:val="13"/>
                <w:szCs w:val="13"/>
                <w:b w:val="1"/>
                <w:bCs w:val="1"/>
                <w:color w:val="D8D8D8"/>
                <w:w w:val="94"/>
              </w:rPr>
              <w:t>(#)(3)</w:t>
            </w:r>
          </w:p>
        </w:tc>
        <w:tc>
          <w:tcPr>
            <w:tcW w:w="860" w:type="dxa"/>
            <w:vAlign w:val="bottom"/>
            <w:shd w:val="clear" w:color="auto" w:fill="00548B"/>
          </w:tcPr>
          <w:p>
            <w:pPr>
              <w:jc w:val="center"/>
              <w:spacing w:after="0"/>
              <w:rPr>
                <w:sz w:val="20"/>
                <w:szCs w:val="20"/>
                <w:color w:val="auto"/>
              </w:rPr>
            </w:pPr>
            <w:r>
              <w:rPr>
                <w:rFonts w:ascii="Arial" w:cs="Arial" w:eastAsia="Arial" w:hAnsi="Arial"/>
                <w:sz w:val="13"/>
                <w:szCs w:val="13"/>
                <w:b w:val="1"/>
                <w:bCs w:val="1"/>
                <w:color w:val="D8D8D8"/>
              </w:rPr>
              <w:t>($)(4)</w:t>
            </w:r>
          </w:p>
        </w:tc>
        <w:tc>
          <w:tcPr>
            <w:tcW w:w="0" w:type="dxa"/>
            <w:vAlign w:val="bottom"/>
          </w:tcPr>
          <w:p>
            <w:pPr>
              <w:spacing w:after="0"/>
              <w:rPr>
                <w:sz w:val="1"/>
                <w:szCs w:val="1"/>
                <w:color w:val="auto"/>
              </w:rPr>
            </w:pPr>
          </w:p>
        </w:tc>
      </w:tr>
      <w:tr>
        <w:trPr>
          <w:trHeight w:val="167"/>
        </w:trPr>
        <w:tc>
          <w:tcPr>
            <w:tcW w:w="2920" w:type="dxa"/>
            <w:vAlign w:val="bottom"/>
          </w:tcPr>
          <w:p>
            <w:pPr>
              <w:spacing w:after="0"/>
              <w:rPr>
                <w:sz w:val="20"/>
                <w:szCs w:val="20"/>
                <w:color w:val="auto"/>
              </w:rPr>
            </w:pPr>
            <w:r>
              <w:rPr>
                <w:rFonts w:ascii="Arial" w:cs="Arial" w:eastAsia="Arial" w:hAnsi="Arial"/>
                <w:sz w:val="14"/>
                <w:szCs w:val="14"/>
                <w:color w:val="auto"/>
              </w:rPr>
              <w:t>James H. Roth</w:t>
            </w: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3/1/2019</w:t>
            </w:r>
          </w:p>
        </w:tc>
        <w:tc>
          <w:tcPr>
            <w:tcW w:w="1060" w:type="dxa"/>
            <w:vAlign w:val="bottom"/>
          </w:tcPr>
          <w:p>
            <w:pPr>
              <w:ind w:left="300"/>
              <w:spacing w:after="0"/>
              <w:rPr>
                <w:sz w:val="20"/>
                <w:szCs w:val="20"/>
                <w:color w:val="auto"/>
              </w:rPr>
            </w:pPr>
            <w:r>
              <w:rPr>
                <w:rFonts w:ascii="Arial" w:cs="Arial" w:eastAsia="Arial" w:hAnsi="Arial"/>
                <w:sz w:val="14"/>
                <w:szCs w:val="14"/>
                <w:color w:val="auto"/>
              </w:rPr>
              <w:t>2/26/2019</w:t>
            </w:r>
          </w:p>
        </w:tc>
        <w:tc>
          <w:tcPr>
            <w:tcW w:w="7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80" w:type="dxa"/>
            <w:vAlign w:val="bottom"/>
          </w:tcPr>
          <w:p>
            <w:pPr>
              <w:jc w:val="center"/>
              <w:ind w:right="149"/>
              <w:spacing w:after="0"/>
              <w:rPr>
                <w:sz w:val="20"/>
                <w:szCs w:val="20"/>
                <w:color w:val="auto"/>
              </w:rPr>
            </w:pPr>
            <w:r>
              <w:rPr>
                <w:rFonts w:ascii="Arial" w:cs="Arial" w:eastAsia="Arial" w:hAnsi="Arial"/>
                <w:sz w:val="14"/>
                <w:szCs w:val="14"/>
                <w:color w:val="auto"/>
                <w:w w:val="99"/>
              </w:rPr>
              <w:t>—</w:t>
            </w:r>
          </w:p>
        </w:tc>
        <w:tc>
          <w:tcPr>
            <w:tcW w:w="760" w:type="dxa"/>
            <w:vAlign w:val="bottom"/>
          </w:tcPr>
          <w:p>
            <w:pPr>
              <w:ind w:left="300"/>
              <w:spacing w:after="0"/>
              <w:rPr>
                <w:sz w:val="20"/>
                <w:szCs w:val="20"/>
                <w:color w:val="auto"/>
              </w:rPr>
            </w:pPr>
            <w:r>
              <w:rPr>
                <w:rFonts w:ascii="Arial" w:cs="Arial" w:eastAsia="Arial" w:hAnsi="Arial"/>
                <w:sz w:val="14"/>
                <w:szCs w:val="14"/>
                <w:color w:val="auto"/>
              </w:rPr>
              <w:t>7,394</w:t>
            </w:r>
          </w:p>
        </w:tc>
        <w:tc>
          <w:tcPr>
            <w:tcW w:w="620" w:type="dxa"/>
            <w:vAlign w:val="bottom"/>
          </w:tcPr>
          <w:p>
            <w:pPr>
              <w:jc w:val="center"/>
              <w:spacing w:after="0"/>
              <w:rPr>
                <w:sz w:val="20"/>
                <w:szCs w:val="20"/>
                <w:color w:val="auto"/>
              </w:rPr>
            </w:pPr>
            <w:r>
              <w:rPr>
                <w:rFonts w:ascii="Arial" w:cs="Arial" w:eastAsia="Arial" w:hAnsi="Arial"/>
                <w:sz w:val="14"/>
                <w:szCs w:val="14"/>
                <w:color w:val="auto"/>
              </w:rPr>
              <w:t>29,574</w:t>
            </w: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59,148</w:t>
            </w:r>
          </w:p>
        </w:tc>
        <w:tc>
          <w:tcPr>
            <w:tcW w:w="7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60" w:type="dxa"/>
            <w:vAlign w:val="bottom"/>
          </w:tcPr>
          <w:p>
            <w:pPr>
              <w:jc w:val="right"/>
              <w:ind w:right="51"/>
              <w:spacing w:after="0"/>
              <w:rPr>
                <w:sz w:val="20"/>
                <w:szCs w:val="20"/>
                <w:color w:val="auto"/>
              </w:rPr>
            </w:pPr>
            <w:r>
              <w:rPr>
                <w:rFonts w:ascii="Arial" w:cs="Arial" w:eastAsia="Arial" w:hAnsi="Arial"/>
                <w:sz w:val="14"/>
                <w:szCs w:val="14"/>
                <w:color w:val="auto"/>
              </w:rPr>
              <w:t>1,417,482</w:t>
            </w:r>
          </w:p>
        </w:tc>
        <w:tc>
          <w:tcPr>
            <w:tcW w:w="0" w:type="dxa"/>
            <w:vAlign w:val="bottom"/>
          </w:tcPr>
          <w:p>
            <w:pPr>
              <w:spacing w:after="0"/>
              <w:rPr>
                <w:sz w:val="1"/>
                <w:szCs w:val="1"/>
                <w:color w:val="auto"/>
              </w:rPr>
            </w:pPr>
          </w:p>
        </w:tc>
      </w:tr>
      <w:tr>
        <w:trPr>
          <w:trHeight w:val="162"/>
        </w:trPr>
        <w:tc>
          <w:tcPr>
            <w:tcW w:w="2920" w:type="dxa"/>
            <w:vAlign w:val="bottom"/>
          </w:tcPr>
          <w:p>
            <w:pPr>
              <w:spacing w:after="0"/>
              <w:rPr>
                <w:sz w:val="14"/>
                <w:szCs w:val="14"/>
                <w:color w:val="auto"/>
              </w:rPr>
            </w:pP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3/1/2019</w:t>
            </w:r>
          </w:p>
        </w:tc>
        <w:tc>
          <w:tcPr>
            <w:tcW w:w="1060" w:type="dxa"/>
            <w:vAlign w:val="bottom"/>
          </w:tcPr>
          <w:p>
            <w:pPr>
              <w:ind w:left="300"/>
              <w:spacing w:after="0"/>
              <w:rPr>
                <w:sz w:val="20"/>
                <w:szCs w:val="20"/>
                <w:color w:val="auto"/>
              </w:rPr>
            </w:pPr>
            <w:r>
              <w:rPr>
                <w:rFonts w:ascii="Arial" w:cs="Arial" w:eastAsia="Arial" w:hAnsi="Arial"/>
                <w:sz w:val="14"/>
                <w:szCs w:val="14"/>
                <w:color w:val="auto"/>
              </w:rPr>
              <w:t>2/26/2019</w:t>
            </w:r>
          </w:p>
        </w:tc>
        <w:tc>
          <w:tcPr>
            <w:tcW w:w="7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80" w:type="dxa"/>
            <w:vAlign w:val="bottom"/>
          </w:tcPr>
          <w:p>
            <w:pPr>
              <w:jc w:val="center"/>
              <w:ind w:right="149"/>
              <w:spacing w:after="0"/>
              <w:rPr>
                <w:sz w:val="20"/>
                <w:szCs w:val="20"/>
                <w:color w:val="auto"/>
              </w:rPr>
            </w:pPr>
            <w:r>
              <w:rPr>
                <w:rFonts w:ascii="Arial" w:cs="Arial" w:eastAsia="Arial" w:hAnsi="Arial"/>
                <w:sz w:val="14"/>
                <w:szCs w:val="14"/>
                <w:color w:val="auto"/>
                <w:w w:val="99"/>
              </w:rPr>
              <w:t>—</w:t>
            </w:r>
          </w:p>
        </w:tc>
        <w:tc>
          <w:tcPr>
            <w:tcW w:w="760" w:type="dxa"/>
            <w:vAlign w:val="bottom"/>
          </w:tcPr>
          <w:p>
            <w:pPr>
              <w:ind w:left="320"/>
              <w:spacing w:after="0"/>
              <w:rPr>
                <w:sz w:val="20"/>
                <w:szCs w:val="20"/>
                <w:color w:val="auto"/>
              </w:rPr>
            </w:pPr>
            <w:r>
              <w:rPr>
                <w:rFonts w:ascii="Arial" w:cs="Arial" w:eastAsia="Arial" w:hAnsi="Arial"/>
                <w:sz w:val="14"/>
                <w:szCs w:val="14"/>
                <w:color w:val="auto"/>
              </w:rPr>
              <w:t>—</w:t>
            </w:r>
          </w:p>
        </w:tc>
        <w:tc>
          <w:tcPr>
            <w:tcW w:w="620" w:type="dxa"/>
            <w:vAlign w:val="bottom"/>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60" w:type="dxa"/>
            <w:vAlign w:val="bottom"/>
          </w:tcPr>
          <w:p>
            <w:pPr>
              <w:jc w:val="right"/>
              <w:ind w:right="31"/>
              <w:spacing w:after="0"/>
              <w:rPr>
                <w:sz w:val="20"/>
                <w:szCs w:val="20"/>
                <w:color w:val="auto"/>
              </w:rPr>
            </w:pPr>
            <w:r>
              <w:rPr>
                <w:rFonts w:ascii="Arial" w:cs="Arial" w:eastAsia="Arial" w:hAnsi="Arial"/>
                <w:sz w:val="14"/>
                <w:szCs w:val="14"/>
                <w:color w:val="auto"/>
              </w:rPr>
              <w:t>12,675</w:t>
            </w:r>
          </w:p>
        </w:tc>
        <w:tc>
          <w:tcPr>
            <w:tcW w:w="860" w:type="dxa"/>
            <w:vAlign w:val="bottom"/>
          </w:tcPr>
          <w:p>
            <w:pPr>
              <w:jc w:val="right"/>
              <w:ind w:right="51"/>
              <w:spacing w:after="0"/>
              <w:rPr>
                <w:sz w:val="20"/>
                <w:szCs w:val="20"/>
                <w:color w:val="auto"/>
              </w:rPr>
            </w:pPr>
            <w:r>
              <w:rPr>
                <w:rFonts w:ascii="Arial" w:cs="Arial" w:eastAsia="Arial" w:hAnsi="Arial"/>
                <w:sz w:val="14"/>
                <w:szCs w:val="14"/>
                <w:color w:val="auto"/>
              </w:rPr>
              <w:t>607,513</w:t>
            </w:r>
          </w:p>
        </w:tc>
        <w:tc>
          <w:tcPr>
            <w:tcW w:w="0" w:type="dxa"/>
            <w:vAlign w:val="bottom"/>
          </w:tcPr>
          <w:p>
            <w:pPr>
              <w:spacing w:after="0"/>
              <w:rPr>
                <w:sz w:val="1"/>
                <w:szCs w:val="1"/>
                <w:color w:val="auto"/>
              </w:rPr>
            </w:pPr>
          </w:p>
        </w:tc>
      </w:tr>
      <w:tr>
        <w:trPr>
          <w:trHeight w:val="157"/>
        </w:trPr>
        <w:tc>
          <w:tcPr>
            <w:tcW w:w="2920" w:type="dxa"/>
            <w:vAlign w:val="bottom"/>
            <w:tcBorders>
              <w:bottom w:val="single" w:sz="8" w:color="999999"/>
            </w:tcBorders>
          </w:tcPr>
          <w:p>
            <w:pPr>
              <w:spacing w:after="0"/>
              <w:rPr>
                <w:sz w:val="13"/>
                <w:szCs w:val="13"/>
                <w:color w:val="auto"/>
              </w:rPr>
            </w:pPr>
          </w:p>
        </w:tc>
        <w:tc>
          <w:tcPr>
            <w:tcW w:w="720" w:type="dxa"/>
            <w:vAlign w:val="bottom"/>
            <w:tcBorders>
              <w:bottom w:val="single" w:sz="8" w:color="999999"/>
            </w:tcBorders>
          </w:tcPr>
          <w:p>
            <w:pPr>
              <w:spacing w:after="0"/>
              <w:rPr>
                <w:sz w:val="13"/>
                <w:szCs w:val="13"/>
                <w:color w:val="auto"/>
              </w:rPr>
            </w:pPr>
          </w:p>
        </w:tc>
        <w:tc>
          <w:tcPr>
            <w:tcW w:w="1060" w:type="dxa"/>
            <w:vAlign w:val="bottom"/>
            <w:tcBorders>
              <w:bottom w:val="single" w:sz="8" w:color="999999"/>
            </w:tcBorders>
          </w:tcPr>
          <w:p>
            <w:pPr>
              <w:spacing w:after="0"/>
              <w:rPr>
                <w:sz w:val="13"/>
                <w:szCs w:val="13"/>
                <w:color w:val="auto"/>
              </w:rPr>
            </w:pPr>
          </w:p>
        </w:tc>
        <w:tc>
          <w:tcPr>
            <w:tcW w:w="760" w:type="dxa"/>
            <w:vAlign w:val="bottom"/>
            <w:tcBorders>
              <w:bottom w:val="single" w:sz="8" w:color="999999"/>
            </w:tcBorders>
          </w:tcPr>
          <w:p>
            <w:pPr>
              <w:jc w:val="right"/>
              <w:ind w:right="31"/>
              <w:spacing w:after="0" w:line="157" w:lineRule="exact"/>
              <w:rPr>
                <w:sz w:val="20"/>
                <w:szCs w:val="20"/>
                <w:color w:val="auto"/>
              </w:rPr>
            </w:pPr>
            <w:r>
              <w:rPr>
                <w:rFonts w:ascii="Arial" w:cs="Arial" w:eastAsia="Arial" w:hAnsi="Arial"/>
                <w:sz w:val="14"/>
                <w:szCs w:val="14"/>
                <w:color w:val="auto"/>
              </w:rPr>
              <w:t>247,500</w:t>
            </w:r>
          </w:p>
        </w:tc>
        <w:tc>
          <w:tcPr>
            <w:tcW w:w="700" w:type="dxa"/>
            <w:vAlign w:val="bottom"/>
            <w:tcBorders>
              <w:bottom w:val="single" w:sz="8" w:color="999999"/>
            </w:tcBorders>
          </w:tcPr>
          <w:p>
            <w:pPr>
              <w:jc w:val="center"/>
              <w:spacing w:after="0" w:line="157" w:lineRule="exact"/>
              <w:rPr>
                <w:sz w:val="20"/>
                <w:szCs w:val="20"/>
                <w:color w:val="auto"/>
              </w:rPr>
            </w:pPr>
            <w:r>
              <w:rPr>
                <w:rFonts w:ascii="Arial" w:cs="Arial" w:eastAsia="Arial" w:hAnsi="Arial"/>
                <w:sz w:val="14"/>
                <w:szCs w:val="14"/>
                <w:color w:val="auto"/>
              </w:rPr>
              <w:t>990,000</w:t>
            </w:r>
          </w:p>
        </w:tc>
        <w:tc>
          <w:tcPr>
            <w:tcW w:w="1080" w:type="dxa"/>
            <w:vAlign w:val="bottom"/>
            <w:tcBorders>
              <w:bottom w:val="single" w:sz="8" w:color="999999"/>
            </w:tcBorders>
          </w:tcPr>
          <w:p>
            <w:pPr>
              <w:jc w:val="right"/>
              <w:ind w:right="269"/>
              <w:spacing w:after="0" w:line="157" w:lineRule="exact"/>
              <w:rPr>
                <w:sz w:val="20"/>
                <w:szCs w:val="20"/>
                <w:color w:val="auto"/>
              </w:rPr>
            </w:pPr>
            <w:r>
              <w:rPr>
                <w:rFonts w:ascii="Arial" w:cs="Arial" w:eastAsia="Arial" w:hAnsi="Arial"/>
                <w:sz w:val="14"/>
                <w:szCs w:val="14"/>
                <w:color w:val="auto"/>
              </w:rPr>
              <w:t>1,980,000</w:t>
            </w:r>
          </w:p>
        </w:tc>
        <w:tc>
          <w:tcPr>
            <w:tcW w:w="760" w:type="dxa"/>
            <w:vAlign w:val="bottom"/>
            <w:tcBorders>
              <w:bottom w:val="single" w:sz="8" w:color="999999"/>
            </w:tcBorders>
          </w:tcPr>
          <w:p>
            <w:pPr>
              <w:ind w:left="320"/>
              <w:spacing w:after="0" w:line="157"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999999"/>
            </w:tcBorders>
          </w:tcPr>
          <w:p>
            <w:pPr>
              <w:jc w:val="center"/>
              <w:spacing w:after="0" w:line="157"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999999"/>
            </w:tcBorders>
          </w:tcPr>
          <w:p>
            <w:pPr>
              <w:jc w:val="center"/>
              <w:spacing w:after="0" w:line="157" w:lineRule="exact"/>
              <w:rPr>
                <w:sz w:val="20"/>
                <w:szCs w:val="20"/>
                <w:color w:val="auto"/>
              </w:rPr>
            </w:pPr>
            <w:r>
              <w:rPr>
                <w:rFonts w:ascii="Arial" w:cs="Arial" w:eastAsia="Arial" w:hAnsi="Arial"/>
                <w:sz w:val="14"/>
                <w:szCs w:val="14"/>
                <w:color w:val="auto"/>
                <w:w w:val="99"/>
              </w:rPr>
              <w:t>—</w:t>
            </w:r>
          </w:p>
        </w:tc>
        <w:tc>
          <w:tcPr>
            <w:tcW w:w="760" w:type="dxa"/>
            <w:vAlign w:val="bottom"/>
            <w:tcBorders>
              <w:bottom w:val="single" w:sz="8" w:color="999999"/>
            </w:tcBorders>
          </w:tcPr>
          <w:p>
            <w:pPr>
              <w:jc w:val="center"/>
              <w:spacing w:after="0" w:line="157" w:lineRule="exact"/>
              <w:rPr>
                <w:sz w:val="20"/>
                <w:szCs w:val="20"/>
                <w:color w:val="auto"/>
              </w:rPr>
            </w:pPr>
            <w:r>
              <w:rPr>
                <w:rFonts w:ascii="Arial" w:cs="Arial" w:eastAsia="Arial" w:hAnsi="Arial"/>
                <w:sz w:val="14"/>
                <w:szCs w:val="14"/>
                <w:color w:val="auto"/>
                <w:w w:val="99"/>
              </w:rPr>
              <w:t>—</w:t>
            </w:r>
          </w:p>
        </w:tc>
        <w:tc>
          <w:tcPr>
            <w:tcW w:w="860" w:type="dxa"/>
            <w:vAlign w:val="bottom"/>
            <w:tcBorders>
              <w:bottom w:val="single" w:sz="8" w:color="999999"/>
            </w:tcBorders>
          </w:tcPr>
          <w:p>
            <w:pPr>
              <w:jc w:val="center"/>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2920" w:type="dxa"/>
            <w:vAlign w:val="bottom"/>
          </w:tcPr>
          <w:p>
            <w:pPr>
              <w:spacing w:after="0"/>
              <w:rPr>
                <w:sz w:val="20"/>
                <w:szCs w:val="20"/>
                <w:color w:val="auto"/>
              </w:rPr>
            </w:pPr>
            <w:r>
              <w:rPr>
                <w:rFonts w:ascii="Arial" w:cs="Arial" w:eastAsia="Arial" w:hAnsi="Arial"/>
                <w:sz w:val="14"/>
                <w:szCs w:val="14"/>
                <w:color w:val="auto"/>
              </w:rPr>
              <w:t>C. Mark Hussey</w:t>
            </w: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3/1/2019</w:t>
            </w:r>
          </w:p>
        </w:tc>
        <w:tc>
          <w:tcPr>
            <w:tcW w:w="1060" w:type="dxa"/>
            <w:vAlign w:val="bottom"/>
          </w:tcPr>
          <w:p>
            <w:pPr>
              <w:ind w:left="300"/>
              <w:spacing w:after="0"/>
              <w:rPr>
                <w:sz w:val="20"/>
                <w:szCs w:val="20"/>
                <w:color w:val="auto"/>
              </w:rPr>
            </w:pPr>
            <w:r>
              <w:rPr>
                <w:rFonts w:ascii="Arial" w:cs="Arial" w:eastAsia="Arial" w:hAnsi="Arial"/>
                <w:sz w:val="14"/>
                <w:szCs w:val="14"/>
                <w:color w:val="auto"/>
              </w:rPr>
              <w:t>2/26/2019</w:t>
            </w:r>
          </w:p>
        </w:tc>
        <w:tc>
          <w:tcPr>
            <w:tcW w:w="7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80" w:type="dxa"/>
            <w:vAlign w:val="bottom"/>
          </w:tcPr>
          <w:p>
            <w:pPr>
              <w:jc w:val="center"/>
              <w:ind w:right="149"/>
              <w:spacing w:after="0"/>
              <w:rPr>
                <w:sz w:val="20"/>
                <w:szCs w:val="20"/>
                <w:color w:val="auto"/>
              </w:rPr>
            </w:pPr>
            <w:r>
              <w:rPr>
                <w:rFonts w:ascii="Arial" w:cs="Arial" w:eastAsia="Arial" w:hAnsi="Arial"/>
                <w:sz w:val="14"/>
                <w:szCs w:val="14"/>
                <w:color w:val="auto"/>
                <w:w w:val="99"/>
              </w:rPr>
              <w:t>—</w:t>
            </w:r>
          </w:p>
        </w:tc>
        <w:tc>
          <w:tcPr>
            <w:tcW w:w="760" w:type="dxa"/>
            <w:vAlign w:val="bottom"/>
          </w:tcPr>
          <w:p>
            <w:pPr>
              <w:ind w:left="300"/>
              <w:spacing w:after="0"/>
              <w:rPr>
                <w:sz w:val="20"/>
                <w:szCs w:val="20"/>
                <w:color w:val="auto"/>
              </w:rPr>
            </w:pPr>
            <w:r>
              <w:rPr>
                <w:rFonts w:ascii="Arial" w:cs="Arial" w:eastAsia="Arial" w:hAnsi="Arial"/>
                <w:sz w:val="14"/>
                <w:szCs w:val="14"/>
                <w:color w:val="auto"/>
              </w:rPr>
              <w:t>4,792</w:t>
            </w:r>
          </w:p>
        </w:tc>
        <w:tc>
          <w:tcPr>
            <w:tcW w:w="620" w:type="dxa"/>
            <w:vAlign w:val="bottom"/>
          </w:tcPr>
          <w:p>
            <w:pPr>
              <w:jc w:val="center"/>
              <w:spacing w:after="0"/>
              <w:rPr>
                <w:sz w:val="20"/>
                <w:szCs w:val="20"/>
                <w:color w:val="auto"/>
              </w:rPr>
            </w:pPr>
            <w:r>
              <w:rPr>
                <w:rFonts w:ascii="Arial" w:cs="Arial" w:eastAsia="Arial" w:hAnsi="Arial"/>
                <w:sz w:val="14"/>
                <w:szCs w:val="14"/>
                <w:color w:val="auto"/>
              </w:rPr>
              <w:t>19,169</w:t>
            </w: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38,338</w:t>
            </w:r>
          </w:p>
        </w:tc>
        <w:tc>
          <w:tcPr>
            <w:tcW w:w="7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60" w:type="dxa"/>
            <w:vAlign w:val="bottom"/>
          </w:tcPr>
          <w:p>
            <w:pPr>
              <w:jc w:val="right"/>
              <w:ind w:right="51"/>
              <w:spacing w:after="0"/>
              <w:rPr>
                <w:sz w:val="20"/>
                <w:szCs w:val="20"/>
                <w:color w:val="auto"/>
              </w:rPr>
            </w:pPr>
            <w:r>
              <w:rPr>
                <w:rFonts w:ascii="Arial" w:cs="Arial" w:eastAsia="Arial" w:hAnsi="Arial"/>
                <w:sz w:val="14"/>
                <w:szCs w:val="14"/>
                <w:color w:val="auto"/>
              </w:rPr>
              <w:t>918,770</w:t>
            </w:r>
          </w:p>
        </w:tc>
        <w:tc>
          <w:tcPr>
            <w:tcW w:w="0" w:type="dxa"/>
            <w:vAlign w:val="bottom"/>
          </w:tcPr>
          <w:p>
            <w:pPr>
              <w:spacing w:after="0"/>
              <w:rPr>
                <w:sz w:val="1"/>
                <w:szCs w:val="1"/>
                <w:color w:val="auto"/>
              </w:rPr>
            </w:pPr>
          </w:p>
        </w:tc>
      </w:tr>
      <w:tr>
        <w:trPr>
          <w:trHeight w:val="162"/>
        </w:trPr>
        <w:tc>
          <w:tcPr>
            <w:tcW w:w="2920" w:type="dxa"/>
            <w:vAlign w:val="bottom"/>
          </w:tcPr>
          <w:p>
            <w:pPr>
              <w:spacing w:after="0"/>
              <w:rPr>
                <w:sz w:val="14"/>
                <w:szCs w:val="14"/>
                <w:color w:val="auto"/>
              </w:rPr>
            </w:pP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3/1/2019</w:t>
            </w:r>
          </w:p>
        </w:tc>
        <w:tc>
          <w:tcPr>
            <w:tcW w:w="1060" w:type="dxa"/>
            <w:vAlign w:val="bottom"/>
          </w:tcPr>
          <w:p>
            <w:pPr>
              <w:ind w:left="300"/>
              <w:spacing w:after="0"/>
              <w:rPr>
                <w:sz w:val="20"/>
                <w:szCs w:val="20"/>
                <w:color w:val="auto"/>
              </w:rPr>
            </w:pPr>
            <w:r>
              <w:rPr>
                <w:rFonts w:ascii="Arial" w:cs="Arial" w:eastAsia="Arial" w:hAnsi="Arial"/>
                <w:sz w:val="14"/>
                <w:szCs w:val="14"/>
                <w:color w:val="auto"/>
              </w:rPr>
              <w:t>2/26/2019</w:t>
            </w:r>
          </w:p>
        </w:tc>
        <w:tc>
          <w:tcPr>
            <w:tcW w:w="7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80" w:type="dxa"/>
            <w:vAlign w:val="bottom"/>
          </w:tcPr>
          <w:p>
            <w:pPr>
              <w:jc w:val="center"/>
              <w:ind w:right="149"/>
              <w:spacing w:after="0"/>
              <w:rPr>
                <w:sz w:val="20"/>
                <w:szCs w:val="20"/>
                <w:color w:val="auto"/>
              </w:rPr>
            </w:pPr>
            <w:r>
              <w:rPr>
                <w:rFonts w:ascii="Arial" w:cs="Arial" w:eastAsia="Arial" w:hAnsi="Arial"/>
                <w:sz w:val="14"/>
                <w:szCs w:val="14"/>
                <w:color w:val="auto"/>
                <w:w w:val="99"/>
              </w:rPr>
              <w:t>—</w:t>
            </w:r>
          </w:p>
        </w:tc>
        <w:tc>
          <w:tcPr>
            <w:tcW w:w="760" w:type="dxa"/>
            <w:vAlign w:val="bottom"/>
          </w:tcPr>
          <w:p>
            <w:pPr>
              <w:ind w:left="320"/>
              <w:spacing w:after="0"/>
              <w:rPr>
                <w:sz w:val="20"/>
                <w:szCs w:val="20"/>
                <w:color w:val="auto"/>
              </w:rPr>
            </w:pPr>
            <w:r>
              <w:rPr>
                <w:rFonts w:ascii="Arial" w:cs="Arial" w:eastAsia="Arial" w:hAnsi="Arial"/>
                <w:sz w:val="14"/>
                <w:szCs w:val="14"/>
                <w:color w:val="auto"/>
              </w:rPr>
              <w:t>—</w:t>
            </w:r>
          </w:p>
        </w:tc>
        <w:tc>
          <w:tcPr>
            <w:tcW w:w="620" w:type="dxa"/>
            <w:vAlign w:val="bottom"/>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60" w:type="dxa"/>
            <w:vAlign w:val="bottom"/>
          </w:tcPr>
          <w:p>
            <w:pPr>
              <w:jc w:val="center"/>
              <w:spacing w:after="0"/>
              <w:rPr>
                <w:sz w:val="20"/>
                <w:szCs w:val="20"/>
                <w:color w:val="auto"/>
              </w:rPr>
            </w:pPr>
            <w:r>
              <w:rPr>
                <w:rFonts w:ascii="Arial" w:cs="Arial" w:eastAsia="Arial" w:hAnsi="Arial"/>
                <w:sz w:val="14"/>
                <w:szCs w:val="14"/>
                <w:color w:val="auto"/>
              </w:rPr>
              <w:t>8,215</w:t>
            </w:r>
          </w:p>
        </w:tc>
        <w:tc>
          <w:tcPr>
            <w:tcW w:w="860" w:type="dxa"/>
            <w:vAlign w:val="bottom"/>
          </w:tcPr>
          <w:p>
            <w:pPr>
              <w:jc w:val="right"/>
              <w:ind w:right="51"/>
              <w:spacing w:after="0"/>
              <w:rPr>
                <w:sz w:val="20"/>
                <w:szCs w:val="20"/>
                <w:color w:val="auto"/>
              </w:rPr>
            </w:pPr>
            <w:r>
              <w:rPr>
                <w:rFonts w:ascii="Arial" w:cs="Arial" w:eastAsia="Arial" w:hAnsi="Arial"/>
                <w:sz w:val="14"/>
                <w:szCs w:val="14"/>
                <w:color w:val="auto"/>
              </w:rPr>
              <w:t>393,745</w:t>
            </w:r>
          </w:p>
        </w:tc>
        <w:tc>
          <w:tcPr>
            <w:tcW w:w="0" w:type="dxa"/>
            <w:vAlign w:val="bottom"/>
          </w:tcPr>
          <w:p>
            <w:pPr>
              <w:spacing w:after="0"/>
              <w:rPr>
                <w:sz w:val="1"/>
                <w:szCs w:val="1"/>
                <w:color w:val="auto"/>
              </w:rPr>
            </w:pPr>
          </w:p>
        </w:tc>
      </w:tr>
      <w:tr>
        <w:trPr>
          <w:trHeight w:val="157"/>
        </w:trPr>
        <w:tc>
          <w:tcPr>
            <w:tcW w:w="2920" w:type="dxa"/>
            <w:vAlign w:val="bottom"/>
            <w:tcBorders>
              <w:bottom w:val="single" w:sz="8" w:color="999999"/>
            </w:tcBorders>
          </w:tcPr>
          <w:p>
            <w:pPr>
              <w:spacing w:after="0"/>
              <w:rPr>
                <w:sz w:val="13"/>
                <w:szCs w:val="13"/>
                <w:color w:val="auto"/>
              </w:rPr>
            </w:pPr>
          </w:p>
        </w:tc>
        <w:tc>
          <w:tcPr>
            <w:tcW w:w="720" w:type="dxa"/>
            <w:vAlign w:val="bottom"/>
            <w:tcBorders>
              <w:bottom w:val="single" w:sz="8" w:color="999999"/>
            </w:tcBorders>
          </w:tcPr>
          <w:p>
            <w:pPr>
              <w:spacing w:after="0"/>
              <w:rPr>
                <w:sz w:val="13"/>
                <w:szCs w:val="13"/>
                <w:color w:val="auto"/>
              </w:rPr>
            </w:pPr>
          </w:p>
        </w:tc>
        <w:tc>
          <w:tcPr>
            <w:tcW w:w="1060" w:type="dxa"/>
            <w:vAlign w:val="bottom"/>
            <w:tcBorders>
              <w:bottom w:val="single" w:sz="8" w:color="999999"/>
            </w:tcBorders>
          </w:tcPr>
          <w:p>
            <w:pPr>
              <w:spacing w:after="0"/>
              <w:rPr>
                <w:sz w:val="13"/>
                <w:szCs w:val="13"/>
                <w:color w:val="auto"/>
              </w:rPr>
            </w:pPr>
          </w:p>
        </w:tc>
        <w:tc>
          <w:tcPr>
            <w:tcW w:w="760" w:type="dxa"/>
            <w:vAlign w:val="bottom"/>
            <w:tcBorders>
              <w:bottom w:val="single" w:sz="8" w:color="999999"/>
            </w:tcBorders>
          </w:tcPr>
          <w:p>
            <w:pPr>
              <w:jc w:val="right"/>
              <w:ind w:right="31"/>
              <w:spacing w:after="0" w:line="157" w:lineRule="exact"/>
              <w:rPr>
                <w:sz w:val="20"/>
                <w:szCs w:val="20"/>
                <w:color w:val="auto"/>
              </w:rPr>
            </w:pPr>
            <w:r>
              <w:rPr>
                <w:rFonts w:ascii="Arial" w:cs="Arial" w:eastAsia="Arial" w:hAnsi="Arial"/>
                <w:sz w:val="14"/>
                <w:szCs w:val="14"/>
                <w:color w:val="auto"/>
              </w:rPr>
              <w:t>187,500</w:t>
            </w:r>
          </w:p>
        </w:tc>
        <w:tc>
          <w:tcPr>
            <w:tcW w:w="700" w:type="dxa"/>
            <w:vAlign w:val="bottom"/>
            <w:tcBorders>
              <w:bottom w:val="single" w:sz="8" w:color="999999"/>
            </w:tcBorders>
          </w:tcPr>
          <w:p>
            <w:pPr>
              <w:jc w:val="center"/>
              <w:spacing w:after="0" w:line="157" w:lineRule="exact"/>
              <w:rPr>
                <w:sz w:val="20"/>
                <w:szCs w:val="20"/>
                <w:color w:val="auto"/>
              </w:rPr>
            </w:pPr>
            <w:r>
              <w:rPr>
                <w:rFonts w:ascii="Arial" w:cs="Arial" w:eastAsia="Arial" w:hAnsi="Arial"/>
                <w:sz w:val="14"/>
                <w:szCs w:val="14"/>
                <w:color w:val="auto"/>
              </w:rPr>
              <w:t>750,000</w:t>
            </w:r>
          </w:p>
        </w:tc>
        <w:tc>
          <w:tcPr>
            <w:tcW w:w="1080" w:type="dxa"/>
            <w:vAlign w:val="bottom"/>
            <w:tcBorders>
              <w:bottom w:val="single" w:sz="8" w:color="999999"/>
            </w:tcBorders>
          </w:tcPr>
          <w:p>
            <w:pPr>
              <w:jc w:val="right"/>
              <w:ind w:right="269"/>
              <w:spacing w:after="0" w:line="157" w:lineRule="exact"/>
              <w:rPr>
                <w:sz w:val="20"/>
                <w:szCs w:val="20"/>
                <w:color w:val="auto"/>
              </w:rPr>
            </w:pPr>
            <w:r>
              <w:rPr>
                <w:rFonts w:ascii="Arial" w:cs="Arial" w:eastAsia="Arial" w:hAnsi="Arial"/>
                <w:sz w:val="14"/>
                <w:szCs w:val="14"/>
                <w:color w:val="auto"/>
              </w:rPr>
              <w:t>1,500,000</w:t>
            </w:r>
          </w:p>
        </w:tc>
        <w:tc>
          <w:tcPr>
            <w:tcW w:w="760" w:type="dxa"/>
            <w:vAlign w:val="bottom"/>
            <w:tcBorders>
              <w:bottom w:val="single" w:sz="8" w:color="999999"/>
            </w:tcBorders>
          </w:tcPr>
          <w:p>
            <w:pPr>
              <w:ind w:left="320"/>
              <w:spacing w:after="0" w:line="157"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999999"/>
            </w:tcBorders>
          </w:tcPr>
          <w:p>
            <w:pPr>
              <w:jc w:val="center"/>
              <w:spacing w:after="0" w:line="157"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999999"/>
            </w:tcBorders>
          </w:tcPr>
          <w:p>
            <w:pPr>
              <w:jc w:val="center"/>
              <w:spacing w:after="0" w:line="157" w:lineRule="exact"/>
              <w:rPr>
                <w:sz w:val="20"/>
                <w:szCs w:val="20"/>
                <w:color w:val="auto"/>
              </w:rPr>
            </w:pPr>
            <w:r>
              <w:rPr>
                <w:rFonts w:ascii="Arial" w:cs="Arial" w:eastAsia="Arial" w:hAnsi="Arial"/>
                <w:sz w:val="14"/>
                <w:szCs w:val="14"/>
                <w:color w:val="auto"/>
                <w:w w:val="99"/>
              </w:rPr>
              <w:t>—</w:t>
            </w:r>
          </w:p>
        </w:tc>
        <w:tc>
          <w:tcPr>
            <w:tcW w:w="760" w:type="dxa"/>
            <w:vAlign w:val="bottom"/>
            <w:tcBorders>
              <w:bottom w:val="single" w:sz="8" w:color="999999"/>
            </w:tcBorders>
          </w:tcPr>
          <w:p>
            <w:pPr>
              <w:jc w:val="center"/>
              <w:spacing w:after="0" w:line="157" w:lineRule="exact"/>
              <w:rPr>
                <w:sz w:val="20"/>
                <w:szCs w:val="20"/>
                <w:color w:val="auto"/>
              </w:rPr>
            </w:pPr>
            <w:r>
              <w:rPr>
                <w:rFonts w:ascii="Arial" w:cs="Arial" w:eastAsia="Arial" w:hAnsi="Arial"/>
                <w:sz w:val="14"/>
                <w:szCs w:val="14"/>
                <w:color w:val="auto"/>
                <w:w w:val="99"/>
              </w:rPr>
              <w:t>—</w:t>
            </w:r>
          </w:p>
        </w:tc>
        <w:tc>
          <w:tcPr>
            <w:tcW w:w="860" w:type="dxa"/>
            <w:vAlign w:val="bottom"/>
            <w:tcBorders>
              <w:bottom w:val="single" w:sz="8" w:color="999999"/>
            </w:tcBorders>
          </w:tcPr>
          <w:p>
            <w:pPr>
              <w:jc w:val="center"/>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2920" w:type="dxa"/>
            <w:vAlign w:val="bottom"/>
          </w:tcPr>
          <w:p>
            <w:pPr>
              <w:spacing w:after="0"/>
              <w:rPr>
                <w:sz w:val="20"/>
                <w:szCs w:val="20"/>
                <w:color w:val="auto"/>
              </w:rPr>
            </w:pPr>
            <w:r>
              <w:rPr>
                <w:rFonts w:ascii="Arial" w:cs="Arial" w:eastAsia="Arial" w:hAnsi="Arial"/>
                <w:sz w:val="14"/>
                <w:szCs w:val="14"/>
                <w:color w:val="auto"/>
              </w:rPr>
              <w:t>John D. Kelly</w:t>
            </w: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3/1/2019</w:t>
            </w:r>
          </w:p>
        </w:tc>
        <w:tc>
          <w:tcPr>
            <w:tcW w:w="1060" w:type="dxa"/>
            <w:vAlign w:val="bottom"/>
          </w:tcPr>
          <w:p>
            <w:pPr>
              <w:ind w:left="300"/>
              <w:spacing w:after="0"/>
              <w:rPr>
                <w:sz w:val="20"/>
                <w:szCs w:val="20"/>
                <w:color w:val="auto"/>
              </w:rPr>
            </w:pPr>
            <w:r>
              <w:rPr>
                <w:rFonts w:ascii="Arial" w:cs="Arial" w:eastAsia="Arial" w:hAnsi="Arial"/>
                <w:sz w:val="14"/>
                <w:szCs w:val="14"/>
                <w:color w:val="auto"/>
              </w:rPr>
              <w:t>2/26/2019</w:t>
            </w:r>
          </w:p>
        </w:tc>
        <w:tc>
          <w:tcPr>
            <w:tcW w:w="7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80" w:type="dxa"/>
            <w:vAlign w:val="bottom"/>
          </w:tcPr>
          <w:p>
            <w:pPr>
              <w:jc w:val="center"/>
              <w:ind w:right="149"/>
              <w:spacing w:after="0"/>
              <w:rPr>
                <w:sz w:val="20"/>
                <w:szCs w:val="20"/>
                <w:color w:val="auto"/>
              </w:rPr>
            </w:pPr>
            <w:r>
              <w:rPr>
                <w:rFonts w:ascii="Arial" w:cs="Arial" w:eastAsia="Arial" w:hAnsi="Arial"/>
                <w:sz w:val="14"/>
                <w:szCs w:val="14"/>
                <w:color w:val="auto"/>
                <w:w w:val="99"/>
              </w:rPr>
              <w:t>—</w:t>
            </w:r>
          </w:p>
        </w:tc>
        <w:tc>
          <w:tcPr>
            <w:tcW w:w="760" w:type="dxa"/>
            <w:vAlign w:val="bottom"/>
          </w:tcPr>
          <w:p>
            <w:pPr>
              <w:ind w:left="200"/>
              <w:spacing w:after="0"/>
              <w:rPr>
                <w:sz w:val="20"/>
                <w:szCs w:val="20"/>
                <w:color w:val="auto"/>
              </w:rPr>
            </w:pPr>
            <w:r>
              <w:rPr>
                <w:rFonts w:ascii="Arial" w:cs="Arial" w:eastAsia="Arial" w:hAnsi="Arial"/>
                <w:sz w:val="14"/>
                <w:szCs w:val="14"/>
                <w:color w:val="auto"/>
              </w:rPr>
              <w:t>2,519</w:t>
            </w:r>
          </w:p>
        </w:tc>
        <w:tc>
          <w:tcPr>
            <w:tcW w:w="620" w:type="dxa"/>
            <w:vAlign w:val="bottom"/>
          </w:tcPr>
          <w:p>
            <w:pPr>
              <w:jc w:val="center"/>
              <w:spacing w:after="0"/>
              <w:rPr>
                <w:sz w:val="20"/>
                <w:szCs w:val="20"/>
                <w:color w:val="auto"/>
              </w:rPr>
            </w:pPr>
            <w:r>
              <w:rPr>
                <w:rFonts w:ascii="Arial" w:cs="Arial" w:eastAsia="Arial" w:hAnsi="Arial"/>
                <w:sz w:val="14"/>
                <w:szCs w:val="14"/>
                <w:color w:val="auto"/>
              </w:rPr>
              <w:t>10,077</w:t>
            </w:r>
          </w:p>
        </w:tc>
        <w:tc>
          <w:tcPr>
            <w:tcW w:w="780" w:type="dxa"/>
            <w:vAlign w:val="bottom"/>
          </w:tcPr>
          <w:p>
            <w:pPr>
              <w:jc w:val="center"/>
              <w:spacing w:after="0"/>
              <w:rPr>
                <w:sz w:val="20"/>
                <w:szCs w:val="20"/>
                <w:color w:val="auto"/>
              </w:rPr>
            </w:pPr>
            <w:r>
              <w:rPr>
                <w:rFonts w:ascii="Arial" w:cs="Arial" w:eastAsia="Arial" w:hAnsi="Arial"/>
                <w:sz w:val="14"/>
                <w:szCs w:val="14"/>
                <w:color w:val="auto"/>
              </w:rPr>
              <w:t>20,154</w:t>
            </w:r>
          </w:p>
        </w:tc>
        <w:tc>
          <w:tcPr>
            <w:tcW w:w="7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60" w:type="dxa"/>
            <w:vAlign w:val="bottom"/>
          </w:tcPr>
          <w:p>
            <w:pPr>
              <w:jc w:val="right"/>
              <w:ind w:right="51"/>
              <w:spacing w:after="0"/>
              <w:rPr>
                <w:sz w:val="20"/>
                <w:szCs w:val="20"/>
                <w:color w:val="auto"/>
              </w:rPr>
            </w:pPr>
            <w:r>
              <w:rPr>
                <w:rFonts w:ascii="Arial" w:cs="Arial" w:eastAsia="Arial" w:hAnsi="Arial"/>
                <w:sz w:val="14"/>
                <w:szCs w:val="14"/>
                <w:color w:val="auto"/>
              </w:rPr>
              <w:t>482,991</w:t>
            </w:r>
          </w:p>
        </w:tc>
        <w:tc>
          <w:tcPr>
            <w:tcW w:w="0" w:type="dxa"/>
            <w:vAlign w:val="bottom"/>
          </w:tcPr>
          <w:p>
            <w:pPr>
              <w:spacing w:after="0"/>
              <w:rPr>
                <w:sz w:val="1"/>
                <w:szCs w:val="1"/>
                <w:color w:val="auto"/>
              </w:rPr>
            </w:pPr>
          </w:p>
        </w:tc>
      </w:tr>
      <w:tr>
        <w:trPr>
          <w:trHeight w:val="162"/>
        </w:trPr>
        <w:tc>
          <w:tcPr>
            <w:tcW w:w="2920" w:type="dxa"/>
            <w:vAlign w:val="bottom"/>
          </w:tcPr>
          <w:p>
            <w:pPr>
              <w:spacing w:after="0"/>
              <w:rPr>
                <w:sz w:val="14"/>
                <w:szCs w:val="14"/>
                <w:color w:val="auto"/>
              </w:rPr>
            </w:pP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3/1/2019</w:t>
            </w:r>
          </w:p>
        </w:tc>
        <w:tc>
          <w:tcPr>
            <w:tcW w:w="1060" w:type="dxa"/>
            <w:vAlign w:val="bottom"/>
          </w:tcPr>
          <w:p>
            <w:pPr>
              <w:ind w:left="300"/>
              <w:spacing w:after="0"/>
              <w:rPr>
                <w:sz w:val="20"/>
                <w:szCs w:val="20"/>
                <w:color w:val="auto"/>
              </w:rPr>
            </w:pPr>
            <w:r>
              <w:rPr>
                <w:rFonts w:ascii="Arial" w:cs="Arial" w:eastAsia="Arial" w:hAnsi="Arial"/>
                <w:sz w:val="14"/>
                <w:szCs w:val="14"/>
                <w:color w:val="auto"/>
              </w:rPr>
              <w:t>2/26/2019</w:t>
            </w:r>
          </w:p>
        </w:tc>
        <w:tc>
          <w:tcPr>
            <w:tcW w:w="7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80" w:type="dxa"/>
            <w:vAlign w:val="bottom"/>
          </w:tcPr>
          <w:p>
            <w:pPr>
              <w:jc w:val="center"/>
              <w:ind w:right="149"/>
              <w:spacing w:after="0"/>
              <w:rPr>
                <w:sz w:val="20"/>
                <w:szCs w:val="20"/>
                <w:color w:val="auto"/>
              </w:rPr>
            </w:pPr>
            <w:r>
              <w:rPr>
                <w:rFonts w:ascii="Arial" w:cs="Arial" w:eastAsia="Arial" w:hAnsi="Arial"/>
                <w:sz w:val="14"/>
                <w:szCs w:val="14"/>
                <w:color w:val="auto"/>
                <w:w w:val="99"/>
              </w:rPr>
              <w:t>—</w:t>
            </w:r>
          </w:p>
        </w:tc>
        <w:tc>
          <w:tcPr>
            <w:tcW w:w="760" w:type="dxa"/>
            <w:vAlign w:val="bottom"/>
          </w:tcPr>
          <w:p>
            <w:pPr>
              <w:ind w:left="320"/>
              <w:spacing w:after="0"/>
              <w:rPr>
                <w:sz w:val="20"/>
                <w:szCs w:val="20"/>
                <w:color w:val="auto"/>
              </w:rPr>
            </w:pPr>
            <w:r>
              <w:rPr>
                <w:rFonts w:ascii="Arial" w:cs="Arial" w:eastAsia="Arial" w:hAnsi="Arial"/>
                <w:sz w:val="14"/>
                <w:szCs w:val="14"/>
                <w:color w:val="auto"/>
              </w:rPr>
              <w:t>—</w:t>
            </w:r>
          </w:p>
        </w:tc>
        <w:tc>
          <w:tcPr>
            <w:tcW w:w="620" w:type="dxa"/>
            <w:vAlign w:val="bottom"/>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60" w:type="dxa"/>
            <w:vAlign w:val="bottom"/>
          </w:tcPr>
          <w:p>
            <w:pPr>
              <w:jc w:val="center"/>
              <w:spacing w:after="0"/>
              <w:rPr>
                <w:sz w:val="20"/>
                <w:szCs w:val="20"/>
                <w:color w:val="auto"/>
              </w:rPr>
            </w:pPr>
            <w:r>
              <w:rPr>
                <w:rFonts w:ascii="Arial" w:cs="Arial" w:eastAsia="Arial" w:hAnsi="Arial"/>
                <w:sz w:val="14"/>
                <w:szCs w:val="14"/>
                <w:color w:val="auto"/>
              </w:rPr>
              <w:t>4,319</w:t>
            </w:r>
          </w:p>
        </w:tc>
        <w:tc>
          <w:tcPr>
            <w:tcW w:w="860" w:type="dxa"/>
            <w:vAlign w:val="bottom"/>
          </w:tcPr>
          <w:p>
            <w:pPr>
              <w:jc w:val="right"/>
              <w:ind w:right="51"/>
              <w:spacing w:after="0"/>
              <w:rPr>
                <w:sz w:val="20"/>
                <w:szCs w:val="20"/>
                <w:color w:val="auto"/>
              </w:rPr>
            </w:pPr>
            <w:r>
              <w:rPr>
                <w:rFonts w:ascii="Arial" w:cs="Arial" w:eastAsia="Arial" w:hAnsi="Arial"/>
                <w:sz w:val="14"/>
                <w:szCs w:val="14"/>
                <w:color w:val="auto"/>
              </w:rPr>
              <w:t>207,010</w:t>
            </w:r>
          </w:p>
        </w:tc>
        <w:tc>
          <w:tcPr>
            <w:tcW w:w="0" w:type="dxa"/>
            <w:vAlign w:val="bottom"/>
          </w:tcPr>
          <w:p>
            <w:pPr>
              <w:spacing w:after="0"/>
              <w:rPr>
                <w:sz w:val="1"/>
                <w:szCs w:val="1"/>
                <w:color w:val="auto"/>
              </w:rPr>
            </w:pPr>
          </w:p>
        </w:tc>
      </w:tr>
      <w:tr>
        <w:trPr>
          <w:trHeight w:val="157"/>
        </w:trPr>
        <w:tc>
          <w:tcPr>
            <w:tcW w:w="2920" w:type="dxa"/>
            <w:vAlign w:val="bottom"/>
            <w:tcBorders>
              <w:bottom w:val="single" w:sz="8" w:color="999999"/>
            </w:tcBorders>
          </w:tcPr>
          <w:p>
            <w:pPr>
              <w:spacing w:after="0"/>
              <w:rPr>
                <w:sz w:val="13"/>
                <w:szCs w:val="13"/>
                <w:color w:val="auto"/>
              </w:rPr>
            </w:pPr>
          </w:p>
        </w:tc>
        <w:tc>
          <w:tcPr>
            <w:tcW w:w="720" w:type="dxa"/>
            <w:vAlign w:val="bottom"/>
            <w:tcBorders>
              <w:bottom w:val="single" w:sz="8" w:color="999999"/>
            </w:tcBorders>
          </w:tcPr>
          <w:p>
            <w:pPr>
              <w:spacing w:after="0"/>
              <w:rPr>
                <w:sz w:val="13"/>
                <w:szCs w:val="13"/>
                <w:color w:val="auto"/>
              </w:rPr>
            </w:pPr>
          </w:p>
        </w:tc>
        <w:tc>
          <w:tcPr>
            <w:tcW w:w="1060" w:type="dxa"/>
            <w:vAlign w:val="bottom"/>
            <w:tcBorders>
              <w:bottom w:val="single" w:sz="8" w:color="999999"/>
            </w:tcBorders>
          </w:tcPr>
          <w:p>
            <w:pPr>
              <w:spacing w:after="0"/>
              <w:rPr>
                <w:sz w:val="13"/>
                <w:szCs w:val="13"/>
                <w:color w:val="auto"/>
              </w:rPr>
            </w:pPr>
          </w:p>
        </w:tc>
        <w:tc>
          <w:tcPr>
            <w:tcW w:w="760" w:type="dxa"/>
            <w:vAlign w:val="bottom"/>
            <w:tcBorders>
              <w:bottom w:val="single" w:sz="8" w:color="999999"/>
            </w:tcBorders>
          </w:tcPr>
          <w:p>
            <w:pPr>
              <w:jc w:val="right"/>
              <w:ind w:right="31"/>
              <w:spacing w:after="0" w:line="157" w:lineRule="exact"/>
              <w:rPr>
                <w:sz w:val="20"/>
                <w:szCs w:val="20"/>
                <w:color w:val="auto"/>
              </w:rPr>
            </w:pPr>
            <w:r>
              <w:rPr>
                <w:rFonts w:ascii="Arial" w:cs="Arial" w:eastAsia="Arial" w:hAnsi="Arial"/>
                <w:sz w:val="14"/>
                <w:szCs w:val="14"/>
                <w:color w:val="auto"/>
              </w:rPr>
              <w:t>80,500</w:t>
            </w:r>
          </w:p>
        </w:tc>
        <w:tc>
          <w:tcPr>
            <w:tcW w:w="700" w:type="dxa"/>
            <w:vAlign w:val="bottom"/>
            <w:tcBorders>
              <w:bottom w:val="single" w:sz="8" w:color="999999"/>
            </w:tcBorders>
          </w:tcPr>
          <w:p>
            <w:pPr>
              <w:jc w:val="center"/>
              <w:spacing w:after="0" w:line="157" w:lineRule="exact"/>
              <w:rPr>
                <w:sz w:val="20"/>
                <w:szCs w:val="20"/>
                <w:color w:val="auto"/>
              </w:rPr>
            </w:pPr>
            <w:r>
              <w:rPr>
                <w:rFonts w:ascii="Arial" w:cs="Arial" w:eastAsia="Arial" w:hAnsi="Arial"/>
                <w:sz w:val="14"/>
                <w:szCs w:val="14"/>
                <w:color w:val="auto"/>
              </w:rPr>
              <w:t>322,000</w:t>
            </w:r>
          </w:p>
        </w:tc>
        <w:tc>
          <w:tcPr>
            <w:tcW w:w="1080" w:type="dxa"/>
            <w:vAlign w:val="bottom"/>
            <w:tcBorders>
              <w:bottom w:val="single" w:sz="8" w:color="999999"/>
            </w:tcBorders>
          </w:tcPr>
          <w:p>
            <w:pPr>
              <w:jc w:val="right"/>
              <w:ind w:right="269"/>
              <w:spacing w:after="0" w:line="157" w:lineRule="exact"/>
              <w:rPr>
                <w:sz w:val="20"/>
                <w:szCs w:val="20"/>
                <w:color w:val="auto"/>
              </w:rPr>
            </w:pPr>
            <w:r>
              <w:rPr>
                <w:rFonts w:ascii="Arial" w:cs="Arial" w:eastAsia="Arial" w:hAnsi="Arial"/>
                <w:sz w:val="14"/>
                <w:szCs w:val="14"/>
                <w:color w:val="auto"/>
              </w:rPr>
              <w:t>644,000</w:t>
            </w:r>
          </w:p>
        </w:tc>
        <w:tc>
          <w:tcPr>
            <w:tcW w:w="760" w:type="dxa"/>
            <w:vAlign w:val="bottom"/>
            <w:tcBorders>
              <w:bottom w:val="single" w:sz="8" w:color="999999"/>
            </w:tcBorders>
          </w:tcPr>
          <w:p>
            <w:pPr>
              <w:ind w:left="320"/>
              <w:spacing w:after="0" w:line="157"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999999"/>
            </w:tcBorders>
          </w:tcPr>
          <w:p>
            <w:pPr>
              <w:jc w:val="center"/>
              <w:spacing w:after="0" w:line="157"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999999"/>
            </w:tcBorders>
          </w:tcPr>
          <w:p>
            <w:pPr>
              <w:jc w:val="center"/>
              <w:spacing w:after="0" w:line="157" w:lineRule="exact"/>
              <w:rPr>
                <w:sz w:val="20"/>
                <w:szCs w:val="20"/>
                <w:color w:val="auto"/>
              </w:rPr>
            </w:pPr>
            <w:r>
              <w:rPr>
                <w:rFonts w:ascii="Arial" w:cs="Arial" w:eastAsia="Arial" w:hAnsi="Arial"/>
                <w:sz w:val="14"/>
                <w:szCs w:val="14"/>
                <w:color w:val="auto"/>
                <w:w w:val="99"/>
              </w:rPr>
              <w:t>—</w:t>
            </w:r>
          </w:p>
        </w:tc>
        <w:tc>
          <w:tcPr>
            <w:tcW w:w="760" w:type="dxa"/>
            <w:vAlign w:val="bottom"/>
            <w:tcBorders>
              <w:bottom w:val="single" w:sz="8" w:color="999999"/>
            </w:tcBorders>
          </w:tcPr>
          <w:p>
            <w:pPr>
              <w:jc w:val="center"/>
              <w:spacing w:after="0" w:line="157" w:lineRule="exact"/>
              <w:rPr>
                <w:sz w:val="20"/>
                <w:szCs w:val="20"/>
                <w:color w:val="auto"/>
              </w:rPr>
            </w:pPr>
            <w:r>
              <w:rPr>
                <w:rFonts w:ascii="Arial" w:cs="Arial" w:eastAsia="Arial" w:hAnsi="Arial"/>
                <w:sz w:val="14"/>
                <w:szCs w:val="14"/>
                <w:color w:val="auto"/>
                <w:w w:val="99"/>
              </w:rPr>
              <w:t>—</w:t>
            </w:r>
          </w:p>
        </w:tc>
        <w:tc>
          <w:tcPr>
            <w:tcW w:w="860" w:type="dxa"/>
            <w:vAlign w:val="bottom"/>
            <w:tcBorders>
              <w:bottom w:val="single" w:sz="8" w:color="999999"/>
            </w:tcBorders>
          </w:tcPr>
          <w:p>
            <w:pPr>
              <w:jc w:val="center"/>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2920" w:type="dxa"/>
            <w:vAlign w:val="bottom"/>
          </w:tcPr>
          <w:p>
            <w:pPr>
              <w:spacing w:after="0"/>
              <w:rPr>
                <w:sz w:val="20"/>
                <w:szCs w:val="20"/>
                <w:color w:val="auto"/>
              </w:rPr>
            </w:pPr>
            <w:r>
              <w:rPr>
                <w:rFonts w:ascii="Arial" w:cs="Arial" w:eastAsia="Arial" w:hAnsi="Arial"/>
                <w:sz w:val="14"/>
                <w:szCs w:val="14"/>
                <w:color w:val="auto"/>
              </w:rPr>
              <w:t>Diane E. Ratekin</w:t>
            </w: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3/1/2019</w:t>
            </w:r>
          </w:p>
        </w:tc>
        <w:tc>
          <w:tcPr>
            <w:tcW w:w="1060" w:type="dxa"/>
            <w:vAlign w:val="bottom"/>
          </w:tcPr>
          <w:p>
            <w:pPr>
              <w:ind w:left="300"/>
              <w:spacing w:after="0"/>
              <w:rPr>
                <w:sz w:val="20"/>
                <w:szCs w:val="20"/>
                <w:color w:val="auto"/>
              </w:rPr>
            </w:pPr>
            <w:r>
              <w:rPr>
                <w:rFonts w:ascii="Arial" w:cs="Arial" w:eastAsia="Arial" w:hAnsi="Arial"/>
                <w:sz w:val="14"/>
                <w:szCs w:val="14"/>
                <w:color w:val="auto"/>
              </w:rPr>
              <w:t>2/26/2019</w:t>
            </w:r>
          </w:p>
        </w:tc>
        <w:tc>
          <w:tcPr>
            <w:tcW w:w="7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80" w:type="dxa"/>
            <w:vAlign w:val="bottom"/>
          </w:tcPr>
          <w:p>
            <w:pPr>
              <w:jc w:val="center"/>
              <w:ind w:right="149"/>
              <w:spacing w:after="0"/>
              <w:rPr>
                <w:sz w:val="20"/>
                <w:szCs w:val="20"/>
                <w:color w:val="auto"/>
              </w:rPr>
            </w:pPr>
            <w:r>
              <w:rPr>
                <w:rFonts w:ascii="Arial" w:cs="Arial" w:eastAsia="Arial" w:hAnsi="Arial"/>
                <w:sz w:val="14"/>
                <w:szCs w:val="14"/>
                <w:color w:val="auto"/>
                <w:w w:val="99"/>
              </w:rPr>
              <w:t>—</w:t>
            </w:r>
          </w:p>
        </w:tc>
        <w:tc>
          <w:tcPr>
            <w:tcW w:w="760" w:type="dxa"/>
            <w:vAlign w:val="bottom"/>
          </w:tcPr>
          <w:p>
            <w:pPr>
              <w:ind w:left="300"/>
              <w:spacing w:after="0"/>
              <w:rPr>
                <w:sz w:val="20"/>
                <w:szCs w:val="20"/>
                <w:color w:val="auto"/>
              </w:rPr>
            </w:pPr>
            <w:r>
              <w:rPr>
                <w:rFonts w:ascii="Arial" w:cs="Arial" w:eastAsia="Arial" w:hAnsi="Arial"/>
                <w:sz w:val="14"/>
                <w:szCs w:val="14"/>
                <w:color w:val="auto"/>
              </w:rPr>
              <w:t>1,680</w:t>
            </w:r>
          </w:p>
        </w:tc>
        <w:tc>
          <w:tcPr>
            <w:tcW w:w="620" w:type="dxa"/>
            <w:vAlign w:val="bottom"/>
          </w:tcPr>
          <w:p>
            <w:pPr>
              <w:jc w:val="right"/>
              <w:ind w:right="9"/>
              <w:spacing w:after="0"/>
              <w:rPr>
                <w:sz w:val="20"/>
                <w:szCs w:val="20"/>
                <w:color w:val="auto"/>
              </w:rPr>
            </w:pPr>
            <w:r>
              <w:rPr>
                <w:rFonts w:ascii="Arial" w:cs="Arial" w:eastAsia="Arial" w:hAnsi="Arial"/>
                <w:sz w:val="14"/>
                <w:szCs w:val="14"/>
                <w:color w:val="auto"/>
              </w:rPr>
              <w:t>6,718</w:t>
            </w: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13,436</w:t>
            </w:r>
          </w:p>
        </w:tc>
        <w:tc>
          <w:tcPr>
            <w:tcW w:w="7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60" w:type="dxa"/>
            <w:vAlign w:val="bottom"/>
          </w:tcPr>
          <w:p>
            <w:pPr>
              <w:jc w:val="right"/>
              <w:ind w:right="51"/>
              <w:spacing w:after="0"/>
              <w:rPr>
                <w:sz w:val="20"/>
                <w:szCs w:val="20"/>
                <w:color w:val="auto"/>
              </w:rPr>
            </w:pPr>
            <w:r>
              <w:rPr>
                <w:rFonts w:ascii="Arial" w:cs="Arial" w:eastAsia="Arial" w:hAnsi="Arial"/>
                <w:sz w:val="14"/>
                <w:szCs w:val="14"/>
                <w:color w:val="auto"/>
              </w:rPr>
              <w:t>321,994</w:t>
            </w:r>
          </w:p>
        </w:tc>
        <w:tc>
          <w:tcPr>
            <w:tcW w:w="0" w:type="dxa"/>
            <w:vAlign w:val="bottom"/>
          </w:tcPr>
          <w:p>
            <w:pPr>
              <w:spacing w:after="0"/>
              <w:rPr>
                <w:sz w:val="1"/>
                <w:szCs w:val="1"/>
                <w:color w:val="auto"/>
              </w:rPr>
            </w:pPr>
          </w:p>
        </w:tc>
      </w:tr>
      <w:tr>
        <w:trPr>
          <w:trHeight w:val="162"/>
        </w:trPr>
        <w:tc>
          <w:tcPr>
            <w:tcW w:w="2920" w:type="dxa"/>
            <w:vAlign w:val="bottom"/>
          </w:tcPr>
          <w:p>
            <w:pPr>
              <w:spacing w:after="0"/>
              <w:rPr>
                <w:sz w:val="14"/>
                <w:szCs w:val="14"/>
                <w:color w:val="auto"/>
              </w:rPr>
            </w:pP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3/1/2019</w:t>
            </w:r>
          </w:p>
        </w:tc>
        <w:tc>
          <w:tcPr>
            <w:tcW w:w="1060" w:type="dxa"/>
            <w:vAlign w:val="bottom"/>
          </w:tcPr>
          <w:p>
            <w:pPr>
              <w:ind w:left="300"/>
              <w:spacing w:after="0"/>
              <w:rPr>
                <w:sz w:val="20"/>
                <w:szCs w:val="20"/>
                <w:color w:val="auto"/>
              </w:rPr>
            </w:pPr>
            <w:r>
              <w:rPr>
                <w:rFonts w:ascii="Arial" w:cs="Arial" w:eastAsia="Arial" w:hAnsi="Arial"/>
                <w:sz w:val="14"/>
                <w:szCs w:val="14"/>
                <w:color w:val="auto"/>
              </w:rPr>
              <w:t>2/26/2019</w:t>
            </w:r>
          </w:p>
        </w:tc>
        <w:tc>
          <w:tcPr>
            <w:tcW w:w="7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80" w:type="dxa"/>
            <w:vAlign w:val="bottom"/>
          </w:tcPr>
          <w:p>
            <w:pPr>
              <w:jc w:val="center"/>
              <w:ind w:right="149"/>
              <w:spacing w:after="0"/>
              <w:rPr>
                <w:sz w:val="20"/>
                <w:szCs w:val="20"/>
                <w:color w:val="auto"/>
              </w:rPr>
            </w:pPr>
            <w:r>
              <w:rPr>
                <w:rFonts w:ascii="Arial" w:cs="Arial" w:eastAsia="Arial" w:hAnsi="Arial"/>
                <w:sz w:val="14"/>
                <w:szCs w:val="14"/>
                <w:color w:val="auto"/>
                <w:w w:val="99"/>
              </w:rPr>
              <w:t>—</w:t>
            </w:r>
          </w:p>
        </w:tc>
        <w:tc>
          <w:tcPr>
            <w:tcW w:w="760" w:type="dxa"/>
            <w:vAlign w:val="bottom"/>
          </w:tcPr>
          <w:p>
            <w:pPr>
              <w:ind w:left="320"/>
              <w:spacing w:after="0"/>
              <w:rPr>
                <w:sz w:val="20"/>
                <w:szCs w:val="20"/>
                <w:color w:val="auto"/>
              </w:rPr>
            </w:pPr>
            <w:r>
              <w:rPr>
                <w:rFonts w:ascii="Arial" w:cs="Arial" w:eastAsia="Arial" w:hAnsi="Arial"/>
                <w:sz w:val="14"/>
                <w:szCs w:val="14"/>
                <w:color w:val="auto"/>
              </w:rPr>
              <w:t>—</w:t>
            </w:r>
          </w:p>
        </w:tc>
        <w:tc>
          <w:tcPr>
            <w:tcW w:w="620" w:type="dxa"/>
            <w:vAlign w:val="bottom"/>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60" w:type="dxa"/>
            <w:vAlign w:val="bottom"/>
          </w:tcPr>
          <w:p>
            <w:pPr>
              <w:jc w:val="center"/>
              <w:spacing w:after="0"/>
              <w:rPr>
                <w:sz w:val="20"/>
                <w:szCs w:val="20"/>
                <w:color w:val="auto"/>
              </w:rPr>
            </w:pPr>
            <w:r>
              <w:rPr>
                <w:rFonts w:ascii="Arial" w:cs="Arial" w:eastAsia="Arial" w:hAnsi="Arial"/>
                <w:sz w:val="14"/>
                <w:szCs w:val="14"/>
                <w:color w:val="auto"/>
              </w:rPr>
              <w:t>2,879</w:t>
            </w:r>
          </w:p>
        </w:tc>
        <w:tc>
          <w:tcPr>
            <w:tcW w:w="860" w:type="dxa"/>
            <w:vAlign w:val="bottom"/>
          </w:tcPr>
          <w:p>
            <w:pPr>
              <w:jc w:val="right"/>
              <w:ind w:right="51"/>
              <w:spacing w:after="0"/>
              <w:rPr>
                <w:sz w:val="20"/>
                <w:szCs w:val="20"/>
                <w:color w:val="auto"/>
              </w:rPr>
            </w:pPr>
            <w:r>
              <w:rPr>
                <w:rFonts w:ascii="Arial" w:cs="Arial" w:eastAsia="Arial" w:hAnsi="Arial"/>
                <w:sz w:val="14"/>
                <w:szCs w:val="14"/>
                <w:color w:val="auto"/>
              </w:rPr>
              <w:t>137,990</w:t>
            </w:r>
          </w:p>
        </w:tc>
        <w:tc>
          <w:tcPr>
            <w:tcW w:w="0" w:type="dxa"/>
            <w:vAlign w:val="bottom"/>
          </w:tcPr>
          <w:p>
            <w:pPr>
              <w:spacing w:after="0"/>
              <w:rPr>
                <w:sz w:val="1"/>
                <w:szCs w:val="1"/>
                <w:color w:val="auto"/>
              </w:rPr>
            </w:pPr>
          </w:p>
        </w:tc>
      </w:tr>
      <w:tr>
        <w:trPr>
          <w:trHeight w:val="157"/>
        </w:trPr>
        <w:tc>
          <w:tcPr>
            <w:tcW w:w="2920" w:type="dxa"/>
            <w:vAlign w:val="bottom"/>
            <w:tcBorders>
              <w:bottom w:val="single" w:sz="8" w:color="00548B"/>
            </w:tcBorders>
          </w:tcPr>
          <w:p>
            <w:pPr>
              <w:spacing w:after="0"/>
              <w:rPr>
                <w:sz w:val="13"/>
                <w:szCs w:val="13"/>
                <w:color w:val="auto"/>
              </w:rPr>
            </w:pPr>
          </w:p>
        </w:tc>
        <w:tc>
          <w:tcPr>
            <w:tcW w:w="720" w:type="dxa"/>
            <w:vAlign w:val="bottom"/>
            <w:tcBorders>
              <w:bottom w:val="single" w:sz="8" w:color="00548B"/>
            </w:tcBorders>
          </w:tcPr>
          <w:p>
            <w:pPr>
              <w:spacing w:after="0"/>
              <w:rPr>
                <w:sz w:val="13"/>
                <w:szCs w:val="13"/>
                <w:color w:val="auto"/>
              </w:rPr>
            </w:pPr>
          </w:p>
        </w:tc>
        <w:tc>
          <w:tcPr>
            <w:tcW w:w="1060" w:type="dxa"/>
            <w:vAlign w:val="bottom"/>
            <w:tcBorders>
              <w:bottom w:val="single" w:sz="8" w:color="00548B"/>
            </w:tcBorders>
          </w:tcPr>
          <w:p>
            <w:pPr>
              <w:spacing w:after="0"/>
              <w:rPr>
                <w:sz w:val="13"/>
                <w:szCs w:val="13"/>
                <w:color w:val="auto"/>
              </w:rPr>
            </w:pPr>
          </w:p>
        </w:tc>
        <w:tc>
          <w:tcPr>
            <w:tcW w:w="760" w:type="dxa"/>
            <w:vAlign w:val="bottom"/>
            <w:tcBorders>
              <w:bottom w:val="single" w:sz="8" w:color="00548B"/>
            </w:tcBorders>
          </w:tcPr>
          <w:p>
            <w:pPr>
              <w:jc w:val="right"/>
              <w:ind w:right="31"/>
              <w:spacing w:after="0" w:line="157" w:lineRule="exact"/>
              <w:rPr>
                <w:sz w:val="20"/>
                <w:szCs w:val="20"/>
                <w:color w:val="auto"/>
              </w:rPr>
            </w:pPr>
            <w:r>
              <w:rPr>
                <w:rFonts w:ascii="Arial" w:cs="Arial" w:eastAsia="Arial" w:hAnsi="Arial"/>
                <w:sz w:val="14"/>
                <w:szCs w:val="14"/>
                <w:color w:val="auto"/>
              </w:rPr>
              <w:t>50,000</w:t>
            </w:r>
          </w:p>
        </w:tc>
        <w:tc>
          <w:tcPr>
            <w:tcW w:w="700" w:type="dxa"/>
            <w:vAlign w:val="bottom"/>
            <w:tcBorders>
              <w:bottom w:val="single" w:sz="8" w:color="00548B"/>
            </w:tcBorders>
          </w:tcPr>
          <w:p>
            <w:pPr>
              <w:jc w:val="center"/>
              <w:spacing w:after="0" w:line="157" w:lineRule="exact"/>
              <w:rPr>
                <w:sz w:val="20"/>
                <w:szCs w:val="20"/>
                <w:color w:val="auto"/>
              </w:rPr>
            </w:pPr>
            <w:r>
              <w:rPr>
                <w:rFonts w:ascii="Arial" w:cs="Arial" w:eastAsia="Arial" w:hAnsi="Arial"/>
                <w:sz w:val="14"/>
                <w:szCs w:val="14"/>
                <w:color w:val="auto"/>
              </w:rPr>
              <w:t>200,000</w:t>
            </w:r>
          </w:p>
        </w:tc>
        <w:tc>
          <w:tcPr>
            <w:tcW w:w="1080" w:type="dxa"/>
            <w:vAlign w:val="bottom"/>
            <w:tcBorders>
              <w:bottom w:val="single" w:sz="8" w:color="00548B"/>
            </w:tcBorders>
          </w:tcPr>
          <w:p>
            <w:pPr>
              <w:jc w:val="right"/>
              <w:ind w:right="269"/>
              <w:spacing w:after="0" w:line="157" w:lineRule="exact"/>
              <w:rPr>
                <w:sz w:val="20"/>
                <w:szCs w:val="20"/>
                <w:color w:val="auto"/>
              </w:rPr>
            </w:pPr>
            <w:r>
              <w:rPr>
                <w:rFonts w:ascii="Arial" w:cs="Arial" w:eastAsia="Arial" w:hAnsi="Arial"/>
                <w:sz w:val="14"/>
                <w:szCs w:val="14"/>
                <w:color w:val="auto"/>
              </w:rPr>
              <w:t>400,000</w:t>
            </w:r>
          </w:p>
        </w:tc>
        <w:tc>
          <w:tcPr>
            <w:tcW w:w="760" w:type="dxa"/>
            <w:vAlign w:val="bottom"/>
            <w:tcBorders>
              <w:bottom w:val="single" w:sz="8" w:color="00548B"/>
            </w:tcBorders>
          </w:tcPr>
          <w:p>
            <w:pPr>
              <w:ind w:left="320"/>
              <w:spacing w:after="0" w:line="157"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00548B"/>
            </w:tcBorders>
          </w:tcPr>
          <w:p>
            <w:pPr>
              <w:jc w:val="center"/>
              <w:spacing w:after="0" w:line="157"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00548B"/>
            </w:tcBorders>
          </w:tcPr>
          <w:p>
            <w:pPr>
              <w:jc w:val="center"/>
              <w:spacing w:after="0" w:line="157" w:lineRule="exact"/>
              <w:rPr>
                <w:sz w:val="20"/>
                <w:szCs w:val="20"/>
                <w:color w:val="auto"/>
              </w:rPr>
            </w:pPr>
            <w:r>
              <w:rPr>
                <w:rFonts w:ascii="Arial" w:cs="Arial" w:eastAsia="Arial" w:hAnsi="Arial"/>
                <w:sz w:val="14"/>
                <w:szCs w:val="14"/>
                <w:color w:val="auto"/>
                <w:w w:val="99"/>
              </w:rPr>
              <w:t>—</w:t>
            </w:r>
          </w:p>
        </w:tc>
        <w:tc>
          <w:tcPr>
            <w:tcW w:w="760" w:type="dxa"/>
            <w:vAlign w:val="bottom"/>
            <w:tcBorders>
              <w:bottom w:val="single" w:sz="8" w:color="00548B"/>
            </w:tcBorders>
          </w:tcPr>
          <w:p>
            <w:pPr>
              <w:jc w:val="center"/>
              <w:spacing w:after="0" w:line="157" w:lineRule="exact"/>
              <w:rPr>
                <w:sz w:val="20"/>
                <w:szCs w:val="20"/>
                <w:color w:val="auto"/>
              </w:rPr>
            </w:pPr>
            <w:r>
              <w:rPr>
                <w:rFonts w:ascii="Arial" w:cs="Arial" w:eastAsia="Arial" w:hAnsi="Arial"/>
                <w:sz w:val="14"/>
                <w:szCs w:val="14"/>
                <w:color w:val="auto"/>
                <w:w w:val="99"/>
              </w:rPr>
              <w:t>—</w:t>
            </w:r>
          </w:p>
        </w:tc>
        <w:tc>
          <w:tcPr>
            <w:tcW w:w="860" w:type="dxa"/>
            <w:vAlign w:val="bottom"/>
            <w:tcBorders>
              <w:bottom w:val="single" w:sz="8" w:color="00548B"/>
            </w:tcBorders>
          </w:tcPr>
          <w:p>
            <w:pPr>
              <w:jc w:val="center"/>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18" w:lineRule="exact"/>
        <w:rPr>
          <w:sz w:val="20"/>
          <w:szCs w:val="20"/>
          <w:color w:val="auto"/>
        </w:rPr>
      </w:pPr>
    </w:p>
    <w:p>
      <w:pPr>
        <w:jc w:val="both"/>
        <w:ind w:left="660" w:right="20" w:hanging="544"/>
        <w:spacing w:after="0" w:line="246"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For the cash award, the target, threshold and maximum represent the range of cash award that could be earned. There is no payout if a threshold level of performance is not achieved. The minimum amount that could be paid is 25% of target and maximum represents 200% of target. Based on the achievement of specific financial goals, the Compensation Committee determined that 130% of the target award was earned for 2019.</w:t>
      </w:r>
    </w:p>
    <w:p>
      <w:pPr>
        <w:spacing w:after="0" w:line="1" w:lineRule="exact"/>
        <w:rPr>
          <w:rFonts w:ascii="Arial" w:cs="Arial" w:eastAsia="Arial" w:hAnsi="Arial"/>
          <w:sz w:val="16"/>
          <w:szCs w:val="16"/>
          <w:color w:val="auto"/>
        </w:rPr>
      </w:pPr>
    </w:p>
    <w:p>
      <w:pPr>
        <w:jc w:val="both"/>
        <w:ind w:left="660" w:right="20" w:hanging="544"/>
        <w:spacing w:after="0" w:line="246"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2019 grant of Performance Stock Units (PSUs) is based on performance (Adjusted Diluted EPS and Revenue Growth) over a three-year period from 2019-2021. The PSUs are earned from 25% of target for threshold performance to 200% of target for maximum performance; however, if threshold performance is not achieved, the award will be forfeited. The PSUs that are earned will vest on March 1, 2022.</w:t>
      </w:r>
    </w:p>
    <w:p>
      <w:pPr>
        <w:spacing w:after="0" w:line="1" w:lineRule="exact"/>
        <w:rPr>
          <w:rFonts w:ascii="Arial" w:cs="Arial" w:eastAsia="Arial" w:hAnsi="Arial"/>
          <w:sz w:val="16"/>
          <w:szCs w:val="16"/>
          <w:color w:val="auto"/>
        </w:rPr>
      </w:pPr>
    </w:p>
    <w:p>
      <w:pPr>
        <w:ind w:left="660" w:hanging="544"/>
        <w:spacing w:after="0"/>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Restricted stock granted under the Company’s 2012 Omnibus Incentive Plan.</w:t>
      </w:r>
    </w:p>
    <w:p>
      <w:pPr>
        <w:spacing w:after="0" w:line="5" w:lineRule="exact"/>
        <w:rPr>
          <w:rFonts w:ascii="Arial" w:cs="Arial" w:eastAsia="Arial" w:hAnsi="Arial"/>
          <w:sz w:val="16"/>
          <w:szCs w:val="16"/>
          <w:color w:val="auto"/>
        </w:rPr>
      </w:pPr>
    </w:p>
    <w:p>
      <w:pPr>
        <w:jc w:val="both"/>
        <w:ind w:left="660" w:right="20" w:hanging="544"/>
        <w:spacing w:after="0" w:line="253"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full grant date fair value of the March 1, 2019 restricted stock and PSU grants are based on the closing price of Huron stock of $47.93 on March 1, 2019. The total number of PSUs earned by recipients of these awards is contingent on meeting Adjusted Diluted EPS and Revenue Growth goals as described in Note (2) above.</w:t>
      </w:r>
    </w:p>
    <w:p>
      <w:pPr>
        <w:spacing w:after="0" w:line="13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00548B"/>
        </w:rPr>
        <w:t>37</w:t>
      </w:r>
    </w:p>
    <w:p>
      <w:pPr>
        <w:sectPr>
          <w:pgSz w:w="11900" w:h="16838" w:orient="portrait"/>
          <w:cols w:equalWidth="0" w:num="1">
            <w:col w:w="11140"/>
          </w:cols>
          <w:pgMar w:left="32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48B"/>
        </w:rPr>
        <w:t>2019 O</w:t>
      </w:r>
      <w:r>
        <w:rPr>
          <w:rFonts w:ascii="Arial" w:cs="Arial" w:eastAsia="Arial" w:hAnsi="Arial"/>
          <w:sz w:val="14"/>
          <w:szCs w:val="14"/>
          <w:b w:val="1"/>
          <w:bCs w:val="1"/>
          <w:color w:val="00548B"/>
        </w:rPr>
        <w:t>UTSTANDING</w:t>
      </w:r>
      <w:r>
        <w:rPr>
          <w:rFonts w:ascii="Arial" w:cs="Arial" w:eastAsia="Arial" w:hAnsi="Arial"/>
          <w:sz w:val="18"/>
          <w:szCs w:val="18"/>
          <w:b w:val="1"/>
          <w:bCs w:val="1"/>
          <w:color w:val="00548B"/>
        </w:rPr>
        <w:t xml:space="preserve"> E</w:t>
      </w:r>
      <w:r>
        <w:rPr>
          <w:rFonts w:ascii="Arial" w:cs="Arial" w:eastAsia="Arial" w:hAnsi="Arial"/>
          <w:sz w:val="14"/>
          <w:szCs w:val="14"/>
          <w:b w:val="1"/>
          <w:bCs w:val="1"/>
          <w:color w:val="00548B"/>
        </w:rPr>
        <w:t>QUITY</w:t>
      </w:r>
      <w:r>
        <w:rPr>
          <w:rFonts w:ascii="Arial" w:cs="Arial" w:eastAsia="Arial" w:hAnsi="Arial"/>
          <w:sz w:val="18"/>
          <w:szCs w:val="18"/>
          <w:b w:val="1"/>
          <w:bCs w:val="1"/>
          <w:color w:val="00548B"/>
        </w:rPr>
        <w:t xml:space="preserve"> A</w:t>
      </w:r>
      <w:r>
        <w:rPr>
          <w:rFonts w:ascii="Arial" w:cs="Arial" w:eastAsia="Arial" w:hAnsi="Arial"/>
          <w:sz w:val="14"/>
          <w:szCs w:val="14"/>
          <w:b w:val="1"/>
          <w:bCs w:val="1"/>
          <w:color w:val="00548B"/>
        </w:rPr>
        <w:t>WARDS AT</w:t>
      </w:r>
      <w:r>
        <w:rPr>
          <w:rFonts w:ascii="Arial" w:cs="Arial" w:eastAsia="Arial" w:hAnsi="Arial"/>
          <w:sz w:val="18"/>
          <w:szCs w:val="18"/>
          <w:b w:val="1"/>
          <w:bCs w:val="1"/>
          <w:color w:val="00548B"/>
        </w:rPr>
        <w:t xml:space="preserve"> F</w:t>
      </w:r>
      <w:r>
        <w:rPr>
          <w:rFonts w:ascii="Arial" w:cs="Arial" w:eastAsia="Arial" w:hAnsi="Arial"/>
          <w:sz w:val="14"/>
          <w:szCs w:val="14"/>
          <w:b w:val="1"/>
          <w:bCs w:val="1"/>
          <w:color w:val="00548B"/>
        </w:rPr>
        <w:t>ISCAL</w:t>
      </w:r>
      <w:r>
        <w:rPr>
          <w:rFonts w:ascii="Arial" w:cs="Arial" w:eastAsia="Arial" w:hAnsi="Arial"/>
          <w:sz w:val="18"/>
          <w:szCs w:val="18"/>
          <w:b w:val="1"/>
          <w:bCs w:val="1"/>
          <w:color w:val="00548B"/>
        </w:rPr>
        <w:t xml:space="preserve"> Y</w:t>
      </w:r>
      <w:r>
        <w:rPr>
          <w:rFonts w:ascii="Arial" w:cs="Arial" w:eastAsia="Arial" w:hAnsi="Arial"/>
          <w:sz w:val="14"/>
          <w:szCs w:val="14"/>
          <w:b w:val="1"/>
          <w:bCs w:val="1"/>
          <w:color w:val="00548B"/>
        </w:rPr>
        <w:t>EAR</w:t>
      </w:r>
      <w:r>
        <w:rPr>
          <w:rFonts w:ascii="Arial" w:cs="Arial" w:eastAsia="Arial" w:hAnsi="Arial"/>
          <w:sz w:val="18"/>
          <w:szCs w:val="18"/>
          <w:b w:val="1"/>
          <w:bCs w:val="1"/>
          <w:color w:val="00548B"/>
        </w:rPr>
        <w:t>-</w:t>
      </w:r>
      <w:r>
        <w:rPr>
          <w:rFonts w:ascii="Arial" w:cs="Arial" w:eastAsia="Arial" w:hAnsi="Arial"/>
          <w:sz w:val="14"/>
          <w:szCs w:val="14"/>
          <w:b w:val="1"/>
          <w:bCs w:val="1"/>
          <w:color w:val="00548B"/>
        </w:rPr>
        <w:t>END</w:t>
      </w:r>
    </w:p>
    <w:p>
      <w:pPr>
        <w:spacing w:after="0" w:line="128" w:lineRule="exact"/>
        <w:rPr>
          <w:sz w:val="20"/>
          <w:szCs w:val="20"/>
          <w:color w:val="auto"/>
        </w:rPr>
      </w:pPr>
    </w:p>
    <w:p>
      <w:pPr>
        <w:ind w:left="120" w:right="20"/>
        <w:spacing w:after="0" w:line="260" w:lineRule="auto"/>
        <w:rPr>
          <w:sz w:val="20"/>
          <w:szCs w:val="20"/>
          <w:color w:val="auto"/>
        </w:rPr>
      </w:pPr>
      <w:r>
        <w:rPr>
          <w:rFonts w:ascii="Arial" w:cs="Arial" w:eastAsia="Arial" w:hAnsi="Arial"/>
          <w:sz w:val="16"/>
          <w:szCs w:val="16"/>
          <w:color w:val="auto"/>
        </w:rPr>
        <w:t>The following table sets forth certain information concerning outstanding stock and option awards as of December 31, 2019 for each named executive officer. Market value is based on the closing price of Huron stock of $68.72 on December 31, 2019, the last trading day of the fiscal year.</w:t>
      </w:r>
    </w:p>
    <w:p>
      <w:pPr>
        <w:spacing w:after="0" w:line="179" w:lineRule="exact"/>
        <w:rPr>
          <w:sz w:val="20"/>
          <w:szCs w:val="20"/>
          <w:color w:val="auto"/>
        </w:rPr>
      </w:pPr>
    </w:p>
    <w:tbl>
      <w:tblPr>
        <w:tblLayout w:type="fixed"/>
        <w:tblInd w:w="120" w:type="dxa"/>
        <w:tblCellMar>
          <w:top w:w="0" w:type="dxa"/>
          <w:left w:w="0" w:type="dxa"/>
          <w:bottom w:w="0" w:type="dxa"/>
          <w:right w:w="0" w:type="dxa"/>
        </w:tblCellMar>
      </w:tblPr>
      <w:tr>
        <w:trPr>
          <w:trHeight w:val="156"/>
        </w:trPr>
        <w:tc>
          <w:tcPr>
            <w:tcW w:w="1860" w:type="dxa"/>
            <w:vAlign w:val="bottom"/>
            <w:shd w:val="clear" w:color="auto" w:fill="00548B"/>
          </w:tcPr>
          <w:p>
            <w:pPr>
              <w:spacing w:after="0"/>
              <w:rPr>
                <w:sz w:val="13"/>
                <w:szCs w:val="13"/>
                <w:color w:val="auto"/>
              </w:rPr>
            </w:pPr>
          </w:p>
        </w:tc>
        <w:tc>
          <w:tcPr>
            <w:tcW w:w="840" w:type="dxa"/>
            <w:vAlign w:val="bottom"/>
            <w:shd w:val="clear" w:color="auto" w:fill="00548B"/>
          </w:tcPr>
          <w:p>
            <w:pPr>
              <w:spacing w:after="0"/>
              <w:rPr>
                <w:sz w:val="13"/>
                <w:szCs w:val="13"/>
                <w:color w:val="auto"/>
              </w:rPr>
            </w:pPr>
          </w:p>
        </w:tc>
        <w:tc>
          <w:tcPr>
            <w:tcW w:w="920" w:type="dxa"/>
            <w:vAlign w:val="bottom"/>
            <w:shd w:val="clear" w:color="auto" w:fill="00548B"/>
          </w:tcPr>
          <w:p>
            <w:pPr>
              <w:spacing w:after="0"/>
              <w:rPr>
                <w:sz w:val="13"/>
                <w:szCs w:val="13"/>
                <w:color w:val="auto"/>
              </w:rPr>
            </w:pPr>
          </w:p>
        </w:tc>
        <w:tc>
          <w:tcPr>
            <w:tcW w:w="1020" w:type="dxa"/>
            <w:vAlign w:val="bottom"/>
            <w:shd w:val="clear" w:color="auto" w:fill="00548B"/>
          </w:tcPr>
          <w:p>
            <w:pPr>
              <w:jc w:val="center"/>
              <w:spacing w:after="0"/>
              <w:rPr>
                <w:sz w:val="20"/>
                <w:szCs w:val="20"/>
                <w:color w:val="auto"/>
              </w:rPr>
            </w:pPr>
            <w:r>
              <w:rPr>
                <w:rFonts w:ascii="Arial" w:cs="Arial" w:eastAsia="Arial" w:hAnsi="Arial"/>
                <w:sz w:val="13"/>
                <w:szCs w:val="13"/>
                <w:b w:val="1"/>
                <w:bCs w:val="1"/>
                <w:color w:val="E5E5E5"/>
                <w:w w:val="97"/>
              </w:rPr>
              <w:t>Option Awards</w:t>
            </w:r>
          </w:p>
        </w:tc>
        <w:tc>
          <w:tcPr>
            <w:tcW w:w="660" w:type="dxa"/>
            <w:vAlign w:val="bottom"/>
            <w:shd w:val="clear" w:color="auto" w:fill="00548B"/>
          </w:tcPr>
          <w:p>
            <w:pPr>
              <w:spacing w:after="0"/>
              <w:rPr>
                <w:sz w:val="13"/>
                <w:szCs w:val="13"/>
                <w:color w:val="auto"/>
              </w:rPr>
            </w:pPr>
          </w:p>
        </w:tc>
        <w:tc>
          <w:tcPr>
            <w:tcW w:w="1080" w:type="dxa"/>
            <w:vAlign w:val="bottom"/>
            <w:shd w:val="clear" w:color="auto" w:fill="00548B"/>
          </w:tcPr>
          <w:p>
            <w:pPr>
              <w:spacing w:after="0"/>
              <w:rPr>
                <w:sz w:val="13"/>
                <w:szCs w:val="13"/>
                <w:color w:val="auto"/>
              </w:rPr>
            </w:pPr>
          </w:p>
        </w:tc>
        <w:tc>
          <w:tcPr>
            <w:tcW w:w="600" w:type="dxa"/>
            <w:vAlign w:val="bottom"/>
            <w:shd w:val="clear" w:color="auto" w:fill="00548B"/>
          </w:tcPr>
          <w:p>
            <w:pPr>
              <w:spacing w:after="0"/>
              <w:rPr>
                <w:sz w:val="13"/>
                <w:szCs w:val="13"/>
                <w:color w:val="auto"/>
              </w:rPr>
            </w:pPr>
          </w:p>
        </w:tc>
        <w:tc>
          <w:tcPr>
            <w:tcW w:w="260" w:type="dxa"/>
            <w:vAlign w:val="bottom"/>
            <w:shd w:val="clear" w:color="auto" w:fill="00548B"/>
          </w:tcPr>
          <w:p>
            <w:pPr>
              <w:spacing w:after="0"/>
              <w:rPr>
                <w:sz w:val="13"/>
                <w:szCs w:val="13"/>
                <w:color w:val="auto"/>
              </w:rPr>
            </w:pPr>
          </w:p>
        </w:tc>
        <w:tc>
          <w:tcPr>
            <w:tcW w:w="940" w:type="dxa"/>
            <w:vAlign w:val="bottom"/>
            <w:shd w:val="clear" w:color="auto" w:fill="00548B"/>
          </w:tcPr>
          <w:p>
            <w:pPr>
              <w:spacing w:after="0"/>
              <w:rPr>
                <w:sz w:val="13"/>
                <w:szCs w:val="13"/>
                <w:color w:val="auto"/>
              </w:rPr>
            </w:pPr>
          </w:p>
        </w:tc>
        <w:tc>
          <w:tcPr>
            <w:tcW w:w="1280" w:type="dxa"/>
            <w:vAlign w:val="bottom"/>
            <w:shd w:val="clear" w:color="auto" w:fill="00548B"/>
          </w:tcPr>
          <w:p>
            <w:pPr>
              <w:jc w:val="right"/>
              <w:ind w:right="270"/>
              <w:spacing w:after="0"/>
              <w:rPr>
                <w:sz w:val="20"/>
                <w:szCs w:val="20"/>
                <w:color w:val="auto"/>
              </w:rPr>
            </w:pPr>
            <w:r>
              <w:rPr>
                <w:rFonts w:ascii="Arial" w:cs="Arial" w:eastAsia="Arial" w:hAnsi="Arial"/>
                <w:sz w:val="13"/>
                <w:szCs w:val="13"/>
                <w:b w:val="1"/>
                <w:bCs w:val="1"/>
                <w:color w:val="E5E5E5"/>
              </w:rPr>
              <w:t>Stock Awards</w:t>
            </w:r>
          </w:p>
        </w:tc>
        <w:tc>
          <w:tcPr>
            <w:tcW w:w="1560" w:type="dxa"/>
            <w:vAlign w:val="bottom"/>
            <w:shd w:val="clear" w:color="auto" w:fill="00548B"/>
          </w:tcPr>
          <w:p>
            <w:pPr>
              <w:spacing w:after="0"/>
              <w:rPr>
                <w:sz w:val="13"/>
                <w:szCs w:val="13"/>
                <w:color w:val="auto"/>
              </w:rPr>
            </w:pPr>
          </w:p>
        </w:tc>
      </w:tr>
      <w:tr>
        <w:trPr>
          <w:trHeight w:val="120"/>
        </w:trPr>
        <w:tc>
          <w:tcPr>
            <w:tcW w:w="1860" w:type="dxa"/>
            <w:vAlign w:val="bottom"/>
            <w:shd w:val="clear" w:color="auto" w:fill="00548B"/>
          </w:tcPr>
          <w:p>
            <w:pPr>
              <w:spacing w:after="0"/>
              <w:rPr>
                <w:sz w:val="10"/>
                <w:szCs w:val="10"/>
                <w:color w:val="auto"/>
              </w:rPr>
            </w:pPr>
          </w:p>
        </w:tc>
        <w:tc>
          <w:tcPr>
            <w:tcW w:w="840" w:type="dxa"/>
            <w:vAlign w:val="bottom"/>
            <w:shd w:val="clear" w:color="auto" w:fill="00548B"/>
          </w:tcPr>
          <w:p>
            <w:pPr>
              <w:spacing w:after="0"/>
              <w:rPr>
                <w:sz w:val="10"/>
                <w:szCs w:val="10"/>
                <w:color w:val="auto"/>
              </w:rPr>
            </w:pPr>
          </w:p>
        </w:tc>
        <w:tc>
          <w:tcPr>
            <w:tcW w:w="920" w:type="dxa"/>
            <w:vAlign w:val="bottom"/>
            <w:shd w:val="clear" w:color="auto" w:fill="00548B"/>
          </w:tcPr>
          <w:p>
            <w:pPr>
              <w:spacing w:after="0"/>
              <w:rPr>
                <w:sz w:val="10"/>
                <w:szCs w:val="10"/>
                <w:color w:val="auto"/>
              </w:rPr>
            </w:pPr>
          </w:p>
        </w:tc>
        <w:tc>
          <w:tcPr>
            <w:tcW w:w="1020" w:type="dxa"/>
            <w:vAlign w:val="bottom"/>
            <w:shd w:val="clear" w:color="auto" w:fill="00548B"/>
          </w:tcPr>
          <w:p>
            <w:pPr>
              <w:spacing w:after="0"/>
              <w:rPr>
                <w:sz w:val="10"/>
                <w:szCs w:val="10"/>
                <w:color w:val="auto"/>
              </w:rPr>
            </w:pPr>
          </w:p>
        </w:tc>
        <w:tc>
          <w:tcPr>
            <w:tcW w:w="660" w:type="dxa"/>
            <w:vAlign w:val="bottom"/>
            <w:shd w:val="clear" w:color="auto" w:fill="00548B"/>
          </w:tcPr>
          <w:p>
            <w:pPr>
              <w:spacing w:after="0"/>
              <w:rPr>
                <w:sz w:val="10"/>
                <w:szCs w:val="10"/>
                <w:color w:val="auto"/>
              </w:rPr>
            </w:pPr>
          </w:p>
        </w:tc>
        <w:tc>
          <w:tcPr>
            <w:tcW w:w="1080" w:type="dxa"/>
            <w:vAlign w:val="bottom"/>
            <w:shd w:val="clear" w:color="auto" w:fill="00548B"/>
          </w:tcPr>
          <w:p>
            <w:pPr>
              <w:spacing w:after="0"/>
              <w:rPr>
                <w:sz w:val="10"/>
                <w:szCs w:val="10"/>
                <w:color w:val="auto"/>
              </w:rPr>
            </w:pPr>
          </w:p>
        </w:tc>
        <w:tc>
          <w:tcPr>
            <w:tcW w:w="600" w:type="dxa"/>
            <w:vAlign w:val="bottom"/>
            <w:shd w:val="clear" w:color="auto" w:fill="00548B"/>
          </w:tcPr>
          <w:p>
            <w:pPr>
              <w:spacing w:after="0"/>
              <w:rPr>
                <w:sz w:val="10"/>
                <w:szCs w:val="10"/>
                <w:color w:val="auto"/>
              </w:rPr>
            </w:pPr>
          </w:p>
        </w:tc>
        <w:tc>
          <w:tcPr>
            <w:tcW w:w="260" w:type="dxa"/>
            <w:vAlign w:val="bottom"/>
            <w:shd w:val="clear" w:color="auto" w:fill="00548B"/>
          </w:tcPr>
          <w:p>
            <w:pPr>
              <w:spacing w:after="0"/>
              <w:rPr>
                <w:sz w:val="10"/>
                <w:szCs w:val="10"/>
                <w:color w:val="auto"/>
              </w:rPr>
            </w:pPr>
          </w:p>
        </w:tc>
        <w:tc>
          <w:tcPr>
            <w:tcW w:w="940" w:type="dxa"/>
            <w:vAlign w:val="bottom"/>
            <w:shd w:val="clear" w:color="auto" w:fill="00548B"/>
          </w:tcPr>
          <w:p>
            <w:pPr>
              <w:spacing w:after="0"/>
              <w:rPr>
                <w:sz w:val="10"/>
                <w:szCs w:val="10"/>
                <w:color w:val="auto"/>
              </w:rPr>
            </w:pPr>
          </w:p>
        </w:tc>
        <w:tc>
          <w:tcPr>
            <w:tcW w:w="1280" w:type="dxa"/>
            <w:vAlign w:val="bottom"/>
            <w:shd w:val="clear" w:color="auto" w:fill="00548B"/>
          </w:tcPr>
          <w:p>
            <w:pPr>
              <w:jc w:val="center"/>
              <w:spacing w:after="0" w:line="120" w:lineRule="exact"/>
              <w:rPr>
                <w:sz w:val="20"/>
                <w:szCs w:val="20"/>
                <w:color w:val="auto"/>
              </w:rPr>
            </w:pPr>
            <w:r>
              <w:rPr>
                <w:rFonts w:ascii="Arial" w:cs="Arial" w:eastAsia="Arial" w:hAnsi="Arial"/>
                <w:sz w:val="13"/>
                <w:szCs w:val="13"/>
                <w:b w:val="1"/>
                <w:bCs w:val="1"/>
                <w:color w:val="E5E5E5"/>
                <w:w w:val="96"/>
              </w:rPr>
              <w:t>Equity Incentive</w:t>
            </w:r>
          </w:p>
        </w:tc>
        <w:tc>
          <w:tcPr>
            <w:tcW w:w="1560" w:type="dxa"/>
            <w:vAlign w:val="bottom"/>
            <w:shd w:val="clear" w:color="auto" w:fill="00548B"/>
          </w:tcPr>
          <w:p>
            <w:pPr>
              <w:spacing w:after="0"/>
              <w:rPr>
                <w:sz w:val="10"/>
                <w:szCs w:val="10"/>
                <w:color w:val="auto"/>
              </w:rPr>
            </w:pPr>
          </w:p>
        </w:tc>
      </w:tr>
      <w:tr>
        <w:trPr>
          <w:trHeight w:val="135"/>
        </w:trPr>
        <w:tc>
          <w:tcPr>
            <w:tcW w:w="1860" w:type="dxa"/>
            <w:vAlign w:val="bottom"/>
            <w:shd w:val="clear" w:color="auto" w:fill="00548B"/>
          </w:tcPr>
          <w:p>
            <w:pPr>
              <w:spacing w:after="0"/>
              <w:rPr>
                <w:sz w:val="11"/>
                <w:szCs w:val="11"/>
                <w:color w:val="auto"/>
              </w:rPr>
            </w:pPr>
          </w:p>
        </w:tc>
        <w:tc>
          <w:tcPr>
            <w:tcW w:w="840" w:type="dxa"/>
            <w:vAlign w:val="bottom"/>
            <w:shd w:val="clear" w:color="auto" w:fill="00548B"/>
          </w:tcPr>
          <w:p>
            <w:pPr>
              <w:spacing w:after="0"/>
              <w:rPr>
                <w:sz w:val="11"/>
                <w:szCs w:val="11"/>
                <w:color w:val="auto"/>
              </w:rPr>
            </w:pPr>
          </w:p>
        </w:tc>
        <w:tc>
          <w:tcPr>
            <w:tcW w:w="920" w:type="dxa"/>
            <w:vAlign w:val="bottom"/>
            <w:shd w:val="clear" w:color="auto" w:fill="00548B"/>
          </w:tcPr>
          <w:p>
            <w:pPr>
              <w:spacing w:after="0"/>
              <w:rPr>
                <w:sz w:val="11"/>
                <w:szCs w:val="11"/>
                <w:color w:val="auto"/>
              </w:rPr>
            </w:pPr>
          </w:p>
        </w:tc>
        <w:tc>
          <w:tcPr>
            <w:tcW w:w="1020" w:type="dxa"/>
            <w:vAlign w:val="bottom"/>
            <w:shd w:val="clear" w:color="auto" w:fill="00548B"/>
          </w:tcPr>
          <w:p>
            <w:pPr>
              <w:spacing w:after="0"/>
              <w:rPr>
                <w:sz w:val="11"/>
                <w:szCs w:val="11"/>
                <w:color w:val="auto"/>
              </w:rPr>
            </w:pPr>
          </w:p>
        </w:tc>
        <w:tc>
          <w:tcPr>
            <w:tcW w:w="660" w:type="dxa"/>
            <w:vAlign w:val="bottom"/>
            <w:shd w:val="clear" w:color="auto" w:fill="00548B"/>
          </w:tcPr>
          <w:p>
            <w:pPr>
              <w:spacing w:after="0"/>
              <w:rPr>
                <w:sz w:val="11"/>
                <w:szCs w:val="11"/>
                <w:color w:val="auto"/>
              </w:rPr>
            </w:pPr>
          </w:p>
        </w:tc>
        <w:tc>
          <w:tcPr>
            <w:tcW w:w="1080" w:type="dxa"/>
            <w:vAlign w:val="bottom"/>
            <w:shd w:val="clear" w:color="auto" w:fill="00548B"/>
          </w:tcPr>
          <w:p>
            <w:pPr>
              <w:spacing w:after="0"/>
              <w:rPr>
                <w:sz w:val="11"/>
                <w:szCs w:val="11"/>
                <w:color w:val="auto"/>
              </w:rPr>
            </w:pPr>
          </w:p>
        </w:tc>
        <w:tc>
          <w:tcPr>
            <w:tcW w:w="600" w:type="dxa"/>
            <w:vAlign w:val="bottom"/>
            <w:shd w:val="clear" w:color="auto" w:fill="00548B"/>
          </w:tcPr>
          <w:p>
            <w:pPr>
              <w:spacing w:after="0"/>
              <w:rPr>
                <w:sz w:val="11"/>
                <w:szCs w:val="11"/>
                <w:color w:val="auto"/>
              </w:rPr>
            </w:pPr>
          </w:p>
        </w:tc>
        <w:tc>
          <w:tcPr>
            <w:tcW w:w="260" w:type="dxa"/>
            <w:vAlign w:val="bottom"/>
            <w:shd w:val="clear" w:color="auto" w:fill="00548B"/>
          </w:tcPr>
          <w:p>
            <w:pPr>
              <w:spacing w:after="0"/>
              <w:rPr>
                <w:sz w:val="11"/>
                <w:szCs w:val="11"/>
                <w:color w:val="auto"/>
              </w:rPr>
            </w:pPr>
          </w:p>
        </w:tc>
        <w:tc>
          <w:tcPr>
            <w:tcW w:w="940" w:type="dxa"/>
            <w:vAlign w:val="bottom"/>
            <w:shd w:val="clear" w:color="auto" w:fill="00548B"/>
          </w:tcPr>
          <w:p>
            <w:pPr>
              <w:spacing w:after="0"/>
              <w:rPr>
                <w:sz w:val="11"/>
                <w:szCs w:val="11"/>
                <w:color w:val="auto"/>
              </w:rPr>
            </w:pPr>
          </w:p>
        </w:tc>
        <w:tc>
          <w:tcPr>
            <w:tcW w:w="128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E5E5E5"/>
                <w:w w:val="97"/>
              </w:rPr>
              <w:t>Plan Awards:</w:t>
            </w:r>
          </w:p>
        </w:tc>
        <w:tc>
          <w:tcPr>
            <w:tcW w:w="156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E5E5E5"/>
                <w:w w:val="96"/>
              </w:rPr>
              <w:t>Equity Incentive Plan</w:t>
            </w:r>
          </w:p>
        </w:tc>
      </w:tr>
      <w:tr>
        <w:trPr>
          <w:trHeight w:val="135"/>
        </w:trPr>
        <w:tc>
          <w:tcPr>
            <w:tcW w:w="1860" w:type="dxa"/>
            <w:vAlign w:val="bottom"/>
            <w:shd w:val="clear" w:color="auto" w:fill="00548B"/>
          </w:tcPr>
          <w:p>
            <w:pPr>
              <w:spacing w:after="0"/>
              <w:rPr>
                <w:sz w:val="11"/>
                <w:szCs w:val="11"/>
                <w:color w:val="auto"/>
              </w:rPr>
            </w:pPr>
          </w:p>
        </w:tc>
        <w:tc>
          <w:tcPr>
            <w:tcW w:w="840" w:type="dxa"/>
            <w:vAlign w:val="bottom"/>
            <w:shd w:val="clear" w:color="auto" w:fill="00548B"/>
          </w:tcPr>
          <w:p>
            <w:pPr>
              <w:spacing w:after="0"/>
              <w:rPr>
                <w:sz w:val="11"/>
                <w:szCs w:val="11"/>
                <w:color w:val="auto"/>
              </w:rPr>
            </w:pPr>
          </w:p>
        </w:tc>
        <w:tc>
          <w:tcPr>
            <w:tcW w:w="92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E5E5E5"/>
                <w:w w:val="95"/>
              </w:rPr>
              <w:t>Number of</w:t>
            </w:r>
          </w:p>
        </w:tc>
        <w:tc>
          <w:tcPr>
            <w:tcW w:w="102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E5E5E5"/>
                <w:w w:val="95"/>
              </w:rPr>
              <w:t>Number of</w:t>
            </w:r>
          </w:p>
        </w:tc>
        <w:tc>
          <w:tcPr>
            <w:tcW w:w="660" w:type="dxa"/>
            <w:vAlign w:val="bottom"/>
            <w:shd w:val="clear" w:color="auto" w:fill="00548B"/>
          </w:tcPr>
          <w:p>
            <w:pPr>
              <w:spacing w:after="0"/>
              <w:rPr>
                <w:sz w:val="11"/>
                <w:szCs w:val="11"/>
                <w:color w:val="auto"/>
              </w:rPr>
            </w:pPr>
          </w:p>
        </w:tc>
        <w:tc>
          <w:tcPr>
            <w:tcW w:w="1080" w:type="dxa"/>
            <w:vAlign w:val="bottom"/>
            <w:shd w:val="clear" w:color="auto" w:fill="00548B"/>
          </w:tcPr>
          <w:p>
            <w:pPr>
              <w:spacing w:after="0"/>
              <w:rPr>
                <w:sz w:val="11"/>
                <w:szCs w:val="11"/>
                <w:color w:val="auto"/>
              </w:rPr>
            </w:pPr>
          </w:p>
        </w:tc>
        <w:tc>
          <w:tcPr>
            <w:tcW w:w="860" w:type="dxa"/>
            <w:vAlign w:val="bottom"/>
            <w:gridSpan w:val="2"/>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E5E5E5"/>
                <w:w w:val="95"/>
              </w:rPr>
              <w:t>Number of</w:t>
            </w:r>
          </w:p>
        </w:tc>
        <w:tc>
          <w:tcPr>
            <w:tcW w:w="94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E5E5E5"/>
                <w:w w:val="94"/>
              </w:rPr>
              <w:t>Market Value</w:t>
            </w:r>
          </w:p>
        </w:tc>
        <w:tc>
          <w:tcPr>
            <w:tcW w:w="128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E5E5E5"/>
                <w:w w:val="98"/>
              </w:rPr>
              <w:t>Number of</w:t>
            </w:r>
          </w:p>
        </w:tc>
        <w:tc>
          <w:tcPr>
            <w:tcW w:w="156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E5E5E5"/>
                <w:w w:val="96"/>
              </w:rPr>
              <w:t>Awards: Market or</w:t>
            </w:r>
          </w:p>
        </w:tc>
      </w:tr>
      <w:tr>
        <w:trPr>
          <w:trHeight w:val="135"/>
        </w:trPr>
        <w:tc>
          <w:tcPr>
            <w:tcW w:w="1860" w:type="dxa"/>
            <w:vAlign w:val="bottom"/>
            <w:shd w:val="clear" w:color="auto" w:fill="00548B"/>
          </w:tcPr>
          <w:p>
            <w:pPr>
              <w:spacing w:after="0"/>
              <w:rPr>
                <w:sz w:val="11"/>
                <w:szCs w:val="11"/>
                <w:color w:val="auto"/>
              </w:rPr>
            </w:pPr>
          </w:p>
        </w:tc>
        <w:tc>
          <w:tcPr>
            <w:tcW w:w="840" w:type="dxa"/>
            <w:vAlign w:val="bottom"/>
            <w:shd w:val="clear" w:color="auto" w:fill="00548B"/>
          </w:tcPr>
          <w:p>
            <w:pPr>
              <w:spacing w:after="0"/>
              <w:rPr>
                <w:sz w:val="11"/>
                <w:szCs w:val="11"/>
                <w:color w:val="auto"/>
              </w:rPr>
            </w:pPr>
          </w:p>
        </w:tc>
        <w:tc>
          <w:tcPr>
            <w:tcW w:w="92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E5E5E5"/>
                <w:w w:val="96"/>
              </w:rPr>
              <w:t>Securities</w:t>
            </w:r>
          </w:p>
        </w:tc>
        <w:tc>
          <w:tcPr>
            <w:tcW w:w="102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E5E5E5"/>
                <w:w w:val="96"/>
              </w:rPr>
              <w:t>Securities</w:t>
            </w:r>
          </w:p>
        </w:tc>
        <w:tc>
          <w:tcPr>
            <w:tcW w:w="660" w:type="dxa"/>
            <w:vAlign w:val="bottom"/>
            <w:shd w:val="clear" w:color="auto" w:fill="00548B"/>
          </w:tcPr>
          <w:p>
            <w:pPr>
              <w:spacing w:after="0"/>
              <w:rPr>
                <w:sz w:val="11"/>
                <w:szCs w:val="11"/>
                <w:color w:val="auto"/>
              </w:rPr>
            </w:pPr>
          </w:p>
        </w:tc>
        <w:tc>
          <w:tcPr>
            <w:tcW w:w="1080" w:type="dxa"/>
            <w:vAlign w:val="bottom"/>
            <w:shd w:val="clear" w:color="auto" w:fill="00548B"/>
          </w:tcPr>
          <w:p>
            <w:pPr>
              <w:spacing w:after="0"/>
              <w:rPr>
                <w:sz w:val="11"/>
                <w:szCs w:val="11"/>
                <w:color w:val="auto"/>
              </w:rPr>
            </w:pPr>
          </w:p>
        </w:tc>
        <w:tc>
          <w:tcPr>
            <w:tcW w:w="860" w:type="dxa"/>
            <w:vAlign w:val="bottom"/>
            <w:gridSpan w:val="2"/>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E5E5E5"/>
                <w:w w:val="96"/>
              </w:rPr>
              <w:t>Shares or</w:t>
            </w:r>
          </w:p>
        </w:tc>
        <w:tc>
          <w:tcPr>
            <w:tcW w:w="94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E5E5E5"/>
                <w:w w:val="97"/>
              </w:rPr>
              <w:t>of Shares or</w:t>
            </w:r>
          </w:p>
        </w:tc>
        <w:tc>
          <w:tcPr>
            <w:tcW w:w="128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E5E5E5"/>
                <w:w w:val="97"/>
              </w:rPr>
              <w:t>Unearned Shares,</w:t>
            </w:r>
          </w:p>
        </w:tc>
        <w:tc>
          <w:tcPr>
            <w:tcW w:w="156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E5E5E5"/>
                <w:w w:val="96"/>
              </w:rPr>
              <w:t>Payout Value of</w:t>
            </w:r>
          </w:p>
        </w:tc>
      </w:tr>
      <w:tr>
        <w:trPr>
          <w:trHeight w:val="135"/>
        </w:trPr>
        <w:tc>
          <w:tcPr>
            <w:tcW w:w="1860" w:type="dxa"/>
            <w:vAlign w:val="bottom"/>
            <w:shd w:val="clear" w:color="auto" w:fill="00548B"/>
          </w:tcPr>
          <w:p>
            <w:pPr>
              <w:spacing w:after="0"/>
              <w:rPr>
                <w:sz w:val="11"/>
                <w:szCs w:val="11"/>
                <w:color w:val="auto"/>
              </w:rPr>
            </w:pPr>
          </w:p>
        </w:tc>
        <w:tc>
          <w:tcPr>
            <w:tcW w:w="840" w:type="dxa"/>
            <w:vAlign w:val="bottom"/>
            <w:shd w:val="clear" w:color="auto" w:fill="00548B"/>
          </w:tcPr>
          <w:p>
            <w:pPr>
              <w:spacing w:after="0"/>
              <w:rPr>
                <w:sz w:val="11"/>
                <w:szCs w:val="11"/>
                <w:color w:val="auto"/>
              </w:rPr>
            </w:pPr>
          </w:p>
        </w:tc>
        <w:tc>
          <w:tcPr>
            <w:tcW w:w="92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E5E5E5"/>
                <w:w w:val="97"/>
              </w:rPr>
              <w:t>Underlying</w:t>
            </w:r>
          </w:p>
        </w:tc>
        <w:tc>
          <w:tcPr>
            <w:tcW w:w="102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E5E5E5"/>
                <w:w w:val="97"/>
              </w:rPr>
              <w:t>Underlying</w:t>
            </w:r>
          </w:p>
        </w:tc>
        <w:tc>
          <w:tcPr>
            <w:tcW w:w="660" w:type="dxa"/>
            <w:vAlign w:val="bottom"/>
            <w:shd w:val="clear" w:color="auto" w:fill="00548B"/>
          </w:tcPr>
          <w:p>
            <w:pPr>
              <w:spacing w:after="0"/>
              <w:rPr>
                <w:sz w:val="11"/>
                <w:szCs w:val="11"/>
                <w:color w:val="auto"/>
              </w:rPr>
            </w:pPr>
          </w:p>
        </w:tc>
        <w:tc>
          <w:tcPr>
            <w:tcW w:w="1080" w:type="dxa"/>
            <w:vAlign w:val="bottom"/>
            <w:shd w:val="clear" w:color="auto" w:fill="00548B"/>
          </w:tcPr>
          <w:p>
            <w:pPr>
              <w:spacing w:after="0"/>
              <w:rPr>
                <w:sz w:val="11"/>
                <w:szCs w:val="11"/>
                <w:color w:val="auto"/>
              </w:rPr>
            </w:pPr>
          </w:p>
        </w:tc>
        <w:tc>
          <w:tcPr>
            <w:tcW w:w="860" w:type="dxa"/>
            <w:vAlign w:val="bottom"/>
            <w:gridSpan w:val="2"/>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E5E5E5"/>
                <w:w w:val="94"/>
              </w:rPr>
              <w:t>Units of</w:t>
            </w:r>
          </w:p>
        </w:tc>
        <w:tc>
          <w:tcPr>
            <w:tcW w:w="94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E5E5E5"/>
                <w:w w:val="94"/>
              </w:rPr>
              <w:t>Units of</w:t>
            </w:r>
          </w:p>
        </w:tc>
        <w:tc>
          <w:tcPr>
            <w:tcW w:w="128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E5E5E5"/>
                <w:w w:val="96"/>
              </w:rPr>
              <w:t>Units or Other</w:t>
            </w:r>
          </w:p>
        </w:tc>
        <w:tc>
          <w:tcPr>
            <w:tcW w:w="156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E5E5E5"/>
                <w:w w:val="95"/>
              </w:rPr>
              <w:t>Unearned Shares,</w:t>
            </w:r>
          </w:p>
        </w:tc>
      </w:tr>
      <w:tr>
        <w:trPr>
          <w:trHeight w:val="135"/>
        </w:trPr>
        <w:tc>
          <w:tcPr>
            <w:tcW w:w="1860" w:type="dxa"/>
            <w:vAlign w:val="bottom"/>
            <w:shd w:val="clear" w:color="auto" w:fill="00548B"/>
          </w:tcPr>
          <w:p>
            <w:pPr>
              <w:spacing w:after="0"/>
              <w:rPr>
                <w:sz w:val="11"/>
                <w:szCs w:val="11"/>
                <w:color w:val="auto"/>
              </w:rPr>
            </w:pPr>
          </w:p>
        </w:tc>
        <w:tc>
          <w:tcPr>
            <w:tcW w:w="840" w:type="dxa"/>
            <w:vAlign w:val="bottom"/>
            <w:shd w:val="clear" w:color="auto" w:fill="00548B"/>
          </w:tcPr>
          <w:p>
            <w:pPr>
              <w:spacing w:after="0"/>
              <w:rPr>
                <w:sz w:val="11"/>
                <w:szCs w:val="11"/>
                <w:color w:val="auto"/>
              </w:rPr>
            </w:pPr>
          </w:p>
        </w:tc>
        <w:tc>
          <w:tcPr>
            <w:tcW w:w="92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E5E5E5"/>
                <w:w w:val="95"/>
              </w:rPr>
              <w:t>Unexercised</w:t>
            </w:r>
          </w:p>
        </w:tc>
        <w:tc>
          <w:tcPr>
            <w:tcW w:w="102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E5E5E5"/>
                <w:w w:val="95"/>
              </w:rPr>
              <w:t>Unexercised</w:t>
            </w:r>
          </w:p>
        </w:tc>
        <w:tc>
          <w:tcPr>
            <w:tcW w:w="66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E5E5E5"/>
                <w:w w:val="95"/>
              </w:rPr>
              <w:t>Option</w:t>
            </w:r>
          </w:p>
        </w:tc>
        <w:tc>
          <w:tcPr>
            <w:tcW w:w="1080" w:type="dxa"/>
            <w:vAlign w:val="bottom"/>
            <w:shd w:val="clear" w:color="auto" w:fill="00548B"/>
          </w:tcPr>
          <w:p>
            <w:pPr>
              <w:jc w:val="center"/>
              <w:ind w:right="169"/>
              <w:spacing w:after="0" w:line="135" w:lineRule="exact"/>
              <w:rPr>
                <w:sz w:val="20"/>
                <w:szCs w:val="20"/>
                <w:color w:val="auto"/>
              </w:rPr>
            </w:pPr>
            <w:r>
              <w:rPr>
                <w:rFonts w:ascii="Arial" w:cs="Arial" w:eastAsia="Arial" w:hAnsi="Arial"/>
                <w:sz w:val="13"/>
                <w:szCs w:val="13"/>
                <w:b w:val="1"/>
                <w:bCs w:val="1"/>
                <w:color w:val="E5E5E5"/>
                <w:w w:val="95"/>
              </w:rPr>
              <w:t>Option</w:t>
            </w:r>
          </w:p>
        </w:tc>
        <w:tc>
          <w:tcPr>
            <w:tcW w:w="860" w:type="dxa"/>
            <w:vAlign w:val="bottom"/>
            <w:gridSpan w:val="2"/>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E5E5E5"/>
                <w:w w:val="98"/>
              </w:rPr>
              <w:t>Stock that</w:t>
            </w:r>
          </w:p>
        </w:tc>
        <w:tc>
          <w:tcPr>
            <w:tcW w:w="94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E5E5E5"/>
                <w:w w:val="95"/>
              </w:rPr>
              <w:t>Stock that</w:t>
            </w:r>
          </w:p>
        </w:tc>
        <w:tc>
          <w:tcPr>
            <w:tcW w:w="128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E5E5E5"/>
                <w:w w:val="97"/>
              </w:rPr>
              <w:t>Rights that Have</w:t>
            </w:r>
          </w:p>
        </w:tc>
        <w:tc>
          <w:tcPr>
            <w:tcW w:w="156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E5E5E5"/>
                <w:w w:val="92"/>
              </w:rPr>
              <w:t>Units</w:t>
            </w:r>
          </w:p>
        </w:tc>
      </w:tr>
      <w:tr>
        <w:trPr>
          <w:trHeight w:val="135"/>
        </w:trPr>
        <w:tc>
          <w:tcPr>
            <w:tcW w:w="1860" w:type="dxa"/>
            <w:vAlign w:val="bottom"/>
            <w:shd w:val="clear" w:color="auto" w:fill="00548B"/>
          </w:tcPr>
          <w:p>
            <w:pPr>
              <w:spacing w:after="0"/>
              <w:rPr>
                <w:sz w:val="11"/>
                <w:szCs w:val="11"/>
                <w:color w:val="auto"/>
              </w:rPr>
            </w:pPr>
          </w:p>
        </w:tc>
        <w:tc>
          <w:tcPr>
            <w:tcW w:w="84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E5E5E5"/>
                <w:w w:val="97"/>
              </w:rPr>
              <w:t>Grant</w:t>
            </w:r>
          </w:p>
        </w:tc>
        <w:tc>
          <w:tcPr>
            <w:tcW w:w="92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E5E5E5"/>
                <w:w w:val="96"/>
              </w:rPr>
              <w:t>Options (#)</w:t>
            </w:r>
          </w:p>
        </w:tc>
        <w:tc>
          <w:tcPr>
            <w:tcW w:w="102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E5E5E5"/>
                <w:w w:val="96"/>
              </w:rPr>
              <w:t>Options (#)</w:t>
            </w:r>
          </w:p>
        </w:tc>
        <w:tc>
          <w:tcPr>
            <w:tcW w:w="66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E5E5E5"/>
                <w:w w:val="97"/>
              </w:rPr>
              <w:t>Exercise</w:t>
            </w:r>
          </w:p>
        </w:tc>
        <w:tc>
          <w:tcPr>
            <w:tcW w:w="1080" w:type="dxa"/>
            <w:vAlign w:val="bottom"/>
            <w:shd w:val="clear" w:color="auto" w:fill="00548B"/>
          </w:tcPr>
          <w:p>
            <w:pPr>
              <w:jc w:val="center"/>
              <w:ind w:right="189"/>
              <w:spacing w:after="0" w:line="135" w:lineRule="exact"/>
              <w:rPr>
                <w:sz w:val="20"/>
                <w:szCs w:val="20"/>
                <w:color w:val="auto"/>
              </w:rPr>
            </w:pPr>
            <w:r>
              <w:rPr>
                <w:rFonts w:ascii="Arial" w:cs="Arial" w:eastAsia="Arial" w:hAnsi="Arial"/>
                <w:sz w:val="13"/>
                <w:szCs w:val="13"/>
                <w:b w:val="1"/>
                <w:bCs w:val="1"/>
                <w:color w:val="E5E5E5"/>
                <w:w w:val="97"/>
              </w:rPr>
              <w:t>Expiration</w:t>
            </w:r>
          </w:p>
        </w:tc>
        <w:tc>
          <w:tcPr>
            <w:tcW w:w="860" w:type="dxa"/>
            <w:vAlign w:val="bottom"/>
            <w:gridSpan w:val="2"/>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E5E5E5"/>
                <w:w w:val="95"/>
              </w:rPr>
              <w:t>Have Not</w:t>
            </w:r>
          </w:p>
        </w:tc>
        <w:tc>
          <w:tcPr>
            <w:tcW w:w="94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E5E5E5"/>
                <w:w w:val="95"/>
              </w:rPr>
              <w:t>Have Not</w:t>
            </w:r>
          </w:p>
        </w:tc>
        <w:tc>
          <w:tcPr>
            <w:tcW w:w="128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E5E5E5"/>
                <w:w w:val="95"/>
              </w:rPr>
              <w:t>Not Yet Vested</w:t>
            </w:r>
          </w:p>
        </w:tc>
        <w:tc>
          <w:tcPr>
            <w:tcW w:w="1560" w:type="dxa"/>
            <w:vAlign w:val="bottom"/>
            <w:shd w:val="clear" w:color="auto" w:fill="00548B"/>
          </w:tcPr>
          <w:p>
            <w:pPr>
              <w:jc w:val="center"/>
              <w:spacing w:after="0" w:line="135" w:lineRule="exact"/>
              <w:rPr>
                <w:sz w:val="20"/>
                <w:szCs w:val="20"/>
                <w:color w:val="auto"/>
              </w:rPr>
            </w:pPr>
            <w:r>
              <w:rPr>
                <w:rFonts w:ascii="Arial" w:cs="Arial" w:eastAsia="Arial" w:hAnsi="Arial"/>
                <w:sz w:val="13"/>
                <w:szCs w:val="13"/>
                <w:b w:val="1"/>
                <w:bCs w:val="1"/>
                <w:color w:val="E5E5E5"/>
                <w:w w:val="96"/>
              </w:rPr>
              <w:t>or Other Rights that</w:t>
            </w:r>
          </w:p>
        </w:tc>
      </w:tr>
      <w:tr>
        <w:trPr>
          <w:trHeight w:val="170"/>
        </w:trPr>
        <w:tc>
          <w:tcPr>
            <w:tcW w:w="1860" w:type="dxa"/>
            <w:vAlign w:val="bottom"/>
            <w:shd w:val="clear" w:color="auto" w:fill="00548B"/>
          </w:tcPr>
          <w:p>
            <w:pPr>
              <w:spacing w:after="0"/>
              <w:rPr>
                <w:sz w:val="20"/>
                <w:szCs w:val="20"/>
                <w:color w:val="auto"/>
              </w:rPr>
            </w:pPr>
            <w:r>
              <w:rPr>
                <w:rFonts w:ascii="Arial" w:cs="Arial" w:eastAsia="Arial" w:hAnsi="Arial"/>
                <w:sz w:val="13"/>
                <w:szCs w:val="13"/>
                <w:b w:val="1"/>
                <w:bCs w:val="1"/>
                <w:color w:val="D8D8D8"/>
              </w:rPr>
              <w:t>Name</w:t>
            </w:r>
          </w:p>
        </w:tc>
        <w:tc>
          <w:tcPr>
            <w:tcW w:w="840" w:type="dxa"/>
            <w:vAlign w:val="bottom"/>
            <w:shd w:val="clear" w:color="auto" w:fill="00548B"/>
          </w:tcPr>
          <w:p>
            <w:pPr>
              <w:jc w:val="center"/>
              <w:spacing w:after="0"/>
              <w:rPr>
                <w:sz w:val="20"/>
                <w:szCs w:val="20"/>
                <w:color w:val="auto"/>
              </w:rPr>
            </w:pPr>
            <w:r>
              <w:rPr>
                <w:rFonts w:ascii="Arial" w:cs="Arial" w:eastAsia="Arial" w:hAnsi="Arial"/>
                <w:sz w:val="13"/>
                <w:szCs w:val="13"/>
                <w:b w:val="1"/>
                <w:bCs w:val="1"/>
                <w:color w:val="E5E5E5"/>
                <w:w w:val="99"/>
              </w:rPr>
              <w:t>Date</w:t>
            </w:r>
          </w:p>
        </w:tc>
        <w:tc>
          <w:tcPr>
            <w:tcW w:w="920" w:type="dxa"/>
            <w:vAlign w:val="bottom"/>
            <w:shd w:val="clear" w:color="auto" w:fill="00548B"/>
          </w:tcPr>
          <w:p>
            <w:pPr>
              <w:jc w:val="center"/>
              <w:spacing w:after="0"/>
              <w:rPr>
                <w:sz w:val="20"/>
                <w:szCs w:val="20"/>
                <w:color w:val="auto"/>
              </w:rPr>
            </w:pPr>
            <w:r>
              <w:rPr>
                <w:rFonts w:ascii="Arial" w:cs="Arial" w:eastAsia="Arial" w:hAnsi="Arial"/>
                <w:sz w:val="13"/>
                <w:szCs w:val="13"/>
                <w:b w:val="1"/>
                <w:bCs w:val="1"/>
                <w:color w:val="E5E5E5"/>
                <w:w w:val="96"/>
              </w:rPr>
              <w:t>Exercisable</w:t>
            </w:r>
          </w:p>
        </w:tc>
        <w:tc>
          <w:tcPr>
            <w:tcW w:w="1020" w:type="dxa"/>
            <w:vAlign w:val="bottom"/>
            <w:shd w:val="clear" w:color="auto" w:fill="00548B"/>
          </w:tcPr>
          <w:p>
            <w:pPr>
              <w:jc w:val="center"/>
              <w:spacing w:after="0"/>
              <w:rPr>
                <w:sz w:val="20"/>
                <w:szCs w:val="20"/>
                <w:color w:val="auto"/>
              </w:rPr>
            </w:pPr>
            <w:r>
              <w:rPr>
                <w:rFonts w:ascii="Arial" w:cs="Arial" w:eastAsia="Arial" w:hAnsi="Arial"/>
                <w:sz w:val="13"/>
                <w:szCs w:val="13"/>
                <w:b w:val="1"/>
                <w:bCs w:val="1"/>
                <w:color w:val="E5E5E5"/>
                <w:w w:val="97"/>
              </w:rPr>
              <w:t>Unexercisable</w:t>
            </w:r>
          </w:p>
        </w:tc>
        <w:tc>
          <w:tcPr>
            <w:tcW w:w="660" w:type="dxa"/>
            <w:vAlign w:val="bottom"/>
            <w:shd w:val="clear" w:color="auto" w:fill="00548B"/>
          </w:tcPr>
          <w:p>
            <w:pPr>
              <w:jc w:val="center"/>
              <w:spacing w:after="0"/>
              <w:rPr>
                <w:sz w:val="20"/>
                <w:szCs w:val="20"/>
                <w:color w:val="auto"/>
              </w:rPr>
            </w:pPr>
            <w:r>
              <w:rPr>
                <w:rFonts w:ascii="Arial" w:cs="Arial" w:eastAsia="Arial" w:hAnsi="Arial"/>
                <w:sz w:val="13"/>
                <w:szCs w:val="13"/>
                <w:b w:val="1"/>
                <w:bCs w:val="1"/>
                <w:color w:val="E5E5E5"/>
                <w:w w:val="97"/>
              </w:rPr>
              <w:t>Price ($)</w:t>
            </w:r>
          </w:p>
        </w:tc>
        <w:tc>
          <w:tcPr>
            <w:tcW w:w="1080" w:type="dxa"/>
            <w:vAlign w:val="bottom"/>
            <w:shd w:val="clear" w:color="auto" w:fill="00548B"/>
          </w:tcPr>
          <w:p>
            <w:pPr>
              <w:jc w:val="center"/>
              <w:ind w:right="189"/>
              <w:spacing w:after="0"/>
              <w:rPr>
                <w:sz w:val="20"/>
                <w:szCs w:val="20"/>
                <w:color w:val="auto"/>
              </w:rPr>
            </w:pPr>
            <w:r>
              <w:rPr>
                <w:rFonts w:ascii="Arial" w:cs="Arial" w:eastAsia="Arial" w:hAnsi="Arial"/>
                <w:sz w:val="13"/>
                <w:szCs w:val="13"/>
                <w:b w:val="1"/>
                <w:bCs w:val="1"/>
                <w:color w:val="E5E5E5"/>
                <w:w w:val="92"/>
              </w:rPr>
              <w:t>Date</w:t>
            </w:r>
          </w:p>
        </w:tc>
        <w:tc>
          <w:tcPr>
            <w:tcW w:w="860" w:type="dxa"/>
            <w:vAlign w:val="bottom"/>
            <w:gridSpan w:val="2"/>
            <w:shd w:val="clear" w:color="auto" w:fill="00548B"/>
          </w:tcPr>
          <w:p>
            <w:pPr>
              <w:jc w:val="center"/>
              <w:spacing w:after="0"/>
              <w:rPr>
                <w:sz w:val="20"/>
                <w:szCs w:val="20"/>
                <w:color w:val="auto"/>
              </w:rPr>
            </w:pPr>
            <w:r>
              <w:rPr>
                <w:rFonts w:ascii="Arial" w:cs="Arial" w:eastAsia="Arial" w:hAnsi="Arial"/>
                <w:sz w:val="13"/>
                <w:szCs w:val="13"/>
                <w:b w:val="1"/>
                <w:bCs w:val="1"/>
                <w:color w:val="E5E5E5"/>
                <w:w w:val="96"/>
              </w:rPr>
              <w:t>Vested (#)</w:t>
            </w:r>
          </w:p>
        </w:tc>
        <w:tc>
          <w:tcPr>
            <w:tcW w:w="940" w:type="dxa"/>
            <w:vAlign w:val="bottom"/>
            <w:shd w:val="clear" w:color="auto" w:fill="00548B"/>
          </w:tcPr>
          <w:p>
            <w:pPr>
              <w:jc w:val="center"/>
              <w:spacing w:after="0"/>
              <w:rPr>
                <w:sz w:val="20"/>
                <w:szCs w:val="20"/>
                <w:color w:val="auto"/>
              </w:rPr>
            </w:pPr>
            <w:r>
              <w:rPr>
                <w:rFonts w:ascii="Arial" w:cs="Arial" w:eastAsia="Arial" w:hAnsi="Arial"/>
                <w:sz w:val="13"/>
                <w:szCs w:val="13"/>
                <w:b w:val="1"/>
                <w:bCs w:val="1"/>
                <w:color w:val="E5E5E5"/>
                <w:w w:val="96"/>
              </w:rPr>
              <w:t>Vested ($)</w:t>
            </w:r>
          </w:p>
        </w:tc>
        <w:tc>
          <w:tcPr>
            <w:tcW w:w="1280" w:type="dxa"/>
            <w:vAlign w:val="bottom"/>
            <w:shd w:val="clear" w:color="auto" w:fill="00548B"/>
          </w:tcPr>
          <w:p>
            <w:pPr>
              <w:jc w:val="center"/>
              <w:spacing w:after="0"/>
              <w:rPr>
                <w:sz w:val="20"/>
                <w:szCs w:val="20"/>
                <w:color w:val="auto"/>
              </w:rPr>
            </w:pPr>
            <w:r>
              <w:rPr>
                <w:rFonts w:ascii="Arial" w:cs="Arial" w:eastAsia="Arial" w:hAnsi="Arial"/>
                <w:sz w:val="13"/>
                <w:szCs w:val="13"/>
                <w:b w:val="1"/>
                <w:bCs w:val="1"/>
                <w:color w:val="E5E5E5"/>
                <w:w w:val="95"/>
              </w:rPr>
              <w:t>(#) (3)</w:t>
            </w:r>
          </w:p>
        </w:tc>
        <w:tc>
          <w:tcPr>
            <w:tcW w:w="1560" w:type="dxa"/>
            <w:vAlign w:val="bottom"/>
            <w:shd w:val="clear" w:color="auto" w:fill="00548B"/>
          </w:tcPr>
          <w:p>
            <w:pPr>
              <w:jc w:val="center"/>
              <w:spacing w:after="0"/>
              <w:rPr>
                <w:sz w:val="20"/>
                <w:szCs w:val="20"/>
                <w:color w:val="auto"/>
              </w:rPr>
            </w:pPr>
            <w:r>
              <w:rPr>
                <w:rFonts w:ascii="Arial" w:cs="Arial" w:eastAsia="Arial" w:hAnsi="Arial"/>
                <w:sz w:val="13"/>
                <w:szCs w:val="13"/>
                <w:b w:val="1"/>
                <w:bCs w:val="1"/>
                <w:color w:val="E5E5E5"/>
                <w:w w:val="94"/>
              </w:rPr>
              <w:t>Have Not Yet Vested ($)</w:t>
            </w:r>
          </w:p>
        </w:tc>
      </w:tr>
      <w:tr>
        <w:trPr>
          <w:trHeight w:val="167"/>
        </w:trPr>
        <w:tc>
          <w:tcPr>
            <w:tcW w:w="1860" w:type="dxa"/>
            <w:vAlign w:val="bottom"/>
          </w:tcPr>
          <w:p>
            <w:pPr>
              <w:spacing w:after="0"/>
              <w:rPr>
                <w:sz w:val="20"/>
                <w:szCs w:val="20"/>
                <w:color w:val="auto"/>
              </w:rPr>
            </w:pPr>
            <w:r>
              <w:rPr>
                <w:rFonts w:ascii="Arial" w:cs="Arial" w:eastAsia="Arial" w:hAnsi="Arial"/>
                <w:sz w:val="14"/>
                <w:szCs w:val="14"/>
                <w:color w:val="auto"/>
              </w:rPr>
              <w:t>James H. Roth</w:t>
            </w:r>
          </w:p>
        </w:tc>
        <w:tc>
          <w:tcPr>
            <w:tcW w:w="840" w:type="dxa"/>
            <w:vAlign w:val="bottom"/>
          </w:tcPr>
          <w:p>
            <w:pPr>
              <w:jc w:val="center"/>
              <w:spacing w:after="0"/>
              <w:rPr>
                <w:sz w:val="20"/>
                <w:szCs w:val="20"/>
                <w:color w:val="auto"/>
              </w:rPr>
            </w:pPr>
            <w:r>
              <w:rPr>
                <w:rFonts w:ascii="Arial" w:cs="Arial" w:eastAsia="Arial" w:hAnsi="Arial"/>
                <w:sz w:val="14"/>
                <w:szCs w:val="14"/>
                <w:color w:val="auto"/>
              </w:rPr>
              <w:t>5/03/2010</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20,000</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23.43</w:t>
            </w:r>
          </w:p>
        </w:tc>
        <w:tc>
          <w:tcPr>
            <w:tcW w:w="1080" w:type="dxa"/>
            <w:vAlign w:val="bottom"/>
          </w:tcPr>
          <w:p>
            <w:pPr>
              <w:jc w:val="center"/>
              <w:ind w:right="129"/>
              <w:spacing w:after="0"/>
              <w:rPr>
                <w:sz w:val="20"/>
                <w:szCs w:val="20"/>
                <w:color w:val="auto"/>
              </w:rPr>
            </w:pPr>
            <w:r>
              <w:rPr>
                <w:rFonts w:ascii="Arial" w:cs="Arial" w:eastAsia="Arial" w:hAnsi="Arial"/>
                <w:sz w:val="14"/>
                <w:szCs w:val="14"/>
                <w:color w:val="auto"/>
              </w:rPr>
              <w:t>5/03/2020</w:t>
            </w:r>
          </w:p>
        </w:tc>
        <w:tc>
          <w:tcPr>
            <w:tcW w:w="600" w:type="dxa"/>
            <w:vAlign w:val="bottom"/>
          </w:tcPr>
          <w:p>
            <w:pPr>
              <w:jc w:val="center"/>
              <w:ind w:left="189"/>
              <w:spacing w:after="0"/>
              <w:rPr>
                <w:sz w:val="20"/>
                <w:szCs w:val="20"/>
                <w:color w:val="auto"/>
              </w:rPr>
            </w:pPr>
            <w:r>
              <w:rPr>
                <w:rFonts w:ascii="Arial" w:cs="Arial" w:eastAsia="Arial" w:hAnsi="Arial"/>
                <w:sz w:val="14"/>
                <w:szCs w:val="14"/>
                <w:color w:val="auto"/>
                <w:w w:val="99"/>
              </w:rPr>
              <w:t>—</w:t>
            </w:r>
          </w:p>
        </w:tc>
        <w:tc>
          <w:tcPr>
            <w:tcW w:w="260" w:type="dxa"/>
            <w:vAlign w:val="bottom"/>
          </w:tcPr>
          <w:p>
            <w:pPr>
              <w:spacing w:after="0"/>
              <w:rPr>
                <w:sz w:val="14"/>
                <w:szCs w:val="14"/>
                <w:color w:val="auto"/>
              </w:rPr>
            </w:pPr>
          </w:p>
        </w:tc>
        <w:tc>
          <w:tcPr>
            <w:tcW w:w="940" w:type="dxa"/>
            <w:vAlign w:val="bottom"/>
          </w:tcPr>
          <w:p>
            <w:pPr>
              <w:ind w:left="420"/>
              <w:spacing w:after="0"/>
              <w:rPr>
                <w:sz w:val="20"/>
                <w:szCs w:val="20"/>
                <w:color w:val="auto"/>
              </w:rPr>
            </w:pPr>
            <w:r>
              <w:rPr>
                <w:rFonts w:ascii="Arial" w:cs="Arial" w:eastAsia="Arial" w:hAnsi="Arial"/>
                <w:sz w:val="14"/>
                <w:szCs w:val="14"/>
                <w:color w:val="auto"/>
              </w:rPr>
              <w:t>—</w:t>
            </w:r>
          </w:p>
        </w:tc>
        <w:tc>
          <w:tcPr>
            <w:tcW w:w="12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560" w:type="dxa"/>
            <w:vAlign w:val="bottom"/>
          </w:tcPr>
          <w:p>
            <w:pPr>
              <w:jc w:val="right"/>
              <w:ind w:right="610"/>
              <w:spacing w:after="0"/>
              <w:rPr>
                <w:sz w:val="20"/>
                <w:szCs w:val="20"/>
                <w:color w:val="auto"/>
              </w:rPr>
            </w:pPr>
            <w:r>
              <w:rPr>
                <w:rFonts w:ascii="Arial" w:cs="Arial" w:eastAsia="Arial" w:hAnsi="Arial"/>
                <w:sz w:val="14"/>
                <w:szCs w:val="14"/>
                <w:color w:val="auto"/>
              </w:rPr>
              <w:t>—</w:t>
            </w:r>
          </w:p>
        </w:tc>
      </w:tr>
      <w:tr>
        <w:trPr>
          <w:trHeight w:val="162"/>
        </w:trPr>
        <w:tc>
          <w:tcPr>
            <w:tcW w:w="18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3/11/2011</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27,031</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26.19</w:t>
            </w:r>
          </w:p>
        </w:tc>
        <w:tc>
          <w:tcPr>
            <w:tcW w:w="1080" w:type="dxa"/>
            <w:vAlign w:val="bottom"/>
          </w:tcPr>
          <w:p>
            <w:pPr>
              <w:jc w:val="center"/>
              <w:ind w:right="129"/>
              <w:spacing w:after="0"/>
              <w:rPr>
                <w:sz w:val="20"/>
                <w:szCs w:val="20"/>
                <w:color w:val="auto"/>
              </w:rPr>
            </w:pPr>
            <w:r>
              <w:rPr>
                <w:rFonts w:ascii="Arial" w:cs="Arial" w:eastAsia="Arial" w:hAnsi="Arial"/>
                <w:sz w:val="14"/>
                <w:szCs w:val="14"/>
                <w:color w:val="auto"/>
              </w:rPr>
              <w:t>3/11/2021</w:t>
            </w:r>
          </w:p>
        </w:tc>
        <w:tc>
          <w:tcPr>
            <w:tcW w:w="600" w:type="dxa"/>
            <w:vAlign w:val="bottom"/>
          </w:tcPr>
          <w:p>
            <w:pPr>
              <w:jc w:val="center"/>
              <w:ind w:left="189"/>
              <w:spacing w:after="0"/>
              <w:rPr>
                <w:sz w:val="20"/>
                <w:szCs w:val="20"/>
                <w:color w:val="auto"/>
              </w:rPr>
            </w:pPr>
            <w:r>
              <w:rPr>
                <w:rFonts w:ascii="Arial" w:cs="Arial" w:eastAsia="Arial" w:hAnsi="Arial"/>
                <w:sz w:val="14"/>
                <w:szCs w:val="14"/>
                <w:color w:val="auto"/>
                <w:w w:val="99"/>
              </w:rPr>
              <w:t>—</w:t>
            </w:r>
          </w:p>
        </w:tc>
        <w:tc>
          <w:tcPr>
            <w:tcW w:w="260" w:type="dxa"/>
            <w:vAlign w:val="bottom"/>
          </w:tcPr>
          <w:p>
            <w:pPr>
              <w:spacing w:after="0"/>
              <w:rPr>
                <w:sz w:val="14"/>
                <w:szCs w:val="14"/>
                <w:color w:val="auto"/>
              </w:rPr>
            </w:pPr>
          </w:p>
        </w:tc>
        <w:tc>
          <w:tcPr>
            <w:tcW w:w="940" w:type="dxa"/>
            <w:vAlign w:val="bottom"/>
          </w:tcPr>
          <w:p>
            <w:pPr>
              <w:ind w:left="420"/>
              <w:spacing w:after="0"/>
              <w:rPr>
                <w:sz w:val="20"/>
                <w:szCs w:val="20"/>
                <w:color w:val="auto"/>
              </w:rPr>
            </w:pPr>
            <w:r>
              <w:rPr>
                <w:rFonts w:ascii="Arial" w:cs="Arial" w:eastAsia="Arial" w:hAnsi="Arial"/>
                <w:sz w:val="14"/>
                <w:szCs w:val="14"/>
                <w:color w:val="auto"/>
              </w:rPr>
              <w:t>—</w:t>
            </w:r>
          </w:p>
        </w:tc>
        <w:tc>
          <w:tcPr>
            <w:tcW w:w="12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560" w:type="dxa"/>
            <w:vAlign w:val="bottom"/>
          </w:tcPr>
          <w:p>
            <w:pPr>
              <w:jc w:val="right"/>
              <w:ind w:right="610"/>
              <w:spacing w:after="0"/>
              <w:rPr>
                <w:sz w:val="20"/>
                <w:szCs w:val="20"/>
                <w:color w:val="auto"/>
              </w:rPr>
            </w:pPr>
            <w:r>
              <w:rPr>
                <w:rFonts w:ascii="Arial" w:cs="Arial" w:eastAsia="Arial" w:hAnsi="Arial"/>
                <w:sz w:val="14"/>
                <w:szCs w:val="14"/>
                <w:color w:val="auto"/>
              </w:rPr>
              <w:t>—</w:t>
            </w:r>
          </w:p>
        </w:tc>
      </w:tr>
      <w:tr>
        <w:trPr>
          <w:trHeight w:val="162"/>
        </w:trPr>
        <w:tc>
          <w:tcPr>
            <w:tcW w:w="18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3/01/2012</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19,661</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38.18</w:t>
            </w:r>
          </w:p>
        </w:tc>
        <w:tc>
          <w:tcPr>
            <w:tcW w:w="1080" w:type="dxa"/>
            <w:vAlign w:val="bottom"/>
          </w:tcPr>
          <w:p>
            <w:pPr>
              <w:jc w:val="center"/>
              <w:ind w:right="129"/>
              <w:spacing w:after="0"/>
              <w:rPr>
                <w:sz w:val="20"/>
                <w:szCs w:val="20"/>
                <w:color w:val="auto"/>
              </w:rPr>
            </w:pPr>
            <w:r>
              <w:rPr>
                <w:rFonts w:ascii="Arial" w:cs="Arial" w:eastAsia="Arial" w:hAnsi="Arial"/>
                <w:sz w:val="14"/>
                <w:szCs w:val="14"/>
                <w:color w:val="auto"/>
              </w:rPr>
              <w:t>3/01/2022</w:t>
            </w:r>
          </w:p>
        </w:tc>
        <w:tc>
          <w:tcPr>
            <w:tcW w:w="600" w:type="dxa"/>
            <w:vAlign w:val="bottom"/>
          </w:tcPr>
          <w:p>
            <w:pPr>
              <w:jc w:val="center"/>
              <w:ind w:left="189"/>
              <w:spacing w:after="0"/>
              <w:rPr>
                <w:sz w:val="20"/>
                <w:szCs w:val="20"/>
                <w:color w:val="auto"/>
              </w:rPr>
            </w:pPr>
            <w:r>
              <w:rPr>
                <w:rFonts w:ascii="Arial" w:cs="Arial" w:eastAsia="Arial" w:hAnsi="Arial"/>
                <w:sz w:val="14"/>
                <w:szCs w:val="14"/>
                <w:color w:val="auto"/>
                <w:w w:val="99"/>
              </w:rPr>
              <w:t>—</w:t>
            </w:r>
          </w:p>
        </w:tc>
        <w:tc>
          <w:tcPr>
            <w:tcW w:w="260" w:type="dxa"/>
            <w:vAlign w:val="bottom"/>
          </w:tcPr>
          <w:p>
            <w:pPr>
              <w:spacing w:after="0"/>
              <w:rPr>
                <w:sz w:val="14"/>
                <w:szCs w:val="14"/>
                <w:color w:val="auto"/>
              </w:rPr>
            </w:pPr>
          </w:p>
        </w:tc>
        <w:tc>
          <w:tcPr>
            <w:tcW w:w="940" w:type="dxa"/>
            <w:vAlign w:val="bottom"/>
          </w:tcPr>
          <w:p>
            <w:pPr>
              <w:ind w:left="420"/>
              <w:spacing w:after="0"/>
              <w:rPr>
                <w:sz w:val="20"/>
                <w:szCs w:val="20"/>
                <w:color w:val="auto"/>
              </w:rPr>
            </w:pPr>
            <w:r>
              <w:rPr>
                <w:rFonts w:ascii="Arial" w:cs="Arial" w:eastAsia="Arial" w:hAnsi="Arial"/>
                <w:sz w:val="14"/>
                <w:szCs w:val="14"/>
                <w:color w:val="auto"/>
              </w:rPr>
              <w:t>—</w:t>
            </w:r>
          </w:p>
        </w:tc>
        <w:tc>
          <w:tcPr>
            <w:tcW w:w="12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560" w:type="dxa"/>
            <w:vAlign w:val="bottom"/>
          </w:tcPr>
          <w:p>
            <w:pPr>
              <w:jc w:val="right"/>
              <w:ind w:right="610"/>
              <w:spacing w:after="0"/>
              <w:rPr>
                <w:sz w:val="20"/>
                <w:szCs w:val="20"/>
                <w:color w:val="auto"/>
              </w:rPr>
            </w:pPr>
            <w:r>
              <w:rPr>
                <w:rFonts w:ascii="Arial" w:cs="Arial" w:eastAsia="Arial" w:hAnsi="Arial"/>
                <w:sz w:val="14"/>
                <w:szCs w:val="14"/>
                <w:color w:val="auto"/>
              </w:rPr>
              <w:t>—</w:t>
            </w:r>
          </w:p>
        </w:tc>
      </w:tr>
      <w:tr>
        <w:trPr>
          <w:trHeight w:val="162"/>
        </w:trPr>
        <w:tc>
          <w:tcPr>
            <w:tcW w:w="18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3/01/2013</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24,054</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39.19</w:t>
            </w:r>
          </w:p>
        </w:tc>
        <w:tc>
          <w:tcPr>
            <w:tcW w:w="1080" w:type="dxa"/>
            <w:vAlign w:val="bottom"/>
          </w:tcPr>
          <w:p>
            <w:pPr>
              <w:jc w:val="center"/>
              <w:ind w:right="129"/>
              <w:spacing w:after="0"/>
              <w:rPr>
                <w:sz w:val="20"/>
                <w:szCs w:val="20"/>
                <w:color w:val="auto"/>
              </w:rPr>
            </w:pPr>
            <w:r>
              <w:rPr>
                <w:rFonts w:ascii="Arial" w:cs="Arial" w:eastAsia="Arial" w:hAnsi="Arial"/>
                <w:sz w:val="14"/>
                <w:szCs w:val="14"/>
                <w:color w:val="auto"/>
              </w:rPr>
              <w:t>3/01/2023</w:t>
            </w:r>
          </w:p>
        </w:tc>
        <w:tc>
          <w:tcPr>
            <w:tcW w:w="600" w:type="dxa"/>
            <w:vAlign w:val="bottom"/>
          </w:tcPr>
          <w:p>
            <w:pPr>
              <w:jc w:val="center"/>
              <w:ind w:left="189"/>
              <w:spacing w:after="0"/>
              <w:rPr>
                <w:sz w:val="20"/>
                <w:szCs w:val="20"/>
                <w:color w:val="auto"/>
              </w:rPr>
            </w:pPr>
            <w:r>
              <w:rPr>
                <w:rFonts w:ascii="Arial" w:cs="Arial" w:eastAsia="Arial" w:hAnsi="Arial"/>
                <w:sz w:val="14"/>
                <w:szCs w:val="14"/>
                <w:color w:val="auto"/>
                <w:w w:val="99"/>
              </w:rPr>
              <w:t>—</w:t>
            </w:r>
          </w:p>
        </w:tc>
        <w:tc>
          <w:tcPr>
            <w:tcW w:w="260" w:type="dxa"/>
            <w:vAlign w:val="bottom"/>
          </w:tcPr>
          <w:p>
            <w:pPr>
              <w:spacing w:after="0"/>
              <w:rPr>
                <w:sz w:val="14"/>
                <w:szCs w:val="14"/>
                <w:color w:val="auto"/>
              </w:rPr>
            </w:pPr>
          </w:p>
        </w:tc>
        <w:tc>
          <w:tcPr>
            <w:tcW w:w="940" w:type="dxa"/>
            <w:vAlign w:val="bottom"/>
          </w:tcPr>
          <w:p>
            <w:pPr>
              <w:ind w:left="420"/>
              <w:spacing w:after="0"/>
              <w:rPr>
                <w:sz w:val="20"/>
                <w:szCs w:val="20"/>
                <w:color w:val="auto"/>
              </w:rPr>
            </w:pPr>
            <w:r>
              <w:rPr>
                <w:rFonts w:ascii="Arial" w:cs="Arial" w:eastAsia="Arial" w:hAnsi="Arial"/>
                <w:sz w:val="14"/>
                <w:szCs w:val="14"/>
                <w:color w:val="auto"/>
              </w:rPr>
              <w:t>—</w:t>
            </w:r>
          </w:p>
        </w:tc>
        <w:tc>
          <w:tcPr>
            <w:tcW w:w="12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560" w:type="dxa"/>
            <w:vAlign w:val="bottom"/>
          </w:tcPr>
          <w:p>
            <w:pPr>
              <w:jc w:val="right"/>
              <w:ind w:right="610"/>
              <w:spacing w:after="0"/>
              <w:rPr>
                <w:sz w:val="20"/>
                <w:szCs w:val="20"/>
                <w:color w:val="auto"/>
              </w:rPr>
            </w:pPr>
            <w:r>
              <w:rPr>
                <w:rFonts w:ascii="Arial" w:cs="Arial" w:eastAsia="Arial" w:hAnsi="Arial"/>
                <w:sz w:val="14"/>
                <w:szCs w:val="14"/>
                <w:color w:val="auto"/>
              </w:rPr>
              <w:t>—</w:t>
            </w:r>
          </w:p>
        </w:tc>
      </w:tr>
      <w:tr>
        <w:trPr>
          <w:trHeight w:val="162"/>
        </w:trPr>
        <w:tc>
          <w:tcPr>
            <w:tcW w:w="18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3/01/2016</w:t>
            </w: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80" w:type="dxa"/>
            <w:vAlign w:val="bottom"/>
          </w:tcPr>
          <w:p>
            <w:pPr>
              <w:jc w:val="center"/>
              <w:ind w:right="149"/>
              <w:spacing w:after="0"/>
              <w:rPr>
                <w:sz w:val="20"/>
                <w:szCs w:val="20"/>
                <w:color w:val="auto"/>
              </w:rPr>
            </w:pPr>
            <w:r>
              <w:rPr>
                <w:rFonts w:ascii="Arial" w:cs="Arial" w:eastAsia="Arial" w:hAnsi="Arial"/>
                <w:sz w:val="14"/>
                <w:szCs w:val="14"/>
                <w:color w:val="auto"/>
                <w:w w:val="99"/>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2,736</w:t>
            </w:r>
          </w:p>
        </w:tc>
        <w:tc>
          <w:tcPr>
            <w:tcW w:w="260" w:type="dxa"/>
            <w:vAlign w:val="bottom"/>
          </w:tcPr>
          <w:p>
            <w:pPr>
              <w:jc w:val="right"/>
              <w:spacing w:after="0"/>
              <w:rPr>
                <w:sz w:val="20"/>
                <w:szCs w:val="20"/>
                <w:color w:val="auto"/>
              </w:rPr>
            </w:pPr>
            <w:r>
              <w:rPr>
                <w:rFonts w:ascii="Arial" w:cs="Arial" w:eastAsia="Arial" w:hAnsi="Arial"/>
                <w:sz w:val="14"/>
                <w:szCs w:val="14"/>
                <w:color w:val="auto"/>
              </w:rPr>
              <w:t>(1)</w:t>
            </w: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188,018</w:t>
            </w:r>
          </w:p>
        </w:tc>
        <w:tc>
          <w:tcPr>
            <w:tcW w:w="12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560" w:type="dxa"/>
            <w:vAlign w:val="bottom"/>
          </w:tcPr>
          <w:p>
            <w:pPr>
              <w:jc w:val="right"/>
              <w:ind w:right="610"/>
              <w:spacing w:after="0"/>
              <w:rPr>
                <w:sz w:val="20"/>
                <w:szCs w:val="20"/>
                <w:color w:val="auto"/>
              </w:rPr>
            </w:pPr>
            <w:r>
              <w:rPr>
                <w:rFonts w:ascii="Arial" w:cs="Arial" w:eastAsia="Arial" w:hAnsi="Arial"/>
                <w:sz w:val="14"/>
                <w:szCs w:val="14"/>
                <w:color w:val="auto"/>
              </w:rPr>
              <w:t>—</w:t>
            </w:r>
          </w:p>
        </w:tc>
      </w:tr>
      <w:tr>
        <w:trPr>
          <w:trHeight w:val="162"/>
        </w:trPr>
        <w:tc>
          <w:tcPr>
            <w:tcW w:w="18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3/15/2017</w:t>
            </w: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80" w:type="dxa"/>
            <w:vAlign w:val="bottom"/>
          </w:tcPr>
          <w:p>
            <w:pPr>
              <w:jc w:val="center"/>
              <w:ind w:right="149"/>
              <w:spacing w:after="0"/>
              <w:rPr>
                <w:sz w:val="20"/>
                <w:szCs w:val="20"/>
                <w:color w:val="auto"/>
              </w:rPr>
            </w:pPr>
            <w:r>
              <w:rPr>
                <w:rFonts w:ascii="Arial" w:cs="Arial" w:eastAsia="Arial" w:hAnsi="Arial"/>
                <w:sz w:val="14"/>
                <w:szCs w:val="14"/>
                <w:color w:val="auto"/>
                <w:w w:val="99"/>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6,602</w:t>
            </w:r>
          </w:p>
        </w:tc>
        <w:tc>
          <w:tcPr>
            <w:tcW w:w="260" w:type="dxa"/>
            <w:vAlign w:val="bottom"/>
          </w:tcPr>
          <w:p>
            <w:pPr>
              <w:jc w:val="right"/>
              <w:spacing w:after="0"/>
              <w:rPr>
                <w:sz w:val="20"/>
                <w:szCs w:val="20"/>
                <w:color w:val="auto"/>
              </w:rPr>
            </w:pPr>
            <w:r>
              <w:rPr>
                <w:rFonts w:ascii="Arial" w:cs="Arial" w:eastAsia="Arial" w:hAnsi="Arial"/>
                <w:sz w:val="14"/>
                <w:szCs w:val="14"/>
                <w:color w:val="auto"/>
              </w:rPr>
              <w:t>(2)</w:t>
            </w: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453,689</w:t>
            </w:r>
          </w:p>
        </w:tc>
        <w:tc>
          <w:tcPr>
            <w:tcW w:w="12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560" w:type="dxa"/>
            <w:vAlign w:val="bottom"/>
          </w:tcPr>
          <w:p>
            <w:pPr>
              <w:jc w:val="right"/>
              <w:ind w:right="610"/>
              <w:spacing w:after="0"/>
              <w:rPr>
                <w:sz w:val="20"/>
                <w:szCs w:val="20"/>
                <w:color w:val="auto"/>
              </w:rPr>
            </w:pPr>
            <w:r>
              <w:rPr>
                <w:rFonts w:ascii="Arial" w:cs="Arial" w:eastAsia="Arial" w:hAnsi="Arial"/>
                <w:sz w:val="14"/>
                <w:szCs w:val="14"/>
                <w:color w:val="auto"/>
              </w:rPr>
              <w:t>—</w:t>
            </w:r>
          </w:p>
        </w:tc>
      </w:tr>
      <w:tr>
        <w:trPr>
          <w:trHeight w:val="162"/>
        </w:trPr>
        <w:tc>
          <w:tcPr>
            <w:tcW w:w="18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3/01/2018</w:t>
            </w: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80" w:type="dxa"/>
            <w:vAlign w:val="bottom"/>
          </w:tcPr>
          <w:p>
            <w:pPr>
              <w:jc w:val="center"/>
              <w:ind w:right="149"/>
              <w:spacing w:after="0"/>
              <w:rPr>
                <w:sz w:val="20"/>
                <w:szCs w:val="20"/>
                <w:color w:val="auto"/>
              </w:rPr>
            </w:pPr>
            <w:r>
              <w:rPr>
                <w:rFonts w:ascii="Arial" w:cs="Arial" w:eastAsia="Arial" w:hAnsi="Arial"/>
                <w:sz w:val="14"/>
                <w:szCs w:val="14"/>
                <w:color w:val="auto"/>
                <w:w w:val="99"/>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15,320</w:t>
            </w:r>
          </w:p>
        </w:tc>
        <w:tc>
          <w:tcPr>
            <w:tcW w:w="260" w:type="dxa"/>
            <w:vAlign w:val="bottom"/>
          </w:tcPr>
          <w:p>
            <w:pPr>
              <w:jc w:val="right"/>
              <w:spacing w:after="0"/>
              <w:rPr>
                <w:sz w:val="20"/>
                <w:szCs w:val="20"/>
                <w:color w:val="auto"/>
              </w:rPr>
            </w:pPr>
            <w:r>
              <w:rPr>
                <w:rFonts w:ascii="Arial" w:cs="Arial" w:eastAsia="Arial" w:hAnsi="Arial"/>
                <w:sz w:val="14"/>
                <w:szCs w:val="14"/>
                <w:color w:val="auto"/>
              </w:rPr>
              <w:t>(2)</w:t>
            </w: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1,052,790</w:t>
            </w:r>
          </w:p>
        </w:tc>
        <w:tc>
          <w:tcPr>
            <w:tcW w:w="12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560" w:type="dxa"/>
            <w:vAlign w:val="bottom"/>
          </w:tcPr>
          <w:p>
            <w:pPr>
              <w:jc w:val="right"/>
              <w:ind w:right="610"/>
              <w:spacing w:after="0"/>
              <w:rPr>
                <w:sz w:val="20"/>
                <w:szCs w:val="20"/>
                <w:color w:val="auto"/>
              </w:rPr>
            </w:pPr>
            <w:r>
              <w:rPr>
                <w:rFonts w:ascii="Arial" w:cs="Arial" w:eastAsia="Arial" w:hAnsi="Arial"/>
                <w:sz w:val="14"/>
                <w:szCs w:val="14"/>
                <w:color w:val="auto"/>
              </w:rPr>
              <w:t>—</w:t>
            </w:r>
          </w:p>
        </w:tc>
      </w:tr>
      <w:tr>
        <w:trPr>
          <w:trHeight w:val="162"/>
        </w:trPr>
        <w:tc>
          <w:tcPr>
            <w:tcW w:w="18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3/01/2018</w:t>
            </w: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80" w:type="dxa"/>
            <w:vAlign w:val="bottom"/>
          </w:tcPr>
          <w:p>
            <w:pPr>
              <w:jc w:val="center"/>
              <w:ind w:right="149"/>
              <w:spacing w:after="0"/>
              <w:rPr>
                <w:sz w:val="20"/>
                <w:szCs w:val="20"/>
                <w:color w:val="auto"/>
              </w:rPr>
            </w:pPr>
            <w:r>
              <w:rPr>
                <w:rFonts w:ascii="Arial" w:cs="Arial" w:eastAsia="Arial" w:hAnsi="Arial"/>
                <w:sz w:val="14"/>
                <w:szCs w:val="14"/>
                <w:color w:val="auto"/>
                <w:w w:val="99"/>
              </w:rPr>
              <w:t>—</w:t>
            </w:r>
          </w:p>
        </w:tc>
        <w:tc>
          <w:tcPr>
            <w:tcW w:w="600" w:type="dxa"/>
            <w:vAlign w:val="bottom"/>
          </w:tcPr>
          <w:p>
            <w:pPr>
              <w:jc w:val="center"/>
              <w:ind w:left="189"/>
              <w:spacing w:after="0"/>
              <w:rPr>
                <w:sz w:val="20"/>
                <w:szCs w:val="20"/>
                <w:color w:val="auto"/>
              </w:rPr>
            </w:pPr>
            <w:r>
              <w:rPr>
                <w:rFonts w:ascii="Arial" w:cs="Arial" w:eastAsia="Arial" w:hAnsi="Arial"/>
                <w:sz w:val="14"/>
                <w:szCs w:val="14"/>
                <w:color w:val="auto"/>
                <w:w w:val="99"/>
              </w:rPr>
              <w:t>—</w:t>
            </w:r>
          </w:p>
        </w:tc>
        <w:tc>
          <w:tcPr>
            <w:tcW w:w="260" w:type="dxa"/>
            <w:vAlign w:val="bottom"/>
          </w:tcPr>
          <w:p>
            <w:pPr>
              <w:spacing w:after="0"/>
              <w:rPr>
                <w:sz w:val="14"/>
                <w:szCs w:val="14"/>
                <w:color w:val="auto"/>
              </w:rPr>
            </w:pPr>
          </w:p>
        </w:tc>
        <w:tc>
          <w:tcPr>
            <w:tcW w:w="940" w:type="dxa"/>
            <w:vAlign w:val="bottom"/>
          </w:tcPr>
          <w:p>
            <w:pPr>
              <w:ind w:left="42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10"/>
              <w:spacing w:after="0"/>
              <w:rPr>
                <w:sz w:val="20"/>
                <w:szCs w:val="20"/>
                <w:color w:val="auto"/>
              </w:rPr>
            </w:pPr>
            <w:r>
              <w:rPr>
                <w:rFonts w:ascii="Arial" w:cs="Arial" w:eastAsia="Arial" w:hAnsi="Arial"/>
                <w:sz w:val="14"/>
                <w:szCs w:val="14"/>
                <w:color w:val="auto"/>
              </w:rPr>
              <w:t>53,617 (4)</w:t>
            </w:r>
          </w:p>
        </w:tc>
        <w:tc>
          <w:tcPr>
            <w:tcW w:w="1560" w:type="dxa"/>
            <w:vAlign w:val="bottom"/>
          </w:tcPr>
          <w:p>
            <w:pPr>
              <w:jc w:val="right"/>
              <w:ind w:right="10"/>
              <w:spacing w:after="0"/>
              <w:rPr>
                <w:sz w:val="20"/>
                <w:szCs w:val="20"/>
                <w:color w:val="auto"/>
              </w:rPr>
            </w:pPr>
            <w:r>
              <w:rPr>
                <w:rFonts w:ascii="Arial" w:cs="Arial" w:eastAsia="Arial" w:hAnsi="Arial"/>
                <w:sz w:val="14"/>
                <w:szCs w:val="14"/>
                <w:color w:val="auto"/>
              </w:rPr>
              <w:t>3,684,560</w:t>
            </w:r>
          </w:p>
        </w:tc>
      </w:tr>
      <w:tr>
        <w:trPr>
          <w:trHeight w:val="162"/>
        </w:trPr>
        <w:tc>
          <w:tcPr>
            <w:tcW w:w="18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3/01/2019</w:t>
            </w: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80" w:type="dxa"/>
            <w:vAlign w:val="bottom"/>
          </w:tcPr>
          <w:p>
            <w:pPr>
              <w:jc w:val="center"/>
              <w:ind w:right="149"/>
              <w:spacing w:after="0"/>
              <w:rPr>
                <w:sz w:val="20"/>
                <w:szCs w:val="20"/>
                <w:color w:val="auto"/>
              </w:rPr>
            </w:pPr>
            <w:r>
              <w:rPr>
                <w:rFonts w:ascii="Arial" w:cs="Arial" w:eastAsia="Arial" w:hAnsi="Arial"/>
                <w:sz w:val="14"/>
                <w:szCs w:val="14"/>
                <w:color w:val="auto"/>
                <w:w w:val="99"/>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12,675</w:t>
            </w:r>
          </w:p>
        </w:tc>
        <w:tc>
          <w:tcPr>
            <w:tcW w:w="260" w:type="dxa"/>
            <w:vAlign w:val="bottom"/>
          </w:tcPr>
          <w:p>
            <w:pPr>
              <w:jc w:val="right"/>
              <w:spacing w:after="0"/>
              <w:rPr>
                <w:sz w:val="20"/>
                <w:szCs w:val="20"/>
                <w:color w:val="auto"/>
              </w:rPr>
            </w:pPr>
            <w:r>
              <w:rPr>
                <w:rFonts w:ascii="Arial" w:cs="Arial" w:eastAsia="Arial" w:hAnsi="Arial"/>
                <w:sz w:val="14"/>
                <w:szCs w:val="14"/>
                <w:color w:val="auto"/>
              </w:rPr>
              <w:t>(2)</w:t>
            </w: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871,026</w:t>
            </w:r>
          </w:p>
        </w:tc>
        <w:tc>
          <w:tcPr>
            <w:tcW w:w="12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560" w:type="dxa"/>
            <w:vAlign w:val="bottom"/>
          </w:tcPr>
          <w:p>
            <w:pPr>
              <w:jc w:val="right"/>
              <w:ind w:right="610"/>
              <w:spacing w:after="0"/>
              <w:rPr>
                <w:sz w:val="20"/>
                <w:szCs w:val="20"/>
                <w:color w:val="auto"/>
              </w:rPr>
            </w:pPr>
            <w:r>
              <w:rPr>
                <w:rFonts w:ascii="Arial" w:cs="Arial" w:eastAsia="Arial" w:hAnsi="Arial"/>
                <w:sz w:val="14"/>
                <w:szCs w:val="14"/>
                <w:color w:val="auto"/>
              </w:rPr>
              <w:t>—</w:t>
            </w:r>
          </w:p>
        </w:tc>
      </w:tr>
      <w:tr>
        <w:trPr>
          <w:trHeight w:val="157"/>
        </w:trPr>
        <w:tc>
          <w:tcPr>
            <w:tcW w:w="1860" w:type="dxa"/>
            <w:vAlign w:val="bottom"/>
            <w:tcBorders>
              <w:bottom w:val="single" w:sz="8" w:color="999999"/>
            </w:tcBorders>
          </w:tcPr>
          <w:p>
            <w:pPr>
              <w:spacing w:after="0"/>
              <w:rPr>
                <w:sz w:val="13"/>
                <w:szCs w:val="13"/>
                <w:color w:val="auto"/>
              </w:rPr>
            </w:pPr>
          </w:p>
        </w:tc>
        <w:tc>
          <w:tcPr>
            <w:tcW w:w="840" w:type="dxa"/>
            <w:vAlign w:val="bottom"/>
            <w:tcBorders>
              <w:bottom w:val="single" w:sz="8" w:color="999999"/>
            </w:tcBorders>
          </w:tcPr>
          <w:p>
            <w:pPr>
              <w:jc w:val="center"/>
              <w:spacing w:after="0" w:line="157" w:lineRule="exact"/>
              <w:rPr>
                <w:sz w:val="20"/>
                <w:szCs w:val="20"/>
                <w:color w:val="auto"/>
              </w:rPr>
            </w:pPr>
            <w:r>
              <w:rPr>
                <w:rFonts w:ascii="Arial" w:cs="Arial" w:eastAsia="Arial" w:hAnsi="Arial"/>
                <w:sz w:val="14"/>
                <w:szCs w:val="14"/>
                <w:color w:val="auto"/>
              </w:rPr>
              <w:t>3/01/2019</w:t>
            </w:r>
          </w:p>
        </w:tc>
        <w:tc>
          <w:tcPr>
            <w:tcW w:w="920" w:type="dxa"/>
            <w:vAlign w:val="bottom"/>
            <w:tcBorders>
              <w:bottom w:val="single" w:sz="8" w:color="999999"/>
            </w:tcBorders>
          </w:tcPr>
          <w:p>
            <w:pPr>
              <w:jc w:val="center"/>
              <w:spacing w:after="0" w:line="157" w:lineRule="exact"/>
              <w:rPr>
                <w:sz w:val="20"/>
                <w:szCs w:val="20"/>
                <w:color w:val="auto"/>
              </w:rPr>
            </w:pPr>
            <w:r>
              <w:rPr>
                <w:rFonts w:ascii="Arial" w:cs="Arial" w:eastAsia="Arial" w:hAnsi="Arial"/>
                <w:sz w:val="14"/>
                <w:szCs w:val="14"/>
                <w:color w:val="auto"/>
                <w:w w:val="99"/>
              </w:rPr>
              <w:t>—</w:t>
            </w:r>
          </w:p>
        </w:tc>
        <w:tc>
          <w:tcPr>
            <w:tcW w:w="1020" w:type="dxa"/>
            <w:vAlign w:val="bottom"/>
            <w:tcBorders>
              <w:bottom w:val="single" w:sz="8" w:color="999999"/>
            </w:tcBorders>
          </w:tcPr>
          <w:p>
            <w:pPr>
              <w:jc w:val="center"/>
              <w:spacing w:after="0" w:line="157" w:lineRule="exact"/>
              <w:rPr>
                <w:sz w:val="20"/>
                <w:szCs w:val="20"/>
                <w:color w:val="auto"/>
              </w:rPr>
            </w:pPr>
            <w:r>
              <w:rPr>
                <w:rFonts w:ascii="Arial" w:cs="Arial" w:eastAsia="Arial" w:hAnsi="Arial"/>
                <w:sz w:val="14"/>
                <w:szCs w:val="14"/>
                <w:color w:val="auto"/>
                <w:w w:val="99"/>
              </w:rPr>
              <w:t>—</w:t>
            </w:r>
          </w:p>
        </w:tc>
        <w:tc>
          <w:tcPr>
            <w:tcW w:w="660" w:type="dxa"/>
            <w:vAlign w:val="bottom"/>
            <w:tcBorders>
              <w:bottom w:val="single" w:sz="8" w:color="999999"/>
            </w:tcBorders>
          </w:tcPr>
          <w:p>
            <w:pPr>
              <w:jc w:val="center"/>
              <w:spacing w:after="0" w:line="157" w:lineRule="exact"/>
              <w:rPr>
                <w:sz w:val="20"/>
                <w:szCs w:val="20"/>
                <w:color w:val="auto"/>
              </w:rPr>
            </w:pPr>
            <w:r>
              <w:rPr>
                <w:rFonts w:ascii="Arial" w:cs="Arial" w:eastAsia="Arial" w:hAnsi="Arial"/>
                <w:sz w:val="14"/>
                <w:szCs w:val="14"/>
                <w:color w:val="auto"/>
                <w:w w:val="99"/>
              </w:rPr>
              <w:t>—</w:t>
            </w:r>
          </w:p>
        </w:tc>
        <w:tc>
          <w:tcPr>
            <w:tcW w:w="1080" w:type="dxa"/>
            <w:vAlign w:val="bottom"/>
            <w:tcBorders>
              <w:bottom w:val="single" w:sz="8" w:color="999999"/>
            </w:tcBorders>
          </w:tcPr>
          <w:p>
            <w:pPr>
              <w:jc w:val="center"/>
              <w:ind w:right="149"/>
              <w:spacing w:after="0" w:line="157" w:lineRule="exact"/>
              <w:rPr>
                <w:sz w:val="20"/>
                <w:szCs w:val="20"/>
                <w:color w:val="auto"/>
              </w:rPr>
            </w:pPr>
            <w:r>
              <w:rPr>
                <w:rFonts w:ascii="Arial" w:cs="Arial" w:eastAsia="Arial" w:hAnsi="Arial"/>
                <w:sz w:val="14"/>
                <w:szCs w:val="14"/>
                <w:color w:val="auto"/>
                <w:w w:val="99"/>
              </w:rPr>
              <w:t>—</w:t>
            </w:r>
          </w:p>
        </w:tc>
        <w:tc>
          <w:tcPr>
            <w:tcW w:w="600" w:type="dxa"/>
            <w:vAlign w:val="bottom"/>
            <w:tcBorders>
              <w:bottom w:val="single" w:sz="8" w:color="999999"/>
            </w:tcBorders>
          </w:tcPr>
          <w:p>
            <w:pPr>
              <w:jc w:val="center"/>
              <w:ind w:left="189"/>
              <w:spacing w:after="0" w:line="157" w:lineRule="exact"/>
              <w:rPr>
                <w:sz w:val="20"/>
                <w:szCs w:val="20"/>
                <w:color w:val="auto"/>
              </w:rPr>
            </w:pPr>
            <w:r>
              <w:rPr>
                <w:rFonts w:ascii="Arial" w:cs="Arial" w:eastAsia="Arial" w:hAnsi="Arial"/>
                <w:sz w:val="14"/>
                <w:szCs w:val="14"/>
                <w:color w:val="auto"/>
                <w:w w:val="99"/>
              </w:rPr>
              <w:t>—</w:t>
            </w:r>
          </w:p>
        </w:tc>
        <w:tc>
          <w:tcPr>
            <w:tcW w:w="260" w:type="dxa"/>
            <w:vAlign w:val="bottom"/>
            <w:tcBorders>
              <w:bottom w:val="single" w:sz="8" w:color="999999"/>
            </w:tcBorders>
          </w:tcPr>
          <w:p>
            <w:pPr>
              <w:spacing w:after="0"/>
              <w:rPr>
                <w:sz w:val="13"/>
                <w:szCs w:val="13"/>
                <w:color w:val="auto"/>
              </w:rPr>
            </w:pPr>
          </w:p>
        </w:tc>
        <w:tc>
          <w:tcPr>
            <w:tcW w:w="940" w:type="dxa"/>
            <w:vAlign w:val="bottom"/>
            <w:tcBorders>
              <w:bottom w:val="single" w:sz="8" w:color="999999"/>
            </w:tcBorders>
          </w:tcPr>
          <w:p>
            <w:pPr>
              <w:ind w:left="420"/>
              <w:spacing w:after="0" w:line="157" w:lineRule="exact"/>
              <w:rPr>
                <w:sz w:val="20"/>
                <w:szCs w:val="20"/>
                <w:color w:val="auto"/>
              </w:rPr>
            </w:pPr>
            <w:r>
              <w:rPr>
                <w:rFonts w:ascii="Arial" w:cs="Arial" w:eastAsia="Arial" w:hAnsi="Arial"/>
                <w:sz w:val="14"/>
                <w:szCs w:val="14"/>
                <w:color w:val="auto"/>
              </w:rPr>
              <w:t>—</w:t>
            </w:r>
          </w:p>
        </w:tc>
        <w:tc>
          <w:tcPr>
            <w:tcW w:w="1280" w:type="dxa"/>
            <w:vAlign w:val="bottom"/>
            <w:tcBorders>
              <w:bottom w:val="single" w:sz="8" w:color="999999"/>
            </w:tcBorders>
          </w:tcPr>
          <w:p>
            <w:pPr>
              <w:jc w:val="right"/>
              <w:ind w:right="10"/>
              <w:spacing w:after="0" w:line="157" w:lineRule="exact"/>
              <w:rPr>
                <w:sz w:val="20"/>
                <w:szCs w:val="20"/>
                <w:color w:val="auto"/>
              </w:rPr>
            </w:pPr>
            <w:r>
              <w:rPr>
                <w:rFonts w:ascii="Arial" w:cs="Arial" w:eastAsia="Arial" w:hAnsi="Arial"/>
                <w:sz w:val="14"/>
                <w:szCs w:val="14"/>
                <w:color w:val="auto"/>
              </w:rPr>
              <w:t>29,574 (5)</w:t>
            </w:r>
          </w:p>
        </w:tc>
        <w:tc>
          <w:tcPr>
            <w:tcW w:w="1560" w:type="dxa"/>
            <w:vAlign w:val="bottom"/>
            <w:tcBorders>
              <w:bottom w:val="single" w:sz="8" w:color="999999"/>
            </w:tcBorders>
          </w:tcPr>
          <w:p>
            <w:pPr>
              <w:jc w:val="right"/>
              <w:ind w:right="10"/>
              <w:spacing w:after="0" w:line="157" w:lineRule="exact"/>
              <w:rPr>
                <w:sz w:val="20"/>
                <w:szCs w:val="20"/>
                <w:color w:val="auto"/>
              </w:rPr>
            </w:pPr>
            <w:r>
              <w:rPr>
                <w:rFonts w:ascii="Arial" w:cs="Arial" w:eastAsia="Arial" w:hAnsi="Arial"/>
                <w:sz w:val="14"/>
                <w:szCs w:val="14"/>
                <w:color w:val="auto"/>
              </w:rPr>
              <w:t>2,032,325</w:t>
            </w:r>
          </w:p>
        </w:tc>
      </w:tr>
      <w:tr>
        <w:trPr>
          <w:trHeight w:val="160"/>
        </w:trPr>
        <w:tc>
          <w:tcPr>
            <w:tcW w:w="1860" w:type="dxa"/>
            <w:vAlign w:val="bottom"/>
          </w:tcPr>
          <w:p>
            <w:pPr>
              <w:spacing w:after="0"/>
              <w:rPr>
                <w:sz w:val="20"/>
                <w:szCs w:val="20"/>
                <w:color w:val="auto"/>
              </w:rPr>
            </w:pPr>
            <w:r>
              <w:rPr>
                <w:rFonts w:ascii="Arial" w:cs="Arial" w:eastAsia="Arial" w:hAnsi="Arial"/>
                <w:sz w:val="14"/>
                <w:szCs w:val="14"/>
                <w:color w:val="auto"/>
              </w:rPr>
              <w:t>C. Mark Hussey</w:t>
            </w:r>
          </w:p>
        </w:tc>
        <w:tc>
          <w:tcPr>
            <w:tcW w:w="840" w:type="dxa"/>
            <w:vAlign w:val="bottom"/>
          </w:tcPr>
          <w:p>
            <w:pPr>
              <w:jc w:val="center"/>
              <w:spacing w:after="0"/>
              <w:rPr>
                <w:sz w:val="20"/>
                <w:szCs w:val="20"/>
                <w:color w:val="auto"/>
              </w:rPr>
            </w:pPr>
            <w:r>
              <w:rPr>
                <w:rFonts w:ascii="Arial" w:cs="Arial" w:eastAsia="Arial" w:hAnsi="Arial"/>
                <w:sz w:val="14"/>
                <w:szCs w:val="14"/>
                <w:color w:val="auto"/>
              </w:rPr>
              <w:t>8/01/2011</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1,772</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32.37</w:t>
            </w:r>
          </w:p>
        </w:tc>
        <w:tc>
          <w:tcPr>
            <w:tcW w:w="1080" w:type="dxa"/>
            <w:vAlign w:val="bottom"/>
          </w:tcPr>
          <w:p>
            <w:pPr>
              <w:jc w:val="center"/>
              <w:ind w:right="129"/>
              <w:spacing w:after="0"/>
              <w:rPr>
                <w:sz w:val="20"/>
                <w:szCs w:val="20"/>
                <w:color w:val="auto"/>
              </w:rPr>
            </w:pPr>
            <w:r>
              <w:rPr>
                <w:rFonts w:ascii="Arial" w:cs="Arial" w:eastAsia="Arial" w:hAnsi="Arial"/>
                <w:sz w:val="14"/>
                <w:szCs w:val="14"/>
                <w:color w:val="auto"/>
              </w:rPr>
              <w:t>8/01/2021</w:t>
            </w:r>
          </w:p>
        </w:tc>
        <w:tc>
          <w:tcPr>
            <w:tcW w:w="600" w:type="dxa"/>
            <w:vAlign w:val="bottom"/>
          </w:tcPr>
          <w:p>
            <w:pPr>
              <w:jc w:val="center"/>
              <w:ind w:left="189"/>
              <w:spacing w:after="0"/>
              <w:rPr>
                <w:sz w:val="20"/>
                <w:szCs w:val="20"/>
                <w:color w:val="auto"/>
              </w:rPr>
            </w:pPr>
            <w:r>
              <w:rPr>
                <w:rFonts w:ascii="Arial" w:cs="Arial" w:eastAsia="Arial" w:hAnsi="Arial"/>
                <w:sz w:val="14"/>
                <w:szCs w:val="14"/>
                <w:color w:val="auto"/>
                <w:w w:val="99"/>
              </w:rPr>
              <w:t>—</w:t>
            </w:r>
          </w:p>
        </w:tc>
        <w:tc>
          <w:tcPr>
            <w:tcW w:w="260" w:type="dxa"/>
            <w:vAlign w:val="bottom"/>
          </w:tcPr>
          <w:p>
            <w:pPr>
              <w:spacing w:after="0"/>
              <w:rPr>
                <w:sz w:val="13"/>
                <w:szCs w:val="13"/>
                <w:color w:val="auto"/>
              </w:rPr>
            </w:pPr>
          </w:p>
        </w:tc>
        <w:tc>
          <w:tcPr>
            <w:tcW w:w="940" w:type="dxa"/>
            <w:vAlign w:val="bottom"/>
          </w:tcPr>
          <w:p>
            <w:pPr>
              <w:ind w:left="420"/>
              <w:spacing w:after="0"/>
              <w:rPr>
                <w:sz w:val="20"/>
                <w:szCs w:val="20"/>
                <w:color w:val="auto"/>
              </w:rPr>
            </w:pPr>
            <w:r>
              <w:rPr>
                <w:rFonts w:ascii="Arial" w:cs="Arial" w:eastAsia="Arial" w:hAnsi="Arial"/>
                <w:sz w:val="14"/>
                <w:szCs w:val="14"/>
                <w:color w:val="auto"/>
              </w:rPr>
              <w:t>—</w:t>
            </w:r>
          </w:p>
        </w:tc>
        <w:tc>
          <w:tcPr>
            <w:tcW w:w="12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560" w:type="dxa"/>
            <w:vAlign w:val="bottom"/>
          </w:tcPr>
          <w:p>
            <w:pPr>
              <w:jc w:val="right"/>
              <w:ind w:right="610"/>
              <w:spacing w:after="0"/>
              <w:rPr>
                <w:sz w:val="20"/>
                <w:szCs w:val="20"/>
                <w:color w:val="auto"/>
              </w:rPr>
            </w:pPr>
            <w:r>
              <w:rPr>
                <w:rFonts w:ascii="Arial" w:cs="Arial" w:eastAsia="Arial" w:hAnsi="Arial"/>
                <w:sz w:val="14"/>
                <w:szCs w:val="14"/>
                <w:color w:val="auto"/>
              </w:rPr>
              <w:t>—</w:t>
            </w:r>
          </w:p>
        </w:tc>
      </w:tr>
      <w:tr>
        <w:trPr>
          <w:trHeight w:val="162"/>
        </w:trPr>
        <w:tc>
          <w:tcPr>
            <w:tcW w:w="18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3/01/2012</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6,144</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38.18</w:t>
            </w:r>
          </w:p>
        </w:tc>
        <w:tc>
          <w:tcPr>
            <w:tcW w:w="1080" w:type="dxa"/>
            <w:vAlign w:val="bottom"/>
          </w:tcPr>
          <w:p>
            <w:pPr>
              <w:jc w:val="center"/>
              <w:ind w:right="129"/>
              <w:spacing w:after="0"/>
              <w:rPr>
                <w:sz w:val="20"/>
                <w:szCs w:val="20"/>
                <w:color w:val="auto"/>
              </w:rPr>
            </w:pPr>
            <w:r>
              <w:rPr>
                <w:rFonts w:ascii="Arial" w:cs="Arial" w:eastAsia="Arial" w:hAnsi="Arial"/>
                <w:sz w:val="14"/>
                <w:szCs w:val="14"/>
                <w:color w:val="auto"/>
              </w:rPr>
              <w:t>3/01/2022</w:t>
            </w:r>
          </w:p>
        </w:tc>
        <w:tc>
          <w:tcPr>
            <w:tcW w:w="600" w:type="dxa"/>
            <w:vAlign w:val="bottom"/>
          </w:tcPr>
          <w:p>
            <w:pPr>
              <w:jc w:val="center"/>
              <w:ind w:left="189"/>
              <w:spacing w:after="0"/>
              <w:rPr>
                <w:sz w:val="20"/>
                <w:szCs w:val="20"/>
                <w:color w:val="auto"/>
              </w:rPr>
            </w:pPr>
            <w:r>
              <w:rPr>
                <w:rFonts w:ascii="Arial" w:cs="Arial" w:eastAsia="Arial" w:hAnsi="Arial"/>
                <w:sz w:val="14"/>
                <w:szCs w:val="14"/>
                <w:color w:val="auto"/>
                <w:w w:val="99"/>
              </w:rPr>
              <w:t>—</w:t>
            </w:r>
          </w:p>
        </w:tc>
        <w:tc>
          <w:tcPr>
            <w:tcW w:w="260" w:type="dxa"/>
            <w:vAlign w:val="bottom"/>
          </w:tcPr>
          <w:p>
            <w:pPr>
              <w:spacing w:after="0"/>
              <w:rPr>
                <w:sz w:val="14"/>
                <w:szCs w:val="14"/>
                <w:color w:val="auto"/>
              </w:rPr>
            </w:pPr>
          </w:p>
        </w:tc>
        <w:tc>
          <w:tcPr>
            <w:tcW w:w="940" w:type="dxa"/>
            <w:vAlign w:val="bottom"/>
          </w:tcPr>
          <w:p>
            <w:pPr>
              <w:ind w:left="420"/>
              <w:spacing w:after="0"/>
              <w:rPr>
                <w:sz w:val="20"/>
                <w:szCs w:val="20"/>
                <w:color w:val="auto"/>
              </w:rPr>
            </w:pPr>
            <w:r>
              <w:rPr>
                <w:rFonts w:ascii="Arial" w:cs="Arial" w:eastAsia="Arial" w:hAnsi="Arial"/>
                <w:sz w:val="14"/>
                <w:szCs w:val="14"/>
                <w:color w:val="auto"/>
              </w:rPr>
              <w:t>—</w:t>
            </w:r>
          </w:p>
        </w:tc>
        <w:tc>
          <w:tcPr>
            <w:tcW w:w="12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560" w:type="dxa"/>
            <w:vAlign w:val="bottom"/>
          </w:tcPr>
          <w:p>
            <w:pPr>
              <w:jc w:val="right"/>
              <w:ind w:right="610"/>
              <w:spacing w:after="0"/>
              <w:rPr>
                <w:sz w:val="20"/>
                <w:szCs w:val="20"/>
                <w:color w:val="auto"/>
              </w:rPr>
            </w:pPr>
            <w:r>
              <w:rPr>
                <w:rFonts w:ascii="Arial" w:cs="Arial" w:eastAsia="Arial" w:hAnsi="Arial"/>
                <w:sz w:val="14"/>
                <w:szCs w:val="14"/>
                <w:color w:val="auto"/>
              </w:rPr>
              <w:t>—</w:t>
            </w:r>
          </w:p>
        </w:tc>
      </w:tr>
      <w:tr>
        <w:trPr>
          <w:trHeight w:val="162"/>
        </w:trPr>
        <w:tc>
          <w:tcPr>
            <w:tcW w:w="18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3/01/2013</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7,731</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39.19</w:t>
            </w:r>
          </w:p>
        </w:tc>
        <w:tc>
          <w:tcPr>
            <w:tcW w:w="1080" w:type="dxa"/>
            <w:vAlign w:val="bottom"/>
          </w:tcPr>
          <w:p>
            <w:pPr>
              <w:jc w:val="center"/>
              <w:ind w:right="129"/>
              <w:spacing w:after="0"/>
              <w:rPr>
                <w:sz w:val="20"/>
                <w:szCs w:val="20"/>
                <w:color w:val="auto"/>
              </w:rPr>
            </w:pPr>
            <w:r>
              <w:rPr>
                <w:rFonts w:ascii="Arial" w:cs="Arial" w:eastAsia="Arial" w:hAnsi="Arial"/>
                <w:sz w:val="14"/>
                <w:szCs w:val="14"/>
                <w:color w:val="auto"/>
              </w:rPr>
              <w:t>3/01/2023</w:t>
            </w:r>
          </w:p>
        </w:tc>
        <w:tc>
          <w:tcPr>
            <w:tcW w:w="600" w:type="dxa"/>
            <w:vAlign w:val="bottom"/>
          </w:tcPr>
          <w:p>
            <w:pPr>
              <w:jc w:val="center"/>
              <w:ind w:left="189"/>
              <w:spacing w:after="0"/>
              <w:rPr>
                <w:sz w:val="20"/>
                <w:szCs w:val="20"/>
                <w:color w:val="auto"/>
              </w:rPr>
            </w:pPr>
            <w:r>
              <w:rPr>
                <w:rFonts w:ascii="Arial" w:cs="Arial" w:eastAsia="Arial" w:hAnsi="Arial"/>
                <w:sz w:val="14"/>
                <w:szCs w:val="14"/>
                <w:color w:val="auto"/>
                <w:w w:val="99"/>
              </w:rPr>
              <w:t>—</w:t>
            </w:r>
          </w:p>
        </w:tc>
        <w:tc>
          <w:tcPr>
            <w:tcW w:w="260" w:type="dxa"/>
            <w:vAlign w:val="bottom"/>
          </w:tcPr>
          <w:p>
            <w:pPr>
              <w:spacing w:after="0"/>
              <w:rPr>
                <w:sz w:val="14"/>
                <w:szCs w:val="14"/>
                <w:color w:val="auto"/>
              </w:rPr>
            </w:pPr>
          </w:p>
        </w:tc>
        <w:tc>
          <w:tcPr>
            <w:tcW w:w="940" w:type="dxa"/>
            <w:vAlign w:val="bottom"/>
          </w:tcPr>
          <w:p>
            <w:pPr>
              <w:ind w:left="420"/>
              <w:spacing w:after="0"/>
              <w:rPr>
                <w:sz w:val="20"/>
                <w:szCs w:val="20"/>
                <w:color w:val="auto"/>
              </w:rPr>
            </w:pPr>
            <w:r>
              <w:rPr>
                <w:rFonts w:ascii="Arial" w:cs="Arial" w:eastAsia="Arial" w:hAnsi="Arial"/>
                <w:sz w:val="14"/>
                <w:szCs w:val="14"/>
                <w:color w:val="auto"/>
              </w:rPr>
              <w:t>—</w:t>
            </w:r>
          </w:p>
        </w:tc>
        <w:tc>
          <w:tcPr>
            <w:tcW w:w="12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560" w:type="dxa"/>
            <w:vAlign w:val="bottom"/>
          </w:tcPr>
          <w:p>
            <w:pPr>
              <w:jc w:val="right"/>
              <w:ind w:right="610"/>
              <w:spacing w:after="0"/>
              <w:rPr>
                <w:sz w:val="20"/>
                <w:szCs w:val="20"/>
                <w:color w:val="auto"/>
              </w:rPr>
            </w:pPr>
            <w:r>
              <w:rPr>
                <w:rFonts w:ascii="Arial" w:cs="Arial" w:eastAsia="Arial" w:hAnsi="Arial"/>
                <w:sz w:val="14"/>
                <w:szCs w:val="14"/>
                <w:color w:val="auto"/>
              </w:rPr>
              <w:t>—</w:t>
            </w:r>
          </w:p>
        </w:tc>
      </w:tr>
      <w:tr>
        <w:trPr>
          <w:trHeight w:val="162"/>
        </w:trPr>
        <w:tc>
          <w:tcPr>
            <w:tcW w:w="18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3/01/2016</w:t>
            </w: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80" w:type="dxa"/>
            <w:vAlign w:val="bottom"/>
          </w:tcPr>
          <w:p>
            <w:pPr>
              <w:jc w:val="center"/>
              <w:ind w:right="149"/>
              <w:spacing w:after="0"/>
              <w:rPr>
                <w:sz w:val="20"/>
                <w:szCs w:val="20"/>
                <w:color w:val="auto"/>
              </w:rPr>
            </w:pPr>
            <w:r>
              <w:rPr>
                <w:rFonts w:ascii="Arial" w:cs="Arial" w:eastAsia="Arial" w:hAnsi="Arial"/>
                <w:sz w:val="14"/>
                <w:szCs w:val="14"/>
                <w:color w:val="auto"/>
                <w:w w:val="99"/>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1,419</w:t>
            </w:r>
          </w:p>
        </w:tc>
        <w:tc>
          <w:tcPr>
            <w:tcW w:w="260" w:type="dxa"/>
            <w:vAlign w:val="bottom"/>
          </w:tcPr>
          <w:p>
            <w:pPr>
              <w:jc w:val="right"/>
              <w:spacing w:after="0"/>
              <w:rPr>
                <w:sz w:val="20"/>
                <w:szCs w:val="20"/>
                <w:color w:val="auto"/>
              </w:rPr>
            </w:pPr>
            <w:r>
              <w:rPr>
                <w:rFonts w:ascii="Arial" w:cs="Arial" w:eastAsia="Arial" w:hAnsi="Arial"/>
                <w:sz w:val="14"/>
                <w:szCs w:val="14"/>
                <w:color w:val="auto"/>
              </w:rPr>
              <w:t>(1)</w:t>
            </w:r>
          </w:p>
        </w:tc>
        <w:tc>
          <w:tcPr>
            <w:tcW w:w="940" w:type="dxa"/>
            <w:vAlign w:val="bottom"/>
          </w:tcPr>
          <w:p>
            <w:pPr>
              <w:ind w:left="420"/>
              <w:spacing w:after="0"/>
              <w:rPr>
                <w:sz w:val="20"/>
                <w:szCs w:val="20"/>
                <w:color w:val="auto"/>
              </w:rPr>
            </w:pPr>
            <w:r>
              <w:rPr>
                <w:rFonts w:ascii="Arial" w:cs="Arial" w:eastAsia="Arial" w:hAnsi="Arial"/>
                <w:sz w:val="14"/>
                <w:szCs w:val="14"/>
                <w:color w:val="auto"/>
              </w:rPr>
              <w:t>97,514</w:t>
            </w:r>
          </w:p>
        </w:tc>
        <w:tc>
          <w:tcPr>
            <w:tcW w:w="12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560" w:type="dxa"/>
            <w:vAlign w:val="bottom"/>
          </w:tcPr>
          <w:p>
            <w:pPr>
              <w:jc w:val="right"/>
              <w:ind w:right="610"/>
              <w:spacing w:after="0"/>
              <w:rPr>
                <w:sz w:val="20"/>
                <w:szCs w:val="20"/>
                <w:color w:val="auto"/>
              </w:rPr>
            </w:pPr>
            <w:r>
              <w:rPr>
                <w:rFonts w:ascii="Arial" w:cs="Arial" w:eastAsia="Arial" w:hAnsi="Arial"/>
                <w:sz w:val="14"/>
                <w:szCs w:val="14"/>
                <w:color w:val="auto"/>
              </w:rPr>
              <w:t>—</w:t>
            </w:r>
          </w:p>
        </w:tc>
      </w:tr>
      <w:tr>
        <w:trPr>
          <w:trHeight w:val="162"/>
        </w:trPr>
        <w:tc>
          <w:tcPr>
            <w:tcW w:w="18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3/15/2017</w:t>
            </w: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80" w:type="dxa"/>
            <w:vAlign w:val="bottom"/>
          </w:tcPr>
          <w:p>
            <w:pPr>
              <w:jc w:val="center"/>
              <w:ind w:right="149"/>
              <w:spacing w:after="0"/>
              <w:rPr>
                <w:sz w:val="20"/>
                <w:szCs w:val="20"/>
                <w:color w:val="auto"/>
              </w:rPr>
            </w:pPr>
            <w:r>
              <w:rPr>
                <w:rFonts w:ascii="Arial" w:cs="Arial" w:eastAsia="Arial" w:hAnsi="Arial"/>
                <w:sz w:val="14"/>
                <w:szCs w:val="14"/>
                <w:color w:val="auto"/>
                <w:w w:val="99"/>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3,209</w:t>
            </w:r>
          </w:p>
        </w:tc>
        <w:tc>
          <w:tcPr>
            <w:tcW w:w="260" w:type="dxa"/>
            <w:vAlign w:val="bottom"/>
          </w:tcPr>
          <w:p>
            <w:pPr>
              <w:jc w:val="right"/>
              <w:spacing w:after="0"/>
              <w:rPr>
                <w:sz w:val="20"/>
                <w:szCs w:val="20"/>
                <w:color w:val="auto"/>
              </w:rPr>
            </w:pPr>
            <w:r>
              <w:rPr>
                <w:rFonts w:ascii="Arial" w:cs="Arial" w:eastAsia="Arial" w:hAnsi="Arial"/>
                <w:sz w:val="14"/>
                <w:szCs w:val="14"/>
                <w:color w:val="auto"/>
              </w:rPr>
              <w:t>(2)</w:t>
            </w: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220,522</w:t>
            </w:r>
          </w:p>
        </w:tc>
        <w:tc>
          <w:tcPr>
            <w:tcW w:w="12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560" w:type="dxa"/>
            <w:vAlign w:val="bottom"/>
          </w:tcPr>
          <w:p>
            <w:pPr>
              <w:jc w:val="right"/>
              <w:ind w:right="610"/>
              <w:spacing w:after="0"/>
              <w:rPr>
                <w:sz w:val="20"/>
                <w:szCs w:val="20"/>
                <w:color w:val="auto"/>
              </w:rPr>
            </w:pPr>
            <w:r>
              <w:rPr>
                <w:rFonts w:ascii="Arial" w:cs="Arial" w:eastAsia="Arial" w:hAnsi="Arial"/>
                <w:sz w:val="14"/>
                <w:szCs w:val="14"/>
                <w:color w:val="auto"/>
              </w:rPr>
              <w:t>—</w:t>
            </w:r>
          </w:p>
        </w:tc>
      </w:tr>
      <w:tr>
        <w:trPr>
          <w:trHeight w:val="162"/>
        </w:trPr>
        <w:tc>
          <w:tcPr>
            <w:tcW w:w="18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8/21/2017</w:t>
            </w: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80" w:type="dxa"/>
            <w:vAlign w:val="bottom"/>
          </w:tcPr>
          <w:p>
            <w:pPr>
              <w:jc w:val="center"/>
              <w:ind w:right="149"/>
              <w:spacing w:after="0"/>
              <w:rPr>
                <w:sz w:val="20"/>
                <w:szCs w:val="20"/>
                <w:color w:val="auto"/>
              </w:rPr>
            </w:pPr>
            <w:r>
              <w:rPr>
                <w:rFonts w:ascii="Arial" w:cs="Arial" w:eastAsia="Arial" w:hAnsi="Arial"/>
                <w:sz w:val="14"/>
                <w:szCs w:val="14"/>
                <w:color w:val="auto"/>
                <w:w w:val="99"/>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16,026</w:t>
            </w:r>
          </w:p>
        </w:tc>
        <w:tc>
          <w:tcPr>
            <w:tcW w:w="260" w:type="dxa"/>
            <w:vAlign w:val="bottom"/>
          </w:tcPr>
          <w:p>
            <w:pPr>
              <w:jc w:val="right"/>
              <w:spacing w:after="0"/>
              <w:rPr>
                <w:sz w:val="20"/>
                <w:szCs w:val="20"/>
                <w:color w:val="auto"/>
              </w:rPr>
            </w:pPr>
            <w:r>
              <w:rPr>
                <w:rFonts w:ascii="Arial" w:cs="Arial" w:eastAsia="Arial" w:hAnsi="Arial"/>
                <w:sz w:val="14"/>
                <w:szCs w:val="14"/>
                <w:color w:val="auto"/>
              </w:rPr>
              <w:t>(1)</w:t>
            </w: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1,101,307</w:t>
            </w:r>
          </w:p>
        </w:tc>
        <w:tc>
          <w:tcPr>
            <w:tcW w:w="12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560" w:type="dxa"/>
            <w:vAlign w:val="bottom"/>
          </w:tcPr>
          <w:p>
            <w:pPr>
              <w:jc w:val="right"/>
              <w:ind w:right="610"/>
              <w:spacing w:after="0"/>
              <w:rPr>
                <w:sz w:val="20"/>
                <w:szCs w:val="20"/>
                <w:color w:val="auto"/>
              </w:rPr>
            </w:pPr>
            <w:r>
              <w:rPr>
                <w:rFonts w:ascii="Arial" w:cs="Arial" w:eastAsia="Arial" w:hAnsi="Arial"/>
                <w:sz w:val="14"/>
                <w:szCs w:val="14"/>
                <w:color w:val="auto"/>
              </w:rPr>
              <w:t>—</w:t>
            </w:r>
          </w:p>
        </w:tc>
      </w:tr>
      <w:tr>
        <w:trPr>
          <w:trHeight w:val="162"/>
        </w:trPr>
        <w:tc>
          <w:tcPr>
            <w:tcW w:w="18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3/01/2018</w:t>
            </w: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80" w:type="dxa"/>
            <w:vAlign w:val="bottom"/>
          </w:tcPr>
          <w:p>
            <w:pPr>
              <w:jc w:val="center"/>
              <w:ind w:right="149"/>
              <w:spacing w:after="0"/>
              <w:rPr>
                <w:sz w:val="20"/>
                <w:szCs w:val="20"/>
                <w:color w:val="auto"/>
              </w:rPr>
            </w:pPr>
            <w:r>
              <w:rPr>
                <w:rFonts w:ascii="Arial" w:cs="Arial" w:eastAsia="Arial" w:hAnsi="Arial"/>
                <w:sz w:val="14"/>
                <w:szCs w:val="14"/>
                <w:color w:val="auto"/>
                <w:w w:val="99"/>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7,447</w:t>
            </w:r>
          </w:p>
        </w:tc>
        <w:tc>
          <w:tcPr>
            <w:tcW w:w="260" w:type="dxa"/>
            <w:vAlign w:val="bottom"/>
          </w:tcPr>
          <w:p>
            <w:pPr>
              <w:jc w:val="right"/>
              <w:spacing w:after="0"/>
              <w:rPr>
                <w:sz w:val="20"/>
                <w:szCs w:val="20"/>
                <w:color w:val="auto"/>
              </w:rPr>
            </w:pPr>
            <w:r>
              <w:rPr>
                <w:rFonts w:ascii="Arial" w:cs="Arial" w:eastAsia="Arial" w:hAnsi="Arial"/>
                <w:sz w:val="14"/>
                <w:szCs w:val="14"/>
                <w:color w:val="auto"/>
              </w:rPr>
              <w:t>(2)</w:t>
            </w: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511,758</w:t>
            </w:r>
          </w:p>
        </w:tc>
        <w:tc>
          <w:tcPr>
            <w:tcW w:w="12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560" w:type="dxa"/>
            <w:vAlign w:val="bottom"/>
          </w:tcPr>
          <w:p>
            <w:pPr>
              <w:jc w:val="right"/>
              <w:ind w:right="610"/>
              <w:spacing w:after="0"/>
              <w:rPr>
                <w:sz w:val="20"/>
                <w:szCs w:val="20"/>
                <w:color w:val="auto"/>
              </w:rPr>
            </w:pPr>
            <w:r>
              <w:rPr>
                <w:rFonts w:ascii="Arial" w:cs="Arial" w:eastAsia="Arial" w:hAnsi="Arial"/>
                <w:sz w:val="14"/>
                <w:szCs w:val="14"/>
                <w:color w:val="auto"/>
              </w:rPr>
              <w:t>—</w:t>
            </w:r>
          </w:p>
        </w:tc>
      </w:tr>
      <w:tr>
        <w:trPr>
          <w:trHeight w:val="162"/>
        </w:trPr>
        <w:tc>
          <w:tcPr>
            <w:tcW w:w="18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3/01/2018</w:t>
            </w: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80" w:type="dxa"/>
            <w:vAlign w:val="bottom"/>
          </w:tcPr>
          <w:p>
            <w:pPr>
              <w:jc w:val="center"/>
              <w:ind w:right="149"/>
              <w:spacing w:after="0"/>
              <w:rPr>
                <w:sz w:val="20"/>
                <w:szCs w:val="20"/>
                <w:color w:val="auto"/>
              </w:rPr>
            </w:pPr>
            <w:r>
              <w:rPr>
                <w:rFonts w:ascii="Arial" w:cs="Arial" w:eastAsia="Arial" w:hAnsi="Arial"/>
                <w:sz w:val="14"/>
                <w:szCs w:val="14"/>
                <w:color w:val="auto"/>
                <w:w w:val="99"/>
              </w:rPr>
              <w:t>—</w:t>
            </w:r>
          </w:p>
        </w:tc>
        <w:tc>
          <w:tcPr>
            <w:tcW w:w="600" w:type="dxa"/>
            <w:vAlign w:val="bottom"/>
          </w:tcPr>
          <w:p>
            <w:pPr>
              <w:jc w:val="center"/>
              <w:ind w:left="189"/>
              <w:spacing w:after="0"/>
              <w:rPr>
                <w:sz w:val="20"/>
                <w:szCs w:val="20"/>
                <w:color w:val="auto"/>
              </w:rPr>
            </w:pPr>
            <w:r>
              <w:rPr>
                <w:rFonts w:ascii="Arial" w:cs="Arial" w:eastAsia="Arial" w:hAnsi="Arial"/>
                <w:sz w:val="14"/>
                <w:szCs w:val="14"/>
                <w:color w:val="auto"/>
                <w:w w:val="99"/>
              </w:rPr>
              <w:t>—</w:t>
            </w:r>
          </w:p>
        </w:tc>
        <w:tc>
          <w:tcPr>
            <w:tcW w:w="260" w:type="dxa"/>
            <w:vAlign w:val="bottom"/>
          </w:tcPr>
          <w:p>
            <w:pPr>
              <w:spacing w:after="0"/>
              <w:rPr>
                <w:sz w:val="14"/>
                <w:szCs w:val="14"/>
                <w:color w:val="auto"/>
              </w:rPr>
            </w:pPr>
          </w:p>
        </w:tc>
        <w:tc>
          <w:tcPr>
            <w:tcW w:w="940" w:type="dxa"/>
            <w:vAlign w:val="bottom"/>
          </w:tcPr>
          <w:p>
            <w:pPr>
              <w:ind w:left="42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10"/>
              <w:spacing w:after="0"/>
              <w:rPr>
                <w:sz w:val="20"/>
                <w:szCs w:val="20"/>
                <w:color w:val="auto"/>
              </w:rPr>
            </w:pPr>
            <w:r>
              <w:rPr>
                <w:rFonts w:ascii="Arial" w:cs="Arial" w:eastAsia="Arial" w:hAnsi="Arial"/>
                <w:sz w:val="14"/>
                <w:szCs w:val="14"/>
                <w:color w:val="auto"/>
              </w:rPr>
              <w:t>26,064 (4)</w:t>
            </w:r>
          </w:p>
        </w:tc>
        <w:tc>
          <w:tcPr>
            <w:tcW w:w="1560" w:type="dxa"/>
            <w:vAlign w:val="bottom"/>
          </w:tcPr>
          <w:p>
            <w:pPr>
              <w:jc w:val="right"/>
              <w:ind w:right="10"/>
              <w:spacing w:after="0"/>
              <w:rPr>
                <w:sz w:val="20"/>
                <w:szCs w:val="20"/>
                <w:color w:val="auto"/>
              </w:rPr>
            </w:pPr>
            <w:r>
              <w:rPr>
                <w:rFonts w:ascii="Arial" w:cs="Arial" w:eastAsia="Arial" w:hAnsi="Arial"/>
                <w:sz w:val="14"/>
                <w:szCs w:val="14"/>
                <w:color w:val="auto"/>
              </w:rPr>
              <w:t>1,791,118</w:t>
            </w:r>
          </w:p>
        </w:tc>
      </w:tr>
      <w:tr>
        <w:trPr>
          <w:trHeight w:val="162"/>
        </w:trPr>
        <w:tc>
          <w:tcPr>
            <w:tcW w:w="18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3/01/2019</w:t>
            </w: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80" w:type="dxa"/>
            <w:vAlign w:val="bottom"/>
          </w:tcPr>
          <w:p>
            <w:pPr>
              <w:jc w:val="center"/>
              <w:ind w:right="149"/>
              <w:spacing w:after="0"/>
              <w:rPr>
                <w:sz w:val="20"/>
                <w:szCs w:val="20"/>
                <w:color w:val="auto"/>
              </w:rPr>
            </w:pPr>
            <w:r>
              <w:rPr>
                <w:rFonts w:ascii="Arial" w:cs="Arial" w:eastAsia="Arial" w:hAnsi="Arial"/>
                <w:sz w:val="14"/>
                <w:szCs w:val="14"/>
                <w:color w:val="auto"/>
                <w:w w:val="99"/>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8,215</w:t>
            </w:r>
          </w:p>
        </w:tc>
        <w:tc>
          <w:tcPr>
            <w:tcW w:w="260" w:type="dxa"/>
            <w:vAlign w:val="bottom"/>
          </w:tcPr>
          <w:p>
            <w:pPr>
              <w:jc w:val="right"/>
              <w:spacing w:after="0"/>
              <w:rPr>
                <w:sz w:val="20"/>
                <w:szCs w:val="20"/>
                <w:color w:val="auto"/>
              </w:rPr>
            </w:pPr>
            <w:r>
              <w:rPr>
                <w:rFonts w:ascii="Arial" w:cs="Arial" w:eastAsia="Arial" w:hAnsi="Arial"/>
                <w:sz w:val="14"/>
                <w:szCs w:val="14"/>
                <w:color w:val="auto"/>
              </w:rPr>
              <w:t>(2)</w:t>
            </w: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564,535</w:t>
            </w:r>
          </w:p>
        </w:tc>
        <w:tc>
          <w:tcPr>
            <w:tcW w:w="12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560" w:type="dxa"/>
            <w:vAlign w:val="bottom"/>
          </w:tcPr>
          <w:p>
            <w:pPr>
              <w:jc w:val="right"/>
              <w:ind w:right="610"/>
              <w:spacing w:after="0"/>
              <w:rPr>
                <w:sz w:val="20"/>
                <w:szCs w:val="20"/>
                <w:color w:val="auto"/>
              </w:rPr>
            </w:pPr>
            <w:r>
              <w:rPr>
                <w:rFonts w:ascii="Arial" w:cs="Arial" w:eastAsia="Arial" w:hAnsi="Arial"/>
                <w:sz w:val="14"/>
                <w:szCs w:val="14"/>
                <w:color w:val="auto"/>
              </w:rPr>
              <w:t>—</w:t>
            </w:r>
          </w:p>
        </w:tc>
      </w:tr>
      <w:tr>
        <w:trPr>
          <w:trHeight w:val="157"/>
        </w:trPr>
        <w:tc>
          <w:tcPr>
            <w:tcW w:w="1860" w:type="dxa"/>
            <w:vAlign w:val="bottom"/>
            <w:tcBorders>
              <w:bottom w:val="single" w:sz="8" w:color="999999"/>
            </w:tcBorders>
          </w:tcPr>
          <w:p>
            <w:pPr>
              <w:spacing w:after="0"/>
              <w:rPr>
                <w:sz w:val="13"/>
                <w:szCs w:val="13"/>
                <w:color w:val="auto"/>
              </w:rPr>
            </w:pPr>
          </w:p>
        </w:tc>
        <w:tc>
          <w:tcPr>
            <w:tcW w:w="840" w:type="dxa"/>
            <w:vAlign w:val="bottom"/>
            <w:tcBorders>
              <w:bottom w:val="single" w:sz="8" w:color="999999"/>
            </w:tcBorders>
          </w:tcPr>
          <w:p>
            <w:pPr>
              <w:jc w:val="center"/>
              <w:spacing w:after="0" w:line="157" w:lineRule="exact"/>
              <w:rPr>
                <w:sz w:val="20"/>
                <w:szCs w:val="20"/>
                <w:color w:val="auto"/>
              </w:rPr>
            </w:pPr>
            <w:r>
              <w:rPr>
                <w:rFonts w:ascii="Arial" w:cs="Arial" w:eastAsia="Arial" w:hAnsi="Arial"/>
                <w:sz w:val="14"/>
                <w:szCs w:val="14"/>
                <w:color w:val="auto"/>
              </w:rPr>
              <w:t>3/01/2019</w:t>
            </w:r>
          </w:p>
        </w:tc>
        <w:tc>
          <w:tcPr>
            <w:tcW w:w="920" w:type="dxa"/>
            <w:vAlign w:val="bottom"/>
            <w:tcBorders>
              <w:bottom w:val="single" w:sz="8" w:color="999999"/>
            </w:tcBorders>
          </w:tcPr>
          <w:p>
            <w:pPr>
              <w:jc w:val="center"/>
              <w:spacing w:after="0" w:line="157" w:lineRule="exact"/>
              <w:rPr>
                <w:sz w:val="20"/>
                <w:szCs w:val="20"/>
                <w:color w:val="auto"/>
              </w:rPr>
            </w:pPr>
            <w:r>
              <w:rPr>
                <w:rFonts w:ascii="Arial" w:cs="Arial" w:eastAsia="Arial" w:hAnsi="Arial"/>
                <w:sz w:val="14"/>
                <w:szCs w:val="14"/>
                <w:color w:val="auto"/>
                <w:w w:val="99"/>
              </w:rPr>
              <w:t>—</w:t>
            </w:r>
          </w:p>
        </w:tc>
        <w:tc>
          <w:tcPr>
            <w:tcW w:w="1020" w:type="dxa"/>
            <w:vAlign w:val="bottom"/>
            <w:tcBorders>
              <w:bottom w:val="single" w:sz="8" w:color="999999"/>
            </w:tcBorders>
          </w:tcPr>
          <w:p>
            <w:pPr>
              <w:jc w:val="center"/>
              <w:spacing w:after="0" w:line="157" w:lineRule="exact"/>
              <w:rPr>
                <w:sz w:val="20"/>
                <w:szCs w:val="20"/>
                <w:color w:val="auto"/>
              </w:rPr>
            </w:pPr>
            <w:r>
              <w:rPr>
                <w:rFonts w:ascii="Arial" w:cs="Arial" w:eastAsia="Arial" w:hAnsi="Arial"/>
                <w:sz w:val="14"/>
                <w:szCs w:val="14"/>
                <w:color w:val="auto"/>
                <w:w w:val="99"/>
              </w:rPr>
              <w:t>—</w:t>
            </w:r>
          </w:p>
        </w:tc>
        <w:tc>
          <w:tcPr>
            <w:tcW w:w="660" w:type="dxa"/>
            <w:vAlign w:val="bottom"/>
            <w:tcBorders>
              <w:bottom w:val="single" w:sz="8" w:color="999999"/>
            </w:tcBorders>
          </w:tcPr>
          <w:p>
            <w:pPr>
              <w:jc w:val="center"/>
              <w:spacing w:after="0" w:line="157" w:lineRule="exact"/>
              <w:rPr>
                <w:sz w:val="20"/>
                <w:szCs w:val="20"/>
                <w:color w:val="auto"/>
              </w:rPr>
            </w:pPr>
            <w:r>
              <w:rPr>
                <w:rFonts w:ascii="Arial" w:cs="Arial" w:eastAsia="Arial" w:hAnsi="Arial"/>
                <w:sz w:val="14"/>
                <w:szCs w:val="14"/>
                <w:color w:val="auto"/>
                <w:w w:val="99"/>
              </w:rPr>
              <w:t>—</w:t>
            </w:r>
          </w:p>
        </w:tc>
        <w:tc>
          <w:tcPr>
            <w:tcW w:w="1080" w:type="dxa"/>
            <w:vAlign w:val="bottom"/>
            <w:tcBorders>
              <w:bottom w:val="single" w:sz="8" w:color="999999"/>
            </w:tcBorders>
          </w:tcPr>
          <w:p>
            <w:pPr>
              <w:jc w:val="center"/>
              <w:ind w:right="149"/>
              <w:spacing w:after="0" w:line="157" w:lineRule="exact"/>
              <w:rPr>
                <w:sz w:val="20"/>
                <w:szCs w:val="20"/>
                <w:color w:val="auto"/>
              </w:rPr>
            </w:pPr>
            <w:r>
              <w:rPr>
                <w:rFonts w:ascii="Arial" w:cs="Arial" w:eastAsia="Arial" w:hAnsi="Arial"/>
                <w:sz w:val="14"/>
                <w:szCs w:val="14"/>
                <w:color w:val="auto"/>
                <w:w w:val="99"/>
              </w:rPr>
              <w:t>—</w:t>
            </w:r>
          </w:p>
        </w:tc>
        <w:tc>
          <w:tcPr>
            <w:tcW w:w="600" w:type="dxa"/>
            <w:vAlign w:val="bottom"/>
            <w:tcBorders>
              <w:bottom w:val="single" w:sz="8" w:color="999999"/>
            </w:tcBorders>
          </w:tcPr>
          <w:p>
            <w:pPr>
              <w:jc w:val="center"/>
              <w:ind w:left="189"/>
              <w:spacing w:after="0" w:line="157" w:lineRule="exact"/>
              <w:rPr>
                <w:sz w:val="20"/>
                <w:szCs w:val="20"/>
                <w:color w:val="auto"/>
              </w:rPr>
            </w:pPr>
            <w:r>
              <w:rPr>
                <w:rFonts w:ascii="Arial" w:cs="Arial" w:eastAsia="Arial" w:hAnsi="Arial"/>
                <w:sz w:val="14"/>
                <w:szCs w:val="14"/>
                <w:color w:val="auto"/>
                <w:w w:val="99"/>
              </w:rPr>
              <w:t>—</w:t>
            </w:r>
          </w:p>
        </w:tc>
        <w:tc>
          <w:tcPr>
            <w:tcW w:w="260" w:type="dxa"/>
            <w:vAlign w:val="bottom"/>
            <w:tcBorders>
              <w:bottom w:val="single" w:sz="8" w:color="999999"/>
            </w:tcBorders>
          </w:tcPr>
          <w:p>
            <w:pPr>
              <w:spacing w:after="0"/>
              <w:rPr>
                <w:sz w:val="13"/>
                <w:szCs w:val="13"/>
                <w:color w:val="auto"/>
              </w:rPr>
            </w:pPr>
          </w:p>
        </w:tc>
        <w:tc>
          <w:tcPr>
            <w:tcW w:w="940" w:type="dxa"/>
            <w:vAlign w:val="bottom"/>
            <w:tcBorders>
              <w:bottom w:val="single" w:sz="8" w:color="999999"/>
            </w:tcBorders>
          </w:tcPr>
          <w:p>
            <w:pPr>
              <w:ind w:left="420"/>
              <w:spacing w:after="0" w:line="157" w:lineRule="exact"/>
              <w:rPr>
                <w:sz w:val="20"/>
                <w:szCs w:val="20"/>
                <w:color w:val="auto"/>
              </w:rPr>
            </w:pPr>
            <w:r>
              <w:rPr>
                <w:rFonts w:ascii="Arial" w:cs="Arial" w:eastAsia="Arial" w:hAnsi="Arial"/>
                <w:sz w:val="14"/>
                <w:szCs w:val="14"/>
                <w:color w:val="auto"/>
              </w:rPr>
              <w:t>—</w:t>
            </w:r>
          </w:p>
        </w:tc>
        <w:tc>
          <w:tcPr>
            <w:tcW w:w="1280" w:type="dxa"/>
            <w:vAlign w:val="bottom"/>
            <w:tcBorders>
              <w:bottom w:val="single" w:sz="8" w:color="999999"/>
            </w:tcBorders>
          </w:tcPr>
          <w:p>
            <w:pPr>
              <w:jc w:val="right"/>
              <w:ind w:right="10"/>
              <w:spacing w:after="0" w:line="157" w:lineRule="exact"/>
              <w:rPr>
                <w:sz w:val="20"/>
                <w:szCs w:val="20"/>
                <w:color w:val="auto"/>
              </w:rPr>
            </w:pPr>
            <w:r>
              <w:rPr>
                <w:rFonts w:ascii="Arial" w:cs="Arial" w:eastAsia="Arial" w:hAnsi="Arial"/>
                <w:sz w:val="14"/>
                <w:szCs w:val="14"/>
                <w:color w:val="auto"/>
              </w:rPr>
              <w:t>19,169 (5)</w:t>
            </w:r>
          </w:p>
        </w:tc>
        <w:tc>
          <w:tcPr>
            <w:tcW w:w="1560" w:type="dxa"/>
            <w:vAlign w:val="bottom"/>
            <w:tcBorders>
              <w:bottom w:val="single" w:sz="8" w:color="999999"/>
            </w:tcBorders>
          </w:tcPr>
          <w:p>
            <w:pPr>
              <w:jc w:val="right"/>
              <w:ind w:right="10"/>
              <w:spacing w:after="0" w:line="157" w:lineRule="exact"/>
              <w:rPr>
                <w:sz w:val="20"/>
                <w:szCs w:val="20"/>
                <w:color w:val="auto"/>
              </w:rPr>
            </w:pPr>
            <w:r>
              <w:rPr>
                <w:rFonts w:ascii="Arial" w:cs="Arial" w:eastAsia="Arial" w:hAnsi="Arial"/>
                <w:sz w:val="14"/>
                <w:szCs w:val="14"/>
                <w:color w:val="auto"/>
              </w:rPr>
              <w:t>1,317,294</w:t>
            </w:r>
          </w:p>
        </w:tc>
      </w:tr>
      <w:tr>
        <w:trPr>
          <w:trHeight w:val="160"/>
        </w:trPr>
        <w:tc>
          <w:tcPr>
            <w:tcW w:w="1860" w:type="dxa"/>
            <w:vAlign w:val="bottom"/>
          </w:tcPr>
          <w:p>
            <w:pPr>
              <w:spacing w:after="0"/>
              <w:rPr>
                <w:sz w:val="20"/>
                <w:szCs w:val="20"/>
                <w:color w:val="auto"/>
              </w:rPr>
            </w:pPr>
            <w:r>
              <w:rPr>
                <w:rFonts w:ascii="Arial" w:cs="Arial" w:eastAsia="Arial" w:hAnsi="Arial"/>
                <w:sz w:val="14"/>
                <w:szCs w:val="14"/>
                <w:color w:val="auto"/>
              </w:rPr>
              <w:t>John D. Kelly</w:t>
            </w:r>
          </w:p>
        </w:tc>
        <w:tc>
          <w:tcPr>
            <w:tcW w:w="840" w:type="dxa"/>
            <w:vAlign w:val="bottom"/>
          </w:tcPr>
          <w:p>
            <w:pPr>
              <w:jc w:val="center"/>
              <w:spacing w:after="0"/>
              <w:rPr>
                <w:sz w:val="20"/>
                <w:szCs w:val="20"/>
                <w:color w:val="auto"/>
              </w:rPr>
            </w:pPr>
            <w:r>
              <w:rPr>
                <w:rFonts w:ascii="Arial" w:cs="Arial" w:eastAsia="Arial" w:hAnsi="Arial"/>
                <w:sz w:val="14"/>
                <w:szCs w:val="14"/>
                <w:color w:val="auto"/>
              </w:rPr>
              <w:t>3/01/2016</w:t>
            </w: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80" w:type="dxa"/>
            <w:vAlign w:val="bottom"/>
          </w:tcPr>
          <w:p>
            <w:pPr>
              <w:jc w:val="center"/>
              <w:ind w:right="149"/>
              <w:spacing w:after="0"/>
              <w:rPr>
                <w:sz w:val="20"/>
                <w:szCs w:val="20"/>
                <w:color w:val="auto"/>
              </w:rPr>
            </w:pPr>
            <w:r>
              <w:rPr>
                <w:rFonts w:ascii="Arial" w:cs="Arial" w:eastAsia="Arial" w:hAnsi="Arial"/>
                <w:sz w:val="14"/>
                <w:szCs w:val="14"/>
                <w:color w:val="auto"/>
                <w:w w:val="99"/>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88</w:t>
            </w:r>
          </w:p>
        </w:tc>
        <w:tc>
          <w:tcPr>
            <w:tcW w:w="260" w:type="dxa"/>
            <w:vAlign w:val="bottom"/>
          </w:tcPr>
          <w:p>
            <w:pPr>
              <w:jc w:val="right"/>
              <w:spacing w:after="0"/>
              <w:rPr>
                <w:sz w:val="20"/>
                <w:szCs w:val="20"/>
                <w:color w:val="auto"/>
              </w:rPr>
            </w:pPr>
            <w:r>
              <w:rPr>
                <w:rFonts w:ascii="Arial" w:cs="Arial" w:eastAsia="Arial" w:hAnsi="Arial"/>
                <w:sz w:val="14"/>
                <w:szCs w:val="14"/>
                <w:color w:val="auto"/>
              </w:rPr>
              <w:t>(1)</w:t>
            </w: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6,047</w:t>
            </w:r>
          </w:p>
        </w:tc>
        <w:tc>
          <w:tcPr>
            <w:tcW w:w="12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560" w:type="dxa"/>
            <w:vAlign w:val="bottom"/>
          </w:tcPr>
          <w:p>
            <w:pPr>
              <w:jc w:val="right"/>
              <w:ind w:right="610"/>
              <w:spacing w:after="0"/>
              <w:rPr>
                <w:sz w:val="20"/>
                <w:szCs w:val="20"/>
                <w:color w:val="auto"/>
              </w:rPr>
            </w:pPr>
            <w:r>
              <w:rPr>
                <w:rFonts w:ascii="Arial" w:cs="Arial" w:eastAsia="Arial" w:hAnsi="Arial"/>
                <w:sz w:val="14"/>
                <w:szCs w:val="14"/>
                <w:color w:val="auto"/>
              </w:rPr>
              <w:t>—</w:t>
            </w:r>
          </w:p>
        </w:tc>
      </w:tr>
      <w:tr>
        <w:trPr>
          <w:trHeight w:val="162"/>
        </w:trPr>
        <w:tc>
          <w:tcPr>
            <w:tcW w:w="18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3/01/2017</w:t>
            </w: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80" w:type="dxa"/>
            <w:vAlign w:val="bottom"/>
          </w:tcPr>
          <w:p>
            <w:pPr>
              <w:jc w:val="center"/>
              <w:ind w:right="149"/>
              <w:spacing w:after="0"/>
              <w:rPr>
                <w:sz w:val="20"/>
                <w:szCs w:val="20"/>
                <w:color w:val="auto"/>
              </w:rPr>
            </w:pPr>
            <w:r>
              <w:rPr>
                <w:rFonts w:ascii="Arial" w:cs="Arial" w:eastAsia="Arial" w:hAnsi="Arial"/>
                <w:sz w:val="14"/>
                <w:szCs w:val="14"/>
                <w:color w:val="auto"/>
                <w:w w:val="99"/>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221</w:t>
            </w:r>
          </w:p>
        </w:tc>
        <w:tc>
          <w:tcPr>
            <w:tcW w:w="260" w:type="dxa"/>
            <w:vAlign w:val="bottom"/>
          </w:tcPr>
          <w:p>
            <w:pPr>
              <w:jc w:val="right"/>
              <w:spacing w:after="0"/>
              <w:rPr>
                <w:sz w:val="20"/>
                <w:szCs w:val="20"/>
                <w:color w:val="auto"/>
              </w:rPr>
            </w:pPr>
            <w:r>
              <w:rPr>
                <w:rFonts w:ascii="Arial" w:cs="Arial" w:eastAsia="Arial" w:hAnsi="Arial"/>
                <w:sz w:val="14"/>
                <w:szCs w:val="14"/>
                <w:color w:val="auto"/>
              </w:rPr>
              <w:t>(1)</w:t>
            </w:r>
          </w:p>
        </w:tc>
        <w:tc>
          <w:tcPr>
            <w:tcW w:w="940" w:type="dxa"/>
            <w:vAlign w:val="bottom"/>
          </w:tcPr>
          <w:p>
            <w:pPr>
              <w:ind w:left="420"/>
              <w:spacing w:after="0"/>
              <w:rPr>
                <w:sz w:val="20"/>
                <w:szCs w:val="20"/>
                <w:color w:val="auto"/>
              </w:rPr>
            </w:pPr>
            <w:r>
              <w:rPr>
                <w:rFonts w:ascii="Arial" w:cs="Arial" w:eastAsia="Arial" w:hAnsi="Arial"/>
                <w:sz w:val="14"/>
                <w:szCs w:val="14"/>
                <w:color w:val="auto"/>
              </w:rPr>
              <w:t>15,187</w:t>
            </w:r>
          </w:p>
        </w:tc>
        <w:tc>
          <w:tcPr>
            <w:tcW w:w="12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560" w:type="dxa"/>
            <w:vAlign w:val="bottom"/>
          </w:tcPr>
          <w:p>
            <w:pPr>
              <w:jc w:val="right"/>
              <w:ind w:right="610"/>
              <w:spacing w:after="0"/>
              <w:rPr>
                <w:sz w:val="20"/>
                <w:szCs w:val="20"/>
                <w:color w:val="auto"/>
              </w:rPr>
            </w:pPr>
            <w:r>
              <w:rPr>
                <w:rFonts w:ascii="Arial" w:cs="Arial" w:eastAsia="Arial" w:hAnsi="Arial"/>
                <w:sz w:val="14"/>
                <w:szCs w:val="14"/>
                <w:color w:val="auto"/>
              </w:rPr>
              <w:t>—</w:t>
            </w:r>
          </w:p>
        </w:tc>
      </w:tr>
      <w:tr>
        <w:trPr>
          <w:trHeight w:val="162"/>
        </w:trPr>
        <w:tc>
          <w:tcPr>
            <w:tcW w:w="18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3/15/2017</w:t>
            </w: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80" w:type="dxa"/>
            <w:vAlign w:val="bottom"/>
          </w:tcPr>
          <w:p>
            <w:pPr>
              <w:jc w:val="center"/>
              <w:ind w:right="149"/>
              <w:spacing w:after="0"/>
              <w:rPr>
                <w:sz w:val="20"/>
                <w:szCs w:val="20"/>
                <w:color w:val="auto"/>
              </w:rPr>
            </w:pPr>
            <w:r>
              <w:rPr>
                <w:rFonts w:ascii="Arial" w:cs="Arial" w:eastAsia="Arial" w:hAnsi="Arial"/>
                <w:sz w:val="14"/>
                <w:szCs w:val="14"/>
                <w:color w:val="auto"/>
                <w:w w:val="99"/>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795</w:t>
            </w:r>
          </w:p>
        </w:tc>
        <w:tc>
          <w:tcPr>
            <w:tcW w:w="260" w:type="dxa"/>
            <w:vAlign w:val="bottom"/>
          </w:tcPr>
          <w:p>
            <w:pPr>
              <w:jc w:val="right"/>
              <w:spacing w:after="0"/>
              <w:rPr>
                <w:sz w:val="20"/>
                <w:szCs w:val="20"/>
                <w:color w:val="auto"/>
              </w:rPr>
            </w:pPr>
            <w:r>
              <w:rPr>
                <w:rFonts w:ascii="Arial" w:cs="Arial" w:eastAsia="Arial" w:hAnsi="Arial"/>
                <w:sz w:val="14"/>
                <w:szCs w:val="14"/>
                <w:color w:val="auto"/>
              </w:rPr>
              <w:t>(2)</w:t>
            </w:r>
          </w:p>
        </w:tc>
        <w:tc>
          <w:tcPr>
            <w:tcW w:w="940" w:type="dxa"/>
            <w:vAlign w:val="bottom"/>
          </w:tcPr>
          <w:p>
            <w:pPr>
              <w:ind w:left="420"/>
              <w:spacing w:after="0"/>
              <w:rPr>
                <w:sz w:val="20"/>
                <w:szCs w:val="20"/>
                <w:color w:val="auto"/>
              </w:rPr>
            </w:pPr>
            <w:r>
              <w:rPr>
                <w:rFonts w:ascii="Arial" w:cs="Arial" w:eastAsia="Arial" w:hAnsi="Arial"/>
                <w:sz w:val="14"/>
                <w:szCs w:val="14"/>
                <w:color w:val="auto"/>
              </w:rPr>
              <w:t>54,632</w:t>
            </w:r>
          </w:p>
        </w:tc>
        <w:tc>
          <w:tcPr>
            <w:tcW w:w="12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560" w:type="dxa"/>
            <w:vAlign w:val="bottom"/>
          </w:tcPr>
          <w:p>
            <w:pPr>
              <w:jc w:val="right"/>
              <w:ind w:right="610"/>
              <w:spacing w:after="0"/>
              <w:rPr>
                <w:sz w:val="20"/>
                <w:szCs w:val="20"/>
                <w:color w:val="auto"/>
              </w:rPr>
            </w:pPr>
            <w:r>
              <w:rPr>
                <w:rFonts w:ascii="Arial" w:cs="Arial" w:eastAsia="Arial" w:hAnsi="Arial"/>
                <w:sz w:val="14"/>
                <w:szCs w:val="14"/>
                <w:color w:val="auto"/>
              </w:rPr>
              <w:t>—</w:t>
            </w:r>
          </w:p>
        </w:tc>
      </w:tr>
      <w:tr>
        <w:trPr>
          <w:trHeight w:val="162"/>
        </w:trPr>
        <w:tc>
          <w:tcPr>
            <w:tcW w:w="18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3/01/2018</w:t>
            </w: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80" w:type="dxa"/>
            <w:vAlign w:val="bottom"/>
          </w:tcPr>
          <w:p>
            <w:pPr>
              <w:jc w:val="center"/>
              <w:ind w:right="149"/>
              <w:spacing w:after="0"/>
              <w:rPr>
                <w:sz w:val="20"/>
                <w:szCs w:val="20"/>
                <w:color w:val="auto"/>
              </w:rPr>
            </w:pPr>
            <w:r>
              <w:rPr>
                <w:rFonts w:ascii="Arial" w:cs="Arial" w:eastAsia="Arial" w:hAnsi="Arial"/>
                <w:sz w:val="14"/>
                <w:szCs w:val="14"/>
                <w:color w:val="auto"/>
                <w:w w:val="99"/>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2,724</w:t>
            </w:r>
          </w:p>
        </w:tc>
        <w:tc>
          <w:tcPr>
            <w:tcW w:w="260" w:type="dxa"/>
            <w:vAlign w:val="bottom"/>
          </w:tcPr>
          <w:p>
            <w:pPr>
              <w:jc w:val="right"/>
              <w:spacing w:after="0"/>
              <w:rPr>
                <w:sz w:val="20"/>
                <w:szCs w:val="20"/>
                <w:color w:val="auto"/>
              </w:rPr>
            </w:pPr>
            <w:r>
              <w:rPr>
                <w:rFonts w:ascii="Arial" w:cs="Arial" w:eastAsia="Arial" w:hAnsi="Arial"/>
                <w:sz w:val="14"/>
                <w:szCs w:val="14"/>
                <w:color w:val="auto"/>
              </w:rPr>
              <w:t>(2)</w:t>
            </w: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187,193</w:t>
            </w:r>
          </w:p>
        </w:tc>
        <w:tc>
          <w:tcPr>
            <w:tcW w:w="12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560" w:type="dxa"/>
            <w:vAlign w:val="bottom"/>
          </w:tcPr>
          <w:p>
            <w:pPr>
              <w:jc w:val="right"/>
              <w:ind w:right="610"/>
              <w:spacing w:after="0"/>
              <w:rPr>
                <w:sz w:val="20"/>
                <w:szCs w:val="20"/>
                <w:color w:val="auto"/>
              </w:rPr>
            </w:pPr>
            <w:r>
              <w:rPr>
                <w:rFonts w:ascii="Arial" w:cs="Arial" w:eastAsia="Arial" w:hAnsi="Arial"/>
                <w:sz w:val="14"/>
                <w:szCs w:val="14"/>
                <w:color w:val="auto"/>
              </w:rPr>
              <w:t>—</w:t>
            </w:r>
          </w:p>
        </w:tc>
      </w:tr>
      <w:tr>
        <w:trPr>
          <w:trHeight w:val="162"/>
        </w:trPr>
        <w:tc>
          <w:tcPr>
            <w:tcW w:w="18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3/01/2018</w:t>
            </w: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80" w:type="dxa"/>
            <w:vAlign w:val="bottom"/>
          </w:tcPr>
          <w:p>
            <w:pPr>
              <w:jc w:val="center"/>
              <w:ind w:right="149"/>
              <w:spacing w:after="0"/>
              <w:rPr>
                <w:sz w:val="20"/>
                <w:szCs w:val="20"/>
                <w:color w:val="auto"/>
              </w:rPr>
            </w:pPr>
            <w:r>
              <w:rPr>
                <w:rFonts w:ascii="Arial" w:cs="Arial" w:eastAsia="Arial" w:hAnsi="Arial"/>
                <w:sz w:val="14"/>
                <w:szCs w:val="14"/>
                <w:color w:val="auto"/>
                <w:w w:val="99"/>
              </w:rPr>
              <w:t>—</w:t>
            </w:r>
          </w:p>
        </w:tc>
        <w:tc>
          <w:tcPr>
            <w:tcW w:w="600" w:type="dxa"/>
            <w:vAlign w:val="bottom"/>
          </w:tcPr>
          <w:p>
            <w:pPr>
              <w:jc w:val="center"/>
              <w:ind w:left="189"/>
              <w:spacing w:after="0"/>
              <w:rPr>
                <w:sz w:val="20"/>
                <w:szCs w:val="20"/>
                <w:color w:val="auto"/>
              </w:rPr>
            </w:pPr>
            <w:r>
              <w:rPr>
                <w:rFonts w:ascii="Arial" w:cs="Arial" w:eastAsia="Arial" w:hAnsi="Arial"/>
                <w:sz w:val="14"/>
                <w:szCs w:val="14"/>
                <w:color w:val="auto"/>
                <w:w w:val="99"/>
              </w:rPr>
              <w:t>—</w:t>
            </w:r>
          </w:p>
        </w:tc>
        <w:tc>
          <w:tcPr>
            <w:tcW w:w="260" w:type="dxa"/>
            <w:vAlign w:val="bottom"/>
          </w:tcPr>
          <w:p>
            <w:pPr>
              <w:spacing w:after="0"/>
              <w:rPr>
                <w:sz w:val="14"/>
                <w:szCs w:val="14"/>
                <w:color w:val="auto"/>
              </w:rPr>
            </w:pPr>
          </w:p>
        </w:tc>
        <w:tc>
          <w:tcPr>
            <w:tcW w:w="940" w:type="dxa"/>
            <w:vAlign w:val="bottom"/>
          </w:tcPr>
          <w:p>
            <w:pPr>
              <w:ind w:left="42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10"/>
              <w:spacing w:after="0"/>
              <w:rPr>
                <w:sz w:val="20"/>
                <w:szCs w:val="20"/>
                <w:color w:val="auto"/>
              </w:rPr>
            </w:pPr>
            <w:r>
              <w:rPr>
                <w:rFonts w:ascii="Arial" w:cs="Arial" w:eastAsia="Arial" w:hAnsi="Arial"/>
                <w:sz w:val="14"/>
                <w:szCs w:val="14"/>
                <w:color w:val="auto"/>
              </w:rPr>
              <w:t>9,532 (4)</w:t>
            </w:r>
          </w:p>
        </w:tc>
        <w:tc>
          <w:tcPr>
            <w:tcW w:w="1560" w:type="dxa"/>
            <w:vAlign w:val="bottom"/>
          </w:tcPr>
          <w:p>
            <w:pPr>
              <w:jc w:val="right"/>
              <w:ind w:right="10"/>
              <w:spacing w:after="0"/>
              <w:rPr>
                <w:sz w:val="20"/>
                <w:szCs w:val="20"/>
                <w:color w:val="auto"/>
              </w:rPr>
            </w:pPr>
            <w:r>
              <w:rPr>
                <w:rFonts w:ascii="Arial" w:cs="Arial" w:eastAsia="Arial" w:hAnsi="Arial"/>
                <w:sz w:val="14"/>
                <w:szCs w:val="14"/>
                <w:color w:val="auto"/>
              </w:rPr>
              <w:t>655,039</w:t>
            </w:r>
          </w:p>
        </w:tc>
      </w:tr>
      <w:tr>
        <w:trPr>
          <w:trHeight w:val="162"/>
        </w:trPr>
        <w:tc>
          <w:tcPr>
            <w:tcW w:w="18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3/01/2019</w:t>
            </w: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80" w:type="dxa"/>
            <w:vAlign w:val="bottom"/>
          </w:tcPr>
          <w:p>
            <w:pPr>
              <w:jc w:val="center"/>
              <w:ind w:right="149"/>
              <w:spacing w:after="0"/>
              <w:rPr>
                <w:sz w:val="20"/>
                <w:szCs w:val="20"/>
                <w:color w:val="auto"/>
              </w:rPr>
            </w:pPr>
            <w:r>
              <w:rPr>
                <w:rFonts w:ascii="Arial" w:cs="Arial" w:eastAsia="Arial" w:hAnsi="Arial"/>
                <w:sz w:val="14"/>
                <w:szCs w:val="14"/>
                <w:color w:val="auto"/>
                <w:w w:val="99"/>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4,319</w:t>
            </w:r>
          </w:p>
        </w:tc>
        <w:tc>
          <w:tcPr>
            <w:tcW w:w="260" w:type="dxa"/>
            <w:vAlign w:val="bottom"/>
          </w:tcPr>
          <w:p>
            <w:pPr>
              <w:jc w:val="right"/>
              <w:spacing w:after="0"/>
              <w:rPr>
                <w:sz w:val="20"/>
                <w:szCs w:val="20"/>
                <w:color w:val="auto"/>
              </w:rPr>
            </w:pPr>
            <w:r>
              <w:rPr>
                <w:rFonts w:ascii="Arial" w:cs="Arial" w:eastAsia="Arial" w:hAnsi="Arial"/>
                <w:sz w:val="14"/>
                <w:szCs w:val="14"/>
                <w:color w:val="auto"/>
              </w:rPr>
              <w:t>(2)</w:t>
            </w: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296,802</w:t>
            </w:r>
          </w:p>
        </w:tc>
        <w:tc>
          <w:tcPr>
            <w:tcW w:w="12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560" w:type="dxa"/>
            <w:vAlign w:val="bottom"/>
          </w:tcPr>
          <w:p>
            <w:pPr>
              <w:jc w:val="right"/>
              <w:ind w:right="610"/>
              <w:spacing w:after="0"/>
              <w:rPr>
                <w:sz w:val="20"/>
                <w:szCs w:val="20"/>
                <w:color w:val="auto"/>
              </w:rPr>
            </w:pPr>
            <w:r>
              <w:rPr>
                <w:rFonts w:ascii="Arial" w:cs="Arial" w:eastAsia="Arial" w:hAnsi="Arial"/>
                <w:sz w:val="14"/>
                <w:szCs w:val="14"/>
                <w:color w:val="auto"/>
              </w:rPr>
              <w:t>—</w:t>
            </w:r>
          </w:p>
        </w:tc>
      </w:tr>
      <w:tr>
        <w:trPr>
          <w:trHeight w:val="157"/>
        </w:trPr>
        <w:tc>
          <w:tcPr>
            <w:tcW w:w="1860" w:type="dxa"/>
            <w:vAlign w:val="bottom"/>
            <w:tcBorders>
              <w:bottom w:val="single" w:sz="8" w:color="999999"/>
            </w:tcBorders>
          </w:tcPr>
          <w:p>
            <w:pPr>
              <w:spacing w:after="0"/>
              <w:rPr>
                <w:sz w:val="13"/>
                <w:szCs w:val="13"/>
                <w:color w:val="auto"/>
              </w:rPr>
            </w:pPr>
          </w:p>
        </w:tc>
        <w:tc>
          <w:tcPr>
            <w:tcW w:w="840" w:type="dxa"/>
            <w:vAlign w:val="bottom"/>
            <w:tcBorders>
              <w:bottom w:val="single" w:sz="8" w:color="999999"/>
            </w:tcBorders>
          </w:tcPr>
          <w:p>
            <w:pPr>
              <w:jc w:val="center"/>
              <w:spacing w:after="0" w:line="157" w:lineRule="exact"/>
              <w:rPr>
                <w:sz w:val="20"/>
                <w:szCs w:val="20"/>
                <w:color w:val="auto"/>
              </w:rPr>
            </w:pPr>
            <w:r>
              <w:rPr>
                <w:rFonts w:ascii="Arial" w:cs="Arial" w:eastAsia="Arial" w:hAnsi="Arial"/>
                <w:sz w:val="14"/>
                <w:szCs w:val="14"/>
                <w:color w:val="auto"/>
              </w:rPr>
              <w:t>3/01/2019</w:t>
            </w:r>
          </w:p>
        </w:tc>
        <w:tc>
          <w:tcPr>
            <w:tcW w:w="920" w:type="dxa"/>
            <w:vAlign w:val="bottom"/>
            <w:tcBorders>
              <w:bottom w:val="single" w:sz="8" w:color="999999"/>
            </w:tcBorders>
          </w:tcPr>
          <w:p>
            <w:pPr>
              <w:jc w:val="center"/>
              <w:spacing w:after="0" w:line="157" w:lineRule="exact"/>
              <w:rPr>
                <w:sz w:val="20"/>
                <w:szCs w:val="20"/>
                <w:color w:val="auto"/>
              </w:rPr>
            </w:pPr>
            <w:r>
              <w:rPr>
                <w:rFonts w:ascii="Arial" w:cs="Arial" w:eastAsia="Arial" w:hAnsi="Arial"/>
                <w:sz w:val="14"/>
                <w:szCs w:val="14"/>
                <w:color w:val="auto"/>
                <w:w w:val="99"/>
              </w:rPr>
              <w:t>—</w:t>
            </w:r>
          </w:p>
        </w:tc>
        <w:tc>
          <w:tcPr>
            <w:tcW w:w="1020" w:type="dxa"/>
            <w:vAlign w:val="bottom"/>
            <w:tcBorders>
              <w:bottom w:val="single" w:sz="8" w:color="999999"/>
            </w:tcBorders>
          </w:tcPr>
          <w:p>
            <w:pPr>
              <w:jc w:val="center"/>
              <w:spacing w:after="0" w:line="157" w:lineRule="exact"/>
              <w:rPr>
                <w:sz w:val="20"/>
                <w:szCs w:val="20"/>
                <w:color w:val="auto"/>
              </w:rPr>
            </w:pPr>
            <w:r>
              <w:rPr>
                <w:rFonts w:ascii="Arial" w:cs="Arial" w:eastAsia="Arial" w:hAnsi="Arial"/>
                <w:sz w:val="14"/>
                <w:szCs w:val="14"/>
                <w:color w:val="auto"/>
                <w:w w:val="99"/>
              </w:rPr>
              <w:t>—</w:t>
            </w:r>
          </w:p>
        </w:tc>
        <w:tc>
          <w:tcPr>
            <w:tcW w:w="660" w:type="dxa"/>
            <w:vAlign w:val="bottom"/>
            <w:tcBorders>
              <w:bottom w:val="single" w:sz="8" w:color="999999"/>
            </w:tcBorders>
          </w:tcPr>
          <w:p>
            <w:pPr>
              <w:jc w:val="center"/>
              <w:spacing w:after="0" w:line="157" w:lineRule="exact"/>
              <w:rPr>
                <w:sz w:val="20"/>
                <w:szCs w:val="20"/>
                <w:color w:val="auto"/>
              </w:rPr>
            </w:pPr>
            <w:r>
              <w:rPr>
                <w:rFonts w:ascii="Arial" w:cs="Arial" w:eastAsia="Arial" w:hAnsi="Arial"/>
                <w:sz w:val="14"/>
                <w:szCs w:val="14"/>
                <w:color w:val="auto"/>
                <w:w w:val="99"/>
              </w:rPr>
              <w:t>—</w:t>
            </w:r>
          </w:p>
        </w:tc>
        <w:tc>
          <w:tcPr>
            <w:tcW w:w="1080" w:type="dxa"/>
            <w:vAlign w:val="bottom"/>
            <w:tcBorders>
              <w:bottom w:val="single" w:sz="8" w:color="999999"/>
            </w:tcBorders>
          </w:tcPr>
          <w:p>
            <w:pPr>
              <w:jc w:val="center"/>
              <w:ind w:right="149"/>
              <w:spacing w:after="0" w:line="157" w:lineRule="exact"/>
              <w:rPr>
                <w:sz w:val="20"/>
                <w:szCs w:val="20"/>
                <w:color w:val="auto"/>
              </w:rPr>
            </w:pPr>
            <w:r>
              <w:rPr>
                <w:rFonts w:ascii="Arial" w:cs="Arial" w:eastAsia="Arial" w:hAnsi="Arial"/>
                <w:sz w:val="14"/>
                <w:szCs w:val="14"/>
                <w:color w:val="auto"/>
                <w:w w:val="99"/>
              </w:rPr>
              <w:t>—</w:t>
            </w:r>
          </w:p>
        </w:tc>
        <w:tc>
          <w:tcPr>
            <w:tcW w:w="600" w:type="dxa"/>
            <w:vAlign w:val="bottom"/>
            <w:tcBorders>
              <w:bottom w:val="single" w:sz="8" w:color="999999"/>
            </w:tcBorders>
          </w:tcPr>
          <w:p>
            <w:pPr>
              <w:jc w:val="center"/>
              <w:ind w:left="189"/>
              <w:spacing w:after="0" w:line="157" w:lineRule="exact"/>
              <w:rPr>
                <w:sz w:val="20"/>
                <w:szCs w:val="20"/>
                <w:color w:val="auto"/>
              </w:rPr>
            </w:pPr>
            <w:r>
              <w:rPr>
                <w:rFonts w:ascii="Arial" w:cs="Arial" w:eastAsia="Arial" w:hAnsi="Arial"/>
                <w:sz w:val="14"/>
                <w:szCs w:val="14"/>
                <w:color w:val="auto"/>
                <w:w w:val="99"/>
              </w:rPr>
              <w:t>—</w:t>
            </w:r>
          </w:p>
        </w:tc>
        <w:tc>
          <w:tcPr>
            <w:tcW w:w="260" w:type="dxa"/>
            <w:vAlign w:val="bottom"/>
            <w:tcBorders>
              <w:bottom w:val="single" w:sz="8" w:color="999999"/>
            </w:tcBorders>
          </w:tcPr>
          <w:p>
            <w:pPr>
              <w:spacing w:after="0"/>
              <w:rPr>
                <w:sz w:val="13"/>
                <w:szCs w:val="13"/>
                <w:color w:val="auto"/>
              </w:rPr>
            </w:pPr>
          </w:p>
        </w:tc>
        <w:tc>
          <w:tcPr>
            <w:tcW w:w="940" w:type="dxa"/>
            <w:vAlign w:val="bottom"/>
            <w:tcBorders>
              <w:bottom w:val="single" w:sz="8" w:color="999999"/>
            </w:tcBorders>
          </w:tcPr>
          <w:p>
            <w:pPr>
              <w:ind w:left="420"/>
              <w:spacing w:after="0" w:line="157" w:lineRule="exact"/>
              <w:rPr>
                <w:sz w:val="20"/>
                <w:szCs w:val="20"/>
                <w:color w:val="auto"/>
              </w:rPr>
            </w:pPr>
            <w:r>
              <w:rPr>
                <w:rFonts w:ascii="Arial" w:cs="Arial" w:eastAsia="Arial" w:hAnsi="Arial"/>
                <w:sz w:val="14"/>
                <w:szCs w:val="14"/>
                <w:color w:val="auto"/>
              </w:rPr>
              <w:t>—</w:t>
            </w:r>
          </w:p>
        </w:tc>
        <w:tc>
          <w:tcPr>
            <w:tcW w:w="1280" w:type="dxa"/>
            <w:vAlign w:val="bottom"/>
            <w:tcBorders>
              <w:bottom w:val="single" w:sz="8" w:color="999999"/>
            </w:tcBorders>
          </w:tcPr>
          <w:p>
            <w:pPr>
              <w:jc w:val="right"/>
              <w:ind w:right="10"/>
              <w:spacing w:after="0" w:line="157" w:lineRule="exact"/>
              <w:rPr>
                <w:sz w:val="20"/>
                <w:szCs w:val="20"/>
                <w:color w:val="auto"/>
              </w:rPr>
            </w:pPr>
            <w:r>
              <w:rPr>
                <w:rFonts w:ascii="Arial" w:cs="Arial" w:eastAsia="Arial" w:hAnsi="Arial"/>
                <w:sz w:val="14"/>
                <w:szCs w:val="14"/>
                <w:color w:val="auto"/>
              </w:rPr>
              <w:t>10,077 (5)</w:t>
            </w:r>
          </w:p>
        </w:tc>
        <w:tc>
          <w:tcPr>
            <w:tcW w:w="1560" w:type="dxa"/>
            <w:vAlign w:val="bottom"/>
            <w:tcBorders>
              <w:bottom w:val="single" w:sz="8" w:color="999999"/>
            </w:tcBorders>
          </w:tcPr>
          <w:p>
            <w:pPr>
              <w:jc w:val="right"/>
              <w:ind w:right="10"/>
              <w:spacing w:after="0" w:line="157" w:lineRule="exact"/>
              <w:rPr>
                <w:sz w:val="20"/>
                <w:szCs w:val="20"/>
                <w:color w:val="auto"/>
              </w:rPr>
            </w:pPr>
            <w:r>
              <w:rPr>
                <w:rFonts w:ascii="Arial" w:cs="Arial" w:eastAsia="Arial" w:hAnsi="Arial"/>
                <w:sz w:val="14"/>
                <w:szCs w:val="14"/>
                <w:color w:val="auto"/>
              </w:rPr>
              <w:t>692,491</w:t>
            </w:r>
          </w:p>
        </w:tc>
      </w:tr>
      <w:tr>
        <w:trPr>
          <w:trHeight w:val="160"/>
        </w:trPr>
        <w:tc>
          <w:tcPr>
            <w:tcW w:w="1860" w:type="dxa"/>
            <w:vAlign w:val="bottom"/>
          </w:tcPr>
          <w:p>
            <w:pPr>
              <w:spacing w:after="0"/>
              <w:rPr>
                <w:sz w:val="20"/>
                <w:szCs w:val="20"/>
                <w:color w:val="auto"/>
              </w:rPr>
            </w:pPr>
            <w:r>
              <w:rPr>
                <w:rFonts w:ascii="Arial" w:cs="Arial" w:eastAsia="Arial" w:hAnsi="Arial"/>
                <w:sz w:val="14"/>
                <w:szCs w:val="14"/>
                <w:color w:val="auto"/>
              </w:rPr>
              <w:t>Diane E. Ratekin</w:t>
            </w:r>
          </w:p>
        </w:tc>
        <w:tc>
          <w:tcPr>
            <w:tcW w:w="840" w:type="dxa"/>
            <w:vAlign w:val="bottom"/>
          </w:tcPr>
          <w:p>
            <w:pPr>
              <w:jc w:val="center"/>
              <w:spacing w:after="0"/>
              <w:rPr>
                <w:sz w:val="20"/>
                <w:szCs w:val="20"/>
                <w:color w:val="auto"/>
              </w:rPr>
            </w:pPr>
            <w:r>
              <w:rPr>
                <w:rFonts w:ascii="Arial" w:cs="Arial" w:eastAsia="Arial" w:hAnsi="Arial"/>
                <w:sz w:val="14"/>
                <w:szCs w:val="14"/>
                <w:color w:val="auto"/>
              </w:rPr>
              <w:t>3/01/2016</w:t>
            </w: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80" w:type="dxa"/>
            <w:vAlign w:val="bottom"/>
          </w:tcPr>
          <w:p>
            <w:pPr>
              <w:jc w:val="center"/>
              <w:ind w:right="149"/>
              <w:spacing w:after="0"/>
              <w:rPr>
                <w:sz w:val="20"/>
                <w:szCs w:val="20"/>
                <w:color w:val="auto"/>
              </w:rPr>
            </w:pPr>
            <w:r>
              <w:rPr>
                <w:rFonts w:ascii="Arial" w:cs="Arial" w:eastAsia="Arial" w:hAnsi="Arial"/>
                <w:sz w:val="14"/>
                <w:szCs w:val="14"/>
                <w:color w:val="auto"/>
                <w:w w:val="99"/>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541</w:t>
            </w:r>
          </w:p>
        </w:tc>
        <w:tc>
          <w:tcPr>
            <w:tcW w:w="260" w:type="dxa"/>
            <w:vAlign w:val="bottom"/>
          </w:tcPr>
          <w:p>
            <w:pPr>
              <w:jc w:val="right"/>
              <w:spacing w:after="0"/>
              <w:rPr>
                <w:sz w:val="20"/>
                <w:szCs w:val="20"/>
                <w:color w:val="auto"/>
              </w:rPr>
            </w:pPr>
            <w:r>
              <w:rPr>
                <w:rFonts w:ascii="Arial" w:cs="Arial" w:eastAsia="Arial" w:hAnsi="Arial"/>
                <w:sz w:val="14"/>
                <w:szCs w:val="14"/>
                <w:color w:val="auto"/>
              </w:rPr>
              <w:t>(1)</w:t>
            </w:r>
          </w:p>
        </w:tc>
        <w:tc>
          <w:tcPr>
            <w:tcW w:w="940" w:type="dxa"/>
            <w:vAlign w:val="bottom"/>
          </w:tcPr>
          <w:p>
            <w:pPr>
              <w:ind w:left="420"/>
              <w:spacing w:after="0"/>
              <w:rPr>
                <w:sz w:val="20"/>
                <w:szCs w:val="20"/>
                <w:color w:val="auto"/>
              </w:rPr>
            </w:pPr>
            <w:r>
              <w:rPr>
                <w:rFonts w:ascii="Arial" w:cs="Arial" w:eastAsia="Arial" w:hAnsi="Arial"/>
                <w:sz w:val="14"/>
                <w:szCs w:val="14"/>
                <w:color w:val="auto"/>
              </w:rPr>
              <w:t>37,178</w:t>
            </w:r>
          </w:p>
        </w:tc>
        <w:tc>
          <w:tcPr>
            <w:tcW w:w="12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560" w:type="dxa"/>
            <w:vAlign w:val="bottom"/>
          </w:tcPr>
          <w:p>
            <w:pPr>
              <w:jc w:val="right"/>
              <w:ind w:right="610"/>
              <w:spacing w:after="0"/>
              <w:rPr>
                <w:sz w:val="20"/>
                <w:szCs w:val="20"/>
                <w:color w:val="auto"/>
              </w:rPr>
            </w:pPr>
            <w:r>
              <w:rPr>
                <w:rFonts w:ascii="Arial" w:cs="Arial" w:eastAsia="Arial" w:hAnsi="Arial"/>
                <w:sz w:val="14"/>
                <w:szCs w:val="14"/>
                <w:color w:val="auto"/>
              </w:rPr>
              <w:t>—</w:t>
            </w:r>
          </w:p>
        </w:tc>
      </w:tr>
      <w:tr>
        <w:trPr>
          <w:trHeight w:val="162"/>
        </w:trPr>
        <w:tc>
          <w:tcPr>
            <w:tcW w:w="18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3/15/2017</w:t>
            </w: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80" w:type="dxa"/>
            <w:vAlign w:val="bottom"/>
          </w:tcPr>
          <w:p>
            <w:pPr>
              <w:jc w:val="center"/>
              <w:ind w:right="149"/>
              <w:spacing w:after="0"/>
              <w:rPr>
                <w:sz w:val="20"/>
                <w:szCs w:val="20"/>
                <w:color w:val="auto"/>
              </w:rPr>
            </w:pPr>
            <w:r>
              <w:rPr>
                <w:rFonts w:ascii="Arial" w:cs="Arial" w:eastAsia="Arial" w:hAnsi="Arial"/>
                <w:sz w:val="14"/>
                <w:szCs w:val="14"/>
                <w:color w:val="auto"/>
                <w:w w:val="99"/>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1,125</w:t>
            </w:r>
          </w:p>
        </w:tc>
        <w:tc>
          <w:tcPr>
            <w:tcW w:w="260" w:type="dxa"/>
            <w:vAlign w:val="bottom"/>
          </w:tcPr>
          <w:p>
            <w:pPr>
              <w:jc w:val="right"/>
              <w:spacing w:after="0"/>
              <w:rPr>
                <w:sz w:val="20"/>
                <w:szCs w:val="20"/>
                <w:color w:val="auto"/>
              </w:rPr>
            </w:pPr>
            <w:r>
              <w:rPr>
                <w:rFonts w:ascii="Arial" w:cs="Arial" w:eastAsia="Arial" w:hAnsi="Arial"/>
                <w:sz w:val="14"/>
                <w:szCs w:val="14"/>
                <w:color w:val="auto"/>
              </w:rPr>
              <w:t>(2)</w:t>
            </w:r>
          </w:p>
        </w:tc>
        <w:tc>
          <w:tcPr>
            <w:tcW w:w="940" w:type="dxa"/>
            <w:vAlign w:val="bottom"/>
          </w:tcPr>
          <w:p>
            <w:pPr>
              <w:ind w:left="420"/>
              <w:spacing w:after="0"/>
              <w:rPr>
                <w:sz w:val="20"/>
                <w:szCs w:val="20"/>
                <w:color w:val="auto"/>
              </w:rPr>
            </w:pPr>
            <w:r>
              <w:rPr>
                <w:rFonts w:ascii="Arial" w:cs="Arial" w:eastAsia="Arial" w:hAnsi="Arial"/>
                <w:sz w:val="14"/>
                <w:szCs w:val="14"/>
                <w:color w:val="auto"/>
              </w:rPr>
              <w:t>77,310</w:t>
            </w:r>
          </w:p>
        </w:tc>
        <w:tc>
          <w:tcPr>
            <w:tcW w:w="12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560" w:type="dxa"/>
            <w:vAlign w:val="bottom"/>
          </w:tcPr>
          <w:p>
            <w:pPr>
              <w:jc w:val="right"/>
              <w:ind w:right="610"/>
              <w:spacing w:after="0"/>
              <w:rPr>
                <w:sz w:val="20"/>
                <w:szCs w:val="20"/>
                <w:color w:val="auto"/>
              </w:rPr>
            </w:pPr>
            <w:r>
              <w:rPr>
                <w:rFonts w:ascii="Arial" w:cs="Arial" w:eastAsia="Arial" w:hAnsi="Arial"/>
                <w:sz w:val="14"/>
                <w:szCs w:val="14"/>
                <w:color w:val="auto"/>
              </w:rPr>
              <w:t>—</w:t>
            </w:r>
          </w:p>
        </w:tc>
      </w:tr>
      <w:tr>
        <w:trPr>
          <w:trHeight w:val="162"/>
        </w:trPr>
        <w:tc>
          <w:tcPr>
            <w:tcW w:w="18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3/01/2018</w:t>
            </w: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80" w:type="dxa"/>
            <w:vAlign w:val="bottom"/>
          </w:tcPr>
          <w:p>
            <w:pPr>
              <w:jc w:val="center"/>
              <w:ind w:right="149"/>
              <w:spacing w:after="0"/>
              <w:rPr>
                <w:sz w:val="20"/>
                <w:szCs w:val="20"/>
                <w:color w:val="auto"/>
              </w:rPr>
            </w:pPr>
            <w:r>
              <w:rPr>
                <w:rFonts w:ascii="Arial" w:cs="Arial" w:eastAsia="Arial" w:hAnsi="Arial"/>
                <w:sz w:val="14"/>
                <w:szCs w:val="14"/>
                <w:color w:val="auto"/>
                <w:w w:val="99"/>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2,610</w:t>
            </w:r>
          </w:p>
        </w:tc>
        <w:tc>
          <w:tcPr>
            <w:tcW w:w="260" w:type="dxa"/>
            <w:vAlign w:val="bottom"/>
          </w:tcPr>
          <w:p>
            <w:pPr>
              <w:jc w:val="right"/>
              <w:spacing w:after="0"/>
              <w:rPr>
                <w:sz w:val="20"/>
                <w:szCs w:val="20"/>
                <w:color w:val="auto"/>
              </w:rPr>
            </w:pPr>
            <w:r>
              <w:rPr>
                <w:rFonts w:ascii="Arial" w:cs="Arial" w:eastAsia="Arial" w:hAnsi="Arial"/>
                <w:sz w:val="14"/>
                <w:szCs w:val="14"/>
                <w:color w:val="auto"/>
              </w:rPr>
              <w:t>(2)</w:t>
            </w: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179,359</w:t>
            </w:r>
          </w:p>
        </w:tc>
        <w:tc>
          <w:tcPr>
            <w:tcW w:w="12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560" w:type="dxa"/>
            <w:vAlign w:val="bottom"/>
          </w:tcPr>
          <w:p>
            <w:pPr>
              <w:jc w:val="right"/>
              <w:ind w:right="610"/>
              <w:spacing w:after="0"/>
              <w:rPr>
                <w:sz w:val="20"/>
                <w:szCs w:val="20"/>
                <w:color w:val="auto"/>
              </w:rPr>
            </w:pPr>
            <w:r>
              <w:rPr>
                <w:rFonts w:ascii="Arial" w:cs="Arial" w:eastAsia="Arial" w:hAnsi="Arial"/>
                <w:sz w:val="14"/>
                <w:szCs w:val="14"/>
                <w:color w:val="auto"/>
              </w:rPr>
              <w:t>—</w:t>
            </w:r>
          </w:p>
        </w:tc>
      </w:tr>
      <w:tr>
        <w:trPr>
          <w:trHeight w:val="162"/>
        </w:trPr>
        <w:tc>
          <w:tcPr>
            <w:tcW w:w="18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3/01/2018</w:t>
            </w: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80" w:type="dxa"/>
            <w:vAlign w:val="bottom"/>
          </w:tcPr>
          <w:p>
            <w:pPr>
              <w:jc w:val="center"/>
              <w:ind w:right="149"/>
              <w:spacing w:after="0"/>
              <w:rPr>
                <w:sz w:val="20"/>
                <w:szCs w:val="20"/>
                <w:color w:val="auto"/>
              </w:rPr>
            </w:pPr>
            <w:r>
              <w:rPr>
                <w:rFonts w:ascii="Arial" w:cs="Arial" w:eastAsia="Arial" w:hAnsi="Arial"/>
                <w:sz w:val="14"/>
                <w:szCs w:val="14"/>
                <w:color w:val="auto"/>
                <w:w w:val="99"/>
              </w:rPr>
              <w:t>—</w:t>
            </w:r>
          </w:p>
        </w:tc>
        <w:tc>
          <w:tcPr>
            <w:tcW w:w="600" w:type="dxa"/>
            <w:vAlign w:val="bottom"/>
          </w:tcPr>
          <w:p>
            <w:pPr>
              <w:jc w:val="center"/>
              <w:ind w:left="189"/>
              <w:spacing w:after="0"/>
              <w:rPr>
                <w:sz w:val="20"/>
                <w:szCs w:val="20"/>
                <w:color w:val="auto"/>
              </w:rPr>
            </w:pPr>
            <w:r>
              <w:rPr>
                <w:rFonts w:ascii="Arial" w:cs="Arial" w:eastAsia="Arial" w:hAnsi="Arial"/>
                <w:sz w:val="14"/>
                <w:szCs w:val="14"/>
                <w:color w:val="auto"/>
                <w:w w:val="99"/>
              </w:rPr>
              <w:t>—</w:t>
            </w:r>
          </w:p>
        </w:tc>
        <w:tc>
          <w:tcPr>
            <w:tcW w:w="260" w:type="dxa"/>
            <w:vAlign w:val="bottom"/>
          </w:tcPr>
          <w:p>
            <w:pPr>
              <w:spacing w:after="0"/>
              <w:rPr>
                <w:sz w:val="14"/>
                <w:szCs w:val="14"/>
                <w:color w:val="auto"/>
              </w:rPr>
            </w:pPr>
          </w:p>
        </w:tc>
        <w:tc>
          <w:tcPr>
            <w:tcW w:w="940" w:type="dxa"/>
            <w:vAlign w:val="bottom"/>
          </w:tcPr>
          <w:p>
            <w:pPr>
              <w:ind w:left="42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10"/>
              <w:spacing w:after="0"/>
              <w:rPr>
                <w:sz w:val="20"/>
                <w:szCs w:val="20"/>
                <w:color w:val="auto"/>
              </w:rPr>
            </w:pPr>
            <w:r>
              <w:rPr>
                <w:rFonts w:ascii="Arial" w:cs="Arial" w:eastAsia="Arial" w:hAnsi="Arial"/>
                <w:sz w:val="14"/>
                <w:szCs w:val="14"/>
                <w:color w:val="auto"/>
              </w:rPr>
              <w:t>9,135 (4)</w:t>
            </w:r>
          </w:p>
        </w:tc>
        <w:tc>
          <w:tcPr>
            <w:tcW w:w="1560" w:type="dxa"/>
            <w:vAlign w:val="bottom"/>
          </w:tcPr>
          <w:p>
            <w:pPr>
              <w:jc w:val="right"/>
              <w:ind w:right="10"/>
              <w:spacing w:after="0"/>
              <w:rPr>
                <w:sz w:val="20"/>
                <w:szCs w:val="20"/>
                <w:color w:val="auto"/>
              </w:rPr>
            </w:pPr>
            <w:r>
              <w:rPr>
                <w:rFonts w:ascii="Arial" w:cs="Arial" w:eastAsia="Arial" w:hAnsi="Arial"/>
                <w:sz w:val="14"/>
                <w:szCs w:val="14"/>
                <w:color w:val="auto"/>
              </w:rPr>
              <w:t>627,757</w:t>
            </w:r>
          </w:p>
        </w:tc>
      </w:tr>
      <w:tr>
        <w:trPr>
          <w:trHeight w:val="162"/>
        </w:trPr>
        <w:tc>
          <w:tcPr>
            <w:tcW w:w="18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3/01/2019</w:t>
            </w: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80" w:type="dxa"/>
            <w:vAlign w:val="bottom"/>
          </w:tcPr>
          <w:p>
            <w:pPr>
              <w:jc w:val="center"/>
              <w:ind w:right="149"/>
              <w:spacing w:after="0"/>
              <w:rPr>
                <w:sz w:val="20"/>
                <w:szCs w:val="20"/>
                <w:color w:val="auto"/>
              </w:rPr>
            </w:pPr>
            <w:r>
              <w:rPr>
                <w:rFonts w:ascii="Arial" w:cs="Arial" w:eastAsia="Arial" w:hAnsi="Arial"/>
                <w:sz w:val="14"/>
                <w:szCs w:val="14"/>
                <w:color w:val="auto"/>
                <w:w w:val="99"/>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2,879</w:t>
            </w:r>
          </w:p>
        </w:tc>
        <w:tc>
          <w:tcPr>
            <w:tcW w:w="260" w:type="dxa"/>
            <w:vAlign w:val="bottom"/>
          </w:tcPr>
          <w:p>
            <w:pPr>
              <w:jc w:val="right"/>
              <w:spacing w:after="0"/>
              <w:rPr>
                <w:sz w:val="20"/>
                <w:szCs w:val="20"/>
                <w:color w:val="auto"/>
              </w:rPr>
            </w:pPr>
            <w:r>
              <w:rPr>
                <w:rFonts w:ascii="Arial" w:cs="Arial" w:eastAsia="Arial" w:hAnsi="Arial"/>
                <w:sz w:val="14"/>
                <w:szCs w:val="14"/>
                <w:color w:val="auto"/>
              </w:rPr>
              <w:t>(2)</w:t>
            </w: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197,845</w:t>
            </w:r>
          </w:p>
        </w:tc>
        <w:tc>
          <w:tcPr>
            <w:tcW w:w="12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560" w:type="dxa"/>
            <w:vAlign w:val="bottom"/>
          </w:tcPr>
          <w:p>
            <w:pPr>
              <w:jc w:val="right"/>
              <w:ind w:right="610"/>
              <w:spacing w:after="0"/>
              <w:rPr>
                <w:sz w:val="20"/>
                <w:szCs w:val="20"/>
                <w:color w:val="auto"/>
              </w:rPr>
            </w:pPr>
            <w:r>
              <w:rPr>
                <w:rFonts w:ascii="Arial" w:cs="Arial" w:eastAsia="Arial" w:hAnsi="Arial"/>
                <w:sz w:val="14"/>
                <w:szCs w:val="14"/>
                <w:color w:val="auto"/>
              </w:rPr>
              <w:t>—</w:t>
            </w:r>
          </w:p>
        </w:tc>
      </w:tr>
      <w:tr>
        <w:trPr>
          <w:trHeight w:val="157"/>
        </w:trPr>
        <w:tc>
          <w:tcPr>
            <w:tcW w:w="1860" w:type="dxa"/>
            <w:vAlign w:val="bottom"/>
            <w:tcBorders>
              <w:bottom w:val="single" w:sz="8" w:color="00548B"/>
            </w:tcBorders>
          </w:tcPr>
          <w:p>
            <w:pPr>
              <w:spacing w:after="0"/>
              <w:rPr>
                <w:sz w:val="13"/>
                <w:szCs w:val="13"/>
                <w:color w:val="auto"/>
              </w:rPr>
            </w:pPr>
          </w:p>
        </w:tc>
        <w:tc>
          <w:tcPr>
            <w:tcW w:w="840" w:type="dxa"/>
            <w:vAlign w:val="bottom"/>
            <w:tcBorders>
              <w:bottom w:val="single" w:sz="8" w:color="00548B"/>
            </w:tcBorders>
          </w:tcPr>
          <w:p>
            <w:pPr>
              <w:jc w:val="center"/>
              <w:spacing w:after="0" w:line="157" w:lineRule="exact"/>
              <w:rPr>
                <w:sz w:val="20"/>
                <w:szCs w:val="20"/>
                <w:color w:val="auto"/>
              </w:rPr>
            </w:pPr>
            <w:r>
              <w:rPr>
                <w:rFonts w:ascii="Arial" w:cs="Arial" w:eastAsia="Arial" w:hAnsi="Arial"/>
                <w:sz w:val="14"/>
                <w:szCs w:val="14"/>
                <w:color w:val="auto"/>
              </w:rPr>
              <w:t>3/01/2019</w:t>
            </w:r>
          </w:p>
        </w:tc>
        <w:tc>
          <w:tcPr>
            <w:tcW w:w="920" w:type="dxa"/>
            <w:vAlign w:val="bottom"/>
            <w:tcBorders>
              <w:bottom w:val="single" w:sz="8" w:color="00548B"/>
            </w:tcBorders>
          </w:tcPr>
          <w:p>
            <w:pPr>
              <w:jc w:val="center"/>
              <w:spacing w:after="0" w:line="157" w:lineRule="exact"/>
              <w:rPr>
                <w:sz w:val="20"/>
                <w:szCs w:val="20"/>
                <w:color w:val="auto"/>
              </w:rPr>
            </w:pPr>
            <w:r>
              <w:rPr>
                <w:rFonts w:ascii="Arial" w:cs="Arial" w:eastAsia="Arial" w:hAnsi="Arial"/>
                <w:sz w:val="14"/>
                <w:szCs w:val="14"/>
                <w:color w:val="auto"/>
                <w:w w:val="99"/>
              </w:rPr>
              <w:t>—</w:t>
            </w:r>
          </w:p>
        </w:tc>
        <w:tc>
          <w:tcPr>
            <w:tcW w:w="1020" w:type="dxa"/>
            <w:vAlign w:val="bottom"/>
            <w:tcBorders>
              <w:bottom w:val="single" w:sz="8" w:color="00548B"/>
            </w:tcBorders>
          </w:tcPr>
          <w:p>
            <w:pPr>
              <w:jc w:val="center"/>
              <w:spacing w:after="0" w:line="157" w:lineRule="exact"/>
              <w:rPr>
                <w:sz w:val="20"/>
                <w:szCs w:val="20"/>
                <w:color w:val="auto"/>
              </w:rPr>
            </w:pPr>
            <w:r>
              <w:rPr>
                <w:rFonts w:ascii="Arial" w:cs="Arial" w:eastAsia="Arial" w:hAnsi="Arial"/>
                <w:sz w:val="14"/>
                <w:szCs w:val="14"/>
                <w:color w:val="auto"/>
                <w:w w:val="99"/>
              </w:rPr>
              <w:t>—</w:t>
            </w:r>
          </w:p>
        </w:tc>
        <w:tc>
          <w:tcPr>
            <w:tcW w:w="660" w:type="dxa"/>
            <w:vAlign w:val="bottom"/>
            <w:tcBorders>
              <w:bottom w:val="single" w:sz="8" w:color="00548B"/>
            </w:tcBorders>
          </w:tcPr>
          <w:p>
            <w:pPr>
              <w:jc w:val="center"/>
              <w:spacing w:after="0" w:line="157" w:lineRule="exact"/>
              <w:rPr>
                <w:sz w:val="20"/>
                <w:szCs w:val="20"/>
                <w:color w:val="auto"/>
              </w:rPr>
            </w:pPr>
            <w:r>
              <w:rPr>
                <w:rFonts w:ascii="Arial" w:cs="Arial" w:eastAsia="Arial" w:hAnsi="Arial"/>
                <w:sz w:val="14"/>
                <w:szCs w:val="14"/>
                <w:color w:val="auto"/>
                <w:w w:val="99"/>
              </w:rPr>
              <w:t>—</w:t>
            </w:r>
          </w:p>
        </w:tc>
        <w:tc>
          <w:tcPr>
            <w:tcW w:w="1080" w:type="dxa"/>
            <w:vAlign w:val="bottom"/>
            <w:tcBorders>
              <w:bottom w:val="single" w:sz="8" w:color="00548B"/>
            </w:tcBorders>
          </w:tcPr>
          <w:p>
            <w:pPr>
              <w:jc w:val="center"/>
              <w:ind w:right="149"/>
              <w:spacing w:after="0" w:line="157" w:lineRule="exact"/>
              <w:rPr>
                <w:sz w:val="20"/>
                <w:szCs w:val="20"/>
                <w:color w:val="auto"/>
              </w:rPr>
            </w:pPr>
            <w:r>
              <w:rPr>
                <w:rFonts w:ascii="Arial" w:cs="Arial" w:eastAsia="Arial" w:hAnsi="Arial"/>
                <w:sz w:val="14"/>
                <w:szCs w:val="14"/>
                <w:color w:val="auto"/>
                <w:w w:val="99"/>
              </w:rPr>
              <w:t>—</w:t>
            </w:r>
          </w:p>
        </w:tc>
        <w:tc>
          <w:tcPr>
            <w:tcW w:w="600" w:type="dxa"/>
            <w:vAlign w:val="bottom"/>
            <w:tcBorders>
              <w:bottom w:val="single" w:sz="8" w:color="00548B"/>
            </w:tcBorders>
          </w:tcPr>
          <w:p>
            <w:pPr>
              <w:jc w:val="center"/>
              <w:ind w:left="189"/>
              <w:spacing w:after="0" w:line="157" w:lineRule="exact"/>
              <w:rPr>
                <w:sz w:val="20"/>
                <w:szCs w:val="20"/>
                <w:color w:val="auto"/>
              </w:rPr>
            </w:pPr>
            <w:r>
              <w:rPr>
                <w:rFonts w:ascii="Arial" w:cs="Arial" w:eastAsia="Arial" w:hAnsi="Arial"/>
                <w:sz w:val="14"/>
                <w:szCs w:val="14"/>
                <w:color w:val="auto"/>
                <w:w w:val="99"/>
              </w:rPr>
              <w:t>—</w:t>
            </w:r>
          </w:p>
        </w:tc>
        <w:tc>
          <w:tcPr>
            <w:tcW w:w="260" w:type="dxa"/>
            <w:vAlign w:val="bottom"/>
            <w:tcBorders>
              <w:bottom w:val="single" w:sz="8" w:color="00548B"/>
            </w:tcBorders>
          </w:tcPr>
          <w:p>
            <w:pPr>
              <w:spacing w:after="0"/>
              <w:rPr>
                <w:sz w:val="13"/>
                <w:szCs w:val="13"/>
                <w:color w:val="auto"/>
              </w:rPr>
            </w:pPr>
          </w:p>
        </w:tc>
        <w:tc>
          <w:tcPr>
            <w:tcW w:w="940" w:type="dxa"/>
            <w:vAlign w:val="bottom"/>
            <w:tcBorders>
              <w:bottom w:val="single" w:sz="8" w:color="00548B"/>
            </w:tcBorders>
          </w:tcPr>
          <w:p>
            <w:pPr>
              <w:ind w:left="420"/>
              <w:spacing w:after="0" w:line="157" w:lineRule="exact"/>
              <w:rPr>
                <w:sz w:val="20"/>
                <w:szCs w:val="20"/>
                <w:color w:val="auto"/>
              </w:rPr>
            </w:pPr>
            <w:r>
              <w:rPr>
                <w:rFonts w:ascii="Arial" w:cs="Arial" w:eastAsia="Arial" w:hAnsi="Arial"/>
                <w:sz w:val="14"/>
                <w:szCs w:val="14"/>
                <w:color w:val="auto"/>
              </w:rPr>
              <w:t>—</w:t>
            </w:r>
          </w:p>
        </w:tc>
        <w:tc>
          <w:tcPr>
            <w:tcW w:w="1280" w:type="dxa"/>
            <w:vAlign w:val="bottom"/>
            <w:tcBorders>
              <w:bottom w:val="single" w:sz="8" w:color="00548B"/>
            </w:tcBorders>
          </w:tcPr>
          <w:p>
            <w:pPr>
              <w:jc w:val="right"/>
              <w:ind w:right="10"/>
              <w:spacing w:after="0" w:line="157" w:lineRule="exact"/>
              <w:rPr>
                <w:sz w:val="20"/>
                <w:szCs w:val="20"/>
                <w:color w:val="auto"/>
              </w:rPr>
            </w:pPr>
            <w:r>
              <w:rPr>
                <w:rFonts w:ascii="Arial" w:cs="Arial" w:eastAsia="Arial" w:hAnsi="Arial"/>
                <w:sz w:val="14"/>
                <w:szCs w:val="14"/>
                <w:color w:val="auto"/>
              </w:rPr>
              <w:t>6,718 (5)</w:t>
            </w:r>
          </w:p>
        </w:tc>
        <w:tc>
          <w:tcPr>
            <w:tcW w:w="1560" w:type="dxa"/>
            <w:vAlign w:val="bottom"/>
            <w:tcBorders>
              <w:bottom w:val="single" w:sz="8" w:color="00548B"/>
            </w:tcBorders>
          </w:tcPr>
          <w:p>
            <w:pPr>
              <w:jc w:val="right"/>
              <w:ind w:right="10"/>
              <w:spacing w:after="0" w:line="157" w:lineRule="exact"/>
              <w:rPr>
                <w:sz w:val="20"/>
                <w:szCs w:val="20"/>
                <w:color w:val="auto"/>
              </w:rPr>
            </w:pPr>
            <w:r>
              <w:rPr>
                <w:rFonts w:ascii="Arial" w:cs="Arial" w:eastAsia="Arial" w:hAnsi="Arial"/>
                <w:sz w:val="14"/>
                <w:szCs w:val="14"/>
                <w:color w:val="auto"/>
              </w:rPr>
              <w:t>461,661</w:t>
            </w:r>
          </w:p>
        </w:tc>
      </w:tr>
    </w:tbl>
    <w:p>
      <w:pPr>
        <w:spacing w:after="0" w:line="218" w:lineRule="exact"/>
        <w:rPr>
          <w:sz w:val="20"/>
          <w:szCs w:val="20"/>
          <w:color w:val="auto"/>
        </w:rPr>
      </w:pPr>
    </w:p>
    <w:p>
      <w:pPr>
        <w:ind w:left="660" w:right="20" w:hanging="544"/>
        <w:spacing w:after="0" w:line="246" w:lineRule="auto"/>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Consists of unvested restricted stock as of December 31, 2019 that vests 25% annually over four years from the date of grant provided the individual is still employed by Huron on the applicable vesting dates or is eligible for retirement under the Company’s equity incentive plan.</w:t>
      </w:r>
    </w:p>
    <w:p>
      <w:pPr>
        <w:ind w:left="660" w:right="20" w:hanging="544"/>
        <w:spacing w:after="0" w:line="246" w:lineRule="auto"/>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Consists of unvested restricted stock as of December 31, 2019 that vests 33% annually over three years from the date of grant provided the individual is still employed by Huron on the applicable vesting date or is eligible for retirement under the Company’s equity incentive plan.</w:t>
      </w:r>
    </w:p>
    <w:p>
      <w:pPr>
        <w:ind w:left="660" w:right="20" w:hanging="544"/>
        <w:spacing w:after="0" w:line="246" w:lineRule="auto"/>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2017 grant of PSUs did not meet the performance goals for the 2017-2019 performance period and were therefore forfeited in February, 2020.</w:t>
      </w:r>
    </w:p>
    <w:p>
      <w:pPr>
        <w:spacing w:after="0" w:line="189" w:lineRule="exact"/>
        <w:rPr>
          <w:rFonts w:ascii="Arial" w:cs="Arial" w:eastAsia="Arial" w:hAnsi="Arial"/>
          <w:sz w:val="16"/>
          <w:szCs w:val="16"/>
          <w:color w:val="auto"/>
        </w:rPr>
      </w:pPr>
    </w:p>
    <w:p>
      <w:pPr>
        <w:jc w:val="both"/>
        <w:ind w:left="660" w:right="20" w:hanging="544"/>
        <w:spacing w:after="0" w:line="246" w:lineRule="auto"/>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Consists of 2018 grant of PSUs that vest based on performance for the 2018-2020 performance period. Actual payouts may range from 0% to 200% of target. The amount reflected in the table equals the target amount. Once the 2018-2020 performance period is complete, 100% of the final award vests on March 1, 2021.</w:t>
      </w:r>
    </w:p>
    <w:p>
      <w:pPr>
        <w:spacing w:after="0" w:line="1" w:lineRule="exact"/>
        <w:rPr>
          <w:rFonts w:ascii="Arial" w:cs="Arial" w:eastAsia="Arial" w:hAnsi="Arial"/>
          <w:sz w:val="16"/>
          <w:szCs w:val="16"/>
          <w:color w:val="auto"/>
        </w:rPr>
      </w:pPr>
    </w:p>
    <w:p>
      <w:pPr>
        <w:jc w:val="both"/>
        <w:ind w:left="660" w:right="20" w:hanging="544"/>
        <w:spacing w:after="0" w:line="253" w:lineRule="auto"/>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Consists of 2019 grant of PSUs that vest based on performance for the 2019-2021 performance period. Actual payouts may range from 0% to 200% of target. The amount reflected in the table equals the target amount. Once the 2019-2021 performance period is complete, 100% of the final award vests on March 1, 2022.</w:t>
      </w:r>
    </w:p>
    <w:p>
      <w:pPr>
        <w:spacing w:after="0" w:line="13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00548B"/>
        </w:rPr>
        <w:t>38</w:t>
      </w:r>
    </w:p>
    <w:p>
      <w:pPr>
        <w:sectPr>
          <w:pgSz w:w="11900" w:h="16838" w:orient="portrait"/>
          <w:cols w:equalWidth="0" w:num="1">
            <w:col w:w="11140"/>
          </w:cols>
          <w:pgMar w:left="32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48B"/>
        </w:rPr>
        <w:t>2019 O</w:t>
      </w:r>
      <w:r>
        <w:rPr>
          <w:rFonts w:ascii="Arial" w:cs="Arial" w:eastAsia="Arial" w:hAnsi="Arial"/>
          <w:sz w:val="14"/>
          <w:szCs w:val="14"/>
          <w:b w:val="1"/>
          <w:bCs w:val="1"/>
          <w:color w:val="00548B"/>
        </w:rPr>
        <w:t>PTION</w:t>
      </w:r>
      <w:r>
        <w:rPr>
          <w:rFonts w:ascii="Arial" w:cs="Arial" w:eastAsia="Arial" w:hAnsi="Arial"/>
          <w:sz w:val="18"/>
          <w:szCs w:val="18"/>
          <w:b w:val="1"/>
          <w:bCs w:val="1"/>
          <w:color w:val="00548B"/>
        </w:rPr>
        <w:t xml:space="preserve"> E</w:t>
      </w:r>
      <w:r>
        <w:rPr>
          <w:rFonts w:ascii="Arial" w:cs="Arial" w:eastAsia="Arial" w:hAnsi="Arial"/>
          <w:sz w:val="14"/>
          <w:szCs w:val="14"/>
          <w:b w:val="1"/>
          <w:bCs w:val="1"/>
          <w:color w:val="00548B"/>
        </w:rPr>
        <w:t>XERCISES AND</w:t>
      </w:r>
      <w:r>
        <w:rPr>
          <w:rFonts w:ascii="Arial" w:cs="Arial" w:eastAsia="Arial" w:hAnsi="Arial"/>
          <w:sz w:val="18"/>
          <w:szCs w:val="18"/>
          <w:b w:val="1"/>
          <w:bCs w:val="1"/>
          <w:color w:val="00548B"/>
        </w:rPr>
        <w:t xml:space="preserve"> S</w:t>
      </w:r>
      <w:r>
        <w:rPr>
          <w:rFonts w:ascii="Arial" w:cs="Arial" w:eastAsia="Arial" w:hAnsi="Arial"/>
          <w:sz w:val="14"/>
          <w:szCs w:val="14"/>
          <w:b w:val="1"/>
          <w:bCs w:val="1"/>
          <w:color w:val="00548B"/>
        </w:rPr>
        <w:t>TOCK</w:t>
      </w:r>
      <w:r>
        <w:rPr>
          <w:rFonts w:ascii="Arial" w:cs="Arial" w:eastAsia="Arial" w:hAnsi="Arial"/>
          <w:sz w:val="18"/>
          <w:szCs w:val="18"/>
          <w:b w:val="1"/>
          <w:bCs w:val="1"/>
          <w:color w:val="00548B"/>
        </w:rPr>
        <w:t xml:space="preserve"> V</w:t>
      </w:r>
      <w:r>
        <w:rPr>
          <w:rFonts w:ascii="Arial" w:cs="Arial" w:eastAsia="Arial" w:hAnsi="Arial"/>
          <w:sz w:val="14"/>
          <w:szCs w:val="14"/>
          <w:b w:val="1"/>
          <w:bCs w:val="1"/>
          <w:color w:val="00548B"/>
        </w:rPr>
        <w:t>ESTED</w:t>
      </w:r>
    </w:p>
    <w:p>
      <w:pPr>
        <w:spacing w:after="0" w:line="20" w:lineRule="exact"/>
        <w:rPr>
          <w:sz w:val="20"/>
          <w:szCs w:val="20"/>
          <w:color w:val="auto"/>
        </w:rPr>
      </w:pPr>
    </w:p>
    <w:p>
      <w:pPr>
        <w:ind w:left="120" w:right="20"/>
        <w:spacing w:after="0" w:line="260" w:lineRule="auto"/>
        <w:rPr>
          <w:sz w:val="20"/>
          <w:szCs w:val="20"/>
          <w:color w:val="auto"/>
        </w:rPr>
      </w:pPr>
      <w:r>
        <w:rPr>
          <w:rFonts w:ascii="Arial" w:cs="Arial" w:eastAsia="Arial" w:hAnsi="Arial"/>
          <w:sz w:val="16"/>
          <w:szCs w:val="16"/>
          <w:color w:val="auto"/>
        </w:rPr>
        <w:t>The following table sets forth certain information concerning stock option exercises and restricted stock vested during 2019 for each named executive officer.</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140" w:type="dxa"/>
            <w:vAlign w:val="bottom"/>
            <w:shd w:val="clear" w:color="auto" w:fill="00548B"/>
          </w:tcPr>
          <w:p>
            <w:pPr>
              <w:spacing w:after="0"/>
              <w:rPr>
                <w:sz w:val="14"/>
                <w:szCs w:val="14"/>
                <w:color w:val="auto"/>
              </w:rPr>
            </w:pPr>
          </w:p>
        </w:tc>
        <w:tc>
          <w:tcPr>
            <w:tcW w:w="3840" w:type="dxa"/>
            <w:vAlign w:val="bottom"/>
            <w:gridSpan w:val="2"/>
            <w:shd w:val="clear" w:color="auto" w:fill="00548B"/>
          </w:tcPr>
          <w:p>
            <w:pPr>
              <w:ind w:left="1080"/>
              <w:spacing w:after="0"/>
              <w:rPr>
                <w:sz w:val="20"/>
                <w:szCs w:val="20"/>
                <w:color w:val="auto"/>
              </w:rPr>
            </w:pPr>
            <w:r>
              <w:rPr>
                <w:rFonts w:ascii="Arial" w:cs="Arial" w:eastAsia="Arial" w:hAnsi="Arial"/>
                <w:sz w:val="14"/>
                <w:szCs w:val="14"/>
                <w:b w:val="1"/>
                <w:bCs w:val="1"/>
                <w:color w:val="D8D8D8"/>
              </w:rPr>
              <w:t>Option Exercises</w:t>
            </w:r>
          </w:p>
        </w:tc>
        <w:tc>
          <w:tcPr>
            <w:tcW w:w="4040" w:type="dxa"/>
            <w:vAlign w:val="bottom"/>
            <w:gridSpan w:val="2"/>
            <w:shd w:val="clear" w:color="auto" w:fill="00548B"/>
          </w:tcPr>
          <w:p>
            <w:pPr>
              <w:jc w:val="right"/>
              <w:ind w:right="1522"/>
              <w:spacing w:after="0"/>
              <w:rPr>
                <w:sz w:val="20"/>
                <w:szCs w:val="20"/>
                <w:color w:val="auto"/>
              </w:rPr>
            </w:pPr>
            <w:r>
              <w:rPr>
                <w:rFonts w:ascii="Arial" w:cs="Arial" w:eastAsia="Arial" w:hAnsi="Arial"/>
                <w:sz w:val="14"/>
                <w:szCs w:val="14"/>
                <w:b w:val="1"/>
                <w:bCs w:val="1"/>
                <w:color w:val="D8D8D8"/>
              </w:rPr>
              <w:t>Stock Awards</w:t>
            </w:r>
          </w:p>
        </w:tc>
      </w:tr>
      <w:tr>
        <w:trPr>
          <w:trHeight w:val="162"/>
        </w:trPr>
        <w:tc>
          <w:tcPr>
            <w:tcW w:w="3140" w:type="dxa"/>
            <w:vAlign w:val="bottom"/>
            <w:shd w:val="clear" w:color="auto" w:fill="00548B"/>
          </w:tcPr>
          <w:p>
            <w:pPr>
              <w:spacing w:after="0"/>
              <w:rPr>
                <w:sz w:val="14"/>
                <w:szCs w:val="14"/>
                <w:color w:val="auto"/>
              </w:rPr>
            </w:pPr>
          </w:p>
        </w:tc>
        <w:tc>
          <w:tcPr>
            <w:tcW w:w="1640" w:type="dxa"/>
            <w:vAlign w:val="bottom"/>
            <w:shd w:val="clear" w:color="auto" w:fill="00548B"/>
          </w:tcPr>
          <w:p>
            <w:pPr>
              <w:jc w:val="center"/>
              <w:ind w:left="23"/>
              <w:spacing w:after="0"/>
              <w:rPr>
                <w:sz w:val="20"/>
                <w:szCs w:val="20"/>
                <w:color w:val="auto"/>
              </w:rPr>
            </w:pPr>
            <w:r>
              <w:rPr>
                <w:rFonts w:ascii="Arial" w:cs="Arial" w:eastAsia="Arial" w:hAnsi="Arial"/>
                <w:sz w:val="14"/>
                <w:szCs w:val="14"/>
                <w:b w:val="1"/>
                <w:bCs w:val="1"/>
                <w:color w:val="D8D8D8"/>
              </w:rPr>
              <w:t>Shares Acquired</w:t>
            </w:r>
          </w:p>
        </w:tc>
        <w:tc>
          <w:tcPr>
            <w:tcW w:w="2200" w:type="dxa"/>
            <w:vAlign w:val="bottom"/>
            <w:shd w:val="clear" w:color="auto" w:fill="00548B"/>
          </w:tcPr>
          <w:p>
            <w:pPr>
              <w:jc w:val="center"/>
              <w:ind w:right="522"/>
              <w:spacing w:after="0"/>
              <w:rPr>
                <w:sz w:val="20"/>
                <w:szCs w:val="20"/>
                <w:color w:val="auto"/>
              </w:rPr>
            </w:pPr>
            <w:r>
              <w:rPr>
                <w:rFonts w:ascii="Arial" w:cs="Arial" w:eastAsia="Arial" w:hAnsi="Arial"/>
                <w:sz w:val="14"/>
                <w:szCs w:val="14"/>
                <w:b w:val="1"/>
                <w:bCs w:val="1"/>
                <w:color w:val="D8D8D8"/>
              </w:rPr>
              <w:t>Value Realized</w:t>
            </w:r>
          </w:p>
        </w:tc>
        <w:tc>
          <w:tcPr>
            <w:tcW w:w="1980" w:type="dxa"/>
            <w:vAlign w:val="bottom"/>
            <w:shd w:val="clear" w:color="auto" w:fill="00548B"/>
          </w:tcPr>
          <w:p>
            <w:pPr>
              <w:jc w:val="right"/>
              <w:ind w:right="363"/>
              <w:spacing w:after="0"/>
              <w:rPr>
                <w:sz w:val="20"/>
                <w:szCs w:val="20"/>
                <w:color w:val="auto"/>
              </w:rPr>
            </w:pPr>
            <w:r>
              <w:rPr>
                <w:rFonts w:ascii="Arial" w:cs="Arial" w:eastAsia="Arial" w:hAnsi="Arial"/>
                <w:sz w:val="14"/>
                <w:szCs w:val="14"/>
                <w:b w:val="1"/>
                <w:bCs w:val="1"/>
                <w:color w:val="D8D8D8"/>
              </w:rPr>
              <w:t>Shares Acquired</w:t>
            </w:r>
          </w:p>
        </w:tc>
        <w:tc>
          <w:tcPr>
            <w:tcW w:w="2060" w:type="dxa"/>
            <w:vAlign w:val="bottom"/>
            <w:shd w:val="clear" w:color="auto" w:fill="00548B"/>
          </w:tcPr>
          <w:p>
            <w:pPr>
              <w:jc w:val="right"/>
              <w:ind w:right="482"/>
              <w:spacing w:after="0"/>
              <w:rPr>
                <w:sz w:val="20"/>
                <w:szCs w:val="20"/>
                <w:color w:val="auto"/>
              </w:rPr>
            </w:pPr>
            <w:r>
              <w:rPr>
                <w:rFonts w:ascii="Arial" w:cs="Arial" w:eastAsia="Arial" w:hAnsi="Arial"/>
                <w:sz w:val="14"/>
                <w:szCs w:val="14"/>
                <w:b w:val="1"/>
                <w:bCs w:val="1"/>
                <w:color w:val="D8D8D8"/>
              </w:rPr>
              <w:t>Value Realized</w:t>
            </w:r>
          </w:p>
        </w:tc>
      </w:tr>
      <w:tr>
        <w:trPr>
          <w:trHeight w:val="175"/>
        </w:trPr>
        <w:tc>
          <w:tcPr>
            <w:tcW w:w="3140" w:type="dxa"/>
            <w:vAlign w:val="bottom"/>
            <w:shd w:val="clear" w:color="auto" w:fill="00548B"/>
          </w:tcPr>
          <w:p>
            <w:pPr>
              <w:spacing w:after="0"/>
              <w:rPr>
                <w:sz w:val="20"/>
                <w:szCs w:val="20"/>
                <w:color w:val="auto"/>
              </w:rPr>
            </w:pPr>
            <w:r>
              <w:rPr>
                <w:rFonts w:ascii="Arial" w:cs="Arial" w:eastAsia="Arial" w:hAnsi="Arial"/>
                <w:sz w:val="14"/>
                <w:szCs w:val="14"/>
                <w:b w:val="1"/>
                <w:bCs w:val="1"/>
                <w:color w:val="D8D8D8"/>
              </w:rPr>
              <w:t>Name</w:t>
            </w:r>
          </w:p>
        </w:tc>
        <w:tc>
          <w:tcPr>
            <w:tcW w:w="1640" w:type="dxa"/>
            <w:vAlign w:val="bottom"/>
            <w:shd w:val="clear" w:color="auto" w:fill="00548B"/>
          </w:tcPr>
          <w:p>
            <w:pPr>
              <w:jc w:val="center"/>
              <w:ind w:left="23"/>
              <w:spacing w:after="0"/>
              <w:rPr>
                <w:sz w:val="20"/>
                <w:szCs w:val="20"/>
                <w:color w:val="auto"/>
              </w:rPr>
            </w:pPr>
            <w:r>
              <w:rPr>
                <w:rFonts w:ascii="Arial" w:cs="Arial" w:eastAsia="Arial" w:hAnsi="Arial"/>
                <w:sz w:val="14"/>
                <w:szCs w:val="14"/>
                <w:b w:val="1"/>
                <w:bCs w:val="1"/>
                <w:color w:val="D8D8D8"/>
              </w:rPr>
              <w:t>on Exercise (#)</w:t>
            </w:r>
          </w:p>
        </w:tc>
        <w:tc>
          <w:tcPr>
            <w:tcW w:w="2200" w:type="dxa"/>
            <w:vAlign w:val="bottom"/>
            <w:shd w:val="clear" w:color="auto" w:fill="00548B"/>
          </w:tcPr>
          <w:p>
            <w:pPr>
              <w:jc w:val="center"/>
              <w:ind w:right="522"/>
              <w:spacing w:after="0"/>
              <w:rPr>
                <w:sz w:val="20"/>
                <w:szCs w:val="20"/>
                <w:color w:val="auto"/>
              </w:rPr>
            </w:pPr>
            <w:r>
              <w:rPr>
                <w:rFonts w:ascii="Arial" w:cs="Arial" w:eastAsia="Arial" w:hAnsi="Arial"/>
                <w:sz w:val="14"/>
                <w:szCs w:val="14"/>
                <w:b w:val="1"/>
                <w:bCs w:val="1"/>
                <w:color w:val="D8D8D8"/>
              </w:rPr>
              <w:t>on Exercise ($)(1)</w:t>
            </w:r>
          </w:p>
        </w:tc>
        <w:tc>
          <w:tcPr>
            <w:tcW w:w="1980" w:type="dxa"/>
            <w:vAlign w:val="bottom"/>
            <w:shd w:val="clear" w:color="auto" w:fill="00548B"/>
          </w:tcPr>
          <w:p>
            <w:pPr>
              <w:jc w:val="right"/>
              <w:ind w:right="463"/>
              <w:spacing w:after="0"/>
              <w:rPr>
                <w:sz w:val="20"/>
                <w:szCs w:val="20"/>
                <w:color w:val="auto"/>
              </w:rPr>
            </w:pPr>
            <w:r>
              <w:rPr>
                <w:rFonts w:ascii="Arial" w:cs="Arial" w:eastAsia="Arial" w:hAnsi="Arial"/>
                <w:sz w:val="14"/>
                <w:szCs w:val="14"/>
                <w:b w:val="1"/>
                <w:bCs w:val="1"/>
                <w:color w:val="D8D8D8"/>
              </w:rPr>
              <w:t>on Vesting (#)</w:t>
            </w:r>
          </w:p>
        </w:tc>
        <w:tc>
          <w:tcPr>
            <w:tcW w:w="2060" w:type="dxa"/>
            <w:vAlign w:val="bottom"/>
            <w:shd w:val="clear" w:color="auto" w:fill="00548B"/>
          </w:tcPr>
          <w:p>
            <w:pPr>
              <w:jc w:val="right"/>
              <w:ind w:right="422"/>
              <w:spacing w:after="0"/>
              <w:rPr>
                <w:sz w:val="20"/>
                <w:szCs w:val="20"/>
                <w:color w:val="auto"/>
              </w:rPr>
            </w:pPr>
            <w:r>
              <w:rPr>
                <w:rFonts w:ascii="Arial" w:cs="Arial" w:eastAsia="Arial" w:hAnsi="Arial"/>
                <w:sz w:val="14"/>
                <w:szCs w:val="14"/>
                <w:b w:val="1"/>
                <w:bCs w:val="1"/>
                <w:color w:val="D8D8D8"/>
              </w:rPr>
              <w:t>on Vesting ($)(2)</w:t>
            </w:r>
          </w:p>
        </w:tc>
      </w:tr>
      <w:tr>
        <w:trPr>
          <w:trHeight w:val="189"/>
        </w:trPr>
        <w:tc>
          <w:tcPr>
            <w:tcW w:w="3140" w:type="dxa"/>
            <w:vAlign w:val="bottom"/>
            <w:tcBorders>
              <w:bottom w:val="single" w:sz="8" w:color="999999"/>
            </w:tcBorders>
          </w:tcPr>
          <w:p>
            <w:pPr>
              <w:spacing w:after="0"/>
              <w:rPr>
                <w:sz w:val="20"/>
                <w:szCs w:val="20"/>
                <w:color w:val="auto"/>
              </w:rPr>
            </w:pPr>
            <w:r>
              <w:rPr>
                <w:rFonts w:ascii="Arial" w:cs="Arial" w:eastAsia="Arial" w:hAnsi="Arial"/>
                <w:sz w:val="16"/>
                <w:szCs w:val="16"/>
                <w:color w:val="auto"/>
              </w:rPr>
              <w:t>James H. Roth</w:t>
            </w:r>
          </w:p>
        </w:tc>
        <w:tc>
          <w:tcPr>
            <w:tcW w:w="1640" w:type="dxa"/>
            <w:vAlign w:val="bottom"/>
            <w:tcBorders>
              <w:bottom w:val="single" w:sz="8" w:color="999999"/>
            </w:tcBorders>
          </w:tcPr>
          <w:p>
            <w:pPr>
              <w:jc w:val="center"/>
              <w:ind w:left="23"/>
              <w:spacing w:after="0"/>
              <w:rPr>
                <w:sz w:val="20"/>
                <w:szCs w:val="20"/>
                <w:color w:val="auto"/>
              </w:rPr>
            </w:pPr>
            <w:r>
              <w:rPr>
                <w:rFonts w:ascii="Arial" w:cs="Arial" w:eastAsia="Arial" w:hAnsi="Arial"/>
                <w:sz w:val="16"/>
                <w:szCs w:val="16"/>
                <w:color w:val="auto"/>
              </w:rPr>
              <w:t>40,000</w:t>
            </w:r>
          </w:p>
        </w:tc>
        <w:tc>
          <w:tcPr>
            <w:tcW w:w="2200" w:type="dxa"/>
            <w:vAlign w:val="bottom"/>
            <w:tcBorders>
              <w:bottom w:val="single" w:sz="8" w:color="999999"/>
            </w:tcBorders>
          </w:tcPr>
          <w:p>
            <w:pPr>
              <w:jc w:val="center"/>
              <w:ind w:right="522"/>
              <w:spacing w:after="0"/>
              <w:rPr>
                <w:sz w:val="20"/>
                <w:szCs w:val="20"/>
                <w:color w:val="auto"/>
              </w:rPr>
            </w:pPr>
            <w:r>
              <w:rPr>
                <w:rFonts w:ascii="Arial" w:cs="Arial" w:eastAsia="Arial" w:hAnsi="Arial"/>
                <w:sz w:val="16"/>
                <w:szCs w:val="16"/>
                <w:color w:val="auto"/>
              </w:rPr>
              <w:t>1,330,717</w:t>
            </w:r>
          </w:p>
        </w:tc>
        <w:tc>
          <w:tcPr>
            <w:tcW w:w="1980" w:type="dxa"/>
            <w:vAlign w:val="bottom"/>
            <w:tcBorders>
              <w:bottom w:val="single" w:sz="8" w:color="999999"/>
            </w:tcBorders>
          </w:tcPr>
          <w:p>
            <w:pPr>
              <w:jc w:val="right"/>
              <w:ind w:right="363"/>
              <w:spacing w:after="0"/>
              <w:rPr>
                <w:sz w:val="20"/>
                <w:szCs w:val="20"/>
                <w:color w:val="auto"/>
              </w:rPr>
            </w:pPr>
            <w:r>
              <w:rPr>
                <w:rFonts w:ascii="Arial" w:cs="Arial" w:eastAsia="Arial" w:hAnsi="Arial"/>
                <w:sz w:val="16"/>
                <w:szCs w:val="16"/>
                <w:color w:val="auto"/>
              </w:rPr>
              <w:t>19,274</w:t>
            </w:r>
          </w:p>
        </w:tc>
        <w:tc>
          <w:tcPr>
            <w:tcW w:w="2060" w:type="dxa"/>
            <w:vAlign w:val="bottom"/>
            <w:tcBorders>
              <w:bottom w:val="single" w:sz="8" w:color="999999"/>
            </w:tcBorders>
          </w:tcPr>
          <w:p>
            <w:pPr>
              <w:jc w:val="right"/>
              <w:ind w:right="422"/>
              <w:spacing w:after="0"/>
              <w:rPr>
                <w:sz w:val="20"/>
                <w:szCs w:val="20"/>
                <w:color w:val="auto"/>
              </w:rPr>
            </w:pPr>
            <w:r>
              <w:rPr>
                <w:rFonts w:ascii="Arial" w:cs="Arial" w:eastAsia="Arial" w:hAnsi="Arial"/>
                <w:sz w:val="16"/>
                <w:szCs w:val="16"/>
                <w:color w:val="auto"/>
              </w:rPr>
              <w:t>895,611</w:t>
            </w:r>
          </w:p>
        </w:tc>
      </w:tr>
      <w:tr>
        <w:trPr>
          <w:trHeight w:val="183"/>
        </w:trPr>
        <w:tc>
          <w:tcPr>
            <w:tcW w:w="3140" w:type="dxa"/>
            <w:vAlign w:val="bottom"/>
            <w:tcBorders>
              <w:bottom w:val="single" w:sz="8" w:color="999999"/>
            </w:tcBorders>
          </w:tcPr>
          <w:p>
            <w:pPr>
              <w:spacing w:after="0" w:line="183" w:lineRule="exact"/>
              <w:rPr>
                <w:sz w:val="20"/>
                <w:szCs w:val="20"/>
                <w:color w:val="auto"/>
              </w:rPr>
            </w:pPr>
            <w:r>
              <w:rPr>
                <w:rFonts w:ascii="Arial" w:cs="Arial" w:eastAsia="Arial" w:hAnsi="Arial"/>
                <w:sz w:val="16"/>
                <w:szCs w:val="16"/>
                <w:color w:val="auto"/>
              </w:rPr>
              <w:t>C. Mark Hussey</w:t>
            </w:r>
          </w:p>
        </w:tc>
        <w:tc>
          <w:tcPr>
            <w:tcW w:w="1640" w:type="dxa"/>
            <w:vAlign w:val="bottom"/>
            <w:tcBorders>
              <w:bottom w:val="single" w:sz="8" w:color="999999"/>
            </w:tcBorders>
          </w:tcPr>
          <w:p>
            <w:pPr>
              <w:jc w:val="center"/>
              <w:ind w:left="23"/>
              <w:spacing w:after="0" w:line="183" w:lineRule="exact"/>
              <w:rPr>
                <w:sz w:val="20"/>
                <w:szCs w:val="20"/>
                <w:color w:val="auto"/>
              </w:rPr>
            </w:pPr>
            <w:r>
              <w:rPr>
                <w:rFonts w:ascii="Arial" w:cs="Arial" w:eastAsia="Arial" w:hAnsi="Arial"/>
                <w:sz w:val="16"/>
                <w:szCs w:val="16"/>
                <w:color w:val="auto"/>
              </w:rPr>
              <w:t>0</w:t>
            </w:r>
          </w:p>
        </w:tc>
        <w:tc>
          <w:tcPr>
            <w:tcW w:w="2200" w:type="dxa"/>
            <w:vAlign w:val="bottom"/>
            <w:tcBorders>
              <w:bottom w:val="single" w:sz="8" w:color="999999"/>
            </w:tcBorders>
          </w:tcPr>
          <w:p>
            <w:pPr>
              <w:jc w:val="center"/>
              <w:ind w:right="522"/>
              <w:spacing w:after="0" w:line="183" w:lineRule="exact"/>
              <w:rPr>
                <w:sz w:val="20"/>
                <w:szCs w:val="20"/>
                <w:color w:val="auto"/>
              </w:rPr>
            </w:pPr>
            <w:r>
              <w:rPr>
                <w:rFonts w:ascii="Arial" w:cs="Arial" w:eastAsia="Arial" w:hAnsi="Arial"/>
                <w:sz w:val="16"/>
                <w:szCs w:val="16"/>
                <w:color w:val="auto"/>
                <w:w w:val="89"/>
              </w:rPr>
              <w:t>0</w:t>
            </w:r>
          </w:p>
        </w:tc>
        <w:tc>
          <w:tcPr>
            <w:tcW w:w="1980" w:type="dxa"/>
            <w:vAlign w:val="bottom"/>
            <w:tcBorders>
              <w:bottom w:val="single" w:sz="8" w:color="999999"/>
            </w:tcBorders>
          </w:tcPr>
          <w:p>
            <w:pPr>
              <w:jc w:val="right"/>
              <w:ind w:right="363"/>
              <w:spacing w:after="0" w:line="183" w:lineRule="exact"/>
              <w:rPr>
                <w:sz w:val="20"/>
                <w:szCs w:val="20"/>
                <w:color w:val="auto"/>
              </w:rPr>
            </w:pPr>
            <w:r>
              <w:rPr>
                <w:rFonts w:ascii="Arial" w:cs="Arial" w:eastAsia="Arial" w:hAnsi="Arial"/>
                <w:sz w:val="16"/>
                <w:szCs w:val="16"/>
                <w:color w:val="auto"/>
              </w:rPr>
              <w:t>17,137</w:t>
            </w:r>
          </w:p>
        </w:tc>
        <w:tc>
          <w:tcPr>
            <w:tcW w:w="2060" w:type="dxa"/>
            <w:vAlign w:val="bottom"/>
            <w:tcBorders>
              <w:bottom w:val="single" w:sz="8" w:color="999999"/>
            </w:tcBorders>
          </w:tcPr>
          <w:p>
            <w:pPr>
              <w:jc w:val="right"/>
              <w:ind w:right="422"/>
              <w:spacing w:after="0" w:line="183" w:lineRule="exact"/>
              <w:rPr>
                <w:sz w:val="20"/>
                <w:szCs w:val="20"/>
                <w:color w:val="auto"/>
              </w:rPr>
            </w:pPr>
            <w:r>
              <w:rPr>
                <w:rFonts w:ascii="Arial" w:cs="Arial" w:eastAsia="Arial" w:hAnsi="Arial"/>
                <w:sz w:val="16"/>
                <w:szCs w:val="16"/>
                <w:color w:val="auto"/>
              </w:rPr>
              <w:t>911,477</w:t>
            </w:r>
          </w:p>
        </w:tc>
      </w:tr>
      <w:tr>
        <w:trPr>
          <w:trHeight w:val="183"/>
        </w:trPr>
        <w:tc>
          <w:tcPr>
            <w:tcW w:w="3140" w:type="dxa"/>
            <w:vAlign w:val="bottom"/>
            <w:tcBorders>
              <w:bottom w:val="single" w:sz="8" w:color="999999"/>
            </w:tcBorders>
          </w:tcPr>
          <w:p>
            <w:pPr>
              <w:spacing w:after="0" w:line="183" w:lineRule="exact"/>
              <w:rPr>
                <w:sz w:val="20"/>
                <w:szCs w:val="20"/>
                <w:color w:val="auto"/>
              </w:rPr>
            </w:pPr>
            <w:r>
              <w:rPr>
                <w:rFonts w:ascii="Arial" w:cs="Arial" w:eastAsia="Arial" w:hAnsi="Arial"/>
                <w:sz w:val="16"/>
                <w:szCs w:val="16"/>
                <w:color w:val="auto"/>
              </w:rPr>
              <w:t>John D. Kelly</w:t>
            </w:r>
          </w:p>
        </w:tc>
        <w:tc>
          <w:tcPr>
            <w:tcW w:w="1640" w:type="dxa"/>
            <w:vAlign w:val="bottom"/>
            <w:tcBorders>
              <w:bottom w:val="single" w:sz="8" w:color="999999"/>
            </w:tcBorders>
          </w:tcPr>
          <w:p>
            <w:pPr>
              <w:jc w:val="center"/>
              <w:ind w:left="23"/>
              <w:spacing w:after="0" w:line="183" w:lineRule="exact"/>
              <w:rPr>
                <w:sz w:val="20"/>
                <w:szCs w:val="20"/>
                <w:color w:val="auto"/>
              </w:rPr>
            </w:pPr>
            <w:r>
              <w:rPr>
                <w:rFonts w:ascii="Arial" w:cs="Arial" w:eastAsia="Arial" w:hAnsi="Arial"/>
                <w:sz w:val="16"/>
                <w:szCs w:val="16"/>
                <w:color w:val="auto"/>
              </w:rPr>
              <w:t>0</w:t>
            </w:r>
          </w:p>
        </w:tc>
        <w:tc>
          <w:tcPr>
            <w:tcW w:w="2200" w:type="dxa"/>
            <w:vAlign w:val="bottom"/>
            <w:tcBorders>
              <w:bottom w:val="single" w:sz="8" w:color="999999"/>
            </w:tcBorders>
          </w:tcPr>
          <w:p>
            <w:pPr>
              <w:jc w:val="center"/>
              <w:ind w:right="522"/>
              <w:spacing w:after="0" w:line="183" w:lineRule="exact"/>
              <w:rPr>
                <w:sz w:val="20"/>
                <w:szCs w:val="20"/>
                <w:color w:val="auto"/>
              </w:rPr>
            </w:pPr>
            <w:r>
              <w:rPr>
                <w:rFonts w:ascii="Arial" w:cs="Arial" w:eastAsia="Arial" w:hAnsi="Arial"/>
                <w:sz w:val="16"/>
                <w:szCs w:val="16"/>
                <w:color w:val="auto"/>
                <w:w w:val="89"/>
              </w:rPr>
              <w:t>0</w:t>
            </w:r>
          </w:p>
        </w:tc>
        <w:tc>
          <w:tcPr>
            <w:tcW w:w="1980" w:type="dxa"/>
            <w:vAlign w:val="bottom"/>
            <w:tcBorders>
              <w:bottom w:val="single" w:sz="8" w:color="999999"/>
            </w:tcBorders>
          </w:tcPr>
          <w:p>
            <w:pPr>
              <w:jc w:val="right"/>
              <w:ind w:right="363"/>
              <w:spacing w:after="0" w:line="183" w:lineRule="exact"/>
              <w:rPr>
                <w:sz w:val="20"/>
                <w:szCs w:val="20"/>
                <w:color w:val="auto"/>
              </w:rPr>
            </w:pPr>
            <w:r>
              <w:rPr>
                <w:rFonts w:ascii="Arial" w:cs="Arial" w:eastAsia="Arial" w:hAnsi="Arial"/>
                <w:sz w:val="16"/>
                <w:szCs w:val="16"/>
                <w:color w:val="auto"/>
              </w:rPr>
              <w:t>2,487</w:t>
            </w:r>
          </w:p>
        </w:tc>
        <w:tc>
          <w:tcPr>
            <w:tcW w:w="2060" w:type="dxa"/>
            <w:vAlign w:val="bottom"/>
            <w:tcBorders>
              <w:bottom w:val="single" w:sz="8" w:color="999999"/>
            </w:tcBorders>
          </w:tcPr>
          <w:p>
            <w:pPr>
              <w:jc w:val="right"/>
              <w:ind w:right="422"/>
              <w:spacing w:after="0" w:line="183" w:lineRule="exact"/>
              <w:rPr>
                <w:sz w:val="20"/>
                <w:szCs w:val="20"/>
                <w:color w:val="auto"/>
              </w:rPr>
            </w:pPr>
            <w:r>
              <w:rPr>
                <w:rFonts w:ascii="Arial" w:cs="Arial" w:eastAsia="Arial" w:hAnsi="Arial"/>
                <w:sz w:val="16"/>
                <w:szCs w:val="16"/>
                <w:color w:val="auto"/>
              </w:rPr>
              <w:t>115,457</w:t>
            </w:r>
          </w:p>
        </w:tc>
      </w:tr>
      <w:tr>
        <w:trPr>
          <w:trHeight w:val="183"/>
        </w:trPr>
        <w:tc>
          <w:tcPr>
            <w:tcW w:w="3140" w:type="dxa"/>
            <w:vAlign w:val="bottom"/>
            <w:tcBorders>
              <w:bottom w:val="single" w:sz="8" w:color="00548B"/>
            </w:tcBorders>
          </w:tcPr>
          <w:p>
            <w:pPr>
              <w:spacing w:after="0" w:line="183" w:lineRule="exact"/>
              <w:rPr>
                <w:sz w:val="20"/>
                <w:szCs w:val="20"/>
                <w:color w:val="auto"/>
              </w:rPr>
            </w:pPr>
            <w:r>
              <w:rPr>
                <w:rFonts w:ascii="Arial" w:cs="Arial" w:eastAsia="Arial" w:hAnsi="Arial"/>
                <w:sz w:val="16"/>
                <w:szCs w:val="16"/>
                <w:color w:val="auto"/>
              </w:rPr>
              <w:t>Diane E. Ratekin</w:t>
            </w:r>
          </w:p>
        </w:tc>
        <w:tc>
          <w:tcPr>
            <w:tcW w:w="1640" w:type="dxa"/>
            <w:vAlign w:val="bottom"/>
            <w:tcBorders>
              <w:bottom w:val="single" w:sz="8" w:color="00548B"/>
            </w:tcBorders>
          </w:tcPr>
          <w:p>
            <w:pPr>
              <w:jc w:val="center"/>
              <w:ind w:left="23"/>
              <w:spacing w:after="0" w:line="183" w:lineRule="exact"/>
              <w:rPr>
                <w:sz w:val="20"/>
                <w:szCs w:val="20"/>
                <w:color w:val="auto"/>
              </w:rPr>
            </w:pPr>
            <w:r>
              <w:rPr>
                <w:rFonts w:ascii="Arial" w:cs="Arial" w:eastAsia="Arial" w:hAnsi="Arial"/>
                <w:sz w:val="16"/>
                <w:szCs w:val="16"/>
                <w:color w:val="auto"/>
              </w:rPr>
              <w:t>7,904</w:t>
            </w:r>
          </w:p>
        </w:tc>
        <w:tc>
          <w:tcPr>
            <w:tcW w:w="2200" w:type="dxa"/>
            <w:vAlign w:val="bottom"/>
            <w:tcBorders>
              <w:bottom w:val="single" w:sz="8" w:color="00548B"/>
            </w:tcBorders>
          </w:tcPr>
          <w:p>
            <w:pPr>
              <w:jc w:val="center"/>
              <w:ind w:right="522"/>
              <w:spacing w:after="0" w:line="183" w:lineRule="exact"/>
              <w:rPr>
                <w:sz w:val="20"/>
                <w:szCs w:val="20"/>
                <w:color w:val="auto"/>
              </w:rPr>
            </w:pPr>
            <w:r>
              <w:rPr>
                <w:rFonts w:ascii="Arial" w:cs="Arial" w:eastAsia="Arial" w:hAnsi="Arial"/>
                <w:sz w:val="16"/>
                <w:szCs w:val="16"/>
                <w:color w:val="auto"/>
              </w:rPr>
              <w:t>219,658</w:t>
            </w:r>
          </w:p>
        </w:tc>
        <w:tc>
          <w:tcPr>
            <w:tcW w:w="1980" w:type="dxa"/>
            <w:vAlign w:val="bottom"/>
            <w:tcBorders>
              <w:bottom w:val="single" w:sz="8" w:color="00548B"/>
            </w:tcBorders>
          </w:tcPr>
          <w:p>
            <w:pPr>
              <w:jc w:val="right"/>
              <w:ind w:right="363"/>
              <w:spacing w:after="0" w:line="183" w:lineRule="exact"/>
              <w:rPr>
                <w:sz w:val="20"/>
                <w:szCs w:val="20"/>
                <w:color w:val="auto"/>
              </w:rPr>
            </w:pPr>
            <w:r>
              <w:rPr>
                <w:rFonts w:ascii="Arial" w:cs="Arial" w:eastAsia="Arial" w:hAnsi="Arial"/>
                <w:sz w:val="16"/>
                <w:szCs w:val="16"/>
                <w:color w:val="auto"/>
              </w:rPr>
              <w:t>3,375</w:t>
            </w:r>
          </w:p>
        </w:tc>
        <w:tc>
          <w:tcPr>
            <w:tcW w:w="2060" w:type="dxa"/>
            <w:vAlign w:val="bottom"/>
            <w:tcBorders>
              <w:bottom w:val="single" w:sz="8" w:color="00548B"/>
            </w:tcBorders>
          </w:tcPr>
          <w:p>
            <w:pPr>
              <w:jc w:val="right"/>
              <w:ind w:right="422"/>
              <w:spacing w:after="0" w:line="183" w:lineRule="exact"/>
              <w:rPr>
                <w:sz w:val="20"/>
                <w:szCs w:val="20"/>
                <w:color w:val="auto"/>
              </w:rPr>
            </w:pPr>
            <w:r>
              <w:rPr>
                <w:rFonts w:ascii="Arial" w:cs="Arial" w:eastAsia="Arial" w:hAnsi="Arial"/>
                <w:sz w:val="16"/>
                <w:szCs w:val="16"/>
                <w:color w:val="auto"/>
              </w:rPr>
              <w:t>156,769</w:t>
            </w:r>
          </w:p>
        </w:tc>
      </w:tr>
    </w:tbl>
    <w:p>
      <w:pPr>
        <w:spacing w:after="0" w:line="218" w:lineRule="exact"/>
        <w:rPr>
          <w:sz w:val="20"/>
          <w:szCs w:val="20"/>
          <w:color w:val="auto"/>
        </w:rPr>
      </w:pPr>
    </w:p>
    <w:p>
      <w:pPr>
        <w:ind w:left="660" w:right="20" w:hanging="544"/>
        <w:spacing w:after="0" w:line="246" w:lineRule="auto"/>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value realized on exercise equals the market value of Huron stock measured at the time of exercise minus the exercise price of the options multiplied by the number of options exercised.</w:t>
      </w:r>
    </w:p>
    <w:p>
      <w:pPr>
        <w:ind w:left="660" w:right="20" w:hanging="544"/>
        <w:spacing w:after="0" w:line="260" w:lineRule="auto"/>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value realized on vesting equals the market value of Huron stock measured as the closing price of the stock on the most recent business day preceding the vesting date multiplied by the number of shares received on vesting.</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48B"/>
        </w:rPr>
        <w:t>2019 N</w:t>
      </w:r>
      <w:r>
        <w:rPr>
          <w:rFonts w:ascii="Arial" w:cs="Arial" w:eastAsia="Arial" w:hAnsi="Arial"/>
          <w:sz w:val="14"/>
          <w:szCs w:val="14"/>
          <w:b w:val="1"/>
          <w:bCs w:val="1"/>
          <w:color w:val="00548B"/>
        </w:rPr>
        <w:t>ONQUALIFIED</w:t>
      </w:r>
      <w:r>
        <w:rPr>
          <w:rFonts w:ascii="Arial" w:cs="Arial" w:eastAsia="Arial" w:hAnsi="Arial"/>
          <w:sz w:val="18"/>
          <w:szCs w:val="18"/>
          <w:b w:val="1"/>
          <w:bCs w:val="1"/>
          <w:color w:val="00548B"/>
        </w:rPr>
        <w:t xml:space="preserve"> D</w:t>
      </w:r>
      <w:r>
        <w:rPr>
          <w:rFonts w:ascii="Arial" w:cs="Arial" w:eastAsia="Arial" w:hAnsi="Arial"/>
          <w:sz w:val="14"/>
          <w:szCs w:val="14"/>
          <w:b w:val="1"/>
          <w:bCs w:val="1"/>
          <w:color w:val="00548B"/>
        </w:rPr>
        <w:t>EFERRED</w:t>
      </w:r>
      <w:r>
        <w:rPr>
          <w:rFonts w:ascii="Arial" w:cs="Arial" w:eastAsia="Arial" w:hAnsi="Arial"/>
          <w:sz w:val="18"/>
          <w:szCs w:val="18"/>
          <w:b w:val="1"/>
          <w:bCs w:val="1"/>
          <w:color w:val="00548B"/>
        </w:rPr>
        <w:t xml:space="preserve"> C</w:t>
      </w:r>
      <w:r>
        <w:rPr>
          <w:rFonts w:ascii="Arial" w:cs="Arial" w:eastAsia="Arial" w:hAnsi="Arial"/>
          <w:sz w:val="14"/>
          <w:szCs w:val="14"/>
          <w:b w:val="1"/>
          <w:bCs w:val="1"/>
          <w:color w:val="00548B"/>
        </w:rPr>
        <w:t>OMPENSATION</w:t>
      </w:r>
    </w:p>
    <w:p>
      <w:pPr>
        <w:spacing w:after="0" w:line="2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shows the deferred compensation activity for the named executive officers in 2019.</w:t>
      </w:r>
    </w:p>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520" w:type="dxa"/>
            <w:vAlign w:val="bottom"/>
            <w:shd w:val="clear" w:color="auto" w:fill="00548B"/>
          </w:tcPr>
          <w:p>
            <w:pPr>
              <w:spacing w:after="0"/>
              <w:rPr>
                <w:sz w:val="14"/>
                <w:szCs w:val="14"/>
                <w:color w:val="auto"/>
              </w:rPr>
            </w:pPr>
          </w:p>
        </w:tc>
        <w:tc>
          <w:tcPr>
            <w:tcW w:w="2480" w:type="dxa"/>
            <w:vAlign w:val="bottom"/>
            <w:shd w:val="clear" w:color="auto" w:fill="00548B"/>
          </w:tcPr>
          <w:p>
            <w:pPr>
              <w:spacing w:after="0"/>
              <w:rPr>
                <w:sz w:val="14"/>
                <w:szCs w:val="14"/>
                <w:color w:val="auto"/>
              </w:rPr>
            </w:pPr>
          </w:p>
        </w:tc>
        <w:tc>
          <w:tcPr>
            <w:tcW w:w="1460" w:type="dxa"/>
            <w:vAlign w:val="bottom"/>
            <w:shd w:val="clear" w:color="auto" w:fill="00548B"/>
          </w:tcPr>
          <w:p>
            <w:pPr>
              <w:spacing w:after="0"/>
              <w:rPr>
                <w:sz w:val="14"/>
                <w:szCs w:val="14"/>
                <w:color w:val="auto"/>
              </w:rPr>
            </w:pPr>
          </w:p>
        </w:tc>
        <w:tc>
          <w:tcPr>
            <w:tcW w:w="1480" w:type="dxa"/>
            <w:vAlign w:val="bottom"/>
            <w:shd w:val="clear" w:color="auto" w:fill="00548B"/>
          </w:tcPr>
          <w:p>
            <w:pPr>
              <w:jc w:val="center"/>
              <w:ind w:right="184"/>
              <w:spacing w:after="0"/>
              <w:rPr>
                <w:sz w:val="20"/>
                <w:szCs w:val="20"/>
                <w:color w:val="auto"/>
              </w:rPr>
            </w:pPr>
            <w:r>
              <w:rPr>
                <w:rFonts w:ascii="Arial" w:cs="Arial" w:eastAsia="Arial" w:hAnsi="Arial"/>
                <w:sz w:val="14"/>
                <w:szCs w:val="14"/>
                <w:b w:val="1"/>
                <w:bCs w:val="1"/>
                <w:color w:val="D8D8D8"/>
              </w:rPr>
              <w:t>Aggregate</w:t>
            </w:r>
          </w:p>
        </w:tc>
        <w:tc>
          <w:tcPr>
            <w:tcW w:w="1480" w:type="dxa"/>
            <w:vAlign w:val="bottom"/>
            <w:shd w:val="clear" w:color="auto" w:fill="00548B"/>
          </w:tcPr>
          <w:p>
            <w:pPr>
              <w:jc w:val="center"/>
              <w:ind w:left="44"/>
              <w:spacing w:after="0"/>
              <w:rPr>
                <w:sz w:val="20"/>
                <w:szCs w:val="20"/>
                <w:color w:val="auto"/>
              </w:rPr>
            </w:pPr>
            <w:r>
              <w:rPr>
                <w:rFonts w:ascii="Arial" w:cs="Arial" w:eastAsia="Arial" w:hAnsi="Arial"/>
                <w:sz w:val="14"/>
                <w:szCs w:val="14"/>
                <w:b w:val="1"/>
                <w:bCs w:val="1"/>
                <w:color w:val="D8D8D8"/>
              </w:rPr>
              <w:t>Aggregate</w:t>
            </w:r>
          </w:p>
        </w:tc>
        <w:tc>
          <w:tcPr>
            <w:tcW w:w="1600" w:type="dxa"/>
            <w:vAlign w:val="bottom"/>
            <w:shd w:val="clear" w:color="auto" w:fill="00548B"/>
          </w:tcPr>
          <w:p>
            <w:pPr>
              <w:spacing w:after="0"/>
              <w:rPr>
                <w:sz w:val="14"/>
                <w:szCs w:val="14"/>
                <w:color w:val="auto"/>
              </w:rPr>
            </w:pPr>
          </w:p>
        </w:tc>
      </w:tr>
      <w:tr>
        <w:trPr>
          <w:trHeight w:val="162"/>
        </w:trPr>
        <w:tc>
          <w:tcPr>
            <w:tcW w:w="2520" w:type="dxa"/>
            <w:vAlign w:val="bottom"/>
            <w:shd w:val="clear" w:color="auto" w:fill="00548B"/>
          </w:tcPr>
          <w:p>
            <w:pPr>
              <w:spacing w:after="0"/>
              <w:rPr>
                <w:sz w:val="14"/>
                <w:szCs w:val="14"/>
                <w:color w:val="auto"/>
              </w:rPr>
            </w:pPr>
          </w:p>
        </w:tc>
        <w:tc>
          <w:tcPr>
            <w:tcW w:w="2480" w:type="dxa"/>
            <w:vAlign w:val="bottom"/>
            <w:shd w:val="clear" w:color="auto" w:fill="00548B"/>
          </w:tcPr>
          <w:p>
            <w:pPr>
              <w:jc w:val="center"/>
              <w:ind w:left="963"/>
              <w:spacing w:after="0"/>
              <w:rPr>
                <w:sz w:val="20"/>
                <w:szCs w:val="20"/>
                <w:color w:val="auto"/>
              </w:rPr>
            </w:pPr>
            <w:r>
              <w:rPr>
                <w:rFonts w:ascii="Arial" w:cs="Arial" w:eastAsia="Arial" w:hAnsi="Arial"/>
                <w:sz w:val="14"/>
                <w:szCs w:val="14"/>
                <w:b w:val="1"/>
                <w:bCs w:val="1"/>
                <w:color w:val="D8D8D8"/>
              </w:rPr>
              <w:t>Executive</w:t>
            </w:r>
          </w:p>
        </w:tc>
        <w:tc>
          <w:tcPr>
            <w:tcW w:w="146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rPr>
              <w:t>Company</w:t>
            </w:r>
          </w:p>
        </w:tc>
        <w:tc>
          <w:tcPr>
            <w:tcW w:w="1480" w:type="dxa"/>
            <w:vAlign w:val="bottom"/>
            <w:shd w:val="clear" w:color="auto" w:fill="00548B"/>
          </w:tcPr>
          <w:p>
            <w:pPr>
              <w:jc w:val="center"/>
              <w:ind w:right="184"/>
              <w:spacing w:after="0"/>
              <w:rPr>
                <w:sz w:val="20"/>
                <w:szCs w:val="20"/>
                <w:color w:val="auto"/>
              </w:rPr>
            </w:pPr>
            <w:r>
              <w:rPr>
                <w:rFonts w:ascii="Arial" w:cs="Arial" w:eastAsia="Arial" w:hAnsi="Arial"/>
                <w:sz w:val="14"/>
                <w:szCs w:val="14"/>
                <w:b w:val="1"/>
                <w:bCs w:val="1"/>
                <w:color w:val="D8D8D8"/>
              </w:rPr>
              <w:t>Earnings/</w:t>
            </w:r>
          </w:p>
        </w:tc>
        <w:tc>
          <w:tcPr>
            <w:tcW w:w="1480" w:type="dxa"/>
            <w:vAlign w:val="bottom"/>
            <w:shd w:val="clear" w:color="auto" w:fill="00548B"/>
          </w:tcPr>
          <w:p>
            <w:pPr>
              <w:jc w:val="center"/>
              <w:ind w:left="44"/>
              <w:spacing w:after="0"/>
              <w:rPr>
                <w:sz w:val="20"/>
                <w:szCs w:val="20"/>
                <w:color w:val="auto"/>
              </w:rPr>
            </w:pPr>
            <w:r>
              <w:rPr>
                <w:rFonts w:ascii="Arial" w:cs="Arial" w:eastAsia="Arial" w:hAnsi="Arial"/>
                <w:sz w:val="14"/>
                <w:szCs w:val="14"/>
                <w:b w:val="1"/>
                <w:bCs w:val="1"/>
                <w:color w:val="D8D8D8"/>
              </w:rPr>
              <w:t>Withdrawals/</w:t>
            </w:r>
          </w:p>
        </w:tc>
        <w:tc>
          <w:tcPr>
            <w:tcW w:w="1600" w:type="dxa"/>
            <w:vAlign w:val="bottom"/>
            <w:shd w:val="clear" w:color="auto" w:fill="00548B"/>
          </w:tcPr>
          <w:p>
            <w:pPr>
              <w:jc w:val="center"/>
              <w:ind w:right="83"/>
              <w:spacing w:after="0"/>
              <w:rPr>
                <w:sz w:val="20"/>
                <w:szCs w:val="20"/>
                <w:color w:val="auto"/>
              </w:rPr>
            </w:pPr>
            <w:r>
              <w:rPr>
                <w:rFonts w:ascii="Arial" w:cs="Arial" w:eastAsia="Arial" w:hAnsi="Arial"/>
                <w:sz w:val="14"/>
                <w:szCs w:val="14"/>
                <w:b w:val="1"/>
                <w:bCs w:val="1"/>
                <w:color w:val="D8D8D8"/>
              </w:rPr>
              <w:t>Aggregate</w:t>
            </w:r>
          </w:p>
        </w:tc>
      </w:tr>
      <w:tr>
        <w:trPr>
          <w:trHeight w:val="162"/>
        </w:trPr>
        <w:tc>
          <w:tcPr>
            <w:tcW w:w="2520" w:type="dxa"/>
            <w:vAlign w:val="bottom"/>
            <w:shd w:val="clear" w:color="auto" w:fill="00548B"/>
          </w:tcPr>
          <w:p>
            <w:pPr>
              <w:spacing w:after="0"/>
              <w:rPr>
                <w:sz w:val="14"/>
                <w:szCs w:val="14"/>
                <w:color w:val="auto"/>
              </w:rPr>
            </w:pPr>
          </w:p>
        </w:tc>
        <w:tc>
          <w:tcPr>
            <w:tcW w:w="2480" w:type="dxa"/>
            <w:vAlign w:val="bottom"/>
            <w:shd w:val="clear" w:color="auto" w:fill="00548B"/>
          </w:tcPr>
          <w:p>
            <w:pPr>
              <w:jc w:val="center"/>
              <w:ind w:left="983"/>
              <w:spacing w:after="0"/>
              <w:rPr>
                <w:sz w:val="20"/>
                <w:szCs w:val="20"/>
                <w:color w:val="auto"/>
              </w:rPr>
            </w:pPr>
            <w:r>
              <w:rPr>
                <w:rFonts w:ascii="Arial" w:cs="Arial" w:eastAsia="Arial" w:hAnsi="Arial"/>
                <w:sz w:val="14"/>
                <w:szCs w:val="14"/>
                <w:b w:val="1"/>
                <w:bCs w:val="1"/>
                <w:color w:val="D8D8D8"/>
              </w:rPr>
              <w:t>Contributions</w:t>
            </w:r>
          </w:p>
        </w:tc>
        <w:tc>
          <w:tcPr>
            <w:tcW w:w="146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rPr>
              <w:t>Contributions</w:t>
            </w:r>
          </w:p>
        </w:tc>
        <w:tc>
          <w:tcPr>
            <w:tcW w:w="1480" w:type="dxa"/>
            <w:vAlign w:val="bottom"/>
            <w:shd w:val="clear" w:color="auto" w:fill="00548B"/>
          </w:tcPr>
          <w:p>
            <w:pPr>
              <w:jc w:val="center"/>
              <w:ind w:right="184"/>
              <w:spacing w:after="0"/>
              <w:rPr>
                <w:sz w:val="20"/>
                <w:szCs w:val="20"/>
                <w:color w:val="auto"/>
              </w:rPr>
            </w:pPr>
            <w:r>
              <w:rPr>
                <w:rFonts w:ascii="Arial" w:cs="Arial" w:eastAsia="Arial" w:hAnsi="Arial"/>
                <w:sz w:val="14"/>
                <w:szCs w:val="14"/>
                <w:b w:val="1"/>
                <w:bCs w:val="1"/>
                <w:color w:val="D8D8D8"/>
              </w:rPr>
              <w:t>Losses</w:t>
            </w:r>
          </w:p>
        </w:tc>
        <w:tc>
          <w:tcPr>
            <w:tcW w:w="1480" w:type="dxa"/>
            <w:vAlign w:val="bottom"/>
            <w:shd w:val="clear" w:color="auto" w:fill="00548B"/>
          </w:tcPr>
          <w:p>
            <w:pPr>
              <w:jc w:val="center"/>
              <w:ind w:left="44"/>
              <w:spacing w:after="0"/>
              <w:rPr>
                <w:sz w:val="20"/>
                <w:szCs w:val="20"/>
                <w:color w:val="auto"/>
              </w:rPr>
            </w:pPr>
            <w:r>
              <w:rPr>
                <w:rFonts w:ascii="Arial" w:cs="Arial" w:eastAsia="Arial" w:hAnsi="Arial"/>
                <w:sz w:val="14"/>
                <w:szCs w:val="14"/>
                <w:b w:val="1"/>
                <w:bCs w:val="1"/>
                <w:color w:val="D8D8D8"/>
              </w:rPr>
              <w:t>Distributions</w:t>
            </w:r>
          </w:p>
        </w:tc>
        <w:tc>
          <w:tcPr>
            <w:tcW w:w="1600" w:type="dxa"/>
            <w:vAlign w:val="bottom"/>
            <w:shd w:val="clear" w:color="auto" w:fill="00548B"/>
          </w:tcPr>
          <w:p>
            <w:pPr>
              <w:jc w:val="center"/>
              <w:ind w:right="83"/>
              <w:spacing w:after="0"/>
              <w:rPr>
                <w:sz w:val="20"/>
                <w:szCs w:val="20"/>
                <w:color w:val="auto"/>
              </w:rPr>
            </w:pPr>
            <w:r>
              <w:rPr>
                <w:rFonts w:ascii="Arial" w:cs="Arial" w:eastAsia="Arial" w:hAnsi="Arial"/>
                <w:sz w:val="14"/>
                <w:szCs w:val="14"/>
                <w:b w:val="1"/>
                <w:bCs w:val="1"/>
                <w:color w:val="D8D8D8"/>
              </w:rPr>
              <w:t>Balance as of</w:t>
            </w:r>
          </w:p>
        </w:tc>
      </w:tr>
      <w:tr>
        <w:trPr>
          <w:trHeight w:val="189"/>
        </w:trPr>
        <w:tc>
          <w:tcPr>
            <w:tcW w:w="2520" w:type="dxa"/>
            <w:vAlign w:val="bottom"/>
            <w:shd w:val="clear" w:color="auto" w:fill="00548B"/>
          </w:tcPr>
          <w:p>
            <w:pPr>
              <w:spacing w:after="0"/>
              <w:rPr>
                <w:sz w:val="20"/>
                <w:szCs w:val="20"/>
                <w:color w:val="auto"/>
              </w:rPr>
            </w:pPr>
            <w:r>
              <w:rPr>
                <w:rFonts w:ascii="Arial" w:cs="Arial" w:eastAsia="Arial" w:hAnsi="Arial"/>
                <w:sz w:val="14"/>
                <w:szCs w:val="14"/>
                <w:b w:val="1"/>
                <w:bCs w:val="1"/>
                <w:color w:val="D8D8D8"/>
              </w:rPr>
              <w:t>Name</w:t>
            </w:r>
          </w:p>
        </w:tc>
        <w:tc>
          <w:tcPr>
            <w:tcW w:w="2480" w:type="dxa"/>
            <w:vAlign w:val="bottom"/>
            <w:shd w:val="clear" w:color="auto" w:fill="00548B"/>
          </w:tcPr>
          <w:p>
            <w:pPr>
              <w:jc w:val="center"/>
              <w:ind w:left="963"/>
              <w:spacing w:after="0"/>
              <w:rPr>
                <w:sz w:val="20"/>
                <w:szCs w:val="20"/>
                <w:color w:val="auto"/>
              </w:rPr>
            </w:pPr>
            <w:r>
              <w:rPr>
                <w:rFonts w:ascii="Arial" w:cs="Arial" w:eastAsia="Arial" w:hAnsi="Arial"/>
                <w:sz w:val="14"/>
                <w:szCs w:val="14"/>
                <w:b w:val="1"/>
                <w:bCs w:val="1"/>
                <w:color w:val="D8D8D8"/>
              </w:rPr>
              <w:t>in 2019 ($)(1)</w:t>
            </w:r>
          </w:p>
        </w:tc>
        <w:tc>
          <w:tcPr>
            <w:tcW w:w="146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rPr>
              <w:t>in 2019 ($)</w:t>
            </w:r>
          </w:p>
        </w:tc>
        <w:tc>
          <w:tcPr>
            <w:tcW w:w="1480" w:type="dxa"/>
            <w:vAlign w:val="bottom"/>
            <w:shd w:val="clear" w:color="auto" w:fill="00548B"/>
          </w:tcPr>
          <w:p>
            <w:pPr>
              <w:jc w:val="center"/>
              <w:ind w:right="184"/>
              <w:spacing w:after="0"/>
              <w:rPr>
                <w:sz w:val="20"/>
                <w:szCs w:val="20"/>
                <w:color w:val="auto"/>
              </w:rPr>
            </w:pPr>
            <w:r>
              <w:rPr>
                <w:rFonts w:ascii="Arial" w:cs="Arial" w:eastAsia="Arial" w:hAnsi="Arial"/>
                <w:sz w:val="14"/>
                <w:szCs w:val="14"/>
                <w:b w:val="1"/>
                <w:bCs w:val="1"/>
                <w:color w:val="D8D8D8"/>
              </w:rPr>
              <w:t>in 2019 ($)</w:t>
            </w:r>
          </w:p>
        </w:tc>
        <w:tc>
          <w:tcPr>
            <w:tcW w:w="1480" w:type="dxa"/>
            <w:vAlign w:val="bottom"/>
            <w:shd w:val="clear" w:color="auto" w:fill="00548B"/>
          </w:tcPr>
          <w:p>
            <w:pPr>
              <w:jc w:val="center"/>
              <w:ind w:left="64"/>
              <w:spacing w:after="0"/>
              <w:rPr>
                <w:sz w:val="20"/>
                <w:szCs w:val="20"/>
                <w:color w:val="auto"/>
              </w:rPr>
            </w:pPr>
            <w:r>
              <w:rPr>
                <w:rFonts w:ascii="Arial" w:cs="Arial" w:eastAsia="Arial" w:hAnsi="Arial"/>
                <w:sz w:val="14"/>
                <w:szCs w:val="14"/>
                <w:b w:val="1"/>
                <w:bCs w:val="1"/>
                <w:color w:val="D8D8D8"/>
              </w:rPr>
              <w:t>in 2019 ($)</w:t>
            </w:r>
          </w:p>
        </w:tc>
        <w:tc>
          <w:tcPr>
            <w:tcW w:w="1600" w:type="dxa"/>
            <w:vAlign w:val="bottom"/>
            <w:shd w:val="clear" w:color="auto" w:fill="00548B"/>
          </w:tcPr>
          <w:p>
            <w:pPr>
              <w:jc w:val="center"/>
              <w:ind w:right="103"/>
              <w:spacing w:after="0"/>
              <w:rPr>
                <w:sz w:val="20"/>
                <w:szCs w:val="20"/>
                <w:color w:val="auto"/>
              </w:rPr>
            </w:pPr>
            <w:r>
              <w:rPr>
                <w:rFonts w:ascii="Arial" w:cs="Arial" w:eastAsia="Arial" w:hAnsi="Arial"/>
                <w:sz w:val="14"/>
                <w:szCs w:val="14"/>
                <w:b w:val="1"/>
                <w:bCs w:val="1"/>
                <w:color w:val="D8D8D8"/>
              </w:rPr>
              <w:t>12/31/19 ($)</w:t>
            </w:r>
          </w:p>
        </w:tc>
      </w:tr>
      <w:tr>
        <w:trPr>
          <w:trHeight w:val="189"/>
        </w:trPr>
        <w:tc>
          <w:tcPr>
            <w:tcW w:w="2520" w:type="dxa"/>
            <w:vAlign w:val="bottom"/>
            <w:tcBorders>
              <w:bottom w:val="single" w:sz="8" w:color="999999"/>
            </w:tcBorders>
          </w:tcPr>
          <w:p>
            <w:pPr>
              <w:spacing w:after="0"/>
              <w:rPr>
                <w:sz w:val="20"/>
                <w:szCs w:val="20"/>
                <w:color w:val="auto"/>
              </w:rPr>
            </w:pPr>
            <w:r>
              <w:rPr>
                <w:rFonts w:ascii="Arial" w:cs="Arial" w:eastAsia="Arial" w:hAnsi="Arial"/>
                <w:sz w:val="16"/>
                <w:szCs w:val="16"/>
                <w:color w:val="auto"/>
              </w:rPr>
              <w:t>James H. Roth</w:t>
            </w:r>
          </w:p>
        </w:tc>
        <w:tc>
          <w:tcPr>
            <w:tcW w:w="2480" w:type="dxa"/>
            <w:vAlign w:val="bottom"/>
            <w:tcBorders>
              <w:bottom w:val="single" w:sz="8" w:color="999999"/>
            </w:tcBorders>
          </w:tcPr>
          <w:p>
            <w:pPr>
              <w:jc w:val="center"/>
              <w:ind w:left="963"/>
              <w:spacing w:after="0"/>
              <w:rPr>
                <w:sz w:val="20"/>
                <w:szCs w:val="20"/>
                <w:color w:val="auto"/>
              </w:rPr>
            </w:pPr>
            <w:r>
              <w:rPr>
                <w:rFonts w:ascii="Arial" w:cs="Arial" w:eastAsia="Arial" w:hAnsi="Arial"/>
                <w:sz w:val="16"/>
                <w:szCs w:val="16"/>
                <w:color w:val="auto"/>
                <w:w w:val="99"/>
              </w:rPr>
              <w:t>—</w:t>
            </w:r>
          </w:p>
        </w:tc>
        <w:tc>
          <w:tcPr>
            <w:tcW w:w="1460" w:type="dxa"/>
            <w:vAlign w:val="bottom"/>
            <w:tcBorders>
              <w:bottom w:val="single" w:sz="8" w:color="999999"/>
            </w:tcBorders>
          </w:tcPr>
          <w:p>
            <w:pPr>
              <w:jc w:val="center"/>
              <w:spacing w:after="0"/>
              <w:rPr>
                <w:sz w:val="20"/>
                <w:szCs w:val="20"/>
                <w:color w:val="auto"/>
              </w:rPr>
            </w:pPr>
            <w:r>
              <w:rPr>
                <w:rFonts w:ascii="Arial" w:cs="Arial" w:eastAsia="Arial" w:hAnsi="Arial"/>
                <w:sz w:val="16"/>
                <w:szCs w:val="16"/>
                <w:color w:val="auto"/>
                <w:w w:val="99"/>
              </w:rPr>
              <w:t>—</w:t>
            </w:r>
          </w:p>
        </w:tc>
        <w:tc>
          <w:tcPr>
            <w:tcW w:w="1480" w:type="dxa"/>
            <w:vAlign w:val="bottom"/>
            <w:tcBorders>
              <w:bottom w:val="single" w:sz="8" w:color="999999"/>
            </w:tcBorders>
          </w:tcPr>
          <w:p>
            <w:pPr>
              <w:jc w:val="right"/>
              <w:ind w:right="284"/>
              <w:spacing w:after="0"/>
              <w:rPr>
                <w:sz w:val="20"/>
                <w:szCs w:val="20"/>
                <w:color w:val="auto"/>
              </w:rPr>
            </w:pPr>
            <w:r>
              <w:rPr>
                <w:rFonts w:ascii="Arial" w:cs="Arial" w:eastAsia="Arial" w:hAnsi="Arial"/>
                <w:sz w:val="16"/>
                <w:szCs w:val="16"/>
                <w:color w:val="auto"/>
              </w:rPr>
              <w:t>728,639</w:t>
            </w:r>
          </w:p>
        </w:tc>
        <w:tc>
          <w:tcPr>
            <w:tcW w:w="1480" w:type="dxa"/>
            <w:vAlign w:val="bottom"/>
            <w:tcBorders>
              <w:bottom w:val="single" w:sz="8" w:color="999999"/>
            </w:tcBorders>
          </w:tcPr>
          <w:p>
            <w:pPr>
              <w:jc w:val="center"/>
              <w:ind w:left="44"/>
              <w:spacing w:after="0"/>
              <w:rPr>
                <w:sz w:val="20"/>
                <w:szCs w:val="20"/>
                <w:color w:val="auto"/>
              </w:rPr>
            </w:pPr>
            <w:r>
              <w:rPr>
                <w:rFonts w:ascii="Arial" w:cs="Arial" w:eastAsia="Arial" w:hAnsi="Arial"/>
                <w:sz w:val="16"/>
                <w:szCs w:val="16"/>
                <w:color w:val="auto"/>
                <w:w w:val="99"/>
              </w:rPr>
              <w:t>—</w:t>
            </w:r>
          </w:p>
        </w:tc>
        <w:tc>
          <w:tcPr>
            <w:tcW w:w="1600" w:type="dxa"/>
            <w:vAlign w:val="bottom"/>
            <w:tcBorders>
              <w:bottom w:val="single" w:sz="8" w:color="999999"/>
            </w:tcBorders>
          </w:tcPr>
          <w:p>
            <w:pPr>
              <w:jc w:val="right"/>
              <w:ind w:right="263"/>
              <w:spacing w:after="0"/>
              <w:rPr>
                <w:sz w:val="20"/>
                <w:szCs w:val="20"/>
                <w:color w:val="auto"/>
              </w:rPr>
            </w:pPr>
            <w:r>
              <w:rPr>
                <w:rFonts w:ascii="Arial" w:cs="Arial" w:eastAsia="Arial" w:hAnsi="Arial"/>
                <w:sz w:val="16"/>
                <w:szCs w:val="16"/>
                <w:color w:val="auto"/>
              </w:rPr>
              <w:t>3,269,358</w:t>
            </w:r>
          </w:p>
        </w:tc>
      </w:tr>
      <w:tr>
        <w:trPr>
          <w:trHeight w:val="183"/>
        </w:trPr>
        <w:tc>
          <w:tcPr>
            <w:tcW w:w="2520" w:type="dxa"/>
            <w:vAlign w:val="bottom"/>
            <w:tcBorders>
              <w:bottom w:val="single" w:sz="8" w:color="999999"/>
            </w:tcBorders>
          </w:tcPr>
          <w:p>
            <w:pPr>
              <w:spacing w:after="0" w:line="183" w:lineRule="exact"/>
              <w:rPr>
                <w:sz w:val="20"/>
                <w:szCs w:val="20"/>
                <w:color w:val="auto"/>
              </w:rPr>
            </w:pPr>
            <w:r>
              <w:rPr>
                <w:rFonts w:ascii="Arial" w:cs="Arial" w:eastAsia="Arial" w:hAnsi="Arial"/>
                <w:sz w:val="16"/>
                <w:szCs w:val="16"/>
                <w:color w:val="auto"/>
              </w:rPr>
              <w:t>C. Mark Hussey</w:t>
            </w:r>
          </w:p>
        </w:tc>
        <w:tc>
          <w:tcPr>
            <w:tcW w:w="2480" w:type="dxa"/>
            <w:vAlign w:val="bottom"/>
            <w:tcBorders>
              <w:bottom w:val="single" w:sz="8" w:color="999999"/>
            </w:tcBorders>
          </w:tcPr>
          <w:p>
            <w:pPr>
              <w:jc w:val="center"/>
              <w:ind w:left="963"/>
              <w:spacing w:after="0" w:line="183" w:lineRule="exact"/>
              <w:rPr>
                <w:sz w:val="20"/>
                <w:szCs w:val="20"/>
                <w:color w:val="auto"/>
              </w:rPr>
            </w:pPr>
            <w:r>
              <w:rPr>
                <w:rFonts w:ascii="Arial" w:cs="Arial" w:eastAsia="Arial" w:hAnsi="Arial"/>
                <w:sz w:val="16"/>
                <w:szCs w:val="16"/>
                <w:color w:val="auto"/>
                <w:w w:val="99"/>
              </w:rPr>
              <w:t>—</w:t>
            </w:r>
          </w:p>
        </w:tc>
        <w:tc>
          <w:tcPr>
            <w:tcW w:w="1460" w:type="dxa"/>
            <w:vAlign w:val="bottom"/>
            <w:tcBorders>
              <w:bottom w:val="single" w:sz="8" w:color="999999"/>
            </w:tcBorders>
          </w:tcPr>
          <w:p>
            <w:pPr>
              <w:jc w:val="center"/>
              <w:spacing w:after="0" w:line="183" w:lineRule="exact"/>
              <w:rPr>
                <w:sz w:val="20"/>
                <w:szCs w:val="20"/>
                <w:color w:val="auto"/>
              </w:rPr>
            </w:pPr>
            <w:r>
              <w:rPr>
                <w:rFonts w:ascii="Arial" w:cs="Arial" w:eastAsia="Arial" w:hAnsi="Arial"/>
                <w:sz w:val="16"/>
                <w:szCs w:val="16"/>
                <w:color w:val="auto"/>
                <w:w w:val="99"/>
              </w:rPr>
              <w:t>—</w:t>
            </w:r>
          </w:p>
        </w:tc>
        <w:tc>
          <w:tcPr>
            <w:tcW w:w="1480" w:type="dxa"/>
            <w:vAlign w:val="bottom"/>
            <w:tcBorders>
              <w:bottom w:val="single" w:sz="8" w:color="999999"/>
            </w:tcBorders>
          </w:tcPr>
          <w:p>
            <w:pPr>
              <w:jc w:val="right"/>
              <w:ind w:right="284"/>
              <w:spacing w:after="0" w:line="183" w:lineRule="exact"/>
              <w:rPr>
                <w:sz w:val="20"/>
                <w:szCs w:val="20"/>
                <w:color w:val="auto"/>
              </w:rPr>
            </w:pPr>
            <w:r>
              <w:rPr>
                <w:rFonts w:ascii="Arial" w:cs="Arial" w:eastAsia="Arial" w:hAnsi="Arial"/>
                <w:sz w:val="16"/>
                <w:szCs w:val="16"/>
                <w:color w:val="auto"/>
              </w:rPr>
              <w:t>305,035</w:t>
            </w:r>
          </w:p>
        </w:tc>
        <w:tc>
          <w:tcPr>
            <w:tcW w:w="1480" w:type="dxa"/>
            <w:vAlign w:val="bottom"/>
            <w:tcBorders>
              <w:bottom w:val="single" w:sz="8" w:color="999999"/>
            </w:tcBorders>
          </w:tcPr>
          <w:p>
            <w:pPr>
              <w:jc w:val="center"/>
              <w:ind w:left="44"/>
              <w:spacing w:after="0" w:line="183" w:lineRule="exact"/>
              <w:rPr>
                <w:sz w:val="20"/>
                <w:szCs w:val="20"/>
                <w:color w:val="auto"/>
              </w:rPr>
            </w:pPr>
            <w:r>
              <w:rPr>
                <w:rFonts w:ascii="Arial" w:cs="Arial" w:eastAsia="Arial" w:hAnsi="Arial"/>
                <w:sz w:val="16"/>
                <w:szCs w:val="16"/>
                <w:color w:val="auto"/>
                <w:w w:val="99"/>
              </w:rPr>
              <w:t>—</w:t>
            </w:r>
          </w:p>
        </w:tc>
        <w:tc>
          <w:tcPr>
            <w:tcW w:w="1600" w:type="dxa"/>
            <w:vAlign w:val="bottom"/>
            <w:tcBorders>
              <w:bottom w:val="single" w:sz="8" w:color="999999"/>
            </w:tcBorders>
          </w:tcPr>
          <w:p>
            <w:pPr>
              <w:jc w:val="right"/>
              <w:ind w:right="263"/>
              <w:spacing w:after="0" w:line="183" w:lineRule="exact"/>
              <w:rPr>
                <w:sz w:val="20"/>
                <w:szCs w:val="20"/>
                <w:color w:val="auto"/>
              </w:rPr>
            </w:pPr>
            <w:r>
              <w:rPr>
                <w:rFonts w:ascii="Arial" w:cs="Arial" w:eastAsia="Arial" w:hAnsi="Arial"/>
                <w:sz w:val="16"/>
                <w:szCs w:val="16"/>
                <w:color w:val="auto"/>
              </w:rPr>
              <w:t>1,279,541</w:t>
            </w:r>
          </w:p>
        </w:tc>
      </w:tr>
      <w:tr>
        <w:trPr>
          <w:trHeight w:val="183"/>
        </w:trPr>
        <w:tc>
          <w:tcPr>
            <w:tcW w:w="2520" w:type="dxa"/>
            <w:vAlign w:val="bottom"/>
            <w:tcBorders>
              <w:bottom w:val="single" w:sz="8" w:color="999999"/>
            </w:tcBorders>
          </w:tcPr>
          <w:p>
            <w:pPr>
              <w:spacing w:after="0" w:line="183" w:lineRule="exact"/>
              <w:rPr>
                <w:sz w:val="20"/>
                <w:szCs w:val="20"/>
                <w:color w:val="auto"/>
              </w:rPr>
            </w:pPr>
            <w:r>
              <w:rPr>
                <w:rFonts w:ascii="Arial" w:cs="Arial" w:eastAsia="Arial" w:hAnsi="Arial"/>
                <w:sz w:val="16"/>
                <w:szCs w:val="16"/>
                <w:color w:val="auto"/>
              </w:rPr>
              <w:t>John D. Kelly</w:t>
            </w:r>
          </w:p>
        </w:tc>
        <w:tc>
          <w:tcPr>
            <w:tcW w:w="2480" w:type="dxa"/>
            <w:vAlign w:val="bottom"/>
            <w:tcBorders>
              <w:bottom w:val="single" w:sz="8" w:color="999999"/>
            </w:tcBorders>
          </w:tcPr>
          <w:p>
            <w:pPr>
              <w:jc w:val="center"/>
              <w:ind w:left="963"/>
              <w:spacing w:after="0" w:line="183" w:lineRule="exact"/>
              <w:rPr>
                <w:sz w:val="20"/>
                <w:szCs w:val="20"/>
                <w:color w:val="auto"/>
              </w:rPr>
            </w:pPr>
            <w:r>
              <w:rPr>
                <w:rFonts w:ascii="Arial" w:cs="Arial" w:eastAsia="Arial" w:hAnsi="Arial"/>
                <w:sz w:val="16"/>
                <w:szCs w:val="16"/>
                <w:color w:val="auto"/>
                <w:w w:val="99"/>
              </w:rPr>
              <w:t>—</w:t>
            </w:r>
          </w:p>
        </w:tc>
        <w:tc>
          <w:tcPr>
            <w:tcW w:w="1460" w:type="dxa"/>
            <w:vAlign w:val="bottom"/>
            <w:tcBorders>
              <w:bottom w:val="single" w:sz="8" w:color="999999"/>
            </w:tcBorders>
          </w:tcPr>
          <w:p>
            <w:pPr>
              <w:jc w:val="center"/>
              <w:spacing w:after="0" w:line="183" w:lineRule="exact"/>
              <w:rPr>
                <w:sz w:val="20"/>
                <w:szCs w:val="20"/>
                <w:color w:val="auto"/>
              </w:rPr>
            </w:pPr>
            <w:r>
              <w:rPr>
                <w:rFonts w:ascii="Arial" w:cs="Arial" w:eastAsia="Arial" w:hAnsi="Arial"/>
                <w:sz w:val="16"/>
                <w:szCs w:val="16"/>
                <w:color w:val="auto"/>
                <w:w w:val="99"/>
              </w:rPr>
              <w:t>—</w:t>
            </w:r>
          </w:p>
        </w:tc>
        <w:tc>
          <w:tcPr>
            <w:tcW w:w="1480" w:type="dxa"/>
            <w:vAlign w:val="bottom"/>
            <w:tcBorders>
              <w:bottom w:val="single" w:sz="8" w:color="999999"/>
            </w:tcBorders>
          </w:tcPr>
          <w:p>
            <w:pPr>
              <w:jc w:val="right"/>
              <w:ind w:right="664"/>
              <w:spacing w:after="0" w:line="183" w:lineRule="exact"/>
              <w:rPr>
                <w:sz w:val="20"/>
                <w:szCs w:val="20"/>
                <w:color w:val="auto"/>
              </w:rPr>
            </w:pPr>
            <w:r>
              <w:rPr>
                <w:rFonts w:ascii="Arial" w:cs="Arial" w:eastAsia="Arial" w:hAnsi="Arial"/>
                <w:sz w:val="16"/>
                <w:szCs w:val="16"/>
                <w:color w:val="auto"/>
              </w:rPr>
              <w:t>—</w:t>
            </w:r>
          </w:p>
        </w:tc>
        <w:tc>
          <w:tcPr>
            <w:tcW w:w="1480" w:type="dxa"/>
            <w:vAlign w:val="bottom"/>
            <w:tcBorders>
              <w:bottom w:val="single" w:sz="8" w:color="999999"/>
            </w:tcBorders>
          </w:tcPr>
          <w:p>
            <w:pPr>
              <w:jc w:val="center"/>
              <w:ind w:left="44"/>
              <w:spacing w:after="0" w:line="183" w:lineRule="exact"/>
              <w:rPr>
                <w:sz w:val="20"/>
                <w:szCs w:val="20"/>
                <w:color w:val="auto"/>
              </w:rPr>
            </w:pPr>
            <w:r>
              <w:rPr>
                <w:rFonts w:ascii="Arial" w:cs="Arial" w:eastAsia="Arial" w:hAnsi="Arial"/>
                <w:sz w:val="16"/>
                <w:szCs w:val="16"/>
                <w:color w:val="auto"/>
                <w:w w:val="99"/>
              </w:rPr>
              <w:t>—</w:t>
            </w:r>
          </w:p>
        </w:tc>
        <w:tc>
          <w:tcPr>
            <w:tcW w:w="1600" w:type="dxa"/>
            <w:vAlign w:val="bottom"/>
            <w:tcBorders>
              <w:bottom w:val="single" w:sz="8" w:color="999999"/>
            </w:tcBorders>
          </w:tcPr>
          <w:p>
            <w:pPr>
              <w:jc w:val="right"/>
              <w:ind w:right="703"/>
              <w:spacing w:after="0" w:line="183" w:lineRule="exact"/>
              <w:rPr>
                <w:sz w:val="20"/>
                <w:szCs w:val="20"/>
                <w:color w:val="auto"/>
              </w:rPr>
            </w:pPr>
            <w:r>
              <w:rPr>
                <w:rFonts w:ascii="Arial" w:cs="Arial" w:eastAsia="Arial" w:hAnsi="Arial"/>
                <w:sz w:val="16"/>
                <w:szCs w:val="16"/>
                <w:color w:val="auto"/>
              </w:rPr>
              <w:t>—</w:t>
            </w:r>
          </w:p>
        </w:tc>
      </w:tr>
      <w:tr>
        <w:trPr>
          <w:trHeight w:val="182"/>
        </w:trPr>
        <w:tc>
          <w:tcPr>
            <w:tcW w:w="2520" w:type="dxa"/>
            <w:vAlign w:val="bottom"/>
            <w:tcBorders>
              <w:bottom w:val="single" w:sz="8" w:color="00548B"/>
            </w:tcBorders>
          </w:tcPr>
          <w:p>
            <w:pPr>
              <w:spacing w:after="0" w:line="183" w:lineRule="exact"/>
              <w:rPr>
                <w:sz w:val="20"/>
                <w:szCs w:val="20"/>
                <w:color w:val="auto"/>
              </w:rPr>
            </w:pPr>
            <w:r>
              <w:rPr>
                <w:rFonts w:ascii="Arial" w:cs="Arial" w:eastAsia="Arial" w:hAnsi="Arial"/>
                <w:sz w:val="16"/>
                <w:szCs w:val="16"/>
                <w:color w:val="auto"/>
              </w:rPr>
              <w:t>Diane E. Ratekin</w:t>
            </w:r>
          </w:p>
        </w:tc>
        <w:tc>
          <w:tcPr>
            <w:tcW w:w="2480" w:type="dxa"/>
            <w:vAlign w:val="bottom"/>
            <w:tcBorders>
              <w:bottom w:val="single" w:sz="8" w:color="00548B"/>
            </w:tcBorders>
          </w:tcPr>
          <w:p>
            <w:pPr>
              <w:jc w:val="center"/>
              <w:ind w:left="963"/>
              <w:spacing w:after="0" w:line="183" w:lineRule="exact"/>
              <w:rPr>
                <w:sz w:val="20"/>
                <w:szCs w:val="20"/>
                <w:color w:val="auto"/>
              </w:rPr>
            </w:pPr>
            <w:r>
              <w:rPr>
                <w:rFonts w:ascii="Arial" w:cs="Arial" w:eastAsia="Arial" w:hAnsi="Arial"/>
                <w:sz w:val="16"/>
                <w:szCs w:val="16"/>
                <w:color w:val="auto"/>
                <w:w w:val="99"/>
              </w:rPr>
              <w:t>—</w:t>
            </w:r>
          </w:p>
        </w:tc>
        <w:tc>
          <w:tcPr>
            <w:tcW w:w="1460" w:type="dxa"/>
            <w:vAlign w:val="bottom"/>
            <w:tcBorders>
              <w:bottom w:val="single" w:sz="8" w:color="00548B"/>
            </w:tcBorders>
          </w:tcPr>
          <w:p>
            <w:pPr>
              <w:jc w:val="center"/>
              <w:spacing w:after="0" w:line="183" w:lineRule="exact"/>
              <w:rPr>
                <w:sz w:val="20"/>
                <w:szCs w:val="20"/>
                <w:color w:val="auto"/>
              </w:rPr>
            </w:pPr>
            <w:r>
              <w:rPr>
                <w:rFonts w:ascii="Arial" w:cs="Arial" w:eastAsia="Arial" w:hAnsi="Arial"/>
                <w:sz w:val="16"/>
                <w:szCs w:val="16"/>
                <w:color w:val="auto"/>
                <w:w w:val="99"/>
              </w:rPr>
              <w:t>—</w:t>
            </w:r>
          </w:p>
        </w:tc>
        <w:tc>
          <w:tcPr>
            <w:tcW w:w="1480" w:type="dxa"/>
            <w:vAlign w:val="bottom"/>
            <w:tcBorders>
              <w:bottom w:val="single" w:sz="8" w:color="00548B"/>
            </w:tcBorders>
          </w:tcPr>
          <w:p>
            <w:pPr>
              <w:jc w:val="right"/>
              <w:ind w:right="284"/>
              <w:spacing w:after="0" w:line="183" w:lineRule="exact"/>
              <w:rPr>
                <w:sz w:val="20"/>
                <w:szCs w:val="20"/>
                <w:color w:val="auto"/>
              </w:rPr>
            </w:pPr>
            <w:r>
              <w:rPr>
                <w:rFonts w:ascii="Arial" w:cs="Arial" w:eastAsia="Arial" w:hAnsi="Arial"/>
                <w:sz w:val="16"/>
                <w:szCs w:val="16"/>
                <w:color w:val="auto"/>
              </w:rPr>
              <w:t>39,648</w:t>
            </w:r>
          </w:p>
        </w:tc>
        <w:tc>
          <w:tcPr>
            <w:tcW w:w="1480" w:type="dxa"/>
            <w:vAlign w:val="bottom"/>
            <w:tcBorders>
              <w:bottom w:val="single" w:sz="8" w:color="00548B"/>
            </w:tcBorders>
          </w:tcPr>
          <w:p>
            <w:pPr>
              <w:jc w:val="center"/>
              <w:ind w:left="44"/>
              <w:spacing w:after="0" w:line="183" w:lineRule="exact"/>
              <w:rPr>
                <w:sz w:val="20"/>
                <w:szCs w:val="20"/>
                <w:color w:val="auto"/>
              </w:rPr>
            </w:pPr>
            <w:r>
              <w:rPr>
                <w:rFonts w:ascii="Arial" w:cs="Arial" w:eastAsia="Arial" w:hAnsi="Arial"/>
                <w:sz w:val="16"/>
                <w:szCs w:val="16"/>
                <w:color w:val="auto"/>
                <w:w w:val="99"/>
              </w:rPr>
              <w:t>—</w:t>
            </w:r>
          </w:p>
        </w:tc>
        <w:tc>
          <w:tcPr>
            <w:tcW w:w="1600" w:type="dxa"/>
            <w:vAlign w:val="bottom"/>
            <w:tcBorders>
              <w:bottom w:val="single" w:sz="8" w:color="00548B"/>
            </w:tcBorders>
          </w:tcPr>
          <w:p>
            <w:pPr>
              <w:jc w:val="right"/>
              <w:ind w:right="263"/>
              <w:spacing w:after="0" w:line="183" w:lineRule="exact"/>
              <w:rPr>
                <w:sz w:val="20"/>
                <w:szCs w:val="20"/>
                <w:color w:val="auto"/>
              </w:rPr>
            </w:pPr>
            <w:r>
              <w:rPr>
                <w:rFonts w:ascii="Arial" w:cs="Arial" w:eastAsia="Arial" w:hAnsi="Arial"/>
                <w:sz w:val="16"/>
                <w:szCs w:val="16"/>
                <w:color w:val="auto"/>
              </w:rPr>
              <w:t>170,588</w:t>
            </w:r>
          </w:p>
        </w:tc>
      </w:tr>
    </w:tbl>
    <w:p>
      <w:pPr>
        <w:spacing w:after="0" w:line="218" w:lineRule="exact"/>
        <w:rPr>
          <w:sz w:val="20"/>
          <w:szCs w:val="20"/>
          <w:color w:val="auto"/>
        </w:rPr>
      </w:pPr>
    </w:p>
    <w:p>
      <w:pPr>
        <w:ind w:left="660" w:hanging="544"/>
        <w:spacing w:after="0"/>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There were no executive contributions made to the DCP for 2019.</w:t>
      </w:r>
    </w:p>
    <w:p>
      <w:pPr>
        <w:spacing w:after="0" w:line="181" w:lineRule="exact"/>
        <w:rPr>
          <w:sz w:val="20"/>
          <w:szCs w:val="20"/>
          <w:color w:val="auto"/>
        </w:rPr>
      </w:pPr>
    </w:p>
    <w:p>
      <w:pPr>
        <w:jc w:val="both"/>
        <w:ind w:left="120" w:right="20"/>
        <w:spacing w:after="0" w:line="248" w:lineRule="auto"/>
        <w:rPr>
          <w:sz w:val="20"/>
          <w:szCs w:val="20"/>
          <w:color w:val="auto"/>
        </w:rPr>
      </w:pPr>
      <w:r>
        <w:rPr>
          <w:rFonts w:ascii="Arial" w:cs="Arial" w:eastAsia="Arial" w:hAnsi="Arial"/>
          <w:sz w:val="16"/>
          <w:szCs w:val="16"/>
          <w:color w:val="auto"/>
        </w:rPr>
        <w:t>The Company maintains the DCP, which became effective July 1, 2006. The DCP permits managing directors, corporate vice presidents and named executive officers to elect to defer up to 75% of their base salary and 100% of their annual cash incentive into a deferred compensation account and to choose from a number of generally available investment vehicles. Earnings are credited based on earnings of the investment options selected by the participant. Huron does not match any amounts deferred or otherwise contribute to the DCP except to make restoration payments to the accounts of participants who do not receive the maximum eligible 401(k) match as a result of participation in the DCP. Deferral elections for base salary and any guaranteed bonus must be made in the calendar year prior to earning such base salary or within 30 days of becoming eligible for the plan. The Company requires that deferral elections of the annual cash incentive must be made 12 months prior to the end of the applicable performance period. Non-employee directors may also defer up to 100% of their retainer and meeting fees into the DCP.</w:t>
      </w:r>
    </w:p>
    <w:p>
      <w:pPr>
        <w:spacing w:after="0" w:line="167" w:lineRule="exact"/>
        <w:rPr>
          <w:sz w:val="20"/>
          <w:szCs w:val="20"/>
          <w:color w:val="auto"/>
        </w:rPr>
      </w:pPr>
    </w:p>
    <w:p>
      <w:pPr>
        <w:jc w:val="both"/>
        <w:ind w:left="120" w:right="20"/>
        <w:spacing w:after="0" w:line="251" w:lineRule="auto"/>
        <w:rPr>
          <w:sz w:val="20"/>
          <w:szCs w:val="20"/>
          <w:color w:val="auto"/>
        </w:rPr>
      </w:pPr>
      <w:r>
        <w:rPr>
          <w:rFonts w:ascii="Arial" w:cs="Arial" w:eastAsia="Arial" w:hAnsi="Arial"/>
          <w:sz w:val="16"/>
          <w:szCs w:val="16"/>
          <w:color w:val="auto"/>
        </w:rPr>
        <w:t>Payments from the plan automatically begin upon termination of employment or separation from service as a director. Key employees, including executive officers, must wait six months after termination to receive payment from the plan. Participants may elect payment in a lump sum or annual installments for up to 15 years. Upon proof of financial hardship and approval from the Compensation Committee, a participant may be allowed an early distribution. Participants may also elect to receive payments prior to termination through a scheduled distribution.</w:t>
      </w:r>
    </w:p>
    <w:p>
      <w:pPr>
        <w:spacing w:after="0" w:line="13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00548B"/>
        </w:rPr>
        <w:t>39</w:t>
      </w:r>
    </w:p>
    <w:p>
      <w:pPr>
        <w:sectPr>
          <w:pgSz w:w="11900" w:h="16838" w:orient="portrait"/>
          <w:cols w:equalWidth="0" w:num="1">
            <w:col w:w="11140"/>
          </w:cols>
          <w:pgMar w:left="32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1885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188595"/>
                    </a:xfrm>
                    <a:prstGeom prst="rect">
                      <a:avLst/>
                    </a:prstGeom>
                    <a:noFill/>
                  </pic:spPr>
                </pic:pic>
              </a:graphicData>
            </a:graphic>
          </wp:anchor>
        </w:drawing>
      </w:r>
    </w:p>
    <w:p>
      <w:pPr>
        <w:spacing w:after="0" w:line="36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D8D8D8"/>
        </w:rPr>
        <w:t>POTENTIAL PAYMENTS UPON TERMINATION OR CHANGE OF CONTROL</w:t>
      </w:r>
    </w:p>
    <w:p>
      <w:pPr>
        <w:spacing w:after="0" w:line="203"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00548B"/>
        </w:rPr>
        <w:t>Background</w:t>
      </w:r>
    </w:p>
    <w:p>
      <w:pPr>
        <w:spacing w:after="0" w:line="25" w:lineRule="exact"/>
        <w:rPr>
          <w:sz w:val="20"/>
          <w:szCs w:val="20"/>
          <w:color w:val="auto"/>
        </w:rPr>
      </w:pPr>
    </w:p>
    <w:p>
      <w:pPr>
        <w:jc w:val="both"/>
        <w:ind w:left="120"/>
        <w:spacing w:after="0" w:line="260" w:lineRule="auto"/>
        <w:rPr>
          <w:sz w:val="20"/>
          <w:szCs w:val="20"/>
          <w:color w:val="auto"/>
        </w:rPr>
      </w:pPr>
      <w:r>
        <w:rPr>
          <w:rFonts w:ascii="Arial" w:cs="Arial" w:eastAsia="Arial" w:hAnsi="Arial"/>
          <w:sz w:val="16"/>
          <w:szCs w:val="16"/>
          <w:color w:val="auto"/>
        </w:rPr>
        <w:t>We have entered into agreements and maintain plans and arrangements that require us to pay or provide compensation and benefits to each of the named executive officers in the event of certain terminations of employment or a change of control.</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00548B"/>
        </w:rPr>
        <w:t>Senior Management Agreements</w:t>
      </w:r>
    </w:p>
    <w:p>
      <w:pPr>
        <w:spacing w:after="0" w:line="25"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6"/>
          <w:szCs w:val="16"/>
          <w:color w:val="auto"/>
        </w:rPr>
        <w:t>Mr. Roth’s agreement covers a term beginning on January 1, 2017, and continues for three years from that date. Following the expiration of that initial three-year term, his agreement will be automatically renewed every year, unless Mr. Roth or the Company provides 60 days’ notice to the other that such automatic renewal shall cease. The agreement may be earlier terminated by Mr. Roth or the Company pursuant to its terms.</w:t>
      </w:r>
    </w:p>
    <w:p>
      <w:pPr>
        <w:spacing w:after="0" w:line="161"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6"/>
          <w:szCs w:val="16"/>
          <w:color w:val="auto"/>
        </w:rPr>
        <w:t>Mr. Hussey, Mr. Kelly and Ms. Ratekin’s agreements provide that employment will continue unless either the Company or the executive delivers to the other 60 days’ advance written notice of the cessation of employment. These may be earlier terminated by the executive or the Company pursuant to their terms.</w:t>
      </w:r>
    </w:p>
    <w:p>
      <w:pPr>
        <w:spacing w:after="0" w:line="174"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6"/>
          <w:szCs w:val="16"/>
          <w:color w:val="auto"/>
        </w:rPr>
        <w:t>The Company and Ms. Ratekin have entered into a Transitional Retirement Agreement in connection with Ms. Ratekin’s retirement as Executive Vice President, General Counsel and Corporate Secretary of the Company. Ms. Ratekin will serve as an advisor to the Board of Directors of the Company and the successor General Counsel until April 1, 2021.</w:t>
      </w:r>
    </w:p>
    <w:p>
      <w:pPr>
        <w:spacing w:after="0" w:line="161" w:lineRule="exact"/>
        <w:rPr>
          <w:sz w:val="20"/>
          <w:szCs w:val="20"/>
          <w:color w:val="auto"/>
        </w:rPr>
      </w:pPr>
    </w:p>
    <w:p>
      <w:pPr>
        <w:jc w:val="both"/>
        <w:ind w:left="120"/>
        <w:spacing w:after="0" w:line="248" w:lineRule="auto"/>
        <w:rPr>
          <w:sz w:val="20"/>
          <w:szCs w:val="20"/>
          <w:color w:val="auto"/>
        </w:rPr>
      </w:pPr>
      <w:r>
        <w:rPr>
          <w:rFonts w:ascii="Arial" w:cs="Arial" w:eastAsia="Arial" w:hAnsi="Arial"/>
          <w:sz w:val="16"/>
          <w:szCs w:val="16"/>
          <w:color w:val="auto"/>
        </w:rPr>
        <w:t>Beginning January 1, 2020, Ms. Ratekin will continue to receive her current base salary, annual bonus (fixed at $200,000 in cash and $138,000 in restricted stock), and other welfare benefits and executive perquisites. Ms. Ratekin’s annual bonus will be prorated if her employment terminates after December 31, 2020. Ms. Ratekin will not be eligible for a 2020 performance stock unit (“PSU”) grant for the 2020-2022 performance period. All outstanding equity awards will continue to vest as provided under the terms of the Company’s equity based incentive plans and any applicable award agreements, based upon a qualifying retirement, and any stock options will remain exercisable for the balance of their terms. All PSUs for the 2018-2020 performance period will vest based on the Company’s actual performance and will be paid when and if paid to all other Company executives. The PSUs for the 2019-2021 performance period will be prorated and will vest based on the Company’s actual performance and will be paid when and if paid to all other Company executives.</w:t>
      </w:r>
    </w:p>
    <w:p>
      <w:pPr>
        <w:spacing w:after="0" w:line="357" w:lineRule="exact"/>
        <w:rPr>
          <w:sz w:val="20"/>
          <w:szCs w:val="20"/>
          <w:color w:val="auto"/>
        </w:rPr>
      </w:pPr>
    </w:p>
    <w:p>
      <w:pPr>
        <w:jc w:val="both"/>
        <w:ind w:left="120" w:right="20"/>
        <w:spacing w:after="0" w:line="260" w:lineRule="auto"/>
        <w:rPr>
          <w:sz w:val="20"/>
          <w:szCs w:val="20"/>
          <w:color w:val="auto"/>
        </w:rPr>
      </w:pPr>
      <w:r>
        <w:rPr>
          <w:rFonts w:ascii="Arial" w:cs="Arial" w:eastAsia="Arial" w:hAnsi="Arial"/>
          <w:sz w:val="16"/>
          <w:szCs w:val="16"/>
          <w:color w:val="auto"/>
        </w:rPr>
        <w:t>The following table summarizes how unvested equity awards will be addressed in the event of a termination under the Senior Management Agreements that were in effect during 2019.</w:t>
      </w:r>
    </w:p>
    <w:p>
      <w:pPr>
        <w:spacing w:after="0" w:line="173" w:lineRule="exact"/>
        <w:rPr>
          <w:sz w:val="20"/>
          <w:szCs w:val="20"/>
          <w:color w:val="auto"/>
        </w:rPr>
      </w:pPr>
    </w:p>
    <w:tbl>
      <w:tblPr>
        <w:tblLayout w:type="fixed"/>
        <w:tblInd w:w="130" w:type="dxa"/>
        <w:tblCellMar>
          <w:top w:w="0" w:type="dxa"/>
          <w:left w:w="0" w:type="dxa"/>
          <w:bottom w:w="0" w:type="dxa"/>
          <w:right w:w="0" w:type="dxa"/>
        </w:tblCellMar>
      </w:tblPr>
      <w:tr>
        <w:trPr>
          <w:trHeight w:val="184"/>
        </w:trPr>
        <w:tc>
          <w:tcPr>
            <w:tcW w:w="2980" w:type="dxa"/>
            <w:vAlign w:val="bottom"/>
            <w:tcBorders>
              <w:top w:val="single" w:sz="8" w:color="00548B"/>
              <w:left w:val="single" w:sz="8" w:color="00548B"/>
              <w:right w:val="single" w:sz="8" w:color="999999"/>
            </w:tcBorders>
            <w:shd w:val="clear" w:color="auto" w:fill="00548B"/>
          </w:tcPr>
          <w:p>
            <w:pPr>
              <w:spacing w:after="0"/>
              <w:rPr>
                <w:sz w:val="16"/>
                <w:szCs w:val="16"/>
                <w:color w:val="auto"/>
              </w:rPr>
            </w:pPr>
          </w:p>
        </w:tc>
        <w:tc>
          <w:tcPr>
            <w:tcW w:w="2900" w:type="dxa"/>
            <w:vAlign w:val="bottom"/>
            <w:tcBorders>
              <w:top w:val="single" w:sz="8" w:color="00548B"/>
              <w:right w:val="single" w:sz="8" w:color="999999"/>
            </w:tcBorders>
            <w:shd w:val="clear" w:color="auto" w:fill="00548B"/>
          </w:tcPr>
          <w:p>
            <w:pPr>
              <w:spacing w:after="0"/>
              <w:rPr>
                <w:sz w:val="16"/>
                <w:szCs w:val="16"/>
                <w:color w:val="auto"/>
              </w:rPr>
            </w:pPr>
          </w:p>
        </w:tc>
        <w:tc>
          <w:tcPr>
            <w:tcW w:w="80" w:type="dxa"/>
            <w:vAlign w:val="bottom"/>
            <w:tcBorders>
              <w:top w:val="single" w:sz="8" w:color="00548B"/>
            </w:tcBorders>
            <w:shd w:val="clear" w:color="auto" w:fill="00548B"/>
          </w:tcPr>
          <w:p>
            <w:pPr>
              <w:spacing w:after="0"/>
              <w:rPr>
                <w:sz w:val="16"/>
                <w:szCs w:val="16"/>
                <w:color w:val="auto"/>
              </w:rPr>
            </w:pPr>
          </w:p>
        </w:tc>
        <w:tc>
          <w:tcPr>
            <w:tcW w:w="1140" w:type="dxa"/>
            <w:vAlign w:val="bottom"/>
            <w:tcBorders>
              <w:top w:val="single" w:sz="8" w:color="00548B"/>
              <w:right w:val="single" w:sz="8" w:color="00548B"/>
            </w:tcBorders>
            <w:shd w:val="clear" w:color="auto" w:fill="00548B"/>
          </w:tcPr>
          <w:p>
            <w:pPr>
              <w:spacing w:after="0"/>
              <w:rPr>
                <w:sz w:val="16"/>
                <w:szCs w:val="16"/>
                <w:color w:val="auto"/>
              </w:rPr>
            </w:pPr>
          </w:p>
        </w:tc>
        <w:tc>
          <w:tcPr>
            <w:tcW w:w="120" w:type="dxa"/>
            <w:vAlign w:val="bottom"/>
            <w:tcBorders>
              <w:top w:val="single" w:sz="8" w:color="00548B"/>
            </w:tcBorders>
            <w:shd w:val="clear" w:color="auto" w:fill="00548B"/>
          </w:tcPr>
          <w:p>
            <w:pPr>
              <w:spacing w:after="0"/>
              <w:rPr>
                <w:sz w:val="16"/>
                <w:szCs w:val="16"/>
                <w:color w:val="auto"/>
              </w:rPr>
            </w:pPr>
          </w:p>
        </w:tc>
        <w:tc>
          <w:tcPr>
            <w:tcW w:w="1040" w:type="dxa"/>
            <w:vAlign w:val="bottom"/>
            <w:tcBorders>
              <w:top w:val="single" w:sz="8" w:color="00548B"/>
            </w:tcBorders>
            <w:shd w:val="clear" w:color="auto" w:fill="00548B"/>
          </w:tcPr>
          <w:p>
            <w:pPr>
              <w:spacing w:after="0"/>
              <w:rPr>
                <w:sz w:val="16"/>
                <w:szCs w:val="16"/>
                <w:color w:val="auto"/>
              </w:rPr>
            </w:pPr>
          </w:p>
        </w:tc>
        <w:tc>
          <w:tcPr>
            <w:tcW w:w="240" w:type="dxa"/>
            <w:vAlign w:val="bottom"/>
            <w:tcBorders>
              <w:top w:val="single" w:sz="8" w:color="00548B"/>
              <w:right w:val="single" w:sz="8" w:color="999999"/>
            </w:tcBorders>
            <w:shd w:val="clear" w:color="auto" w:fill="00548B"/>
          </w:tcPr>
          <w:p>
            <w:pPr>
              <w:spacing w:after="0"/>
              <w:rPr>
                <w:sz w:val="16"/>
                <w:szCs w:val="16"/>
                <w:color w:val="auto"/>
              </w:rPr>
            </w:pPr>
          </w:p>
        </w:tc>
        <w:tc>
          <w:tcPr>
            <w:tcW w:w="2540" w:type="dxa"/>
            <w:vAlign w:val="bottom"/>
            <w:tcBorders>
              <w:top w:val="single" w:sz="8" w:color="00548B"/>
              <w:right w:val="single" w:sz="8" w:color="00548B"/>
            </w:tcBorders>
            <w:shd w:val="clear" w:color="auto" w:fill="00548B"/>
          </w:tcPr>
          <w:p>
            <w:pPr>
              <w:jc w:val="center"/>
              <w:spacing w:after="0"/>
              <w:rPr>
                <w:sz w:val="20"/>
                <w:szCs w:val="20"/>
                <w:color w:val="auto"/>
              </w:rPr>
            </w:pPr>
            <w:r>
              <w:rPr>
                <w:rFonts w:ascii="Arial" w:cs="Arial" w:eastAsia="Arial" w:hAnsi="Arial"/>
                <w:sz w:val="16"/>
                <w:szCs w:val="16"/>
                <w:b w:val="1"/>
                <w:bCs w:val="1"/>
                <w:color w:val="E5E5E5"/>
              </w:rPr>
              <w:t>2018 and 2019</w:t>
            </w:r>
          </w:p>
        </w:tc>
        <w:tc>
          <w:tcPr>
            <w:tcW w:w="0" w:type="dxa"/>
            <w:vAlign w:val="bottom"/>
          </w:tcPr>
          <w:p>
            <w:pPr>
              <w:spacing w:after="0"/>
              <w:rPr>
                <w:sz w:val="1"/>
                <w:szCs w:val="1"/>
                <w:color w:val="auto"/>
              </w:rPr>
            </w:pPr>
          </w:p>
        </w:tc>
      </w:tr>
      <w:tr>
        <w:trPr>
          <w:trHeight w:val="189"/>
        </w:trPr>
        <w:tc>
          <w:tcPr>
            <w:tcW w:w="2980" w:type="dxa"/>
            <w:vAlign w:val="bottom"/>
            <w:tcBorders>
              <w:left w:val="single" w:sz="8" w:color="00548B"/>
              <w:right w:val="single" w:sz="8" w:color="999999"/>
            </w:tcBorders>
            <w:shd w:val="clear" w:color="auto" w:fill="00548B"/>
          </w:tcPr>
          <w:p>
            <w:pPr>
              <w:spacing w:after="0"/>
              <w:rPr>
                <w:sz w:val="16"/>
                <w:szCs w:val="16"/>
                <w:color w:val="auto"/>
              </w:rPr>
            </w:pPr>
          </w:p>
        </w:tc>
        <w:tc>
          <w:tcPr>
            <w:tcW w:w="2900" w:type="dxa"/>
            <w:vAlign w:val="bottom"/>
            <w:tcBorders>
              <w:right w:val="single" w:sz="8" w:color="999999"/>
            </w:tcBorders>
            <w:shd w:val="clear" w:color="auto" w:fill="00548B"/>
          </w:tcPr>
          <w:p>
            <w:pPr>
              <w:ind w:left="800"/>
              <w:spacing w:after="0"/>
              <w:rPr>
                <w:sz w:val="20"/>
                <w:szCs w:val="20"/>
                <w:color w:val="auto"/>
              </w:rPr>
            </w:pPr>
            <w:r>
              <w:rPr>
                <w:rFonts w:ascii="Arial" w:cs="Arial" w:eastAsia="Arial" w:hAnsi="Arial"/>
                <w:sz w:val="16"/>
                <w:szCs w:val="16"/>
                <w:b w:val="1"/>
                <w:bCs w:val="1"/>
                <w:color w:val="E5E5E5"/>
              </w:rPr>
              <w:t>Restricted Stock and</w:t>
            </w:r>
          </w:p>
        </w:tc>
        <w:tc>
          <w:tcPr>
            <w:tcW w:w="80" w:type="dxa"/>
            <w:vAlign w:val="bottom"/>
            <w:shd w:val="clear" w:color="auto" w:fill="00548B"/>
          </w:tcPr>
          <w:p>
            <w:pPr>
              <w:spacing w:after="0"/>
              <w:rPr>
                <w:sz w:val="16"/>
                <w:szCs w:val="16"/>
                <w:color w:val="auto"/>
              </w:rPr>
            </w:pPr>
          </w:p>
        </w:tc>
        <w:tc>
          <w:tcPr>
            <w:tcW w:w="2540" w:type="dxa"/>
            <w:vAlign w:val="bottom"/>
            <w:tcBorders>
              <w:right w:val="single" w:sz="8" w:color="999999"/>
            </w:tcBorders>
            <w:gridSpan w:val="4"/>
            <w:shd w:val="clear" w:color="auto" w:fill="00548B"/>
          </w:tcPr>
          <w:p>
            <w:pPr>
              <w:ind w:left="560"/>
              <w:spacing w:after="0"/>
              <w:rPr>
                <w:sz w:val="20"/>
                <w:szCs w:val="20"/>
                <w:color w:val="auto"/>
              </w:rPr>
            </w:pPr>
            <w:r>
              <w:rPr>
                <w:rFonts w:ascii="Arial" w:cs="Arial" w:eastAsia="Arial" w:hAnsi="Arial"/>
                <w:sz w:val="16"/>
                <w:szCs w:val="16"/>
                <w:b w:val="1"/>
                <w:bCs w:val="1"/>
                <w:color w:val="E5E5E5"/>
              </w:rPr>
              <w:t>2017 Performance</w:t>
            </w:r>
          </w:p>
        </w:tc>
        <w:tc>
          <w:tcPr>
            <w:tcW w:w="2540" w:type="dxa"/>
            <w:vAlign w:val="bottom"/>
            <w:tcBorders>
              <w:right w:val="single" w:sz="8" w:color="00548B"/>
            </w:tcBorders>
            <w:shd w:val="clear" w:color="auto" w:fill="00548B"/>
          </w:tcPr>
          <w:p>
            <w:pPr>
              <w:jc w:val="center"/>
              <w:spacing w:after="0"/>
              <w:rPr>
                <w:sz w:val="20"/>
                <w:szCs w:val="20"/>
                <w:color w:val="auto"/>
              </w:rPr>
            </w:pPr>
            <w:r>
              <w:rPr>
                <w:rFonts w:ascii="Arial" w:cs="Arial" w:eastAsia="Arial" w:hAnsi="Arial"/>
                <w:sz w:val="16"/>
                <w:szCs w:val="16"/>
                <w:b w:val="1"/>
                <w:bCs w:val="1"/>
                <w:color w:val="E5E5E5"/>
              </w:rPr>
              <w:t>Performance</w:t>
            </w:r>
          </w:p>
        </w:tc>
        <w:tc>
          <w:tcPr>
            <w:tcW w:w="0" w:type="dxa"/>
            <w:vAlign w:val="bottom"/>
          </w:tcPr>
          <w:p>
            <w:pPr>
              <w:spacing w:after="0"/>
              <w:rPr>
                <w:sz w:val="1"/>
                <w:szCs w:val="1"/>
                <w:color w:val="auto"/>
              </w:rPr>
            </w:pPr>
          </w:p>
        </w:tc>
      </w:tr>
      <w:tr>
        <w:trPr>
          <w:trHeight w:val="207"/>
        </w:trPr>
        <w:tc>
          <w:tcPr>
            <w:tcW w:w="2980" w:type="dxa"/>
            <w:vAlign w:val="bottom"/>
            <w:tcBorders>
              <w:left w:val="single" w:sz="8" w:color="00548B"/>
              <w:right w:val="single" w:sz="8" w:color="999999"/>
            </w:tcBorders>
            <w:shd w:val="clear" w:color="auto" w:fill="00548B"/>
          </w:tcPr>
          <w:p>
            <w:pPr>
              <w:ind w:left="1340"/>
              <w:spacing w:after="0"/>
              <w:rPr>
                <w:sz w:val="20"/>
                <w:szCs w:val="20"/>
                <w:color w:val="auto"/>
              </w:rPr>
            </w:pPr>
            <w:r>
              <w:rPr>
                <w:rFonts w:ascii="Arial" w:cs="Arial" w:eastAsia="Arial" w:hAnsi="Arial"/>
                <w:sz w:val="16"/>
                <w:szCs w:val="16"/>
                <w:b w:val="1"/>
                <w:bCs w:val="1"/>
                <w:color w:val="E5E5E5"/>
              </w:rPr>
              <w:t>Event</w:t>
            </w:r>
          </w:p>
        </w:tc>
        <w:tc>
          <w:tcPr>
            <w:tcW w:w="2900" w:type="dxa"/>
            <w:vAlign w:val="bottom"/>
            <w:tcBorders>
              <w:right w:val="single" w:sz="8" w:color="999999"/>
            </w:tcBorders>
            <w:shd w:val="clear" w:color="auto" w:fill="00548B"/>
          </w:tcPr>
          <w:p>
            <w:pPr>
              <w:ind w:left="1300"/>
              <w:spacing w:after="0"/>
              <w:rPr>
                <w:sz w:val="20"/>
                <w:szCs w:val="20"/>
                <w:color w:val="auto"/>
              </w:rPr>
            </w:pPr>
            <w:r>
              <w:rPr>
                <w:rFonts w:ascii="Arial" w:cs="Arial" w:eastAsia="Arial" w:hAnsi="Arial"/>
                <w:sz w:val="16"/>
                <w:szCs w:val="16"/>
                <w:b w:val="1"/>
                <w:bCs w:val="1"/>
                <w:color w:val="E5E5E5"/>
              </w:rPr>
              <w:t>Options</w:t>
            </w:r>
          </w:p>
        </w:tc>
        <w:tc>
          <w:tcPr>
            <w:tcW w:w="80" w:type="dxa"/>
            <w:vAlign w:val="bottom"/>
            <w:shd w:val="clear" w:color="auto" w:fill="00548B"/>
          </w:tcPr>
          <w:p>
            <w:pPr>
              <w:spacing w:after="0"/>
              <w:rPr>
                <w:sz w:val="18"/>
                <w:szCs w:val="18"/>
                <w:color w:val="auto"/>
              </w:rPr>
            </w:pPr>
          </w:p>
        </w:tc>
        <w:tc>
          <w:tcPr>
            <w:tcW w:w="2540" w:type="dxa"/>
            <w:vAlign w:val="bottom"/>
            <w:tcBorders>
              <w:right w:val="single" w:sz="8" w:color="999999"/>
            </w:tcBorders>
            <w:gridSpan w:val="4"/>
            <w:shd w:val="clear" w:color="auto" w:fill="00548B"/>
          </w:tcPr>
          <w:p>
            <w:pPr>
              <w:ind w:left="820"/>
              <w:spacing w:after="0"/>
              <w:rPr>
                <w:sz w:val="20"/>
                <w:szCs w:val="20"/>
                <w:color w:val="auto"/>
              </w:rPr>
            </w:pPr>
            <w:r>
              <w:rPr>
                <w:rFonts w:ascii="Arial" w:cs="Arial" w:eastAsia="Arial" w:hAnsi="Arial"/>
                <w:sz w:val="16"/>
                <w:szCs w:val="16"/>
                <w:b w:val="1"/>
                <w:bCs w:val="1"/>
                <w:color w:val="E5E5E5"/>
              </w:rPr>
              <w:t>Stock Units</w:t>
            </w:r>
          </w:p>
        </w:tc>
        <w:tc>
          <w:tcPr>
            <w:tcW w:w="2540" w:type="dxa"/>
            <w:vAlign w:val="bottom"/>
            <w:tcBorders>
              <w:right w:val="single" w:sz="8" w:color="00548B"/>
            </w:tcBorders>
            <w:shd w:val="clear" w:color="auto" w:fill="00548B"/>
          </w:tcPr>
          <w:p>
            <w:pPr>
              <w:jc w:val="center"/>
              <w:spacing w:after="0"/>
              <w:rPr>
                <w:sz w:val="20"/>
                <w:szCs w:val="20"/>
                <w:color w:val="auto"/>
              </w:rPr>
            </w:pPr>
            <w:r>
              <w:rPr>
                <w:rFonts w:ascii="Arial" w:cs="Arial" w:eastAsia="Arial" w:hAnsi="Arial"/>
                <w:sz w:val="16"/>
                <w:szCs w:val="16"/>
                <w:b w:val="1"/>
                <w:bCs w:val="1"/>
                <w:color w:val="E5E5E5"/>
              </w:rPr>
              <w:t>Stock Units</w:t>
            </w:r>
          </w:p>
        </w:tc>
        <w:tc>
          <w:tcPr>
            <w:tcW w:w="0" w:type="dxa"/>
            <w:vAlign w:val="bottom"/>
          </w:tcPr>
          <w:p>
            <w:pPr>
              <w:spacing w:after="0"/>
              <w:rPr>
                <w:sz w:val="1"/>
                <w:szCs w:val="1"/>
                <w:color w:val="auto"/>
              </w:rPr>
            </w:pPr>
          </w:p>
        </w:tc>
      </w:tr>
      <w:tr>
        <w:trPr>
          <w:trHeight w:val="162"/>
        </w:trPr>
        <w:tc>
          <w:tcPr>
            <w:tcW w:w="2980" w:type="dxa"/>
            <w:vAlign w:val="bottom"/>
            <w:tcBorders>
              <w:left w:val="single" w:sz="8" w:color="00548B"/>
              <w:right w:val="single" w:sz="8" w:color="999999"/>
            </w:tcBorders>
          </w:tcPr>
          <w:p>
            <w:pPr>
              <w:ind w:left="160"/>
              <w:spacing w:after="0" w:line="162" w:lineRule="exact"/>
              <w:rPr>
                <w:sz w:val="20"/>
                <w:szCs w:val="20"/>
                <w:color w:val="auto"/>
              </w:rPr>
            </w:pPr>
            <w:r>
              <w:rPr>
                <w:rFonts w:ascii="Arial" w:cs="Arial" w:eastAsia="Arial" w:hAnsi="Arial"/>
                <w:sz w:val="16"/>
                <w:szCs w:val="16"/>
                <w:color w:val="auto"/>
              </w:rPr>
              <w:t>Normal Vesting</w:t>
            </w:r>
          </w:p>
        </w:tc>
        <w:tc>
          <w:tcPr>
            <w:tcW w:w="2900" w:type="dxa"/>
            <w:vAlign w:val="bottom"/>
            <w:tcBorders>
              <w:right w:val="single" w:sz="8" w:color="999999"/>
            </w:tcBorders>
          </w:tcPr>
          <w:p>
            <w:pPr>
              <w:ind w:left="360"/>
              <w:spacing w:after="0" w:line="162" w:lineRule="exact"/>
              <w:rPr>
                <w:sz w:val="20"/>
                <w:szCs w:val="20"/>
                <w:color w:val="auto"/>
              </w:rPr>
            </w:pPr>
            <w:r>
              <w:rPr>
                <w:rFonts w:ascii="Arial" w:cs="Arial" w:eastAsia="Arial" w:hAnsi="Arial"/>
                <w:sz w:val="16"/>
                <w:szCs w:val="16"/>
                <w:color w:val="auto"/>
              </w:rPr>
              <w:t>33% annual vesting over 3 years</w:t>
            </w:r>
          </w:p>
        </w:tc>
        <w:tc>
          <w:tcPr>
            <w:tcW w:w="80" w:type="dxa"/>
            <w:vAlign w:val="bottom"/>
          </w:tcPr>
          <w:p>
            <w:pPr>
              <w:spacing w:after="0"/>
              <w:rPr>
                <w:sz w:val="14"/>
                <w:szCs w:val="14"/>
                <w:color w:val="auto"/>
              </w:rPr>
            </w:pPr>
          </w:p>
        </w:tc>
        <w:tc>
          <w:tcPr>
            <w:tcW w:w="2540" w:type="dxa"/>
            <w:vAlign w:val="bottom"/>
            <w:tcBorders>
              <w:right w:val="single" w:sz="8" w:color="999999"/>
            </w:tcBorders>
            <w:gridSpan w:val="4"/>
          </w:tcPr>
          <w:p>
            <w:pPr>
              <w:spacing w:after="0" w:line="162" w:lineRule="exact"/>
              <w:rPr>
                <w:sz w:val="20"/>
                <w:szCs w:val="20"/>
                <w:color w:val="auto"/>
              </w:rPr>
            </w:pPr>
            <w:r>
              <w:rPr>
                <w:rFonts w:ascii="Arial" w:cs="Arial" w:eastAsia="Arial" w:hAnsi="Arial"/>
                <w:sz w:val="16"/>
                <w:szCs w:val="16"/>
                <w:color w:val="auto"/>
              </w:rPr>
              <w:t>One-Year PSUs: 33% of earned</w:t>
            </w:r>
          </w:p>
        </w:tc>
        <w:tc>
          <w:tcPr>
            <w:tcW w:w="2540" w:type="dxa"/>
            <w:vAlign w:val="bottom"/>
            <w:tcBorders>
              <w:right w:val="single" w:sz="8" w:color="00548B"/>
            </w:tcBorders>
          </w:tcPr>
          <w:p>
            <w:pPr>
              <w:ind w:left="100"/>
              <w:spacing w:after="0" w:line="162" w:lineRule="exact"/>
              <w:rPr>
                <w:sz w:val="20"/>
                <w:szCs w:val="20"/>
                <w:color w:val="auto"/>
              </w:rPr>
            </w:pPr>
            <w:r>
              <w:rPr>
                <w:rFonts w:ascii="Arial" w:cs="Arial" w:eastAsia="Arial" w:hAnsi="Arial"/>
                <w:sz w:val="16"/>
                <w:szCs w:val="16"/>
                <w:color w:val="auto"/>
              </w:rPr>
              <w:t>100% of the earned PSUs vest</w:t>
            </w:r>
          </w:p>
        </w:tc>
        <w:tc>
          <w:tcPr>
            <w:tcW w:w="0" w:type="dxa"/>
            <w:vAlign w:val="bottom"/>
          </w:tcPr>
          <w:p>
            <w:pPr>
              <w:spacing w:after="0"/>
              <w:rPr>
                <w:sz w:val="1"/>
                <w:szCs w:val="1"/>
                <w:color w:val="auto"/>
              </w:rPr>
            </w:pPr>
          </w:p>
        </w:tc>
      </w:tr>
      <w:tr>
        <w:trPr>
          <w:trHeight w:val="20"/>
        </w:trPr>
        <w:tc>
          <w:tcPr>
            <w:tcW w:w="2980" w:type="dxa"/>
            <w:vAlign w:val="bottom"/>
            <w:tcBorders>
              <w:left w:val="single" w:sz="8" w:color="00548B"/>
              <w:right w:val="single" w:sz="8" w:color="999999"/>
            </w:tcBorders>
          </w:tcPr>
          <w:p>
            <w:pPr>
              <w:spacing w:after="0" w:line="20" w:lineRule="exact"/>
              <w:rPr>
                <w:sz w:val="1"/>
                <w:szCs w:val="1"/>
                <w:color w:val="auto"/>
              </w:rPr>
            </w:pPr>
          </w:p>
        </w:tc>
        <w:tc>
          <w:tcPr>
            <w:tcW w:w="2900" w:type="dxa"/>
            <w:vAlign w:val="bottom"/>
            <w:tcBorders>
              <w:right w:val="single" w:sz="8" w:color="999999"/>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Borders>
              <w:right w:val="single" w:sz="8" w:color="999999"/>
            </w:tcBorders>
          </w:tcPr>
          <w:p>
            <w:pPr>
              <w:spacing w:after="0" w:line="20" w:lineRule="exact"/>
              <w:rPr>
                <w:sz w:val="1"/>
                <w:szCs w:val="1"/>
                <w:color w:val="auto"/>
              </w:rPr>
            </w:pPr>
          </w:p>
        </w:tc>
        <w:tc>
          <w:tcPr>
            <w:tcW w:w="2540" w:type="dxa"/>
            <w:vAlign w:val="bottom"/>
            <w:tcBorders>
              <w:right w:val="single" w:sz="8" w:color="00548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980" w:type="dxa"/>
            <w:vAlign w:val="bottom"/>
            <w:tcBorders>
              <w:left w:val="single" w:sz="8" w:color="00548B"/>
              <w:right w:val="single" w:sz="8" w:color="999999"/>
            </w:tcBorders>
          </w:tcPr>
          <w:p>
            <w:pPr>
              <w:spacing w:after="0"/>
              <w:rPr>
                <w:sz w:val="17"/>
                <w:szCs w:val="17"/>
                <w:color w:val="auto"/>
              </w:rPr>
            </w:pPr>
          </w:p>
        </w:tc>
        <w:tc>
          <w:tcPr>
            <w:tcW w:w="2900" w:type="dxa"/>
            <w:vAlign w:val="bottom"/>
            <w:tcBorders>
              <w:right w:val="single" w:sz="8" w:color="999999"/>
            </w:tcBorders>
          </w:tcPr>
          <w:p>
            <w:pPr>
              <w:ind w:left="360"/>
              <w:spacing w:after="0"/>
              <w:rPr>
                <w:sz w:val="20"/>
                <w:szCs w:val="20"/>
                <w:color w:val="auto"/>
              </w:rPr>
            </w:pPr>
            <w:r>
              <w:rPr>
                <w:rFonts w:ascii="Arial" w:cs="Arial" w:eastAsia="Arial" w:hAnsi="Arial"/>
                <w:sz w:val="16"/>
                <w:szCs w:val="16"/>
                <w:color w:val="auto"/>
              </w:rPr>
              <w:t>for awards granted on or after</w:t>
            </w:r>
          </w:p>
        </w:tc>
        <w:tc>
          <w:tcPr>
            <w:tcW w:w="80" w:type="dxa"/>
            <w:vAlign w:val="bottom"/>
          </w:tcPr>
          <w:p>
            <w:pPr>
              <w:spacing w:after="0"/>
              <w:rPr>
                <w:sz w:val="17"/>
                <w:szCs w:val="17"/>
                <w:color w:val="auto"/>
              </w:rPr>
            </w:pPr>
          </w:p>
        </w:tc>
        <w:tc>
          <w:tcPr>
            <w:tcW w:w="2540" w:type="dxa"/>
            <w:vAlign w:val="bottom"/>
            <w:tcBorders>
              <w:right w:val="single" w:sz="8" w:color="999999"/>
            </w:tcBorders>
            <w:gridSpan w:val="4"/>
          </w:tcPr>
          <w:p>
            <w:pPr>
              <w:spacing w:after="0"/>
              <w:rPr>
                <w:sz w:val="20"/>
                <w:szCs w:val="20"/>
                <w:color w:val="auto"/>
              </w:rPr>
            </w:pPr>
            <w:r>
              <w:rPr>
                <w:rFonts w:ascii="Arial" w:cs="Arial" w:eastAsia="Arial" w:hAnsi="Arial"/>
                <w:sz w:val="16"/>
                <w:szCs w:val="16"/>
                <w:color w:val="auto"/>
              </w:rPr>
              <w:t>One-Year PSUs vest in each of Q1</w:t>
            </w:r>
          </w:p>
        </w:tc>
        <w:tc>
          <w:tcPr>
            <w:tcW w:w="2540" w:type="dxa"/>
            <w:vAlign w:val="bottom"/>
            <w:tcBorders>
              <w:right w:val="single" w:sz="8" w:color="00548B"/>
            </w:tcBorders>
          </w:tcPr>
          <w:p>
            <w:pPr>
              <w:ind w:left="100"/>
              <w:spacing w:after="0"/>
              <w:rPr>
                <w:sz w:val="20"/>
                <w:szCs w:val="20"/>
                <w:color w:val="auto"/>
              </w:rPr>
            </w:pPr>
            <w:r>
              <w:rPr>
                <w:rFonts w:ascii="Arial" w:cs="Arial" w:eastAsia="Arial" w:hAnsi="Arial"/>
                <w:sz w:val="16"/>
                <w:szCs w:val="16"/>
                <w:color w:val="auto"/>
              </w:rPr>
              <w:t>in Q1 of the year following the</w:t>
            </w:r>
          </w:p>
        </w:tc>
        <w:tc>
          <w:tcPr>
            <w:tcW w:w="0" w:type="dxa"/>
            <w:vAlign w:val="bottom"/>
          </w:tcPr>
          <w:p>
            <w:pPr>
              <w:spacing w:after="0"/>
              <w:rPr>
                <w:sz w:val="1"/>
                <w:szCs w:val="1"/>
                <w:color w:val="auto"/>
              </w:rPr>
            </w:pPr>
          </w:p>
        </w:tc>
      </w:tr>
      <w:tr>
        <w:trPr>
          <w:trHeight w:val="189"/>
        </w:trPr>
        <w:tc>
          <w:tcPr>
            <w:tcW w:w="2980" w:type="dxa"/>
            <w:vAlign w:val="bottom"/>
            <w:tcBorders>
              <w:left w:val="single" w:sz="8" w:color="00548B"/>
              <w:right w:val="single" w:sz="8" w:color="999999"/>
            </w:tcBorders>
          </w:tcPr>
          <w:p>
            <w:pPr>
              <w:spacing w:after="0"/>
              <w:rPr>
                <w:sz w:val="16"/>
                <w:szCs w:val="16"/>
                <w:color w:val="auto"/>
              </w:rPr>
            </w:pPr>
          </w:p>
        </w:tc>
        <w:tc>
          <w:tcPr>
            <w:tcW w:w="2900" w:type="dxa"/>
            <w:vAlign w:val="bottom"/>
            <w:tcBorders>
              <w:right w:val="single" w:sz="8" w:color="999999"/>
            </w:tcBorders>
          </w:tcPr>
          <w:p>
            <w:pPr>
              <w:ind w:left="360"/>
              <w:spacing w:after="0"/>
              <w:rPr>
                <w:sz w:val="20"/>
                <w:szCs w:val="20"/>
                <w:color w:val="auto"/>
              </w:rPr>
            </w:pPr>
            <w:r>
              <w:rPr>
                <w:rFonts w:ascii="Arial" w:cs="Arial" w:eastAsia="Arial" w:hAnsi="Arial"/>
                <w:sz w:val="16"/>
                <w:szCs w:val="16"/>
                <w:color w:val="auto"/>
              </w:rPr>
              <w:t>3/15/2017; 25% annual vesting</w:t>
            </w:r>
          </w:p>
        </w:tc>
        <w:tc>
          <w:tcPr>
            <w:tcW w:w="80" w:type="dxa"/>
            <w:vAlign w:val="bottom"/>
          </w:tcPr>
          <w:p>
            <w:pPr>
              <w:spacing w:after="0"/>
              <w:rPr>
                <w:sz w:val="16"/>
                <w:szCs w:val="16"/>
                <w:color w:val="auto"/>
              </w:rPr>
            </w:pPr>
          </w:p>
        </w:tc>
        <w:tc>
          <w:tcPr>
            <w:tcW w:w="2540" w:type="dxa"/>
            <w:vAlign w:val="bottom"/>
            <w:tcBorders>
              <w:right w:val="single" w:sz="8" w:color="999999"/>
            </w:tcBorders>
            <w:gridSpan w:val="4"/>
          </w:tcPr>
          <w:p>
            <w:pPr>
              <w:spacing w:after="0"/>
              <w:rPr>
                <w:sz w:val="20"/>
                <w:szCs w:val="20"/>
                <w:color w:val="auto"/>
              </w:rPr>
            </w:pPr>
            <w:r>
              <w:rPr>
                <w:rFonts w:ascii="Arial" w:cs="Arial" w:eastAsia="Arial" w:hAnsi="Arial"/>
                <w:sz w:val="16"/>
                <w:szCs w:val="16"/>
                <w:color w:val="auto"/>
              </w:rPr>
              <w:t>2018, 2019 and 2020.</w:t>
            </w:r>
          </w:p>
        </w:tc>
        <w:tc>
          <w:tcPr>
            <w:tcW w:w="2540" w:type="dxa"/>
            <w:vAlign w:val="bottom"/>
            <w:tcBorders>
              <w:right w:val="single" w:sz="8" w:color="00548B"/>
            </w:tcBorders>
          </w:tcPr>
          <w:p>
            <w:pPr>
              <w:ind w:left="100"/>
              <w:spacing w:after="0"/>
              <w:rPr>
                <w:sz w:val="20"/>
                <w:szCs w:val="20"/>
                <w:color w:val="auto"/>
              </w:rPr>
            </w:pPr>
            <w:r>
              <w:rPr>
                <w:rFonts w:ascii="Arial" w:cs="Arial" w:eastAsia="Arial" w:hAnsi="Arial"/>
                <w:sz w:val="16"/>
                <w:szCs w:val="16"/>
                <w:color w:val="auto"/>
              </w:rPr>
              <w:t>end of the three year</w:t>
            </w:r>
          </w:p>
        </w:tc>
        <w:tc>
          <w:tcPr>
            <w:tcW w:w="0" w:type="dxa"/>
            <w:vAlign w:val="bottom"/>
          </w:tcPr>
          <w:p>
            <w:pPr>
              <w:spacing w:after="0"/>
              <w:rPr>
                <w:sz w:val="1"/>
                <w:szCs w:val="1"/>
                <w:color w:val="auto"/>
              </w:rPr>
            </w:pPr>
          </w:p>
        </w:tc>
      </w:tr>
      <w:tr>
        <w:trPr>
          <w:trHeight w:val="189"/>
        </w:trPr>
        <w:tc>
          <w:tcPr>
            <w:tcW w:w="2980" w:type="dxa"/>
            <w:vAlign w:val="bottom"/>
            <w:tcBorders>
              <w:left w:val="single" w:sz="8" w:color="00548B"/>
              <w:right w:val="single" w:sz="8" w:color="999999"/>
            </w:tcBorders>
          </w:tcPr>
          <w:p>
            <w:pPr>
              <w:spacing w:after="0"/>
              <w:rPr>
                <w:sz w:val="16"/>
                <w:szCs w:val="16"/>
                <w:color w:val="auto"/>
              </w:rPr>
            </w:pPr>
          </w:p>
        </w:tc>
        <w:tc>
          <w:tcPr>
            <w:tcW w:w="2900" w:type="dxa"/>
            <w:vAlign w:val="bottom"/>
            <w:tcBorders>
              <w:right w:val="single" w:sz="8" w:color="999999"/>
            </w:tcBorders>
          </w:tcPr>
          <w:p>
            <w:pPr>
              <w:ind w:left="360"/>
              <w:spacing w:after="0"/>
              <w:rPr>
                <w:sz w:val="20"/>
                <w:szCs w:val="20"/>
                <w:color w:val="auto"/>
              </w:rPr>
            </w:pPr>
            <w:r>
              <w:rPr>
                <w:rFonts w:ascii="Arial" w:cs="Arial" w:eastAsia="Arial" w:hAnsi="Arial"/>
                <w:sz w:val="16"/>
                <w:szCs w:val="16"/>
                <w:color w:val="auto"/>
              </w:rPr>
              <w:t>over 4 years for those awards</w:t>
            </w: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Borders>
              <w:right w:val="single" w:sz="8" w:color="999999"/>
            </w:tcBorders>
          </w:tcPr>
          <w:p>
            <w:pPr>
              <w:spacing w:after="0"/>
              <w:rPr>
                <w:sz w:val="16"/>
                <w:szCs w:val="16"/>
                <w:color w:val="auto"/>
              </w:rPr>
            </w:pPr>
          </w:p>
        </w:tc>
        <w:tc>
          <w:tcPr>
            <w:tcW w:w="2540" w:type="dxa"/>
            <w:vAlign w:val="bottom"/>
            <w:tcBorders>
              <w:right w:val="single" w:sz="8" w:color="00548B"/>
            </w:tcBorders>
          </w:tcPr>
          <w:p>
            <w:pPr>
              <w:ind w:left="100"/>
              <w:spacing w:after="0"/>
              <w:rPr>
                <w:sz w:val="20"/>
                <w:szCs w:val="20"/>
                <w:color w:val="auto"/>
              </w:rPr>
            </w:pPr>
            <w:r>
              <w:rPr>
                <w:rFonts w:ascii="Arial" w:cs="Arial" w:eastAsia="Arial" w:hAnsi="Arial"/>
                <w:sz w:val="16"/>
                <w:szCs w:val="16"/>
                <w:color w:val="auto"/>
              </w:rPr>
              <w:t>Performance Period provided</w:t>
            </w:r>
          </w:p>
        </w:tc>
        <w:tc>
          <w:tcPr>
            <w:tcW w:w="0" w:type="dxa"/>
            <w:vAlign w:val="bottom"/>
          </w:tcPr>
          <w:p>
            <w:pPr>
              <w:spacing w:after="0"/>
              <w:rPr>
                <w:sz w:val="1"/>
                <w:szCs w:val="1"/>
                <w:color w:val="auto"/>
              </w:rPr>
            </w:pPr>
          </w:p>
        </w:tc>
      </w:tr>
      <w:tr>
        <w:trPr>
          <w:trHeight w:val="174"/>
        </w:trPr>
        <w:tc>
          <w:tcPr>
            <w:tcW w:w="2980" w:type="dxa"/>
            <w:vAlign w:val="bottom"/>
            <w:tcBorders>
              <w:left w:val="single" w:sz="8" w:color="00548B"/>
              <w:right w:val="single" w:sz="8" w:color="999999"/>
            </w:tcBorders>
          </w:tcPr>
          <w:p>
            <w:pPr>
              <w:spacing w:after="0"/>
              <w:rPr>
                <w:sz w:val="15"/>
                <w:szCs w:val="15"/>
                <w:color w:val="auto"/>
              </w:rPr>
            </w:pPr>
          </w:p>
        </w:tc>
        <w:tc>
          <w:tcPr>
            <w:tcW w:w="2900" w:type="dxa"/>
            <w:vAlign w:val="bottom"/>
            <w:tcBorders>
              <w:right w:val="single" w:sz="8" w:color="999999"/>
            </w:tcBorders>
          </w:tcPr>
          <w:p>
            <w:pPr>
              <w:ind w:left="360"/>
              <w:spacing w:after="0" w:line="174" w:lineRule="exact"/>
              <w:rPr>
                <w:sz w:val="20"/>
                <w:szCs w:val="20"/>
                <w:color w:val="auto"/>
              </w:rPr>
            </w:pPr>
            <w:r>
              <w:rPr>
                <w:rFonts w:ascii="Arial" w:cs="Arial" w:eastAsia="Arial" w:hAnsi="Arial"/>
                <w:sz w:val="16"/>
                <w:szCs w:val="16"/>
                <w:color w:val="auto"/>
              </w:rPr>
              <w:t>granted prior to 3/15/2017 and for</w:t>
            </w:r>
          </w:p>
        </w:tc>
        <w:tc>
          <w:tcPr>
            <w:tcW w:w="80" w:type="dxa"/>
            <w:vAlign w:val="bottom"/>
          </w:tcPr>
          <w:p>
            <w:pPr>
              <w:spacing w:after="0"/>
              <w:rPr>
                <w:sz w:val="15"/>
                <w:szCs w:val="15"/>
                <w:color w:val="auto"/>
              </w:rPr>
            </w:pPr>
          </w:p>
        </w:tc>
        <w:tc>
          <w:tcPr>
            <w:tcW w:w="2540" w:type="dxa"/>
            <w:vAlign w:val="bottom"/>
            <w:tcBorders>
              <w:right w:val="single" w:sz="8" w:color="999999"/>
            </w:tcBorders>
            <w:gridSpan w:val="4"/>
          </w:tcPr>
          <w:p>
            <w:pPr>
              <w:spacing w:after="0" w:line="174" w:lineRule="exact"/>
              <w:rPr>
                <w:sz w:val="20"/>
                <w:szCs w:val="20"/>
                <w:color w:val="auto"/>
              </w:rPr>
            </w:pPr>
            <w:r>
              <w:rPr>
                <w:rFonts w:ascii="Arial" w:cs="Arial" w:eastAsia="Arial" w:hAnsi="Arial"/>
                <w:sz w:val="16"/>
                <w:szCs w:val="16"/>
                <w:color w:val="auto"/>
              </w:rPr>
              <w:t>Three-Year PSUs: 100% of the</w:t>
            </w:r>
          </w:p>
        </w:tc>
        <w:tc>
          <w:tcPr>
            <w:tcW w:w="2540" w:type="dxa"/>
            <w:vAlign w:val="bottom"/>
            <w:tcBorders>
              <w:right w:val="single" w:sz="8" w:color="00548B"/>
            </w:tcBorders>
          </w:tcPr>
          <w:p>
            <w:pPr>
              <w:ind w:left="100"/>
              <w:spacing w:after="0" w:line="174" w:lineRule="exact"/>
              <w:rPr>
                <w:sz w:val="20"/>
                <w:szCs w:val="20"/>
                <w:color w:val="auto"/>
              </w:rPr>
            </w:pPr>
            <w:r>
              <w:rPr>
                <w:rFonts w:ascii="Arial" w:cs="Arial" w:eastAsia="Arial" w:hAnsi="Arial"/>
                <w:sz w:val="16"/>
                <w:szCs w:val="16"/>
                <w:color w:val="auto"/>
              </w:rPr>
              <w:t>that executive remains employed</w:t>
            </w:r>
          </w:p>
        </w:tc>
        <w:tc>
          <w:tcPr>
            <w:tcW w:w="0" w:type="dxa"/>
            <w:vAlign w:val="bottom"/>
          </w:tcPr>
          <w:p>
            <w:pPr>
              <w:spacing w:after="0"/>
              <w:rPr>
                <w:sz w:val="1"/>
                <w:szCs w:val="1"/>
                <w:color w:val="auto"/>
              </w:rPr>
            </w:pPr>
          </w:p>
        </w:tc>
      </w:tr>
      <w:tr>
        <w:trPr>
          <w:trHeight w:val="20"/>
        </w:trPr>
        <w:tc>
          <w:tcPr>
            <w:tcW w:w="2980" w:type="dxa"/>
            <w:vAlign w:val="bottom"/>
            <w:tcBorders>
              <w:left w:val="single" w:sz="8" w:color="00548B"/>
              <w:right w:val="single" w:sz="8" w:color="999999"/>
            </w:tcBorders>
          </w:tcPr>
          <w:p>
            <w:pPr>
              <w:spacing w:after="0" w:line="20" w:lineRule="exact"/>
              <w:rPr>
                <w:sz w:val="1"/>
                <w:szCs w:val="1"/>
                <w:color w:val="auto"/>
              </w:rPr>
            </w:pPr>
          </w:p>
        </w:tc>
        <w:tc>
          <w:tcPr>
            <w:tcW w:w="2900" w:type="dxa"/>
            <w:vAlign w:val="bottom"/>
            <w:tcBorders>
              <w:right w:val="single" w:sz="8" w:color="999999"/>
            </w:tcBorders>
            <w:vMerge w:val="restart"/>
          </w:tcPr>
          <w:p>
            <w:pPr>
              <w:ind w:left="360"/>
              <w:spacing w:after="0"/>
              <w:rPr>
                <w:sz w:val="20"/>
                <w:szCs w:val="20"/>
                <w:color w:val="auto"/>
              </w:rPr>
            </w:pPr>
            <w:r>
              <w:rPr>
                <w:rFonts w:ascii="Arial" w:cs="Arial" w:eastAsia="Arial" w:hAnsi="Arial"/>
                <w:sz w:val="16"/>
                <w:szCs w:val="16"/>
                <w:color w:val="auto"/>
              </w:rPr>
              <w:t>the award granted to C. Mark</w:t>
            </w:r>
          </w:p>
        </w:tc>
        <w:tc>
          <w:tcPr>
            <w:tcW w:w="80" w:type="dxa"/>
            <w:vAlign w:val="bottom"/>
          </w:tcPr>
          <w:p>
            <w:pPr>
              <w:spacing w:after="0" w:line="20" w:lineRule="exact"/>
              <w:rPr>
                <w:sz w:val="1"/>
                <w:szCs w:val="1"/>
                <w:color w:val="auto"/>
              </w:rPr>
            </w:pPr>
          </w:p>
        </w:tc>
        <w:tc>
          <w:tcPr>
            <w:tcW w:w="11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Borders>
              <w:right w:val="single" w:sz="8" w:color="999999"/>
            </w:tcBorders>
          </w:tcPr>
          <w:p>
            <w:pPr>
              <w:spacing w:after="0" w:line="20" w:lineRule="exact"/>
              <w:rPr>
                <w:sz w:val="1"/>
                <w:szCs w:val="1"/>
                <w:color w:val="auto"/>
              </w:rPr>
            </w:pPr>
          </w:p>
        </w:tc>
        <w:tc>
          <w:tcPr>
            <w:tcW w:w="2540" w:type="dxa"/>
            <w:vAlign w:val="bottom"/>
            <w:tcBorders>
              <w:right w:val="single" w:sz="8" w:color="00548B"/>
            </w:tcBorders>
            <w:vMerge w:val="restart"/>
          </w:tcPr>
          <w:p>
            <w:pPr>
              <w:ind w:left="100"/>
              <w:spacing w:after="0"/>
              <w:rPr>
                <w:sz w:val="20"/>
                <w:szCs w:val="20"/>
                <w:color w:val="auto"/>
              </w:rPr>
            </w:pPr>
            <w:r>
              <w:rPr>
                <w:rFonts w:ascii="Arial" w:cs="Arial" w:eastAsia="Arial" w:hAnsi="Arial"/>
                <w:sz w:val="16"/>
                <w:szCs w:val="16"/>
                <w:color w:val="auto"/>
              </w:rPr>
              <w:t>at Huron through the</w:t>
            </w:r>
          </w:p>
        </w:tc>
        <w:tc>
          <w:tcPr>
            <w:tcW w:w="0" w:type="dxa"/>
            <w:vAlign w:val="bottom"/>
          </w:tcPr>
          <w:p>
            <w:pPr>
              <w:spacing w:after="0" w:line="20" w:lineRule="exact"/>
              <w:rPr>
                <w:sz w:val="1"/>
                <w:szCs w:val="1"/>
                <w:color w:val="auto"/>
              </w:rPr>
            </w:pPr>
          </w:p>
        </w:tc>
      </w:tr>
      <w:tr>
        <w:trPr>
          <w:trHeight w:val="184"/>
        </w:trPr>
        <w:tc>
          <w:tcPr>
            <w:tcW w:w="2980" w:type="dxa"/>
            <w:vAlign w:val="bottom"/>
            <w:tcBorders>
              <w:left w:val="single" w:sz="8" w:color="00548B"/>
              <w:right w:val="single" w:sz="8" w:color="999999"/>
            </w:tcBorders>
          </w:tcPr>
          <w:p>
            <w:pPr>
              <w:spacing w:after="0"/>
              <w:rPr>
                <w:sz w:val="16"/>
                <w:szCs w:val="16"/>
                <w:color w:val="auto"/>
              </w:rPr>
            </w:pPr>
          </w:p>
        </w:tc>
        <w:tc>
          <w:tcPr>
            <w:tcW w:w="2900" w:type="dxa"/>
            <w:vAlign w:val="bottom"/>
            <w:tcBorders>
              <w:right w:val="single" w:sz="8" w:color="999999"/>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540" w:type="dxa"/>
            <w:vAlign w:val="bottom"/>
            <w:tcBorders>
              <w:right w:val="single" w:sz="8" w:color="999999"/>
            </w:tcBorders>
            <w:gridSpan w:val="4"/>
          </w:tcPr>
          <w:p>
            <w:pPr>
              <w:spacing w:after="0"/>
              <w:rPr>
                <w:sz w:val="20"/>
                <w:szCs w:val="20"/>
                <w:color w:val="auto"/>
              </w:rPr>
            </w:pPr>
            <w:r>
              <w:rPr>
                <w:rFonts w:ascii="Arial" w:cs="Arial" w:eastAsia="Arial" w:hAnsi="Arial"/>
                <w:sz w:val="16"/>
                <w:szCs w:val="16"/>
                <w:color w:val="auto"/>
              </w:rPr>
              <w:t>earned Three-Year PSUs vest in</w:t>
            </w:r>
          </w:p>
        </w:tc>
        <w:tc>
          <w:tcPr>
            <w:tcW w:w="2540" w:type="dxa"/>
            <w:vAlign w:val="bottom"/>
            <w:tcBorders>
              <w:right w:val="single" w:sz="8" w:color="00548B"/>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980" w:type="dxa"/>
            <w:vAlign w:val="bottom"/>
            <w:tcBorders>
              <w:left w:val="single" w:sz="8" w:color="00548B"/>
              <w:right w:val="single" w:sz="8" w:color="999999"/>
            </w:tcBorders>
          </w:tcPr>
          <w:p>
            <w:pPr>
              <w:spacing w:after="0"/>
              <w:rPr>
                <w:sz w:val="17"/>
                <w:szCs w:val="17"/>
                <w:color w:val="auto"/>
              </w:rPr>
            </w:pPr>
          </w:p>
        </w:tc>
        <w:tc>
          <w:tcPr>
            <w:tcW w:w="2900" w:type="dxa"/>
            <w:vAlign w:val="bottom"/>
            <w:tcBorders>
              <w:right w:val="single" w:sz="8" w:color="999999"/>
            </w:tcBorders>
          </w:tcPr>
          <w:p>
            <w:pPr>
              <w:ind w:left="360"/>
              <w:spacing w:after="0"/>
              <w:rPr>
                <w:sz w:val="20"/>
                <w:szCs w:val="20"/>
                <w:color w:val="auto"/>
              </w:rPr>
            </w:pPr>
            <w:r>
              <w:rPr>
                <w:rFonts w:ascii="Arial" w:cs="Arial" w:eastAsia="Arial" w:hAnsi="Arial"/>
                <w:sz w:val="16"/>
                <w:szCs w:val="16"/>
                <w:color w:val="auto"/>
              </w:rPr>
              <w:t>Hussey on 8/21/2017.</w:t>
            </w:r>
          </w:p>
        </w:tc>
        <w:tc>
          <w:tcPr>
            <w:tcW w:w="80" w:type="dxa"/>
            <w:vAlign w:val="bottom"/>
          </w:tcPr>
          <w:p>
            <w:pPr>
              <w:spacing w:after="0"/>
              <w:rPr>
                <w:sz w:val="17"/>
                <w:szCs w:val="17"/>
                <w:color w:val="auto"/>
              </w:rPr>
            </w:pPr>
          </w:p>
        </w:tc>
        <w:tc>
          <w:tcPr>
            <w:tcW w:w="2540" w:type="dxa"/>
            <w:vAlign w:val="bottom"/>
            <w:tcBorders>
              <w:right w:val="single" w:sz="8" w:color="999999"/>
            </w:tcBorders>
            <w:gridSpan w:val="4"/>
          </w:tcPr>
          <w:p>
            <w:pPr>
              <w:spacing w:after="0"/>
              <w:rPr>
                <w:sz w:val="20"/>
                <w:szCs w:val="20"/>
                <w:color w:val="auto"/>
              </w:rPr>
            </w:pPr>
            <w:r>
              <w:rPr>
                <w:rFonts w:ascii="Arial" w:cs="Arial" w:eastAsia="Arial" w:hAnsi="Arial"/>
                <w:sz w:val="16"/>
                <w:szCs w:val="16"/>
                <w:color w:val="auto"/>
              </w:rPr>
              <w:t>Q1 2020 provided that executive</w:t>
            </w:r>
          </w:p>
        </w:tc>
        <w:tc>
          <w:tcPr>
            <w:tcW w:w="2540" w:type="dxa"/>
            <w:vAlign w:val="bottom"/>
            <w:tcBorders>
              <w:right w:val="single" w:sz="8" w:color="00548B"/>
            </w:tcBorders>
          </w:tcPr>
          <w:p>
            <w:pPr>
              <w:ind w:left="100"/>
              <w:spacing w:after="0"/>
              <w:rPr>
                <w:sz w:val="20"/>
                <w:szCs w:val="20"/>
                <w:color w:val="auto"/>
              </w:rPr>
            </w:pPr>
            <w:r>
              <w:rPr>
                <w:rFonts w:ascii="Arial" w:cs="Arial" w:eastAsia="Arial" w:hAnsi="Arial"/>
                <w:sz w:val="16"/>
                <w:szCs w:val="16"/>
                <w:color w:val="auto"/>
              </w:rPr>
              <w:t>Performance Period.</w:t>
            </w:r>
          </w:p>
        </w:tc>
        <w:tc>
          <w:tcPr>
            <w:tcW w:w="0" w:type="dxa"/>
            <w:vAlign w:val="bottom"/>
          </w:tcPr>
          <w:p>
            <w:pPr>
              <w:spacing w:after="0"/>
              <w:rPr>
                <w:sz w:val="1"/>
                <w:szCs w:val="1"/>
                <w:color w:val="auto"/>
              </w:rPr>
            </w:pPr>
          </w:p>
        </w:tc>
      </w:tr>
      <w:tr>
        <w:trPr>
          <w:trHeight w:val="189"/>
        </w:trPr>
        <w:tc>
          <w:tcPr>
            <w:tcW w:w="2980" w:type="dxa"/>
            <w:vAlign w:val="bottom"/>
            <w:tcBorders>
              <w:left w:val="single" w:sz="8" w:color="00548B"/>
              <w:right w:val="single" w:sz="8" w:color="999999"/>
            </w:tcBorders>
          </w:tcPr>
          <w:p>
            <w:pPr>
              <w:spacing w:after="0"/>
              <w:rPr>
                <w:sz w:val="16"/>
                <w:szCs w:val="16"/>
                <w:color w:val="auto"/>
              </w:rPr>
            </w:pPr>
          </w:p>
        </w:tc>
        <w:tc>
          <w:tcPr>
            <w:tcW w:w="2900" w:type="dxa"/>
            <w:vAlign w:val="bottom"/>
            <w:tcBorders>
              <w:right w:val="single" w:sz="8" w:color="999999"/>
            </w:tcBorders>
          </w:tcPr>
          <w:p>
            <w:pPr>
              <w:spacing w:after="0"/>
              <w:rPr>
                <w:sz w:val="16"/>
                <w:szCs w:val="16"/>
                <w:color w:val="auto"/>
              </w:rPr>
            </w:pPr>
          </w:p>
        </w:tc>
        <w:tc>
          <w:tcPr>
            <w:tcW w:w="80" w:type="dxa"/>
            <w:vAlign w:val="bottom"/>
          </w:tcPr>
          <w:p>
            <w:pPr>
              <w:spacing w:after="0"/>
              <w:rPr>
                <w:sz w:val="16"/>
                <w:szCs w:val="16"/>
                <w:color w:val="auto"/>
              </w:rPr>
            </w:pPr>
          </w:p>
        </w:tc>
        <w:tc>
          <w:tcPr>
            <w:tcW w:w="2540" w:type="dxa"/>
            <w:vAlign w:val="bottom"/>
            <w:tcBorders>
              <w:right w:val="single" w:sz="8" w:color="999999"/>
            </w:tcBorders>
            <w:gridSpan w:val="4"/>
          </w:tcPr>
          <w:p>
            <w:pPr>
              <w:spacing w:after="0"/>
              <w:rPr>
                <w:sz w:val="20"/>
                <w:szCs w:val="20"/>
                <w:color w:val="auto"/>
              </w:rPr>
            </w:pPr>
            <w:r>
              <w:rPr>
                <w:rFonts w:ascii="Arial" w:cs="Arial" w:eastAsia="Arial" w:hAnsi="Arial"/>
                <w:sz w:val="16"/>
                <w:szCs w:val="16"/>
                <w:color w:val="auto"/>
              </w:rPr>
              <w:t>remains employed at Huron</w:t>
            </w:r>
          </w:p>
        </w:tc>
        <w:tc>
          <w:tcPr>
            <w:tcW w:w="2540" w:type="dxa"/>
            <w:vAlign w:val="bottom"/>
            <w:tcBorders>
              <w:right w:val="single" w:sz="8" w:color="00548B"/>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80" w:type="dxa"/>
            <w:vAlign w:val="bottom"/>
            <w:tcBorders>
              <w:left w:val="single" w:sz="8" w:color="00548B"/>
              <w:right w:val="single" w:sz="8" w:color="999999"/>
            </w:tcBorders>
          </w:tcPr>
          <w:p>
            <w:pPr>
              <w:spacing w:after="0"/>
              <w:rPr>
                <w:sz w:val="16"/>
                <w:szCs w:val="16"/>
                <w:color w:val="auto"/>
              </w:rPr>
            </w:pPr>
          </w:p>
        </w:tc>
        <w:tc>
          <w:tcPr>
            <w:tcW w:w="2900" w:type="dxa"/>
            <w:vAlign w:val="bottom"/>
            <w:tcBorders>
              <w:right w:val="single" w:sz="8" w:color="999999"/>
            </w:tcBorders>
          </w:tcPr>
          <w:p>
            <w:pPr>
              <w:spacing w:after="0"/>
              <w:rPr>
                <w:sz w:val="16"/>
                <w:szCs w:val="16"/>
                <w:color w:val="auto"/>
              </w:rPr>
            </w:pPr>
          </w:p>
        </w:tc>
        <w:tc>
          <w:tcPr>
            <w:tcW w:w="80" w:type="dxa"/>
            <w:vAlign w:val="bottom"/>
          </w:tcPr>
          <w:p>
            <w:pPr>
              <w:spacing w:after="0"/>
              <w:rPr>
                <w:sz w:val="16"/>
                <w:szCs w:val="16"/>
                <w:color w:val="auto"/>
              </w:rPr>
            </w:pPr>
          </w:p>
        </w:tc>
        <w:tc>
          <w:tcPr>
            <w:tcW w:w="2540" w:type="dxa"/>
            <w:vAlign w:val="bottom"/>
            <w:tcBorders>
              <w:right w:val="single" w:sz="8" w:color="999999"/>
            </w:tcBorders>
            <w:gridSpan w:val="4"/>
          </w:tcPr>
          <w:p>
            <w:pPr>
              <w:spacing w:after="0"/>
              <w:rPr>
                <w:sz w:val="20"/>
                <w:szCs w:val="20"/>
                <w:color w:val="auto"/>
              </w:rPr>
            </w:pPr>
            <w:r>
              <w:rPr>
                <w:rFonts w:ascii="Arial" w:cs="Arial" w:eastAsia="Arial" w:hAnsi="Arial"/>
                <w:sz w:val="16"/>
                <w:szCs w:val="16"/>
                <w:color w:val="auto"/>
              </w:rPr>
              <w:t>through the 2019 Performance</w:t>
            </w:r>
          </w:p>
        </w:tc>
        <w:tc>
          <w:tcPr>
            <w:tcW w:w="2540" w:type="dxa"/>
            <w:vAlign w:val="bottom"/>
            <w:tcBorders>
              <w:right w:val="single" w:sz="8" w:color="00548B"/>
            </w:tcBorders>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980" w:type="dxa"/>
            <w:vAlign w:val="bottom"/>
            <w:tcBorders>
              <w:left w:val="single" w:sz="8" w:color="00548B"/>
              <w:bottom w:val="single" w:sz="8" w:color="999999"/>
              <w:right w:val="single" w:sz="8" w:color="999999"/>
            </w:tcBorders>
          </w:tcPr>
          <w:p>
            <w:pPr>
              <w:spacing w:after="0"/>
              <w:rPr>
                <w:sz w:val="17"/>
                <w:szCs w:val="17"/>
                <w:color w:val="auto"/>
              </w:rPr>
            </w:pPr>
          </w:p>
        </w:tc>
        <w:tc>
          <w:tcPr>
            <w:tcW w:w="2900" w:type="dxa"/>
            <w:vAlign w:val="bottom"/>
            <w:tcBorders>
              <w:bottom w:val="single" w:sz="8" w:color="999999"/>
              <w:right w:val="single" w:sz="8" w:color="999999"/>
            </w:tcBorders>
          </w:tcPr>
          <w:p>
            <w:pPr>
              <w:spacing w:after="0"/>
              <w:rPr>
                <w:sz w:val="17"/>
                <w:szCs w:val="17"/>
                <w:color w:val="auto"/>
              </w:rPr>
            </w:pPr>
          </w:p>
        </w:tc>
        <w:tc>
          <w:tcPr>
            <w:tcW w:w="80" w:type="dxa"/>
            <w:vAlign w:val="bottom"/>
            <w:tcBorders>
              <w:bottom w:val="single" w:sz="8" w:color="999999"/>
            </w:tcBorders>
          </w:tcPr>
          <w:p>
            <w:pPr>
              <w:spacing w:after="0"/>
              <w:rPr>
                <w:sz w:val="17"/>
                <w:szCs w:val="17"/>
                <w:color w:val="auto"/>
              </w:rPr>
            </w:pPr>
          </w:p>
        </w:tc>
        <w:tc>
          <w:tcPr>
            <w:tcW w:w="2540" w:type="dxa"/>
            <w:vAlign w:val="bottom"/>
            <w:tcBorders>
              <w:bottom w:val="single" w:sz="8" w:color="999999"/>
              <w:right w:val="single" w:sz="8" w:color="999999"/>
            </w:tcBorders>
            <w:gridSpan w:val="4"/>
          </w:tcPr>
          <w:p>
            <w:pPr>
              <w:spacing w:after="0"/>
              <w:rPr>
                <w:sz w:val="20"/>
                <w:szCs w:val="20"/>
                <w:color w:val="auto"/>
              </w:rPr>
            </w:pPr>
            <w:r>
              <w:rPr>
                <w:rFonts w:ascii="Arial" w:cs="Arial" w:eastAsia="Arial" w:hAnsi="Arial"/>
                <w:sz w:val="16"/>
                <w:szCs w:val="16"/>
                <w:color w:val="auto"/>
              </w:rPr>
              <w:t>Period.</w:t>
            </w:r>
          </w:p>
        </w:tc>
        <w:tc>
          <w:tcPr>
            <w:tcW w:w="2540" w:type="dxa"/>
            <w:vAlign w:val="bottom"/>
            <w:tcBorders>
              <w:bottom w:val="single" w:sz="8" w:color="999999"/>
              <w:right w:val="single" w:sz="8" w:color="00548B"/>
            </w:tcBorders>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2980" w:type="dxa"/>
            <w:vAlign w:val="bottom"/>
            <w:tcBorders>
              <w:left w:val="single" w:sz="8" w:color="00548B"/>
              <w:right w:val="single" w:sz="8" w:color="999999"/>
            </w:tcBorders>
          </w:tcPr>
          <w:p>
            <w:pPr>
              <w:ind w:left="160"/>
              <w:spacing w:after="0" w:line="158" w:lineRule="exact"/>
              <w:rPr>
                <w:sz w:val="20"/>
                <w:szCs w:val="20"/>
                <w:color w:val="auto"/>
              </w:rPr>
            </w:pPr>
            <w:r>
              <w:rPr>
                <w:rFonts w:ascii="Arial" w:cs="Arial" w:eastAsia="Arial" w:hAnsi="Arial"/>
                <w:sz w:val="16"/>
                <w:szCs w:val="16"/>
                <w:color w:val="auto"/>
              </w:rPr>
              <w:t>Voluntary Termination</w:t>
            </w:r>
          </w:p>
        </w:tc>
        <w:tc>
          <w:tcPr>
            <w:tcW w:w="2900" w:type="dxa"/>
            <w:vAlign w:val="bottom"/>
            <w:tcBorders>
              <w:right w:val="single" w:sz="8" w:color="999999"/>
            </w:tcBorders>
          </w:tcPr>
          <w:p>
            <w:pPr>
              <w:ind w:left="360"/>
              <w:spacing w:after="0" w:line="158" w:lineRule="exact"/>
              <w:rPr>
                <w:sz w:val="20"/>
                <w:szCs w:val="20"/>
                <w:color w:val="auto"/>
              </w:rPr>
            </w:pPr>
            <w:r>
              <w:rPr>
                <w:rFonts w:ascii="Arial" w:cs="Arial" w:eastAsia="Arial" w:hAnsi="Arial"/>
                <w:sz w:val="16"/>
                <w:szCs w:val="16"/>
                <w:color w:val="auto"/>
              </w:rPr>
              <w:t>Forfeit.</w:t>
            </w:r>
          </w:p>
        </w:tc>
        <w:tc>
          <w:tcPr>
            <w:tcW w:w="80" w:type="dxa"/>
            <w:vAlign w:val="bottom"/>
          </w:tcPr>
          <w:p>
            <w:pPr>
              <w:spacing w:after="0"/>
              <w:rPr>
                <w:sz w:val="13"/>
                <w:szCs w:val="13"/>
                <w:color w:val="auto"/>
              </w:rPr>
            </w:pPr>
          </w:p>
        </w:tc>
        <w:tc>
          <w:tcPr>
            <w:tcW w:w="2540" w:type="dxa"/>
            <w:vAlign w:val="bottom"/>
            <w:tcBorders>
              <w:right w:val="single" w:sz="8" w:color="999999"/>
            </w:tcBorders>
            <w:gridSpan w:val="4"/>
          </w:tcPr>
          <w:p>
            <w:pPr>
              <w:spacing w:after="0" w:line="158" w:lineRule="exact"/>
              <w:rPr>
                <w:sz w:val="20"/>
                <w:szCs w:val="20"/>
                <w:color w:val="auto"/>
              </w:rPr>
            </w:pPr>
            <w:r>
              <w:rPr>
                <w:rFonts w:ascii="Arial" w:cs="Arial" w:eastAsia="Arial" w:hAnsi="Arial"/>
                <w:sz w:val="16"/>
                <w:szCs w:val="16"/>
                <w:color w:val="auto"/>
              </w:rPr>
              <w:t>One-Year &amp; Three-Year PSUs &amp;</w:t>
            </w:r>
          </w:p>
        </w:tc>
        <w:tc>
          <w:tcPr>
            <w:tcW w:w="2540" w:type="dxa"/>
            <w:vAlign w:val="bottom"/>
            <w:tcBorders>
              <w:right w:val="single" w:sz="8" w:color="00548B"/>
            </w:tcBorders>
          </w:tcPr>
          <w:p>
            <w:pPr>
              <w:ind w:left="100"/>
              <w:spacing w:after="0" w:line="158" w:lineRule="exact"/>
              <w:rPr>
                <w:sz w:val="20"/>
                <w:szCs w:val="20"/>
                <w:color w:val="auto"/>
              </w:rPr>
            </w:pPr>
            <w:r>
              <w:rPr>
                <w:rFonts w:ascii="Arial" w:cs="Arial" w:eastAsia="Arial" w:hAnsi="Arial"/>
                <w:sz w:val="16"/>
                <w:szCs w:val="16"/>
                <w:color w:val="auto"/>
              </w:rPr>
              <w:t>Forfeit.</w:t>
            </w:r>
          </w:p>
        </w:tc>
        <w:tc>
          <w:tcPr>
            <w:tcW w:w="0" w:type="dxa"/>
            <w:vAlign w:val="bottom"/>
          </w:tcPr>
          <w:p>
            <w:pPr>
              <w:spacing w:after="0"/>
              <w:rPr>
                <w:sz w:val="1"/>
                <w:szCs w:val="1"/>
                <w:color w:val="auto"/>
              </w:rPr>
            </w:pPr>
          </w:p>
        </w:tc>
      </w:tr>
      <w:tr>
        <w:trPr>
          <w:trHeight w:val="169"/>
        </w:trPr>
        <w:tc>
          <w:tcPr>
            <w:tcW w:w="2980" w:type="dxa"/>
            <w:vAlign w:val="bottom"/>
            <w:tcBorders>
              <w:left w:val="single" w:sz="8" w:color="00548B"/>
              <w:right w:val="single" w:sz="8" w:color="999999"/>
            </w:tcBorders>
          </w:tcPr>
          <w:p>
            <w:pPr>
              <w:spacing w:after="0"/>
              <w:rPr>
                <w:sz w:val="14"/>
                <w:szCs w:val="14"/>
                <w:color w:val="auto"/>
              </w:rPr>
            </w:pPr>
          </w:p>
        </w:tc>
        <w:tc>
          <w:tcPr>
            <w:tcW w:w="2900" w:type="dxa"/>
            <w:vAlign w:val="bottom"/>
            <w:tcBorders>
              <w:right w:val="single" w:sz="8" w:color="999999"/>
            </w:tcBorders>
          </w:tcPr>
          <w:p>
            <w:pPr>
              <w:spacing w:after="0"/>
              <w:rPr>
                <w:sz w:val="14"/>
                <w:szCs w:val="14"/>
                <w:color w:val="auto"/>
              </w:rPr>
            </w:pPr>
          </w:p>
        </w:tc>
        <w:tc>
          <w:tcPr>
            <w:tcW w:w="80" w:type="dxa"/>
            <w:vAlign w:val="bottom"/>
          </w:tcPr>
          <w:p>
            <w:pPr>
              <w:spacing w:after="0"/>
              <w:rPr>
                <w:sz w:val="14"/>
                <w:szCs w:val="14"/>
                <w:color w:val="auto"/>
              </w:rPr>
            </w:pPr>
          </w:p>
        </w:tc>
        <w:tc>
          <w:tcPr>
            <w:tcW w:w="2300" w:type="dxa"/>
            <w:vAlign w:val="bottom"/>
            <w:tcBorders>
              <w:top w:val="single" w:sz="8" w:color="auto"/>
            </w:tcBorders>
            <w:gridSpan w:val="3"/>
          </w:tcPr>
          <w:p>
            <w:pPr>
              <w:spacing w:after="0" w:line="169" w:lineRule="exact"/>
              <w:rPr>
                <w:sz w:val="20"/>
                <w:szCs w:val="20"/>
                <w:color w:val="auto"/>
              </w:rPr>
            </w:pPr>
            <w:r>
              <w:rPr>
                <w:rFonts w:ascii="Arial" w:cs="Arial" w:eastAsia="Arial" w:hAnsi="Arial"/>
                <w:sz w:val="16"/>
                <w:szCs w:val="16"/>
                <w:color w:val="auto"/>
              </w:rPr>
              <w:t>Earned Shares: Forfeit.</w:t>
            </w:r>
          </w:p>
        </w:tc>
        <w:tc>
          <w:tcPr>
            <w:tcW w:w="240" w:type="dxa"/>
            <w:vAlign w:val="bottom"/>
            <w:tcBorders>
              <w:right w:val="single" w:sz="8" w:color="999999"/>
            </w:tcBorders>
          </w:tcPr>
          <w:p>
            <w:pPr>
              <w:spacing w:after="0"/>
              <w:rPr>
                <w:sz w:val="14"/>
                <w:szCs w:val="14"/>
                <w:color w:val="auto"/>
              </w:rPr>
            </w:pPr>
          </w:p>
        </w:tc>
        <w:tc>
          <w:tcPr>
            <w:tcW w:w="2540" w:type="dxa"/>
            <w:vAlign w:val="bottom"/>
            <w:tcBorders>
              <w:right w:val="single" w:sz="8" w:color="00548B"/>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980" w:type="dxa"/>
            <w:vAlign w:val="bottom"/>
            <w:tcBorders>
              <w:left w:val="single" w:sz="8" w:color="00548B"/>
              <w:bottom w:val="single" w:sz="8" w:color="00548B"/>
              <w:right w:val="single" w:sz="8" w:color="999999"/>
            </w:tcBorders>
          </w:tcPr>
          <w:p>
            <w:pPr>
              <w:spacing w:after="0" w:line="20" w:lineRule="exact"/>
              <w:rPr>
                <w:sz w:val="1"/>
                <w:szCs w:val="1"/>
                <w:color w:val="auto"/>
              </w:rPr>
            </w:pPr>
          </w:p>
        </w:tc>
        <w:tc>
          <w:tcPr>
            <w:tcW w:w="2900" w:type="dxa"/>
            <w:vAlign w:val="bottom"/>
            <w:tcBorders>
              <w:bottom w:val="single" w:sz="8" w:color="00548B"/>
              <w:right w:val="single" w:sz="8" w:color="999999"/>
            </w:tcBorders>
          </w:tcPr>
          <w:p>
            <w:pPr>
              <w:spacing w:after="0" w:line="20" w:lineRule="exact"/>
              <w:rPr>
                <w:sz w:val="1"/>
                <w:szCs w:val="1"/>
                <w:color w:val="auto"/>
              </w:rPr>
            </w:pPr>
          </w:p>
        </w:tc>
        <w:tc>
          <w:tcPr>
            <w:tcW w:w="80" w:type="dxa"/>
            <w:vAlign w:val="bottom"/>
            <w:tcBorders>
              <w:bottom w:val="single" w:sz="8" w:color="00548B"/>
            </w:tcBorders>
          </w:tcPr>
          <w:p>
            <w:pPr>
              <w:spacing w:after="0" w:line="20" w:lineRule="exact"/>
              <w:rPr>
                <w:sz w:val="1"/>
                <w:szCs w:val="1"/>
                <w:color w:val="auto"/>
              </w:rPr>
            </w:pPr>
          </w:p>
        </w:tc>
        <w:tc>
          <w:tcPr>
            <w:tcW w:w="1140" w:type="dxa"/>
            <w:vAlign w:val="bottom"/>
            <w:tcBorders>
              <w:top w:val="single" w:sz="8" w:color="auto"/>
              <w:bottom w:val="single" w:sz="8" w:color="00548B"/>
            </w:tcBorders>
          </w:tcPr>
          <w:p>
            <w:pPr>
              <w:spacing w:after="0" w:line="20" w:lineRule="exact"/>
              <w:rPr>
                <w:sz w:val="1"/>
                <w:szCs w:val="1"/>
                <w:color w:val="auto"/>
              </w:rPr>
            </w:pPr>
          </w:p>
        </w:tc>
        <w:tc>
          <w:tcPr>
            <w:tcW w:w="120" w:type="dxa"/>
            <w:vAlign w:val="bottom"/>
            <w:tcBorders>
              <w:bottom w:val="single" w:sz="8" w:color="00548B"/>
            </w:tcBorders>
          </w:tcPr>
          <w:p>
            <w:pPr>
              <w:spacing w:after="0" w:line="20" w:lineRule="exact"/>
              <w:rPr>
                <w:sz w:val="1"/>
                <w:szCs w:val="1"/>
                <w:color w:val="auto"/>
              </w:rPr>
            </w:pPr>
          </w:p>
        </w:tc>
        <w:tc>
          <w:tcPr>
            <w:tcW w:w="1040" w:type="dxa"/>
            <w:vAlign w:val="bottom"/>
            <w:tcBorders>
              <w:bottom w:val="single" w:sz="8" w:color="00548B"/>
            </w:tcBorders>
          </w:tcPr>
          <w:p>
            <w:pPr>
              <w:spacing w:after="0" w:line="20" w:lineRule="exact"/>
              <w:rPr>
                <w:sz w:val="1"/>
                <w:szCs w:val="1"/>
                <w:color w:val="auto"/>
              </w:rPr>
            </w:pPr>
          </w:p>
        </w:tc>
        <w:tc>
          <w:tcPr>
            <w:tcW w:w="240" w:type="dxa"/>
            <w:vAlign w:val="bottom"/>
            <w:tcBorders>
              <w:bottom w:val="single" w:sz="8" w:color="00548B"/>
              <w:right w:val="single" w:sz="8" w:color="999999"/>
            </w:tcBorders>
          </w:tcPr>
          <w:p>
            <w:pPr>
              <w:spacing w:after="0" w:line="20" w:lineRule="exact"/>
              <w:rPr>
                <w:sz w:val="1"/>
                <w:szCs w:val="1"/>
                <w:color w:val="auto"/>
              </w:rPr>
            </w:pPr>
          </w:p>
        </w:tc>
        <w:tc>
          <w:tcPr>
            <w:tcW w:w="2540" w:type="dxa"/>
            <w:vAlign w:val="bottom"/>
            <w:tcBorders>
              <w:bottom w:val="single" w:sz="8" w:color="00548B"/>
              <w:right w:val="single" w:sz="8" w:color="00548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00548B"/>
        </w:rPr>
        <w:t>40</w:t>
      </w:r>
    </w:p>
    <w:p>
      <w:pPr>
        <w:sectPr>
          <w:pgSz w:w="11900" w:h="16838" w:orient="portrait"/>
          <w:cols w:equalWidth="0" w:num="1">
            <w:col w:w="11140"/>
          </w:cols>
          <w:pgMar w:left="32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130" w:type="dxa"/>
        <w:tblCellMar>
          <w:top w:w="0" w:type="dxa"/>
          <w:left w:w="0" w:type="dxa"/>
          <w:bottom w:w="0" w:type="dxa"/>
          <w:right w:w="0" w:type="dxa"/>
        </w:tblCellMar>
      </w:tblPr>
      <w:tr>
        <w:trPr>
          <w:trHeight w:val="184"/>
        </w:trPr>
        <w:tc>
          <w:tcPr>
            <w:tcW w:w="2980" w:type="dxa"/>
            <w:vAlign w:val="bottom"/>
            <w:tcBorders>
              <w:top w:val="single" w:sz="8" w:color="00548B"/>
              <w:left w:val="single" w:sz="8" w:color="00548B"/>
              <w:right w:val="single" w:sz="8" w:color="999999"/>
            </w:tcBorders>
            <w:shd w:val="clear" w:color="auto" w:fill="00548B"/>
          </w:tcPr>
          <w:p>
            <w:pPr>
              <w:spacing w:after="0"/>
              <w:rPr>
                <w:sz w:val="16"/>
                <w:szCs w:val="16"/>
                <w:color w:val="auto"/>
              </w:rPr>
            </w:pPr>
          </w:p>
        </w:tc>
        <w:tc>
          <w:tcPr>
            <w:tcW w:w="2900" w:type="dxa"/>
            <w:vAlign w:val="bottom"/>
            <w:tcBorders>
              <w:top w:val="single" w:sz="8" w:color="00548B"/>
              <w:right w:val="single" w:sz="8" w:color="999999"/>
            </w:tcBorders>
            <w:shd w:val="clear" w:color="auto" w:fill="00548B"/>
          </w:tcPr>
          <w:p>
            <w:pPr>
              <w:spacing w:after="0"/>
              <w:rPr>
                <w:sz w:val="16"/>
                <w:szCs w:val="16"/>
                <w:color w:val="auto"/>
              </w:rPr>
            </w:pPr>
          </w:p>
        </w:tc>
        <w:tc>
          <w:tcPr>
            <w:tcW w:w="80" w:type="dxa"/>
            <w:vAlign w:val="bottom"/>
            <w:tcBorders>
              <w:top w:val="single" w:sz="8" w:color="00548B"/>
            </w:tcBorders>
            <w:shd w:val="clear" w:color="auto" w:fill="00548B"/>
          </w:tcPr>
          <w:p>
            <w:pPr>
              <w:spacing w:after="0"/>
              <w:rPr>
                <w:sz w:val="16"/>
                <w:szCs w:val="16"/>
                <w:color w:val="auto"/>
              </w:rPr>
            </w:pPr>
          </w:p>
        </w:tc>
        <w:tc>
          <w:tcPr>
            <w:tcW w:w="1080" w:type="dxa"/>
            <w:vAlign w:val="bottom"/>
            <w:tcBorders>
              <w:top w:val="single" w:sz="8" w:color="00548B"/>
            </w:tcBorders>
            <w:shd w:val="clear" w:color="auto" w:fill="00548B"/>
          </w:tcPr>
          <w:p>
            <w:pPr>
              <w:spacing w:after="0"/>
              <w:rPr>
                <w:sz w:val="16"/>
                <w:szCs w:val="16"/>
                <w:color w:val="auto"/>
              </w:rPr>
            </w:pPr>
          </w:p>
        </w:tc>
        <w:tc>
          <w:tcPr>
            <w:tcW w:w="60" w:type="dxa"/>
            <w:vAlign w:val="bottom"/>
            <w:tcBorders>
              <w:top w:val="single" w:sz="8" w:color="00548B"/>
            </w:tcBorders>
            <w:shd w:val="clear" w:color="auto" w:fill="00548B"/>
          </w:tcPr>
          <w:p>
            <w:pPr>
              <w:spacing w:after="0"/>
              <w:rPr>
                <w:sz w:val="16"/>
                <w:szCs w:val="16"/>
                <w:color w:val="auto"/>
              </w:rPr>
            </w:pPr>
          </w:p>
        </w:tc>
        <w:tc>
          <w:tcPr>
            <w:tcW w:w="120" w:type="dxa"/>
            <w:vAlign w:val="bottom"/>
            <w:tcBorders>
              <w:top w:val="single" w:sz="8" w:color="00548B"/>
            </w:tcBorders>
            <w:shd w:val="clear" w:color="auto" w:fill="00548B"/>
          </w:tcPr>
          <w:p>
            <w:pPr>
              <w:spacing w:after="0"/>
              <w:rPr>
                <w:sz w:val="16"/>
                <w:szCs w:val="16"/>
                <w:color w:val="auto"/>
              </w:rPr>
            </w:pPr>
          </w:p>
        </w:tc>
        <w:tc>
          <w:tcPr>
            <w:tcW w:w="1040" w:type="dxa"/>
            <w:vAlign w:val="bottom"/>
            <w:tcBorders>
              <w:top w:val="single" w:sz="8" w:color="00548B"/>
            </w:tcBorders>
            <w:shd w:val="clear" w:color="auto" w:fill="00548B"/>
          </w:tcPr>
          <w:p>
            <w:pPr>
              <w:spacing w:after="0"/>
              <w:rPr>
                <w:sz w:val="16"/>
                <w:szCs w:val="16"/>
                <w:color w:val="auto"/>
              </w:rPr>
            </w:pPr>
          </w:p>
        </w:tc>
        <w:tc>
          <w:tcPr>
            <w:tcW w:w="240" w:type="dxa"/>
            <w:vAlign w:val="bottom"/>
            <w:tcBorders>
              <w:top w:val="single" w:sz="8" w:color="00548B"/>
              <w:right w:val="single" w:sz="8" w:color="999999"/>
            </w:tcBorders>
            <w:shd w:val="clear" w:color="auto" w:fill="00548B"/>
          </w:tcPr>
          <w:p>
            <w:pPr>
              <w:spacing w:after="0"/>
              <w:rPr>
                <w:sz w:val="16"/>
                <w:szCs w:val="16"/>
                <w:color w:val="auto"/>
              </w:rPr>
            </w:pPr>
          </w:p>
        </w:tc>
        <w:tc>
          <w:tcPr>
            <w:tcW w:w="2540" w:type="dxa"/>
            <w:vAlign w:val="bottom"/>
            <w:tcBorders>
              <w:top w:val="single" w:sz="8" w:color="00548B"/>
              <w:right w:val="single" w:sz="8" w:color="00548B"/>
            </w:tcBorders>
            <w:shd w:val="clear" w:color="auto" w:fill="00548B"/>
          </w:tcPr>
          <w:p>
            <w:pPr>
              <w:jc w:val="center"/>
              <w:spacing w:after="0"/>
              <w:rPr>
                <w:sz w:val="20"/>
                <w:szCs w:val="20"/>
                <w:color w:val="auto"/>
              </w:rPr>
            </w:pPr>
            <w:r>
              <w:rPr>
                <w:rFonts w:ascii="Arial" w:cs="Arial" w:eastAsia="Arial" w:hAnsi="Arial"/>
                <w:sz w:val="16"/>
                <w:szCs w:val="16"/>
                <w:b w:val="1"/>
                <w:bCs w:val="1"/>
                <w:color w:val="E5E5E5"/>
              </w:rPr>
              <w:t>2018 and 2019</w:t>
            </w:r>
          </w:p>
        </w:tc>
        <w:tc>
          <w:tcPr>
            <w:tcW w:w="0" w:type="dxa"/>
            <w:vAlign w:val="bottom"/>
          </w:tcPr>
          <w:p>
            <w:pPr>
              <w:spacing w:after="0"/>
              <w:rPr>
                <w:sz w:val="1"/>
                <w:szCs w:val="1"/>
                <w:color w:val="auto"/>
              </w:rPr>
            </w:pPr>
          </w:p>
        </w:tc>
      </w:tr>
      <w:tr>
        <w:trPr>
          <w:trHeight w:val="189"/>
        </w:trPr>
        <w:tc>
          <w:tcPr>
            <w:tcW w:w="2980" w:type="dxa"/>
            <w:vAlign w:val="bottom"/>
            <w:tcBorders>
              <w:left w:val="single" w:sz="8" w:color="00548B"/>
              <w:right w:val="single" w:sz="8" w:color="999999"/>
            </w:tcBorders>
            <w:shd w:val="clear" w:color="auto" w:fill="00548B"/>
          </w:tcPr>
          <w:p>
            <w:pPr>
              <w:spacing w:after="0"/>
              <w:rPr>
                <w:sz w:val="16"/>
                <w:szCs w:val="16"/>
                <w:color w:val="auto"/>
              </w:rPr>
            </w:pPr>
          </w:p>
        </w:tc>
        <w:tc>
          <w:tcPr>
            <w:tcW w:w="2900" w:type="dxa"/>
            <w:vAlign w:val="bottom"/>
            <w:tcBorders>
              <w:right w:val="single" w:sz="8" w:color="999999"/>
            </w:tcBorders>
            <w:shd w:val="clear" w:color="auto" w:fill="00548B"/>
          </w:tcPr>
          <w:p>
            <w:pPr>
              <w:ind w:left="800"/>
              <w:spacing w:after="0"/>
              <w:rPr>
                <w:sz w:val="20"/>
                <w:szCs w:val="20"/>
                <w:color w:val="auto"/>
              </w:rPr>
            </w:pPr>
            <w:r>
              <w:rPr>
                <w:rFonts w:ascii="Arial" w:cs="Arial" w:eastAsia="Arial" w:hAnsi="Arial"/>
                <w:sz w:val="16"/>
                <w:szCs w:val="16"/>
                <w:b w:val="1"/>
                <w:bCs w:val="1"/>
                <w:color w:val="E5E5E5"/>
              </w:rPr>
              <w:t>Restricted Stock and</w:t>
            </w:r>
          </w:p>
        </w:tc>
        <w:tc>
          <w:tcPr>
            <w:tcW w:w="80" w:type="dxa"/>
            <w:vAlign w:val="bottom"/>
            <w:shd w:val="clear" w:color="auto" w:fill="00548B"/>
          </w:tcPr>
          <w:p>
            <w:pPr>
              <w:spacing w:after="0"/>
              <w:rPr>
                <w:sz w:val="16"/>
                <w:szCs w:val="16"/>
                <w:color w:val="auto"/>
              </w:rPr>
            </w:pPr>
          </w:p>
        </w:tc>
        <w:tc>
          <w:tcPr>
            <w:tcW w:w="2540" w:type="dxa"/>
            <w:vAlign w:val="bottom"/>
            <w:tcBorders>
              <w:right w:val="single" w:sz="8" w:color="999999"/>
            </w:tcBorders>
            <w:gridSpan w:val="5"/>
            <w:shd w:val="clear" w:color="auto" w:fill="00548B"/>
          </w:tcPr>
          <w:p>
            <w:pPr>
              <w:ind w:left="560"/>
              <w:spacing w:after="0"/>
              <w:rPr>
                <w:sz w:val="20"/>
                <w:szCs w:val="20"/>
                <w:color w:val="auto"/>
              </w:rPr>
            </w:pPr>
            <w:r>
              <w:rPr>
                <w:rFonts w:ascii="Arial" w:cs="Arial" w:eastAsia="Arial" w:hAnsi="Arial"/>
                <w:sz w:val="16"/>
                <w:szCs w:val="16"/>
                <w:b w:val="1"/>
                <w:bCs w:val="1"/>
                <w:color w:val="E5E5E5"/>
              </w:rPr>
              <w:t>2017 Performance</w:t>
            </w:r>
          </w:p>
        </w:tc>
        <w:tc>
          <w:tcPr>
            <w:tcW w:w="2540" w:type="dxa"/>
            <w:vAlign w:val="bottom"/>
            <w:tcBorders>
              <w:right w:val="single" w:sz="8" w:color="00548B"/>
            </w:tcBorders>
            <w:shd w:val="clear" w:color="auto" w:fill="00548B"/>
          </w:tcPr>
          <w:p>
            <w:pPr>
              <w:jc w:val="center"/>
              <w:spacing w:after="0"/>
              <w:rPr>
                <w:sz w:val="20"/>
                <w:szCs w:val="20"/>
                <w:color w:val="auto"/>
              </w:rPr>
            </w:pPr>
            <w:r>
              <w:rPr>
                <w:rFonts w:ascii="Arial" w:cs="Arial" w:eastAsia="Arial" w:hAnsi="Arial"/>
                <w:sz w:val="16"/>
                <w:szCs w:val="16"/>
                <w:b w:val="1"/>
                <w:bCs w:val="1"/>
                <w:color w:val="E5E5E5"/>
              </w:rPr>
              <w:t>Performance</w:t>
            </w:r>
          </w:p>
        </w:tc>
        <w:tc>
          <w:tcPr>
            <w:tcW w:w="0" w:type="dxa"/>
            <w:vAlign w:val="bottom"/>
          </w:tcPr>
          <w:p>
            <w:pPr>
              <w:spacing w:after="0"/>
              <w:rPr>
                <w:sz w:val="1"/>
                <w:szCs w:val="1"/>
                <w:color w:val="auto"/>
              </w:rPr>
            </w:pPr>
          </w:p>
        </w:tc>
      </w:tr>
      <w:tr>
        <w:trPr>
          <w:trHeight w:val="207"/>
        </w:trPr>
        <w:tc>
          <w:tcPr>
            <w:tcW w:w="2980" w:type="dxa"/>
            <w:vAlign w:val="bottom"/>
            <w:tcBorders>
              <w:left w:val="single" w:sz="8" w:color="00548B"/>
              <w:right w:val="single" w:sz="8" w:color="999999"/>
            </w:tcBorders>
            <w:shd w:val="clear" w:color="auto" w:fill="00548B"/>
          </w:tcPr>
          <w:p>
            <w:pPr>
              <w:ind w:left="1340"/>
              <w:spacing w:after="0"/>
              <w:rPr>
                <w:sz w:val="20"/>
                <w:szCs w:val="20"/>
                <w:color w:val="auto"/>
              </w:rPr>
            </w:pPr>
            <w:r>
              <w:rPr>
                <w:rFonts w:ascii="Arial" w:cs="Arial" w:eastAsia="Arial" w:hAnsi="Arial"/>
                <w:sz w:val="16"/>
                <w:szCs w:val="16"/>
                <w:b w:val="1"/>
                <w:bCs w:val="1"/>
                <w:color w:val="E5E5E5"/>
              </w:rPr>
              <w:t>Event</w:t>
            </w:r>
          </w:p>
        </w:tc>
        <w:tc>
          <w:tcPr>
            <w:tcW w:w="2900" w:type="dxa"/>
            <w:vAlign w:val="bottom"/>
            <w:tcBorders>
              <w:right w:val="single" w:sz="8" w:color="999999"/>
            </w:tcBorders>
            <w:shd w:val="clear" w:color="auto" w:fill="00548B"/>
          </w:tcPr>
          <w:p>
            <w:pPr>
              <w:ind w:left="1300"/>
              <w:spacing w:after="0"/>
              <w:rPr>
                <w:sz w:val="20"/>
                <w:szCs w:val="20"/>
                <w:color w:val="auto"/>
              </w:rPr>
            </w:pPr>
            <w:r>
              <w:rPr>
                <w:rFonts w:ascii="Arial" w:cs="Arial" w:eastAsia="Arial" w:hAnsi="Arial"/>
                <w:sz w:val="16"/>
                <w:szCs w:val="16"/>
                <w:b w:val="1"/>
                <w:bCs w:val="1"/>
                <w:color w:val="E5E5E5"/>
              </w:rPr>
              <w:t>Options</w:t>
            </w:r>
          </w:p>
        </w:tc>
        <w:tc>
          <w:tcPr>
            <w:tcW w:w="80" w:type="dxa"/>
            <w:vAlign w:val="bottom"/>
            <w:shd w:val="clear" w:color="auto" w:fill="00548B"/>
          </w:tcPr>
          <w:p>
            <w:pPr>
              <w:spacing w:after="0"/>
              <w:rPr>
                <w:sz w:val="18"/>
                <w:szCs w:val="18"/>
                <w:color w:val="auto"/>
              </w:rPr>
            </w:pPr>
          </w:p>
        </w:tc>
        <w:tc>
          <w:tcPr>
            <w:tcW w:w="2540" w:type="dxa"/>
            <w:vAlign w:val="bottom"/>
            <w:tcBorders>
              <w:right w:val="single" w:sz="8" w:color="999999"/>
            </w:tcBorders>
            <w:gridSpan w:val="5"/>
            <w:shd w:val="clear" w:color="auto" w:fill="00548B"/>
          </w:tcPr>
          <w:p>
            <w:pPr>
              <w:ind w:left="820"/>
              <w:spacing w:after="0"/>
              <w:rPr>
                <w:sz w:val="20"/>
                <w:szCs w:val="20"/>
                <w:color w:val="auto"/>
              </w:rPr>
            </w:pPr>
            <w:r>
              <w:rPr>
                <w:rFonts w:ascii="Arial" w:cs="Arial" w:eastAsia="Arial" w:hAnsi="Arial"/>
                <w:sz w:val="16"/>
                <w:szCs w:val="16"/>
                <w:b w:val="1"/>
                <w:bCs w:val="1"/>
                <w:color w:val="E5E5E5"/>
              </w:rPr>
              <w:t>Stock Units</w:t>
            </w:r>
          </w:p>
        </w:tc>
        <w:tc>
          <w:tcPr>
            <w:tcW w:w="2540" w:type="dxa"/>
            <w:vAlign w:val="bottom"/>
            <w:tcBorders>
              <w:right w:val="single" w:sz="8" w:color="00548B"/>
            </w:tcBorders>
            <w:shd w:val="clear" w:color="auto" w:fill="00548B"/>
          </w:tcPr>
          <w:p>
            <w:pPr>
              <w:jc w:val="center"/>
              <w:spacing w:after="0"/>
              <w:rPr>
                <w:sz w:val="20"/>
                <w:szCs w:val="20"/>
                <w:color w:val="auto"/>
              </w:rPr>
            </w:pPr>
            <w:r>
              <w:rPr>
                <w:rFonts w:ascii="Arial" w:cs="Arial" w:eastAsia="Arial" w:hAnsi="Arial"/>
                <w:sz w:val="16"/>
                <w:szCs w:val="16"/>
                <w:b w:val="1"/>
                <w:bCs w:val="1"/>
                <w:color w:val="E5E5E5"/>
              </w:rPr>
              <w:t>Stock Units</w:t>
            </w:r>
          </w:p>
        </w:tc>
        <w:tc>
          <w:tcPr>
            <w:tcW w:w="0" w:type="dxa"/>
            <w:vAlign w:val="bottom"/>
          </w:tcPr>
          <w:p>
            <w:pPr>
              <w:spacing w:after="0"/>
              <w:rPr>
                <w:sz w:val="1"/>
                <w:szCs w:val="1"/>
                <w:color w:val="auto"/>
              </w:rPr>
            </w:pPr>
          </w:p>
        </w:tc>
      </w:tr>
      <w:tr>
        <w:trPr>
          <w:trHeight w:val="162"/>
        </w:trPr>
        <w:tc>
          <w:tcPr>
            <w:tcW w:w="2980" w:type="dxa"/>
            <w:vAlign w:val="bottom"/>
            <w:tcBorders>
              <w:left w:val="single" w:sz="8" w:color="00548B"/>
              <w:right w:val="single" w:sz="8" w:color="999999"/>
            </w:tcBorders>
          </w:tcPr>
          <w:p>
            <w:pPr>
              <w:ind w:left="160"/>
              <w:spacing w:after="0" w:line="162" w:lineRule="exact"/>
              <w:rPr>
                <w:sz w:val="20"/>
                <w:szCs w:val="20"/>
                <w:color w:val="auto"/>
              </w:rPr>
            </w:pPr>
            <w:r>
              <w:rPr>
                <w:rFonts w:ascii="Arial" w:cs="Arial" w:eastAsia="Arial" w:hAnsi="Arial"/>
                <w:sz w:val="16"/>
                <w:szCs w:val="16"/>
                <w:color w:val="auto"/>
              </w:rPr>
              <w:t>Termination for “Cause”</w:t>
            </w:r>
          </w:p>
        </w:tc>
        <w:tc>
          <w:tcPr>
            <w:tcW w:w="2900" w:type="dxa"/>
            <w:vAlign w:val="bottom"/>
            <w:tcBorders>
              <w:right w:val="single" w:sz="8" w:color="999999"/>
            </w:tcBorders>
          </w:tcPr>
          <w:p>
            <w:pPr>
              <w:ind w:left="360"/>
              <w:spacing w:after="0" w:line="162" w:lineRule="exact"/>
              <w:rPr>
                <w:sz w:val="20"/>
                <w:szCs w:val="20"/>
                <w:color w:val="auto"/>
              </w:rPr>
            </w:pPr>
            <w:r>
              <w:rPr>
                <w:rFonts w:ascii="Arial" w:cs="Arial" w:eastAsia="Arial" w:hAnsi="Arial"/>
                <w:sz w:val="16"/>
                <w:szCs w:val="16"/>
                <w:color w:val="auto"/>
              </w:rPr>
              <w:t>Forfeit.</w:t>
            </w:r>
          </w:p>
        </w:tc>
        <w:tc>
          <w:tcPr>
            <w:tcW w:w="80" w:type="dxa"/>
            <w:vAlign w:val="bottom"/>
          </w:tcPr>
          <w:p>
            <w:pPr>
              <w:spacing w:after="0"/>
              <w:rPr>
                <w:sz w:val="14"/>
                <w:szCs w:val="14"/>
                <w:color w:val="auto"/>
              </w:rPr>
            </w:pPr>
          </w:p>
        </w:tc>
        <w:tc>
          <w:tcPr>
            <w:tcW w:w="2540" w:type="dxa"/>
            <w:vAlign w:val="bottom"/>
            <w:tcBorders>
              <w:right w:val="single" w:sz="8" w:color="999999"/>
            </w:tcBorders>
            <w:gridSpan w:val="5"/>
          </w:tcPr>
          <w:p>
            <w:pPr>
              <w:spacing w:after="0" w:line="162" w:lineRule="exact"/>
              <w:rPr>
                <w:sz w:val="20"/>
                <w:szCs w:val="20"/>
                <w:color w:val="auto"/>
              </w:rPr>
            </w:pPr>
            <w:r>
              <w:rPr>
                <w:rFonts w:ascii="Arial" w:cs="Arial" w:eastAsia="Arial" w:hAnsi="Arial"/>
                <w:sz w:val="16"/>
                <w:szCs w:val="16"/>
                <w:color w:val="auto"/>
              </w:rPr>
              <w:t>One-Year &amp; Three-Year PSUs &amp;</w:t>
            </w:r>
          </w:p>
        </w:tc>
        <w:tc>
          <w:tcPr>
            <w:tcW w:w="2540" w:type="dxa"/>
            <w:vAlign w:val="bottom"/>
            <w:tcBorders>
              <w:right w:val="single" w:sz="8" w:color="00548B"/>
            </w:tcBorders>
          </w:tcPr>
          <w:p>
            <w:pPr>
              <w:ind w:left="100"/>
              <w:spacing w:after="0" w:line="162" w:lineRule="exact"/>
              <w:rPr>
                <w:sz w:val="20"/>
                <w:szCs w:val="20"/>
                <w:color w:val="auto"/>
              </w:rPr>
            </w:pPr>
            <w:r>
              <w:rPr>
                <w:rFonts w:ascii="Arial" w:cs="Arial" w:eastAsia="Arial" w:hAnsi="Arial"/>
                <w:sz w:val="16"/>
                <w:szCs w:val="16"/>
                <w:color w:val="auto"/>
              </w:rPr>
              <w:t>Forfeit.</w:t>
            </w:r>
          </w:p>
        </w:tc>
        <w:tc>
          <w:tcPr>
            <w:tcW w:w="0" w:type="dxa"/>
            <w:vAlign w:val="bottom"/>
          </w:tcPr>
          <w:p>
            <w:pPr>
              <w:spacing w:after="0"/>
              <w:rPr>
                <w:sz w:val="1"/>
                <w:szCs w:val="1"/>
                <w:color w:val="auto"/>
              </w:rPr>
            </w:pPr>
          </w:p>
        </w:tc>
      </w:tr>
      <w:tr>
        <w:trPr>
          <w:trHeight w:val="169"/>
        </w:trPr>
        <w:tc>
          <w:tcPr>
            <w:tcW w:w="2980" w:type="dxa"/>
            <w:vAlign w:val="bottom"/>
            <w:tcBorders>
              <w:left w:val="single" w:sz="8" w:color="00548B"/>
              <w:right w:val="single" w:sz="8" w:color="999999"/>
            </w:tcBorders>
          </w:tcPr>
          <w:p>
            <w:pPr>
              <w:spacing w:after="0"/>
              <w:rPr>
                <w:sz w:val="14"/>
                <w:szCs w:val="14"/>
                <w:color w:val="auto"/>
              </w:rPr>
            </w:pPr>
          </w:p>
        </w:tc>
        <w:tc>
          <w:tcPr>
            <w:tcW w:w="2900" w:type="dxa"/>
            <w:vAlign w:val="bottom"/>
            <w:tcBorders>
              <w:right w:val="single" w:sz="8" w:color="999999"/>
            </w:tcBorders>
          </w:tcPr>
          <w:p>
            <w:pPr>
              <w:spacing w:after="0"/>
              <w:rPr>
                <w:sz w:val="14"/>
                <w:szCs w:val="14"/>
                <w:color w:val="auto"/>
              </w:rPr>
            </w:pPr>
          </w:p>
        </w:tc>
        <w:tc>
          <w:tcPr>
            <w:tcW w:w="80" w:type="dxa"/>
            <w:vAlign w:val="bottom"/>
          </w:tcPr>
          <w:p>
            <w:pPr>
              <w:spacing w:after="0"/>
              <w:rPr>
                <w:sz w:val="14"/>
                <w:szCs w:val="14"/>
                <w:color w:val="auto"/>
              </w:rPr>
            </w:pPr>
          </w:p>
        </w:tc>
        <w:tc>
          <w:tcPr>
            <w:tcW w:w="2300" w:type="dxa"/>
            <w:vAlign w:val="bottom"/>
            <w:tcBorders>
              <w:top w:val="single" w:sz="8" w:color="auto"/>
            </w:tcBorders>
            <w:gridSpan w:val="4"/>
          </w:tcPr>
          <w:p>
            <w:pPr>
              <w:spacing w:after="0" w:line="169" w:lineRule="exact"/>
              <w:rPr>
                <w:sz w:val="20"/>
                <w:szCs w:val="20"/>
                <w:color w:val="auto"/>
              </w:rPr>
            </w:pPr>
            <w:r>
              <w:rPr>
                <w:rFonts w:ascii="Arial" w:cs="Arial" w:eastAsia="Arial" w:hAnsi="Arial"/>
                <w:sz w:val="16"/>
                <w:szCs w:val="16"/>
                <w:color w:val="auto"/>
              </w:rPr>
              <w:t>Earned Shares: Forfeit.</w:t>
            </w:r>
          </w:p>
        </w:tc>
        <w:tc>
          <w:tcPr>
            <w:tcW w:w="240" w:type="dxa"/>
            <w:vAlign w:val="bottom"/>
            <w:tcBorders>
              <w:right w:val="single" w:sz="8" w:color="999999"/>
            </w:tcBorders>
          </w:tcPr>
          <w:p>
            <w:pPr>
              <w:spacing w:after="0"/>
              <w:rPr>
                <w:sz w:val="14"/>
                <w:szCs w:val="14"/>
                <w:color w:val="auto"/>
              </w:rPr>
            </w:pPr>
          </w:p>
        </w:tc>
        <w:tc>
          <w:tcPr>
            <w:tcW w:w="2540" w:type="dxa"/>
            <w:vAlign w:val="bottom"/>
            <w:tcBorders>
              <w:right w:val="single" w:sz="8" w:color="00548B"/>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980" w:type="dxa"/>
            <w:vAlign w:val="bottom"/>
            <w:tcBorders>
              <w:left w:val="single" w:sz="8" w:color="00548B"/>
              <w:bottom w:val="single" w:sz="8" w:color="999999"/>
              <w:right w:val="single" w:sz="8" w:color="999999"/>
            </w:tcBorders>
          </w:tcPr>
          <w:p>
            <w:pPr>
              <w:spacing w:after="0" w:line="20" w:lineRule="exact"/>
              <w:rPr>
                <w:sz w:val="1"/>
                <w:szCs w:val="1"/>
                <w:color w:val="auto"/>
              </w:rPr>
            </w:pPr>
          </w:p>
        </w:tc>
        <w:tc>
          <w:tcPr>
            <w:tcW w:w="2900" w:type="dxa"/>
            <w:vAlign w:val="bottom"/>
            <w:tcBorders>
              <w:bottom w:val="single" w:sz="8" w:color="999999"/>
              <w:right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1080" w:type="dxa"/>
            <w:vAlign w:val="bottom"/>
            <w:tcBorders>
              <w:top w:val="single" w:sz="8" w:color="auto"/>
              <w:bottom w:val="single" w:sz="8" w:color="999999"/>
            </w:tcBorders>
          </w:tcPr>
          <w:p>
            <w:pPr>
              <w:spacing w:after="0" w:line="20" w:lineRule="exact"/>
              <w:rPr>
                <w:sz w:val="1"/>
                <w:szCs w:val="1"/>
                <w:color w:val="auto"/>
              </w:rPr>
            </w:pPr>
          </w:p>
        </w:tc>
        <w:tc>
          <w:tcPr>
            <w:tcW w:w="6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1040" w:type="dxa"/>
            <w:vAlign w:val="bottom"/>
            <w:tcBorders>
              <w:bottom w:val="single" w:sz="8" w:color="999999"/>
            </w:tcBorders>
          </w:tcPr>
          <w:p>
            <w:pPr>
              <w:spacing w:after="0" w:line="20" w:lineRule="exact"/>
              <w:rPr>
                <w:sz w:val="1"/>
                <w:szCs w:val="1"/>
                <w:color w:val="auto"/>
              </w:rPr>
            </w:pPr>
          </w:p>
        </w:tc>
        <w:tc>
          <w:tcPr>
            <w:tcW w:w="240" w:type="dxa"/>
            <w:vAlign w:val="bottom"/>
            <w:tcBorders>
              <w:bottom w:val="single" w:sz="8" w:color="999999"/>
              <w:right w:val="single" w:sz="8" w:color="999999"/>
            </w:tcBorders>
          </w:tcPr>
          <w:p>
            <w:pPr>
              <w:spacing w:after="0" w:line="20" w:lineRule="exact"/>
              <w:rPr>
                <w:sz w:val="1"/>
                <w:szCs w:val="1"/>
                <w:color w:val="auto"/>
              </w:rPr>
            </w:pPr>
          </w:p>
        </w:tc>
        <w:tc>
          <w:tcPr>
            <w:tcW w:w="2540" w:type="dxa"/>
            <w:vAlign w:val="bottom"/>
            <w:tcBorders>
              <w:bottom w:val="single" w:sz="8" w:color="999999"/>
              <w:right w:val="single" w:sz="8" w:color="00548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980" w:type="dxa"/>
            <w:vAlign w:val="bottom"/>
            <w:tcBorders>
              <w:left w:val="single" w:sz="8" w:color="00548B"/>
              <w:right w:val="single" w:sz="8" w:color="999999"/>
            </w:tcBorders>
          </w:tcPr>
          <w:p>
            <w:pPr>
              <w:ind w:left="160"/>
              <w:spacing w:after="0" w:line="142" w:lineRule="exact"/>
              <w:rPr>
                <w:sz w:val="20"/>
                <w:szCs w:val="20"/>
                <w:color w:val="auto"/>
              </w:rPr>
            </w:pPr>
            <w:r>
              <w:rPr>
                <w:rFonts w:ascii="Arial" w:cs="Arial" w:eastAsia="Arial" w:hAnsi="Arial"/>
                <w:sz w:val="16"/>
                <w:szCs w:val="16"/>
                <w:color w:val="auto"/>
              </w:rPr>
              <w:t>Approved Retirement (comply with</w:t>
            </w:r>
          </w:p>
        </w:tc>
        <w:tc>
          <w:tcPr>
            <w:tcW w:w="2900" w:type="dxa"/>
            <w:vAlign w:val="bottom"/>
            <w:tcBorders>
              <w:right w:val="single" w:sz="8" w:color="999999"/>
            </w:tcBorders>
          </w:tcPr>
          <w:p>
            <w:pPr>
              <w:ind w:left="360"/>
              <w:spacing w:after="0" w:line="142" w:lineRule="exact"/>
              <w:rPr>
                <w:sz w:val="20"/>
                <w:szCs w:val="20"/>
                <w:color w:val="auto"/>
              </w:rPr>
            </w:pPr>
            <w:r>
              <w:rPr>
                <w:rFonts w:ascii="Arial" w:cs="Arial" w:eastAsia="Arial" w:hAnsi="Arial"/>
                <w:sz w:val="16"/>
                <w:szCs w:val="16"/>
                <w:color w:val="auto"/>
              </w:rPr>
              <w:t>Subject to non-compete, vesting</w:t>
            </w:r>
          </w:p>
        </w:tc>
        <w:tc>
          <w:tcPr>
            <w:tcW w:w="80" w:type="dxa"/>
            <w:vAlign w:val="bottom"/>
          </w:tcPr>
          <w:p>
            <w:pPr>
              <w:spacing w:after="0"/>
              <w:rPr>
                <w:sz w:val="12"/>
                <w:szCs w:val="12"/>
                <w:color w:val="auto"/>
              </w:rPr>
            </w:pPr>
          </w:p>
        </w:tc>
        <w:tc>
          <w:tcPr>
            <w:tcW w:w="2540" w:type="dxa"/>
            <w:vAlign w:val="bottom"/>
            <w:tcBorders>
              <w:right w:val="single" w:sz="8" w:color="999999"/>
            </w:tcBorders>
            <w:gridSpan w:val="5"/>
          </w:tcPr>
          <w:p>
            <w:pPr>
              <w:spacing w:after="0" w:line="142" w:lineRule="exact"/>
              <w:rPr>
                <w:sz w:val="20"/>
                <w:szCs w:val="20"/>
                <w:color w:val="auto"/>
              </w:rPr>
            </w:pPr>
            <w:r>
              <w:rPr>
                <w:rFonts w:ascii="Arial" w:cs="Arial" w:eastAsia="Arial" w:hAnsi="Arial"/>
                <w:sz w:val="16"/>
                <w:szCs w:val="16"/>
                <w:color w:val="auto"/>
              </w:rPr>
              <w:t>One-Year PSUs: Award continues</w:t>
            </w:r>
          </w:p>
        </w:tc>
        <w:tc>
          <w:tcPr>
            <w:tcW w:w="2540" w:type="dxa"/>
            <w:vAlign w:val="bottom"/>
            <w:tcBorders>
              <w:right w:val="single" w:sz="8" w:color="00548B"/>
            </w:tcBorders>
          </w:tcPr>
          <w:p>
            <w:pPr>
              <w:ind w:left="100"/>
              <w:spacing w:after="0" w:line="142" w:lineRule="exact"/>
              <w:rPr>
                <w:sz w:val="20"/>
                <w:szCs w:val="20"/>
                <w:color w:val="auto"/>
              </w:rPr>
            </w:pPr>
            <w:r>
              <w:rPr>
                <w:rFonts w:ascii="Arial" w:cs="Arial" w:eastAsia="Arial" w:hAnsi="Arial"/>
                <w:sz w:val="16"/>
                <w:szCs w:val="16"/>
                <w:color w:val="auto"/>
              </w:rPr>
              <w:t>Earned based on actual</w:t>
            </w:r>
          </w:p>
        </w:tc>
        <w:tc>
          <w:tcPr>
            <w:tcW w:w="0" w:type="dxa"/>
            <w:vAlign w:val="bottom"/>
          </w:tcPr>
          <w:p>
            <w:pPr>
              <w:spacing w:after="0"/>
              <w:rPr>
                <w:sz w:val="1"/>
                <w:szCs w:val="1"/>
                <w:color w:val="auto"/>
              </w:rPr>
            </w:pPr>
          </w:p>
        </w:tc>
      </w:tr>
      <w:tr>
        <w:trPr>
          <w:trHeight w:val="20"/>
        </w:trPr>
        <w:tc>
          <w:tcPr>
            <w:tcW w:w="2980" w:type="dxa"/>
            <w:vAlign w:val="bottom"/>
            <w:tcBorders>
              <w:left w:val="single" w:sz="8" w:color="00548B"/>
              <w:right w:val="single" w:sz="8" w:color="999999"/>
            </w:tcBorders>
          </w:tcPr>
          <w:p>
            <w:pPr>
              <w:spacing w:after="0" w:line="20" w:lineRule="exact"/>
              <w:rPr>
                <w:sz w:val="1"/>
                <w:szCs w:val="1"/>
                <w:color w:val="auto"/>
              </w:rPr>
            </w:pPr>
          </w:p>
        </w:tc>
        <w:tc>
          <w:tcPr>
            <w:tcW w:w="2900" w:type="dxa"/>
            <w:vAlign w:val="bottom"/>
            <w:tcBorders>
              <w:right w:val="single" w:sz="8" w:color="999999"/>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right w:val="single" w:sz="8" w:color="999999"/>
            </w:tcBorders>
            <w:gridSpan w:val="2"/>
          </w:tcPr>
          <w:p>
            <w:pPr>
              <w:spacing w:after="0" w:line="20" w:lineRule="exact"/>
              <w:rPr>
                <w:sz w:val="1"/>
                <w:szCs w:val="1"/>
                <w:color w:val="auto"/>
              </w:rPr>
            </w:pPr>
          </w:p>
        </w:tc>
        <w:tc>
          <w:tcPr>
            <w:tcW w:w="2540" w:type="dxa"/>
            <w:vAlign w:val="bottom"/>
            <w:tcBorders>
              <w:right w:val="single" w:sz="8" w:color="00548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980" w:type="dxa"/>
            <w:vAlign w:val="bottom"/>
            <w:tcBorders>
              <w:left w:val="single" w:sz="8" w:color="00548B"/>
              <w:right w:val="single" w:sz="8" w:color="999999"/>
            </w:tcBorders>
          </w:tcPr>
          <w:p>
            <w:pPr>
              <w:ind w:left="160"/>
              <w:spacing w:after="0"/>
              <w:rPr>
                <w:sz w:val="20"/>
                <w:szCs w:val="20"/>
                <w:color w:val="auto"/>
              </w:rPr>
            </w:pPr>
            <w:r>
              <w:rPr>
                <w:rFonts w:ascii="Arial" w:cs="Arial" w:eastAsia="Arial" w:hAnsi="Arial"/>
                <w:sz w:val="16"/>
                <w:szCs w:val="16"/>
                <w:color w:val="auto"/>
              </w:rPr>
              <w:t>non-compete provisions)</w:t>
            </w:r>
          </w:p>
        </w:tc>
        <w:tc>
          <w:tcPr>
            <w:tcW w:w="2900" w:type="dxa"/>
            <w:vAlign w:val="bottom"/>
            <w:tcBorders>
              <w:right w:val="single" w:sz="8" w:color="999999"/>
            </w:tcBorders>
          </w:tcPr>
          <w:p>
            <w:pPr>
              <w:ind w:left="360"/>
              <w:spacing w:after="0"/>
              <w:rPr>
                <w:sz w:val="20"/>
                <w:szCs w:val="20"/>
                <w:color w:val="auto"/>
              </w:rPr>
            </w:pPr>
            <w:r>
              <w:rPr>
                <w:rFonts w:ascii="Arial" w:cs="Arial" w:eastAsia="Arial" w:hAnsi="Arial"/>
                <w:sz w:val="16"/>
                <w:szCs w:val="16"/>
                <w:color w:val="auto"/>
              </w:rPr>
              <w:t>continues per normal course post-</w:t>
            </w:r>
          </w:p>
        </w:tc>
        <w:tc>
          <w:tcPr>
            <w:tcW w:w="80" w:type="dxa"/>
            <w:vAlign w:val="bottom"/>
          </w:tcPr>
          <w:p>
            <w:pPr>
              <w:spacing w:after="0"/>
              <w:rPr>
                <w:sz w:val="17"/>
                <w:szCs w:val="17"/>
                <w:color w:val="auto"/>
              </w:rPr>
            </w:pPr>
          </w:p>
        </w:tc>
        <w:tc>
          <w:tcPr>
            <w:tcW w:w="2540" w:type="dxa"/>
            <w:vAlign w:val="bottom"/>
            <w:tcBorders>
              <w:right w:val="single" w:sz="8" w:color="999999"/>
            </w:tcBorders>
            <w:gridSpan w:val="5"/>
          </w:tcPr>
          <w:p>
            <w:pPr>
              <w:spacing w:after="0"/>
              <w:rPr>
                <w:sz w:val="20"/>
                <w:szCs w:val="20"/>
                <w:color w:val="auto"/>
              </w:rPr>
            </w:pPr>
            <w:r>
              <w:rPr>
                <w:rFonts w:ascii="Arial" w:cs="Arial" w:eastAsia="Arial" w:hAnsi="Arial"/>
                <w:sz w:val="16"/>
                <w:szCs w:val="16"/>
                <w:color w:val="auto"/>
              </w:rPr>
              <w:t>in place per existing terms and</w:t>
            </w:r>
          </w:p>
        </w:tc>
        <w:tc>
          <w:tcPr>
            <w:tcW w:w="2540" w:type="dxa"/>
            <w:vAlign w:val="bottom"/>
            <w:tcBorders>
              <w:right w:val="single" w:sz="8" w:color="00548B"/>
            </w:tcBorders>
          </w:tcPr>
          <w:p>
            <w:pPr>
              <w:ind w:left="100"/>
              <w:spacing w:after="0"/>
              <w:rPr>
                <w:sz w:val="20"/>
                <w:szCs w:val="20"/>
                <w:color w:val="auto"/>
              </w:rPr>
            </w:pPr>
            <w:r>
              <w:rPr>
                <w:rFonts w:ascii="Arial" w:cs="Arial" w:eastAsia="Arial" w:hAnsi="Arial"/>
                <w:sz w:val="16"/>
                <w:szCs w:val="16"/>
                <w:color w:val="auto"/>
              </w:rPr>
              <w:t>performance and will vest pro</w:t>
            </w:r>
          </w:p>
        </w:tc>
        <w:tc>
          <w:tcPr>
            <w:tcW w:w="0" w:type="dxa"/>
            <w:vAlign w:val="bottom"/>
          </w:tcPr>
          <w:p>
            <w:pPr>
              <w:spacing w:after="0"/>
              <w:rPr>
                <w:sz w:val="1"/>
                <w:szCs w:val="1"/>
                <w:color w:val="auto"/>
              </w:rPr>
            </w:pPr>
          </w:p>
        </w:tc>
      </w:tr>
      <w:tr>
        <w:trPr>
          <w:trHeight w:val="189"/>
        </w:trPr>
        <w:tc>
          <w:tcPr>
            <w:tcW w:w="2980" w:type="dxa"/>
            <w:vAlign w:val="bottom"/>
            <w:tcBorders>
              <w:left w:val="single" w:sz="8" w:color="00548B"/>
              <w:right w:val="single" w:sz="8" w:color="999999"/>
            </w:tcBorders>
          </w:tcPr>
          <w:p>
            <w:pPr>
              <w:spacing w:after="0"/>
              <w:rPr>
                <w:sz w:val="16"/>
                <w:szCs w:val="16"/>
                <w:color w:val="auto"/>
              </w:rPr>
            </w:pPr>
          </w:p>
        </w:tc>
        <w:tc>
          <w:tcPr>
            <w:tcW w:w="2900" w:type="dxa"/>
            <w:vAlign w:val="bottom"/>
            <w:tcBorders>
              <w:right w:val="single" w:sz="8" w:color="999999"/>
            </w:tcBorders>
          </w:tcPr>
          <w:p>
            <w:pPr>
              <w:ind w:left="360"/>
              <w:spacing w:after="0"/>
              <w:rPr>
                <w:sz w:val="20"/>
                <w:szCs w:val="20"/>
                <w:color w:val="auto"/>
              </w:rPr>
            </w:pPr>
            <w:r>
              <w:rPr>
                <w:rFonts w:ascii="Arial" w:cs="Arial" w:eastAsia="Arial" w:hAnsi="Arial"/>
                <w:sz w:val="16"/>
                <w:szCs w:val="16"/>
                <w:color w:val="auto"/>
              </w:rPr>
              <w:t>retirement.</w:t>
            </w:r>
          </w:p>
        </w:tc>
        <w:tc>
          <w:tcPr>
            <w:tcW w:w="80" w:type="dxa"/>
            <w:vAlign w:val="bottom"/>
          </w:tcPr>
          <w:p>
            <w:pPr>
              <w:spacing w:after="0"/>
              <w:rPr>
                <w:sz w:val="16"/>
                <w:szCs w:val="16"/>
                <w:color w:val="auto"/>
              </w:rPr>
            </w:pPr>
          </w:p>
        </w:tc>
        <w:tc>
          <w:tcPr>
            <w:tcW w:w="2540" w:type="dxa"/>
            <w:vAlign w:val="bottom"/>
            <w:tcBorders>
              <w:right w:val="single" w:sz="8" w:color="999999"/>
            </w:tcBorders>
            <w:gridSpan w:val="5"/>
          </w:tcPr>
          <w:p>
            <w:pPr>
              <w:spacing w:after="0"/>
              <w:rPr>
                <w:sz w:val="20"/>
                <w:szCs w:val="20"/>
                <w:color w:val="auto"/>
              </w:rPr>
            </w:pPr>
            <w:r>
              <w:rPr>
                <w:rFonts w:ascii="Arial" w:cs="Arial" w:eastAsia="Arial" w:hAnsi="Arial"/>
                <w:sz w:val="16"/>
                <w:szCs w:val="16"/>
                <w:color w:val="auto"/>
              </w:rPr>
              <w:t>vesting schedule, subject to</w:t>
            </w:r>
          </w:p>
        </w:tc>
        <w:tc>
          <w:tcPr>
            <w:tcW w:w="2540" w:type="dxa"/>
            <w:vAlign w:val="bottom"/>
            <w:tcBorders>
              <w:right w:val="single" w:sz="8" w:color="00548B"/>
            </w:tcBorders>
          </w:tcPr>
          <w:p>
            <w:pPr>
              <w:ind w:left="100"/>
              <w:spacing w:after="0"/>
              <w:rPr>
                <w:sz w:val="20"/>
                <w:szCs w:val="20"/>
                <w:color w:val="auto"/>
              </w:rPr>
            </w:pPr>
            <w:r>
              <w:rPr>
                <w:rFonts w:ascii="Arial" w:cs="Arial" w:eastAsia="Arial" w:hAnsi="Arial"/>
                <w:sz w:val="16"/>
                <w:szCs w:val="16"/>
                <w:color w:val="auto"/>
              </w:rPr>
              <w:t>rata on March 1 of the year</w:t>
            </w:r>
          </w:p>
        </w:tc>
        <w:tc>
          <w:tcPr>
            <w:tcW w:w="0" w:type="dxa"/>
            <w:vAlign w:val="bottom"/>
          </w:tcPr>
          <w:p>
            <w:pPr>
              <w:spacing w:after="0"/>
              <w:rPr>
                <w:sz w:val="1"/>
                <w:szCs w:val="1"/>
                <w:color w:val="auto"/>
              </w:rPr>
            </w:pPr>
          </w:p>
        </w:tc>
      </w:tr>
      <w:tr>
        <w:trPr>
          <w:trHeight w:val="189"/>
        </w:trPr>
        <w:tc>
          <w:tcPr>
            <w:tcW w:w="2980" w:type="dxa"/>
            <w:vAlign w:val="bottom"/>
            <w:tcBorders>
              <w:left w:val="single" w:sz="8" w:color="00548B"/>
              <w:right w:val="single" w:sz="8" w:color="999999"/>
            </w:tcBorders>
          </w:tcPr>
          <w:p>
            <w:pPr>
              <w:spacing w:after="0"/>
              <w:rPr>
                <w:sz w:val="16"/>
                <w:szCs w:val="16"/>
                <w:color w:val="auto"/>
              </w:rPr>
            </w:pPr>
          </w:p>
        </w:tc>
        <w:tc>
          <w:tcPr>
            <w:tcW w:w="2900" w:type="dxa"/>
            <w:vAlign w:val="bottom"/>
            <w:tcBorders>
              <w:right w:val="single" w:sz="8" w:color="999999"/>
            </w:tcBorders>
          </w:tcPr>
          <w:p>
            <w:pPr>
              <w:spacing w:after="0"/>
              <w:rPr>
                <w:sz w:val="16"/>
                <w:szCs w:val="16"/>
                <w:color w:val="auto"/>
              </w:rPr>
            </w:pPr>
          </w:p>
        </w:tc>
        <w:tc>
          <w:tcPr>
            <w:tcW w:w="80" w:type="dxa"/>
            <w:vAlign w:val="bottom"/>
          </w:tcPr>
          <w:p>
            <w:pPr>
              <w:spacing w:after="0"/>
              <w:rPr>
                <w:sz w:val="16"/>
                <w:szCs w:val="16"/>
                <w:color w:val="auto"/>
              </w:rPr>
            </w:pPr>
          </w:p>
        </w:tc>
        <w:tc>
          <w:tcPr>
            <w:tcW w:w="2540" w:type="dxa"/>
            <w:vAlign w:val="bottom"/>
            <w:tcBorders>
              <w:right w:val="single" w:sz="8" w:color="999999"/>
            </w:tcBorders>
            <w:gridSpan w:val="5"/>
          </w:tcPr>
          <w:p>
            <w:pPr>
              <w:spacing w:after="0"/>
              <w:rPr>
                <w:sz w:val="20"/>
                <w:szCs w:val="20"/>
                <w:color w:val="auto"/>
              </w:rPr>
            </w:pPr>
            <w:r>
              <w:rPr>
                <w:rFonts w:ascii="Arial" w:cs="Arial" w:eastAsia="Arial" w:hAnsi="Arial"/>
                <w:sz w:val="16"/>
                <w:szCs w:val="16"/>
                <w:color w:val="auto"/>
              </w:rPr>
              <w:t>non-compete.</w:t>
            </w:r>
          </w:p>
        </w:tc>
        <w:tc>
          <w:tcPr>
            <w:tcW w:w="2540" w:type="dxa"/>
            <w:vAlign w:val="bottom"/>
            <w:tcBorders>
              <w:right w:val="single" w:sz="8" w:color="00548B"/>
            </w:tcBorders>
          </w:tcPr>
          <w:p>
            <w:pPr>
              <w:ind w:left="100"/>
              <w:spacing w:after="0"/>
              <w:rPr>
                <w:sz w:val="20"/>
                <w:szCs w:val="20"/>
                <w:color w:val="auto"/>
              </w:rPr>
            </w:pPr>
            <w:r>
              <w:rPr>
                <w:rFonts w:ascii="Arial" w:cs="Arial" w:eastAsia="Arial" w:hAnsi="Arial"/>
                <w:sz w:val="16"/>
                <w:szCs w:val="16"/>
                <w:color w:val="auto"/>
              </w:rPr>
              <w:t>following the three year</w:t>
            </w:r>
          </w:p>
        </w:tc>
        <w:tc>
          <w:tcPr>
            <w:tcW w:w="0" w:type="dxa"/>
            <w:vAlign w:val="bottom"/>
          </w:tcPr>
          <w:p>
            <w:pPr>
              <w:spacing w:after="0"/>
              <w:rPr>
                <w:sz w:val="1"/>
                <w:szCs w:val="1"/>
                <w:color w:val="auto"/>
              </w:rPr>
            </w:pPr>
          </w:p>
        </w:tc>
      </w:tr>
      <w:tr>
        <w:trPr>
          <w:trHeight w:val="189"/>
        </w:trPr>
        <w:tc>
          <w:tcPr>
            <w:tcW w:w="2980" w:type="dxa"/>
            <w:vAlign w:val="bottom"/>
            <w:tcBorders>
              <w:left w:val="single" w:sz="8" w:color="00548B"/>
              <w:right w:val="single" w:sz="8" w:color="999999"/>
            </w:tcBorders>
          </w:tcPr>
          <w:p>
            <w:pPr>
              <w:spacing w:after="0"/>
              <w:rPr>
                <w:sz w:val="16"/>
                <w:szCs w:val="16"/>
                <w:color w:val="auto"/>
              </w:rPr>
            </w:pPr>
          </w:p>
        </w:tc>
        <w:tc>
          <w:tcPr>
            <w:tcW w:w="2900" w:type="dxa"/>
            <w:vAlign w:val="bottom"/>
            <w:tcBorders>
              <w:right w:val="single" w:sz="8" w:color="999999"/>
            </w:tcBorders>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Borders>
              <w:right w:val="single" w:sz="8" w:color="999999"/>
            </w:tcBorders>
          </w:tcPr>
          <w:p>
            <w:pPr>
              <w:spacing w:after="0"/>
              <w:rPr>
                <w:sz w:val="16"/>
                <w:szCs w:val="16"/>
                <w:color w:val="auto"/>
              </w:rPr>
            </w:pPr>
          </w:p>
        </w:tc>
        <w:tc>
          <w:tcPr>
            <w:tcW w:w="2540" w:type="dxa"/>
            <w:vAlign w:val="bottom"/>
            <w:tcBorders>
              <w:right w:val="single" w:sz="8" w:color="00548B"/>
            </w:tcBorders>
          </w:tcPr>
          <w:p>
            <w:pPr>
              <w:ind w:left="100"/>
              <w:spacing w:after="0"/>
              <w:rPr>
                <w:sz w:val="20"/>
                <w:szCs w:val="20"/>
                <w:color w:val="auto"/>
              </w:rPr>
            </w:pPr>
            <w:r>
              <w:rPr>
                <w:rFonts w:ascii="Arial" w:cs="Arial" w:eastAsia="Arial" w:hAnsi="Arial"/>
                <w:sz w:val="16"/>
                <w:szCs w:val="16"/>
                <w:color w:val="auto"/>
              </w:rPr>
              <w:t>Performance Period based on</w:t>
            </w:r>
          </w:p>
        </w:tc>
        <w:tc>
          <w:tcPr>
            <w:tcW w:w="0" w:type="dxa"/>
            <w:vAlign w:val="bottom"/>
          </w:tcPr>
          <w:p>
            <w:pPr>
              <w:spacing w:after="0"/>
              <w:rPr>
                <w:sz w:val="1"/>
                <w:szCs w:val="1"/>
                <w:color w:val="auto"/>
              </w:rPr>
            </w:pPr>
          </w:p>
        </w:tc>
      </w:tr>
      <w:tr>
        <w:trPr>
          <w:trHeight w:val="174"/>
        </w:trPr>
        <w:tc>
          <w:tcPr>
            <w:tcW w:w="2980" w:type="dxa"/>
            <w:vAlign w:val="bottom"/>
            <w:tcBorders>
              <w:left w:val="single" w:sz="8" w:color="00548B"/>
              <w:right w:val="single" w:sz="8" w:color="999999"/>
            </w:tcBorders>
          </w:tcPr>
          <w:p>
            <w:pPr>
              <w:spacing w:after="0"/>
              <w:rPr>
                <w:sz w:val="15"/>
                <w:szCs w:val="15"/>
                <w:color w:val="auto"/>
              </w:rPr>
            </w:pPr>
          </w:p>
        </w:tc>
        <w:tc>
          <w:tcPr>
            <w:tcW w:w="2900" w:type="dxa"/>
            <w:vAlign w:val="bottom"/>
            <w:tcBorders>
              <w:right w:val="single" w:sz="8" w:color="999999"/>
            </w:tcBorders>
          </w:tcPr>
          <w:p>
            <w:pPr>
              <w:spacing w:after="0"/>
              <w:rPr>
                <w:sz w:val="15"/>
                <w:szCs w:val="15"/>
                <w:color w:val="auto"/>
              </w:rPr>
            </w:pPr>
          </w:p>
        </w:tc>
        <w:tc>
          <w:tcPr>
            <w:tcW w:w="80" w:type="dxa"/>
            <w:vAlign w:val="bottom"/>
          </w:tcPr>
          <w:p>
            <w:pPr>
              <w:spacing w:after="0"/>
              <w:rPr>
                <w:sz w:val="15"/>
                <w:szCs w:val="15"/>
                <w:color w:val="auto"/>
              </w:rPr>
            </w:pPr>
          </w:p>
        </w:tc>
        <w:tc>
          <w:tcPr>
            <w:tcW w:w="2540" w:type="dxa"/>
            <w:vAlign w:val="bottom"/>
            <w:tcBorders>
              <w:right w:val="single" w:sz="8" w:color="999999"/>
            </w:tcBorders>
            <w:gridSpan w:val="5"/>
          </w:tcPr>
          <w:p>
            <w:pPr>
              <w:spacing w:after="0" w:line="174" w:lineRule="exact"/>
              <w:rPr>
                <w:sz w:val="20"/>
                <w:szCs w:val="20"/>
                <w:color w:val="auto"/>
              </w:rPr>
            </w:pPr>
            <w:r>
              <w:rPr>
                <w:rFonts w:ascii="Arial" w:cs="Arial" w:eastAsia="Arial" w:hAnsi="Arial"/>
                <w:sz w:val="16"/>
                <w:szCs w:val="16"/>
                <w:color w:val="auto"/>
              </w:rPr>
              <w:t>Three-Year PSUs: Earned pro rata</w:t>
            </w:r>
          </w:p>
        </w:tc>
        <w:tc>
          <w:tcPr>
            <w:tcW w:w="2540" w:type="dxa"/>
            <w:vAlign w:val="bottom"/>
            <w:tcBorders>
              <w:right w:val="single" w:sz="8" w:color="00548B"/>
            </w:tcBorders>
          </w:tcPr>
          <w:p>
            <w:pPr>
              <w:ind w:left="100"/>
              <w:spacing w:after="0" w:line="174" w:lineRule="exact"/>
              <w:rPr>
                <w:sz w:val="20"/>
                <w:szCs w:val="20"/>
                <w:color w:val="auto"/>
              </w:rPr>
            </w:pPr>
            <w:r>
              <w:rPr>
                <w:rFonts w:ascii="Arial" w:cs="Arial" w:eastAsia="Arial" w:hAnsi="Arial"/>
                <w:sz w:val="16"/>
                <w:szCs w:val="16"/>
                <w:color w:val="auto"/>
              </w:rPr>
              <w:t>number of days employed during</w:t>
            </w:r>
          </w:p>
        </w:tc>
        <w:tc>
          <w:tcPr>
            <w:tcW w:w="0" w:type="dxa"/>
            <w:vAlign w:val="bottom"/>
          </w:tcPr>
          <w:p>
            <w:pPr>
              <w:spacing w:after="0"/>
              <w:rPr>
                <w:sz w:val="1"/>
                <w:szCs w:val="1"/>
                <w:color w:val="auto"/>
              </w:rPr>
            </w:pPr>
          </w:p>
        </w:tc>
      </w:tr>
      <w:tr>
        <w:trPr>
          <w:trHeight w:val="20"/>
        </w:trPr>
        <w:tc>
          <w:tcPr>
            <w:tcW w:w="2980" w:type="dxa"/>
            <w:vAlign w:val="bottom"/>
            <w:tcBorders>
              <w:left w:val="single" w:sz="8" w:color="00548B"/>
              <w:right w:val="single" w:sz="8" w:color="999999"/>
            </w:tcBorders>
          </w:tcPr>
          <w:p>
            <w:pPr>
              <w:spacing w:after="0" w:line="20" w:lineRule="exact"/>
              <w:rPr>
                <w:sz w:val="1"/>
                <w:szCs w:val="1"/>
                <w:color w:val="auto"/>
              </w:rPr>
            </w:pPr>
          </w:p>
        </w:tc>
        <w:tc>
          <w:tcPr>
            <w:tcW w:w="2900" w:type="dxa"/>
            <w:vAlign w:val="bottom"/>
            <w:tcBorders>
              <w:right w:val="single" w:sz="8" w:color="999999"/>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gridSpan w:val="3"/>
            <w:shd w:val="clear" w:color="auto" w:fill="000000"/>
          </w:tcPr>
          <w:p>
            <w:pPr>
              <w:spacing w:after="0" w:line="20" w:lineRule="exact"/>
              <w:rPr>
                <w:sz w:val="1"/>
                <w:szCs w:val="1"/>
                <w:color w:val="auto"/>
              </w:rPr>
            </w:pPr>
          </w:p>
        </w:tc>
        <w:tc>
          <w:tcPr>
            <w:tcW w:w="1280" w:type="dxa"/>
            <w:vAlign w:val="bottom"/>
            <w:tcBorders>
              <w:right w:val="single" w:sz="8" w:color="999999"/>
            </w:tcBorders>
            <w:gridSpan w:val="2"/>
          </w:tcPr>
          <w:p>
            <w:pPr>
              <w:spacing w:after="0" w:line="20" w:lineRule="exact"/>
              <w:rPr>
                <w:sz w:val="1"/>
                <w:szCs w:val="1"/>
                <w:color w:val="auto"/>
              </w:rPr>
            </w:pPr>
          </w:p>
        </w:tc>
        <w:tc>
          <w:tcPr>
            <w:tcW w:w="2540" w:type="dxa"/>
            <w:vAlign w:val="bottom"/>
            <w:tcBorders>
              <w:right w:val="single" w:sz="8" w:color="00548B"/>
            </w:tcBorders>
            <w:vMerge w:val="restart"/>
          </w:tcPr>
          <w:p>
            <w:pPr>
              <w:ind w:left="100"/>
              <w:spacing w:after="0"/>
              <w:rPr>
                <w:sz w:val="20"/>
                <w:szCs w:val="20"/>
                <w:color w:val="auto"/>
              </w:rPr>
            </w:pPr>
            <w:r>
              <w:rPr>
                <w:rFonts w:ascii="Arial" w:cs="Arial" w:eastAsia="Arial" w:hAnsi="Arial"/>
                <w:sz w:val="16"/>
                <w:szCs w:val="16"/>
                <w:color w:val="auto"/>
              </w:rPr>
              <w:t>the Performance Period. Subject</w:t>
            </w:r>
          </w:p>
        </w:tc>
        <w:tc>
          <w:tcPr>
            <w:tcW w:w="0" w:type="dxa"/>
            <w:vAlign w:val="bottom"/>
          </w:tcPr>
          <w:p>
            <w:pPr>
              <w:spacing w:after="0" w:line="20" w:lineRule="exact"/>
              <w:rPr>
                <w:sz w:val="1"/>
                <w:szCs w:val="1"/>
                <w:color w:val="auto"/>
              </w:rPr>
            </w:pPr>
          </w:p>
        </w:tc>
      </w:tr>
      <w:tr>
        <w:trPr>
          <w:trHeight w:val="184"/>
        </w:trPr>
        <w:tc>
          <w:tcPr>
            <w:tcW w:w="2980" w:type="dxa"/>
            <w:vAlign w:val="bottom"/>
            <w:tcBorders>
              <w:left w:val="single" w:sz="8" w:color="00548B"/>
              <w:right w:val="single" w:sz="8" w:color="999999"/>
            </w:tcBorders>
          </w:tcPr>
          <w:p>
            <w:pPr>
              <w:spacing w:after="0"/>
              <w:rPr>
                <w:sz w:val="16"/>
                <w:szCs w:val="16"/>
                <w:color w:val="auto"/>
              </w:rPr>
            </w:pPr>
          </w:p>
        </w:tc>
        <w:tc>
          <w:tcPr>
            <w:tcW w:w="2900" w:type="dxa"/>
            <w:vAlign w:val="bottom"/>
            <w:tcBorders>
              <w:right w:val="single" w:sz="8" w:color="999999"/>
            </w:tcBorders>
          </w:tcPr>
          <w:p>
            <w:pPr>
              <w:spacing w:after="0"/>
              <w:rPr>
                <w:sz w:val="16"/>
                <w:szCs w:val="16"/>
                <w:color w:val="auto"/>
              </w:rPr>
            </w:pPr>
          </w:p>
        </w:tc>
        <w:tc>
          <w:tcPr>
            <w:tcW w:w="80" w:type="dxa"/>
            <w:vAlign w:val="bottom"/>
          </w:tcPr>
          <w:p>
            <w:pPr>
              <w:spacing w:after="0"/>
              <w:rPr>
                <w:sz w:val="16"/>
                <w:szCs w:val="16"/>
                <w:color w:val="auto"/>
              </w:rPr>
            </w:pPr>
          </w:p>
        </w:tc>
        <w:tc>
          <w:tcPr>
            <w:tcW w:w="2540" w:type="dxa"/>
            <w:vAlign w:val="bottom"/>
            <w:tcBorders>
              <w:right w:val="single" w:sz="8" w:color="999999"/>
            </w:tcBorders>
            <w:gridSpan w:val="5"/>
          </w:tcPr>
          <w:p>
            <w:pPr>
              <w:spacing w:after="0"/>
              <w:rPr>
                <w:sz w:val="20"/>
                <w:szCs w:val="20"/>
                <w:color w:val="auto"/>
              </w:rPr>
            </w:pPr>
            <w:r>
              <w:rPr>
                <w:rFonts w:ascii="Arial" w:cs="Arial" w:eastAsia="Arial" w:hAnsi="Arial"/>
                <w:sz w:val="16"/>
                <w:szCs w:val="16"/>
                <w:color w:val="auto"/>
              </w:rPr>
              <w:t>based on actual performance.</w:t>
            </w:r>
          </w:p>
        </w:tc>
        <w:tc>
          <w:tcPr>
            <w:tcW w:w="2540" w:type="dxa"/>
            <w:vAlign w:val="bottom"/>
            <w:tcBorders>
              <w:right w:val="single" w:sz="8" w:color="00548B"/>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80" w:type="dxa"/>
            <w:vAlign w:val="bottom"/>
            <w:tcBorders>
              <w:left w:val="single" w:sz="8" w:color="00548B"/>
              <w:right w:val="single" w:sz="8" w:color="999999"/>
            </w:tcBorders>
          </w:tcPr>
          <w:p>
            <w:pPr>
              <w:spacing w:after="0"/>
              <w:rPr>
                <w:sz w:val="16"/>
                <w:szCs w:val="16"/>
                <w:color w:val="auto"/>
              </w:rPr>
            </w:pPr>
          </w:p>
        </w:tc>
        <w:tc>
          <w:tcPr>
            <w:tcW w:w="2900" w:type="dxa"/>
            <w:vAlign w:val="bottom"/>
            <w:tcBorders>
              <w:right w:val="single" w:sz="8" w:color="999999"/>
            </w:tcBorders>
          </w:tcPr>
          <w:p>
            <w:pPr>
              <w:spacing w:after="0"/>
              <w:rPr>
                <w:sz w:val="16"/>
                <w:szCs w:val="16"/>
                <w:color w:val="auto"/>
              </w:rPr>
            </w:pPr>
          </w:p>
        </w:tc>
        <w:tc>
          <w:tcPr>
            <w:tcW w:w="80" w:type="dxa"/>
            <w:vAlign w:val="bottom"/>
          </w:tcPr>
          <w:p>
            <w:pPr>
              <w:spacing w:after="0"/>
              <w:rPr>
                <w:sz w:val="16"/>
                <w:szCs w:val="16"/>
                <w:color w:val="auto"/>
              </w:rPr>
            </w:pPr>
          </w:p>
        </w:tc>
        <w:tc>
          <w:tcPr>
            <w:tcW w:w="2540" w:type="dxa"/>
            <w:vAlign w:val="bottom"/>
            <w:tcBorders>
              <w:right w:val="single" w:sz="8" w:color="999999"/>
            </w:tcBorders>
            <w:gridSpan w:val="5"/>
          </w:tcPr>
          <w:p>
            <w:pPr>
              <w:spacing w:after="0"/>
              <w:rPr>
                <w:sz w:val="20"/>
                <w:szCs w:val="20"/>
                <w:color w:val="auto"/>
              </w:rPr>
            </w:pPr>
            <w:r>
              <w:rPr>
                <w:rFonts w:ascii="Arial" w:cs="Arial" w:eastAsia="Arial" w:hAnsi="Arial"/>
                <w:sz w:val="16"/>
                <w:szCs w:val="16"/>
                <w:color w:val="auto"/>
              </w:rPr>
              <w:t>Subject to non-compete, vesting</w:t>
            </w:r>
          </w:p>
        </w:tc>
        <w:tc>
          <w:tcPr>
            <w:tcW w:w="2540" w:type="dxa"/>
            <w:vAlign w:val="bottom"/>
            <w:tcBorders>
              <w:right w:val="single" w:sz="8" w:color="00548B"/>
            </w:tcBorders>
          </w:tcPr>
          <w:p>
            <w:pPr>
              <w:ind w:left="100"/>
              <w:spacing w:after="0"/>
              <w:rPr>
                <w:sz w:val="20"/>
                <w:szCs w:val="20"/>
                <w:color w:val="auto"/>
              </w:rPr>
            </w:pPr>
            <w:r>
              <w:rPr>
                <w:rFonts w:ascii="Arial" w:cs="Arial" w:eastAsia="Arial" w:hAnsi="Arial"/>
                <w:sz w:val="16"/>
                <w:szCs w:val="16"/>
                <w:color w:val="auto"/>
              </w:rPr>
              <w:t>to non-compete, vesting</w:t>
            </w:r>
          </w:p>
        </w:tc>
        <w:tc>
          <w:tcPr>
            <w:tcW w:w="0" w:type="dxa"/>
            <w:vAlign w:val="bottom"/>
          </w:tcPr>
          <w:p>
            <w:pPr>
              <w:spacing w:after="0"/>
              <w:rPr>
                <w:sz w:val="1"/>
                <w:szCs w:val="1"/>
                <w:color w:val="auto"/>
              </w:rPr>
            </w:pPr>
          </w:p>
        </w:tc>
      </w:tr>
      <w:tr>
        <w:trPr>
          <w:trHeight w:val="189"/>
        </w:trPr>
        <w:tc>
          <w:tcPr>
            <w:tcW w:w="2980" w:type="dxa"/>
            <w:vAlign w:val="bottom"/>
            <w:tcBorders>
              <w:left w:val="single" w:sz="8" w:color="00548B"/>
              <w:right w:val="single" w:sz="8" w:color="999999"/>
            </w:tcBorders>
          </w:tcPr>
          <w:p>
            <w:pPr>
              <w:spacing w:after="0"/>
              <w:rPr>
                <w:sz w:val="16"/>
                <w:szCs w:val="16"/>
                <w:color w:val="auto"/>
              </w:rPr>
            </w:pPr>
          </w:p>
        </w:tc>
        <w:tc>
          <w:tcPr>
            <w:tcW w:w="2900" w:type="dxa"/>
            <w:vAlign w:val="bottom"/>
            <w:tcBorders>
              <w:right w:val="single" w:sz="8" w:color="999999"/>
            </w:tcBorders>
          </w:tcPr>
          <w:p>
            <w:pPr>
              <w:spacing w:after="0"/>
              <w:rPr>
                <w:sz w:val="16"/>
                <w:szCs w:val="16"/>
                <w:color w:val="auto"/>
              </w:rPr>
            </w:pPr>
          </w:p>
        </w:tc>
        <w:tc>
          <w:tcPr>
            <w:tcW w:w="80" w:type="dxa"/>
            <w:vAlign w:val="bottom"/>
          </w:tcPr>
          <w:p>
            <w:pPr>
              <w:spacing w:after="0"/>
              <w:rPr>
                <w:sz w:val="16"/>
                <w:szCs w:val="16"/>
                <w:color w:val="auto"/>
              </w:rPr>
            </w:pPr>
          </w:p>
        </w:tc>
        <w:tc>
          <w:tcPr>
            <w:tcW w:w="2540" w:type="dxa"/>
            <w:vAlign w:val="bottom"/>
            <w:tcBorders>
              <w:right w:val="single" w:sz="8" w:color="999999"/>
            </w:tcBorders>
            <w:gridSpan w:val="5"/>
          </w:tcPr>
          <w:p>
            <w:pPr>
              <w:spacing w:after="0"/>
              <w:rPr>
                <w:sz w:val="20"/>
                <w:szCs w:val="20"/>
                <w:color w:val="auto"/>
              </w:rPr>
            </w:pPr>
            <w:r>
              <w:rPr>
                <w:rFonts w:ascii="Arial" w:cs="Arial" w:eastAsia="Arial" w:hAnsi="Arial"/>
                <w:sz w:val="16"/>
                <w:szCs w:val="16"/>
                <w:color w:val="auto"/>
              </w:rPr>
              <w:t>continues per normal course post-</w:t>
            </w:r>
          </w:p>
        </w:tc>
        <w:tc>
          <w:tcPr>
            <w:tcW w:w="2540" w:type="dxa"/>
            <w:vAlign w:val="bottom"/>
            <w:tcBorders>
              <w:right w:val="single" w:sz="8" w:color="00548B"/>
            </w:tcBorders>
          </w:tcPr>
          <w:p>
            <w:pPr>
              <w:ind w:left="100"/>
              <w:spacing w:after="0"/>
              <w:rPr>
                <w:sz w:val="20"/>
                <w:szCs w:val="20"/>
                <w:color w:val="auto"/>
              </w:rPr>
            </w:pPr>
            <w:r>
              <w:rPr>
                <w:rFonts w:ascii="Arial" w:cs="Arial" w:eastAsia="Arial" w:hAnsi="Arial"/>
                <w:sz w:val="16"/>
                <w:szCs w:val="16"/>
                <w:color w:val="auto"/>
              </w:rPr>
              <w:t>continues per normal course</w:t>
            </w:r>
          </w:p>
        </w:tc>
        <w:tc>
          <w:tcPr>
            <w:tcW w:w="0" w:type="dxa"/>
            <w:vAlign w:val="bottom"/>
          </w:tcPr>
          <w:p>
            <w:pPr>
              <w:spacing w:after="0"/>
              <w:rPr>
                <w:sz w:val="1"/>
                <w:szCs w:val="1"/>
                <w:color w:val="auto"/>
              </w:rPr>
            </w:pPr>
          </w:p>
        </w:tc>
      </w:tr>
      <w:tr>
        <w:trPr>
          <w:trHeight w:val="211"/>
        </w:trPr>
        <w:tc>
          <w:tcPr>
            <w:tcW w:w="2980" w:type="dxa"/>
            <w:vAlign w:val="bottom"/>
            <w:tcBorders>
              <w:left w:val="single" w:sz="8" w:color="00548B"/>
              <w:bottom w:val="single" w:sz="8" w:color="999999"/>
              <w:right w:val="single" w:sz="8" w:color="999999"/>
            </w:tcBorders>
          </w:tcPr>
          <w:p>
            <w:pPr>
              <w:spacing w:after="0"/>
              <w:rPr>
                <w:sz w:val="18"/>
                <w:szCs w:val="18"/>
                <w:color w:val="auto"/>
              </w:rPr>
            </w:pPr>
          </w:p>
        </w:tc>
        <w:tc>
          <w:tcPr>
            <w:tcW w:w="2900" w:type="dxa"/>
            <w:vAlign w:val="bottom"/>
            <w:tcBorders>
              <w:bottom w:val="single" w:sz="8" w:color="999999"/>
              <w:right w:val="single" w:sz="8" w:color="999999"/>
            </w:tcBorders>
          </w:tcPr>
          <w:p>
            <w:pPr>
              <w:spacing w:after="0"/>
              <w:rPr>
                <w:sz w:val="18"/>
                <w:szCs w:val="18"/>
                <w:color w:val="auto"/>
              </w:rPr>
            </w:pPr>
          </w:p>
        </w:tc>
        <w:tc>
          <w:tcPr>
            <w:tcW w:w="80" w:type="dxa"/>
            <w:vAlign w:val="bottom"/>
            <w:tcBorders>
              <w:bottom w:val="single" w:sz="8" w:color="999999"/>
            </w:tcBorders>
          </w:tcPr>
          <w:p>
            <w:pPr>
              <w:spacing w:after="0"/>
              <w:rPr>
                <w:sz w:val="18"/>
                <w:szCs w:val="18"/>
                <w:color w:val="auto"/>
              </w:rPr>
            </w:pPr>
          </w:p>
        </w:tc>
        <w:tc>
          <w:tcPr>
            <w:tcW w:w="2540" w:type="dxa"/>
            <w:vAlign w:val="bottom"/>
            <w:tcBorders>
              <w:bottom w:val="single" w:sz="8" w:color="999999"/>
              <w:right w:val="single" w:sz="8" w:color="999999"/>
            </w:tcBorders>
            <w:gridSpan w:val="5"/>
          </w:tcPr>
          <w:p>
            <w:pPr>
              <w:spacing w:after="0"/>
              <w:rPr>
                <w:sz w:val="20"/>
                <w:szCs w:val="20"/>
                <w:color w:val="auto"/>
              </w:rPr>
            </w:pPr>
            <w:r>
              <w:rPr>
                <w:rFonts w:ascii="Arial" w:cs="Arial" w:eastAsia="Arial" w:hAnsi="Arial"/>
                <w:sz w:val="16"/>
                <w:szCs w:val="16"/>
                <w:color w:val="auto"/>
              </w:rPr>
              <w:t>retirement.</w:t>
            </w:r>
          </w:p>
        </w:tc>
        <w:tc>
          <w:tcPr>
            <w:tcW w:w="2540" w:type="dxa"/>
            <w:vAlign w:val="bottom"/>
            <w:tcBorders>
              <w:bottom w:val="single" w:sz="8" w:color="999999"/>
              <w:right w:val="single" w:sz="8" w:color="00548B"/>
            </w:tcBorders>
          </w:tcPr>
          <w:p>
            <w:pPr>
              <w:ind w:left="100"/>
              <w:spacing w:after="0"/>
              <w:rPr>
                <w:sz w:val="20"/>
                <w:szCs w:val="20"/>
                <w:color w:val="auto"/>
              </w:rPr>
            </w:pPr>
            <w:r>
              <w:rPr>
                <w:rFonts w:ascii="Arial" w:cs="Arial" w:eastAsia="Arial" w:hAnsi="Arial"/>
                <w:sz w:val="16"/>
                <w:szCs w:val="16"/>
                <w:color w:val="auto"/>
              </w:rPr>
              <w:t>post-retirement.</w:t>
            </w:r>
          </w:p>
        </w:tc>
        <w:tc>
          <w:tcPr>
            <w:tcW w:w="0" w:type="dxa"/>
            <w:vAlign w:val="bottom"/>
          </w:tcPr>
          <w:p>
            <w:pPr>
              <w:spacing w:after="0"/>
              <w:rPr>
                <w:sz w:val="1"/>
                <w:szCs w:val="1"/>
                <w:color w:val="auto"/>
              </w:rPr>
            </w:pPr>
          </w:p>
        </w:tc>
      </w:tr>
      <w:tr>
        <w:trPr>
          <w:trHeight w:val="158"/>
        </w:trPr>
        <w:tc>
          <w:tcPr>
            <w:tcW w:w="2980" w:type="dxa"/>
            <w:vAlign w:val="bottom"/>
            <w:tcBorders>
              <w:left w:val="single" w:sz="8" w:color="00548B"/>
              <w:right w:val="single" w:sz="8" w:color="999999"/>
            </w:tcBorders>
          </w:tcPr>
          <w:p>
            <w:pPr>
              <w:ind w:left="160"/>
              <w:spacing w:after="0" w:line="158" w:lineRule="exact"/>
              <w:rPr>
                <w:sz w:val="20"/>
                <w:szCs w:val="20"/>
                <w:color w:val="auto"/>
              </w:rPr>
            </w:pPr>
            <w:r>
              <w:rPr>
                <w:rFonts w:ascii="Arial" w:cs="Arial" w:eastAsia="Arial" w:hAnsi="Arial"/>
                <w:sz w:val="16"/>
                <w:szCs w:val="16"/>
                <w:color w:val="auto"/>
              </w:rPr>
              <w:t>Death or Disability</w:t>
            </w:r>
          </w:p>
        </w:tc>
        <w:tc>
          <w:tcPr>
            <w:tcW w:w="2900" w:type="dxa"/>
            <w:vAlign w:val="bottom"/>
            <w:tcBorders>
              <w:right w:val="single" w:sz="8" w:color="999999"/>
            </w:tcBorders>
          </w:tcPr>
          <w:p>
            <w:pPr>
              <w:ind w:left="360"/>
              <w:spacing w:after="0" w:line="158" w:lineRule="exact"/>
              <w:rPr>
                <w:sz w:val="20"/>
                <w:szCs w:val="20"/>
                <w:color w:val="auto"/>
              </w:rPr>
            </w:pPr>
            <w:r>
              <w:rPr>
                <w:rFonts w:ascii="Arial" w:cs="Arial" w:eastAsia="Arial" w:hAnsi="Arial"/>
                <w:sz w:val="16"/>
                <w:szCs w:val="16"/>
                <w:color w:val="auto"/>
              </w:rPr>
              <w:t>Full acceleration.</w:t>
            </w:r>
          </w:p>
        </w:tc>
        <w:tc>
          <w:tcPr>
            <w:tcW w:w="80" w:type="dxa"/>
            <w:vAlign w:val="bottom"/>
          </w:tcPr>
          <w:p>
            <w:pPr>
              <w:spacing w:after="0"/>
              <w:rPr>
                <w:sz w:val="13"/>
                <w:szCs w:val="13"/>
                <w:color w:val="auto"/>
              </w:rPr>
            </w:pPr>
          </w:p>
        </w:tc>
        <w:tc>
          <w:tcPr>
            <w:tcW w:w="2540" w:type="dxa"/>
            <w:vAlign w:val="bottom"/>
            <w:tcBorders>
              <w:right w:val="single" w:sz="8" w:color="999999"/>
            </w:tcBorders>
            <w:gridSpan w:val="5"/>
          </w:tcPr>
          <w:p>
            <w:pPr>
              <w:spacing w:after="0" w:line="158" w:lineRule="exact"/>
              <w:rPr>
                <w:sz w:val="20"/>
                <w:szCs w:val="20"/>
                <w:color w:val="auto"/>
              </w:rPr>
            </w:pPr>
            <w:r>
              <w:rPr>
                <w:rFonts w:ascii="Arial" w:cs="Arial" w:eastAsia="Arial" w:hAnsi="Arial"/>
                <w:sz w:val="16"/>
                <w:szCs w:val="16"/>
                <w:color w:val="auto"/>
              </w:rPr>
              <w:t>One-Year PSUs: All earned</w:t>
            </w:r>
          </w:p>
        </w:tc>
        <w:tc>
          <w:tcPr>
            <w:tcW w:w="2540" w:type="dxa"/>
            <w:vAlign w:val="bottom"/>
            <w:tcBorders>
              <w:right w:val="single" w:sz="8" w:color="00548B"/>
            </w:tcBorders>
          </w:tcPr>
          <w:p>
            <w:pPr>
              <w:ind w:left="100"/>
              <w:spacing w:after="0" w:line="158" w:lineRule="exact"/>
              <w:rPr>
                <w:sz w:val="20"/>
                <w:szCs w:val="20"/>
                <w:color w:val="auto"/>
              </w:rPr>
            </w:pPr>
            <w:r>
              <w:rPr>
                <w:rFonts w:ascii="Arial" w:cs="Arial" w:eastAsia="Arial" w:hAnsi="Arial"/>
                <w:sz w:val="16"/>
                <w:szCs w:val="16"/>
                <w:color w:val="auto"/>
              </w:rPr>
              <w:t>Earned based on actual</w:t>
            </w:r>
          </w:p>
        </w:tc>
        <w:tc>
          <w:tcPr>
            <w:tcW w:w="0" w:type="dxa"/>
            <w:vAlign w:val="bottom"/>
          </w:tcPr>
          <w:p>
            <w:pPr>
              <w:spacing w:after="0"/>
              <w:rPr>
                <w:sz w:val="1"/>
                <w:szCs w:val="1"/>
                <w:color w:val="auto"/>
              </w:rPr>
            </w:pPr>
          </w:p>
        </w:tc>
      </w:tr>
      <w:tr>
        <w:trPr>
          <w:trHeight w:val="20"/>
        </w:trPr>
        <w:tc>
          <w:tcPr>
            <w:tcW w:w="2980" w:type="dxa"/>
            <w:vAlign w:val="bottom"/>
            <w:tcBorders>
              <w:left w:val="single" w:sz="8" w:color="00548B"/>
              <w:right w:val="single" w:sz="8" w:color="999999"/>
            </w:tcBorders>
          </w:tcPr>
          <w:p>
            <w:pPr>
              <w:spacing w:after="0" w:line="20" w:lineRule="exact"/>
              <w:rPr>
                <w:sz w:val="1"/>
                <w:szCs w:val="1"/>
                <w:color w:val="auto"/>
              </w:rPr>
            </w:pPr>
          </w:p>
        </w:tc>
        <w:tc>
          <w:tcPr>
            <w:tcW w:w="2900" w:type="dxa"/>
            <w:vAlign w:val="bottom"/>
            <w:tcBorders>
              <w:right w:val="single" w:sz="8" w:color="999999"/>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1400" w:type="dxa"/>
            <w:vAlign w:val="bottom"/>
            <w:tcBorders>
              <w:right w:val="single" w:sz="8" w:color="999999"/>
            </w:tcBorders>
            <w:gridSpan w:val="3"/>
          </w:tcPr>
          <w:p>
            <w:pPr>
              <w:spacing w:after="0" w:line="20" w:lineRule="exact"/>
              <w:rPr>
                <w:sz w:val="1"/>
                <w:szCs w:val="1"/>
                <w:color w:val="auto"/>
              </w:rPr>
            </w:pPr>
          </w:p>
        </w:tc>
        <w:tc>
          <w:tcPr>
            <w:tcW w:w="2540" w:type="dxa"/>
            <w:vAlign w:val="bottom"/>
            <w:tcBorders>
              <w:right w:val="single" w:sz="8" w:color="00548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980" w:type="dxa"/>
            <w:vAlign w:val="bottom"/>
            <w:tcBorders>
              <w:left w:val="single" w:sz="8" w:color="00548B"/>
              <w:right w:val="single" w:sz="8" w:color="999999"/>
            </w:tcBorders>
          </w:tcPr>
          <w:p>
            <w:pPr>
              <w:spacing w:after="0"/>
              <w:rPr>
                <w:sz w:val="17"/>
                <w:szCs w:val="17"/>
                <w:color w:val="auto"/>
              </w:rPr>
            </w:pPr>
          </w:p>
        </w:tc>
        <w:tc>
          <w:tcPr>
            <w:tcW w:w="2900" w:type="dxa"/>
            <w:vAlign w:val="bottom"/>
            <w:tcBorders>
              <w:right w:val="single" w:sz="8" w:color="999999"/>
            </w:tcBorders>
          </w:tcPr>
          <w:p>
            <w:pPr>
              <w:spacing w:after="0"/>
              <w:rPr>
                <w:sz w:val="17"/>
                <w:szCs w:val="17"/>
                <w:color w:val="auto"/>
              </w:rPr>
            </w:pPr>
          </w:p>
        </w:tc>
        <w:tc>
          <w:tcPr>
            <w:tcW w:w="80" w:type="dxa"/>
            <w:vAlign w:val="bottom"/>
          </w:tcPr>
          <w:p>
            <w:pPr>
              <w:spacing w:after="0"/>
              <w:rPr>
                <w:sz w:val="17"/>
                <w:szCs w:val="17"/>
                <w:color w:val="auto"/>
              </w:rPr>
            </w:pPr>
          </w:p>
        </w:tc>
        <w:tc>
          <w:tcPr>
            <w:tcW w:w="2540" w:type="dxa"/>
            <w:vAlign w:val="bottom"/>
            <w:tcBorders>
              <w:right w:val="single" w:sz="8" w:color="999999"/>
            </w:tcBorders>
            <w:gridSpan w:val="5"/>
          </w:tcPr>
          <w:p>
            <w:pPr>
              <w:spacing w:after="0"/>
              <w:rPr>
                <w:sz w:val="20"/>
                <w:szCs w:val="20"/>
                <w:color w:val="auto"/>
              </w:rPr>
            </w:pPr>
            <w:r>
              <w:rPr>
                <w:rFonts w:ascii="Arial" w:cs="Arial" w:eastAsia="Arial" w:hAnsi="Arial"/>
                <w:sz w:val="16"/>
                <w:szCs w:val="16"/>
                <w:color w:val="auto"/>
              </w:rPr>
              <w:t>One-Year Performance Shares</w:t>
            </w:r>
          </w:p>
        </w:tc>
        <w:tc>
          <w:tcPr>
            <w:tcW w:w="2540" w:type="dxa"/>
            <w:vAlign w:val="bottom"/>
            <w:tcBorders>
              <w:right w:val="single" w:sz="8" w:color="00548B"/>
            </w:tcBorders>
          </w:tcPr>
          <w:p>
            <w:pPr>
              <w:ind w:left="100"/>
              <w:spacing w:after="0"/>
              <w:rPr>
                <w:sz w:val="20"/>
                <w:szCs w:val="20"/>
                <w:color w:val="auto"/>
              </w:rPr>
            </w:pPr>
            <w:r>
              <w:rPr>
                <w:rFonts w:ascii="Arial" w:cs="Arial" w:eastAsia="Arial" w:hAnsi="Arial"/>
                <w:sz w:val="16"/>
                <w:szCs w:val="16"/>
                <w:color w:val="auto"/>
              </w:rPr>
              <w:t>performance and will vest pro</w:t>
            </w:r>
          </w:p>
        </w:tc>
        <w:tc>
          <w:tcPr>
            <w:tcW w:w="0" w:type="dxa"/>
            <w:vAlign w:val="bottom"/>
          </w:tcPr>
          <w:p>
            <w:pPr>
              <w:spacing w:after="0"/>
              <w:rPr>
                <w:sz w:val="1"/>
                <w:szCs w:val="1"/>
                <w:color w:val="auto"/>
              </w:rPr>
            </w:pPr>
          </w:p>
        </w:tc>
      </w:tr>
      <w:tr>
        <w:trPr>
          <w:trHeight w:val="189"/>
        </w:trPr>
        <w:tc>
          <w:tcPr>
            <w:tcW w:w="2980" w:type="dxa"/>
            <w:vAlign w:val="bottom"/>
            <w:tcBorders>
              <w:left w:val="single" w:sz="8" w:color="00548B"/>
              <w:right w:val="single" w:sz="8" w:color="999999"/>
            </w:tcBorders>
          </w:tcPr>
          <w:p>
            <w:pPr>
              <w:spacing w:after="0"/>
              <w:rPr>
                <w:sz w:val="16"/>
                <w:szCs w:val="16"/>
                <w:color w:val="auto"/>
              </w:rPr>
            </w:pPr>
          </w:p>
        </w:tc>
        <w:tc>
          <w:tcPr>
            <w:tcW w:w="2900" w:type="dxa"/>
            <w:vAlign w:val="bottom"/>
            <w:tcBorders>
              <w:right w:val="single" w:sz="8" w:color="999999"/>
            </w:tcBorders>
          </w:tcPr>
          <w:p>
            <w:pPr>
              <w:spacing w:after="0"/>
              <w:rPr>
                <w:sz w:val="16"/>
                <w:szCs w:val="16"/>
                <w:color w:val="auto"/>
              </w:rPr>
            </w:pPr>
          </w:p>
        </w:tc>
        <w:tc>
          <w:tcPr>
            <w:tcW w:w="80" w:type="dxa"/>
            <w:vAlign w:val="bottom"/>
          </w:tcPr>
          <w:p>
            <w:pPr>
              <w:spacing w:after="0"/>
              <w:rPr>
                <w:sz w:val="16"/>
                <w:szCs w:val="16"/>
                <w:color w:val="auto"/>
              </w:rPr>
            </w:pPr>
          </w:p>
        </w:tc>
        <w:tc>
          <w:tcPr>
            <w:tcW w:w="2540" w:type="dxa"/>
            <w:vAlign w:val="bottom"/>
            <w:tcBorders>
              <w:right w:val="single" w:sz="8" w:color="999999"/>
            </w:tcBorders>
            <w:gridSpan w:val="5"/>
          </w:tcPr>
          <w:p>
            <w:pPr>
              <w:spacing w:after="0"/>
              <w:rPr>
                <w:sz w:val="20"/>
                <w:szCs w:val="20"/>
                <w:color w:val="auto"/>
              </w:rPr>
            </w:pPr>
            <w:r>
              <w:rPr>
                <w:rFonts w:ascii="Arial" w:cs="Arial" w:eastAsia="Arial" w:hAnsi="Arial"/>
                <w:sz w:val="16"/>
                <w:szCs w:val="16"/>
                <w:color w:val="auto"/>
              </w:rPr>
              <w:t>fully vest within 30 days.</w:t>
            </w:r>
          </w:p>
        </w:tc>
        <w:tc>
          <w:tcPr>
            <w:tcW w:w="2540" w:type="dxa"/>
            <w:vAlign w:val="bottom"/>
            <w:tcBorders>
              <w:right w:val="single" w:sz="8" w:color="00548B"/>
            </w:tcBorders>
          </w:tcPr>
          <w:p>
            <w:pPr>
              <w:ind w:left="100"/>
              <w:spacing w:after="0"/>
              <w:rPr>
                <w:sz w:val="20"/>
                <w:szCs w:val="20"/>
                <w:color w:val="auto"/>
              </w:rPr>
            </w:pPr>
            <w:r>
              <w:rPr>
                <w:rFonts w:ascii="Arial" w:cs="Arial" w:eastAsia="Arial" w:hAnsi="Arial"/>
                <w:sz w:val="16"/>
                <w:szCs w:val="16"/>
                <w:color w:val="auto"/>
              </w:rPr>
              <w:t>rata on March 1 of the year</w:t>
            </w:r>
          </w:p>
        </w:tc>
        <w:tc>
          <w:tcPr>
            <w:tcW w:w="0" w:type="dxa"/>
            <w:vAlign w:val="bottom"/>
          </w:tcPr>
          <w:p>
            <w:pPr>
              <w:spacing w:after="0"/>
              <w:rPr>
                <w:sz w:val="1"/>
                <w:szCs w:val="1"/>
                <w:color w:val="auto"/>
              </w:rPr>
            </w:pPr>
          </w:p>
        </w:tc>
      </w:tr>
      <w:tr>
        <w:trPr>
          <w:trHeight w:val="189"/>
        </w:trPr>
        <w:tc>
          <w:tcPr>
            <w:tcW w:w="2980" w:type="dxa"/>
            <w:vAlign w:val="bottom"/>
            <w:tcBorders>
              <w:left w:val="single" w:sz="8" w:color="00548B"/>
              <w:right w:val="single" w:sz="8" w:color="999999"/>
            </w:tcBorders>
          </w:tcPr>
          <w:p>
            <w:pPr>
              <w:spacing w:after="0"/>
              <w:rPr>
                <w:sz w:val="16"/>
                <w:szCs w:val="16"/>
                <w:color w:val="auto"/>
              </w:rPr>
            </w:pPr>
          </w:p>
        </w:tc>
        <w:tc>
          <w:tcPr>
            <w:tcW w:w="2900" w:type="dxa"/>
            <w:vAlign w:val="bottom"/>
            <w:tcBorders>
              <w:right w:val="single" w:sz="8" w:color="999999"/>
            </w:tcBorders>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Borders>
              <w:right w:val="single" w:sz="8" w:color="999999"/>
            </w:tcBorders>
          </w:tcPr>
          <w:p>
            <w:pPr>
              <w:spacing w:after="0"/>
              <w:rPr>
                <w:sz w:val="16"/>
                <w:szCs w:val="16"/>
                <w:color w:val="auto"/>
              </w:rPr>
            </w:pPr>
          </w:p>
        </w:tc>
        <w:tc>
          <w:tcPr>
            <w:tcW w:w="2540" w:type="dxa"/>
            <w:vAlign w:val="bottom"/>
            <w:tcBorders>
              <w:right w:val="single" w:sz="8" w:color="00548B"/>
            </w:tcBorders>
          </w:tcPr>
          <w:p>
            <w:pPr>
              <w:ind w:left="100"/>
              <w:spacing w:after="0"/>
              <w:rPr>
                <w:sz w:val="20"/>
                <w:szCs w:val="20"/>
                <w:color w:val="auto"/>
              </w:rPr>
            </w:pPr>
            <w:r>
              <w:rPr>
                <w:rFonts w:ascii="Arial" w:cs="Arial" w:eastAsia="Arial" w:hAnsi="Arial"/>
                <w:sz w:val="16"/>
                <w:szCs w:val="16"/>
                <w:color w:val="auto"/>
              </w:rPr>
              <w:t>following the three year</w:t>
            </w:r>
          </w:p>
        </w:tc>
        <w:tc>
          <w:tcPr>
            <w:tcW w:w="0" w:type="dxa"/>
            <w:vAlign w:val="bottom"/>
          </w:tcPr>
          <w:p>
            <w:pPr>
              <w:spacing w:after="0"/>
              <w:rPr>
                <w:sz w:val="1"/>
                <w:szCs w:val="1"/>
                <w:color w:val="auto"/>
              </w:rPr>
            </w:pPr>
          </w:p>
        </w:tc>
      </w:tr>
      <w:tr>
        <w:trPr>
          <w:trHeight w:val="174"/>
        </w:trPr>
        <w:tc>
          <w:tcPr>
            <w:tcW w:w="2980" w:type="dxa"/>
            <w:vAlign w:val="bottom"/>
            <w:tcBorders>
              <w:left w:val="single" w:sz="8" w:color="00548B"/>
              <w:right w:val="single" w:sz="8" w:color="999999"/>
            </w:tcBorders>
          </w:tcPr>
          <w:p>
            <w:pPr>
              <w:spacing w:after="0"/>
              <w:rPr>
                <w:sz w:val="15"/>
                <w:szCs w:val="15"/>
                <w:color w:val="auto"/>
              </w:rPr>
            </w:pPr>
          </w:p>
        </w:tc>
        <w:tc>
          <w:tcPr>
            <w:tcW w:w="2900" w:type="dxa"/>
            <w:vAlign w:val="bottom"/>
            <w:tcBorders>
              <w:right w:val="single" w:sz="8" w:color="999999"/>
            </w:tcBorders>
          </w:tcPr>
          <w:p>
            <w:pPr>
              <w:spacing w:after="0"/>
              <w:rPr>
                <w:sz w:val="15"/>
                <w:szCs w:val="15"/>
                <w:color w:val="auto"/>
              </w:rPr>
            </w:pPr>
          </w:p>
        </w:tc>
        <w:tc>
          <w:tcPr>
            <w:tcW w:w="80" w:type="dxa"/>
            <w:vAlign w:val="bottom"/>
          </w:tcPr>
          <w:p>
            <w:pPr>
              <w:spacing w:after="0"/>
              <w:rPr>
                <w:sz w:val="15"/>
                <w:szCs w:val="15"/>
                <w:color w:val="auto"/>
              </w:rPr>
            </w:pPr>
          </w:p>
        </w:tc>
        <w:tc>
          <w:tcPr>
            <w:tcW w:w="2540" w:type="dxa"/>
            <w:vAlign w:val="bottom"/>
            <w:tcBorders>
              <w:right w:val="single" w:sz="8" w:color="999999"/>
            </w:tcBorders>
            <w:gridSpan w:val="5"/>
          </w:tcPr>
          <w:p>
            <w:pPr>
              <w:spacing w:after="0" w:line="174" w:lineRule="exact"/>
              <w:rPr>
                <w:sz w:val="20"/>
                <w:szCs w:val="20"/>
                <w:color w:val="auto"/>
              </w:rPr>
            </w:pPr>
            <w:r>
              <w:rPr>
                <w:rFonts w:ascii="Arial" w:cs="Arial" w:eastAsia="Arial" w:hAnsi="Arial"/>
                <w:sz w:val="16"/>
                <w:szCs w:val="16"/>
                <w:color w:val="auto"/>
              </w:rPr>
              <w:t>Three-Year PSUs: Earned based</w:t>
            </w:r>
          </w:p>
        </w:tc>
        <w:tc>
          <w:tcPr>
            <w:tcW w:w="2540" w:type="dxa"/>
            <w:vAlign w:val="bottom"/>
            <w:tcBorders>
              <w:right w:val="single" w:sz="8" w:color="00548B"/>
            </w:tcBorders>
          </w:tcPr>
          <w:p>
            <w:pPr>
              <w:ind w:left="100"/>
              <w:spacing w:after="0" w:line="174" w:lineRule="exact"/>
              <w:rPr>
                <w:sz w:val="20"/>
                <w:szCs w:val="20"/>
                <w:color w:val="auto"/>
              </w:rPr>
            </w:pPr>
            <w:r>
              <w:rPr>
                <w:rFonts w:ascii="Arial" w:cs="Arial" w:eastAsia="Arial" w:hAnsi="Arial"/>
                <w:sz w:val="16"/>
                <w:szCs w:val="16"/>
                <w:color w:val="auto"/>
              </w:rPr>
              <w:t>Performance Period based on</w:t>
            </w:r>
          </w:p>
        </w:tc>
        <w:tc>
          <w:tcPr>
            <w:tcW w:w="0" w:type="dxa"/>
            <w:vAlign w:val="bottom"/>
          </w:tcPr>
          <w:p>
            <w:pPr>
              <w:spacing w:after="0"/>
              <w:rPr>
                <w:sz w:val="1"/>
                <w:szCs w:val="1"/>
                <w:color w:val="auto"/>
              </w:rPr>
            </w:pPr>
          </w:p>
        </w:tc>
      </w:tr>
      <w:tr>
        <w:trPr>
          <w:trHeight w:val="20"/>
        </w:trPr>
        <w:tc>
          <w:tcPr>
            <w:tcW w:w="2980" w:type="dxa"/>
            <w:vAlign w:val="bottom"/>
            <w:tcBorders>
              <w:left w:val="single" w:sz="8" w:color="00548B"/>
              <w:right w:val="single" w:sz="8" w:color="999999"/>
            </w:tcBorders>
          </w:tcPr>
          <w:p>
            <w:pPr>
              <w:spacing w:after="0" w:line="20" w:lineRule="exact"/>
              <w:rPr>
                <w:sz w:val="1"/>
                <w:szCs w:val="1"/>
                <w:color w:val="auto"/>
              </w:rPr>
            </w:pPr>
          </w:p>
        </w:tc>
        <w:tc>
          <w:tcPr>
            <w:tcW w:w="2900" w:type="dxa"/>
            <w:vAlign w:val="bottom"/>
            <w:tcBorders>
              <w:right w:val="single" w:sz="8" w:color="999999"/>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gridSpan w:val="3"/>
            <w:shd w:val="clear" w:color="auto" w:fill="000000"/>
          </w:tcPr>
          <w:p>
            <w:pPr>
              <w:spacing w:after="0" w:line="20" w:lineRule="exact"/>
              <w:rPr>
                <w:sz w:val="1"/>
                <w:szCs w:val="1"/>
                <w:color w:val="auto"/>
              </w:rPr>
            </w:pPr>
          </w:p>
        </w:tc>
        <w:tc>
          <w:tcPr>
            <w:tcW w:w="1280" w:type="dxa"/>
            <w:vAlign w:val="bottom"/>
            <w:tcBorders>
              <w:right w:val="single" w:sz="8" w:color="999999"/>
            </w:tcBorders>
            <w:gridSpan w:val="2"/>
          </w:tcPr>
          <w:p>
            <w:pPr>
              <w:spacing w:after="0" w:line="20" w:lineRule="exact"/>
              <w:rPr>
                <w:sz w:val="1"/>
                <w:szCs w:val="1"/>
                <w:color w:val="auto"/>
              </w:rPr>
            </w:pPr>
          </w:p>
        </w:tc>
        <w:tc>
          <w:tcPr>
            <w:tcW w:w="2540" w:type="dxa"/>
            <w:vAlign w:val="bottom"/>
            <w:tcBorders>
              <w:right w:val="single" w:sz="8" w:color="00548B"/>
            </w:tcBorders>
            <w:vMerge w:val="restart"/>
          </w:tcPr>
          <w:p>
            <w:pPr>
              <w:ind w:left="100"/>
              <w:spacing w:after="0"/>
              <w:rPr>
                <w:sz w:val="20"/>
                <w:szCs w:val="20"/>
                <w:color w:val="auto"/>
              </w:rPr>
            </w:pPr>
            <w:r>
              <w:rPr>
                <w:rFonts w:ascii="Arial" w:cs="Arial" w:eastAsia="Arial" w:hAnsi="Arial"/>
                <w:sz w:val="16"/>
                <w:szCs w:val="16"/>
                <w:color w:val="auto"/>
              </w:rPr>
              <w:t>number of days employed during</w:t>
            </w:r>
          </w:p>
        </w:tc>
        <w:tc>
          <w:tcPr>
            <w:tcW w:w="0" w:type="dxa"/>
            <w:vAlign w:val="bottom"/>
          </w:tcPr>
          <w:p>
            <w:pPr>
              <w:spacing w:after="0" w:line="20" w:lineRule="exact"/>
              <w:rPr>
                <w:sz w:val="1"/>
                <w:szCs w:val="1"/>
                <w:color w:val="auto"/>
              </w:rPr>
            </w:pPr>
          </w:p>
        </w:tc>
      </w:tr>
      <w:tr>
        <w:trPr>
          <w:trHeight w:val="179"/>
        </w:trPr>
        <w:tc>
          <w:tcPr>
            <w:tcW w:w="2980" w:type="dxa"/>
            <w:vAlign w:val="bottom"/>
            <w:tcBorders>
              <w:left w:val="single" w:sz="8" w:color="00548B"/>
              <w:right w:val="single" w:sz="8" w:color="999999"/>
            </w:tcBorders>
          </w:tcPr>
          <w:p>
            <w:pPr>
              <w:spacing w:after="0"/>
              <w:rPr>
                <w:sz w:val="15"/>
                <w:szCs w:val="15"/>
                <w:color w:val="auto"/>
              </w:rPr>
            </w:pPr>
          </w:p>
        </w:tc>
        <w:tc>
          <w:tcPr>
            <w:tcW w:w="2900" w:type="dxa"/>
            <w:vAlign w:val="bottom"/>
            <w:tcBorders>
              <w:right w:val="single" w:sz="8" w:color="999999"/>
            </w:tcBorders>
          </w:tcPr>
          <w:p>
            <w:pPr>
              <w:spacing w:after="0"/>
              <w:rPr>
                <w:sz w:val="15"/>
                <w:szCs w:val="15"/>
                <w:color w:val="auto"/>
              </w:rPr>
            </w:pPr>
          </w:p>
        </w:tc>
        <w:tc>
          <w:tcPr>
            <w:tcW w:w="80" w:type="dxa"/>
            <w:vAlign w:val="bottom"/>
          </w:tcPr>
          <w:p>
            <w:pPr>
              <w:spacing w:after="0"/>
              <w:rPr>
                <w:sz w:val="15"/>
                <w:szCs w:val="15"/>
                <w:color w:val="auto"/>
              </w:rPr>
            </w:pPr>
          </w:p>
        </w:tc>
        <w:tc>
          <w:tcPr>
            <w:tcW w:w="2540" w:type="dxa"/>
            <w:vAlign w:val="bottom"/>
            <w:tcBorders>
              <w:right w:val="single" w:sz="8" w:color="999999"/>
            </w:tcBorders>
            <w:gridSpan w:val="5"/>
          </w:tcPr>
          <w:p>
            <w:pPr>
              <w:spacing w:after="0" w:line="179" w:lineRule="exact"/>
              <w:rPr>
                <w:sz w:val="20"/>
                <w:szCs w:val="20"/>
                <w:color w:val="auto"/>
              </w:rPr>
            </w:pPr>
            <w:r>
              <w:rPr>
                <w:rFonts w:ascii="Arial" w:cs="Arial" w:eastAsia="Arial" w:hAnsi="Arial"/>
                <w:sz w:val="16"/>
                <w:szCs w:val="16"/>
                <w:color w:val="auto"/>
              </w:rPr>
              <w:t>on actual performance and will</w:t>
            </w:r>
          </w:p>
        </w:tc>
        <w:tc>
          <w:tcPr>
            <w:tcW w:w="2540" w:type="dxa"/>
            <w:vAlign w:val="bottom"/>
            <w:tcBorders>
              <w:right w:val="single" w:sz="8" w:color="00548B"/>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980" w:type="dxa"/>
            <w:vAlign w:val="bottom"/>
            <w:tcBorders>
              <w:left w:val="single" w:sz="8" w:color="00548B"/>
              <w:right w:val="single" w:sz="8" w:color="999999"/>
            </w:tcBorders>
          </w:tcPr>
          <w:p>
            <w:pPr>
              <w:spacing w:after="0"/>
              <w:rPr>
                <w:sz w:val="18"/>
                <w:szCs w:val="18"/>
                <w:color w:val="auto"/>
              </w:rPr>
            </w:pPr>
          </w:p>
        </w:tc>
        <w:tc>
          <w:tcPr>
            <w:tcW w:w="2900" w:type="dxa"/>
            <w:vAlign w:val="bottom"/>
            <w:tcBorders>
              <w:right w:val="single" w:sz="8" w:color="999999"/>
            </w:tcBorders>
          </w:tcPr>
          <w:p>
            <w:pPr>
              <w:spacing w:after="0"/>
              <w:rPr>
                <w:sz w:val="18"/>
                <w:szCs w:val="18"/>
                <w:color w:val="auto"/>
              </w:rPr>
            </w:pPr>
          </w:p>
        </w:tc>
        <w:tc>
          <w:tcPr>
            <w:tcW w:w="80" w:type="dxa"/>
            <w:vAlign w:val="bottom"/>
          </w:tcPr>
          <w:p>
            <w:pPr>
              <w:spacing w:after="0"/>
              <w:rPr>
                <w:sz w:val="18"/>
                <w:szCs w:val="18"/>
                <w:color w:val="auto"/>
              </w:rPr>
            </w:pPr>
          </w:p>
        </w:tc>
        <w:tc>
          <w:tcPr>
            <w:tcW w:w="2540" w:type="dxa"/>
            <w:vAlign w:val="bottom"/>
            <w:tcBorders>
              <w:right w:val="single" w:sz="8" w:color="999999"/>
            </w:tcBorders>
            <w:gridSpan w:val="5"/>
          </w:tcPr>
          <w:p>
            <w:pPr>
              <w:spacing w:after="0"/>
              <w:rPr>
                <w:sz w:val="20"/>
                <w:szCs w:val="20"/>
                <w:color w:val="auto"/>
              </w:rPr>
            </w:pPr>
            <w:r>
              <w:rPr>
                <w:rFonts w:ascii="Arial" w:cs="Arial" w:eastAsia="Arial" w:hAnsi="Arial"/>
                <w:sz w:val="16"/>
                <w:szCs w:val="16"/>
                <w:color w:val="auto"/>
              </w:rPr>
              <w:t>vest on March 15, 2020 on a pro</w:t>
            </w:r>
          </w:p>
        </w:tc>
        <w:tc>
          <w:tcPr>
            <w:tcW w:w="2540" w:type="dxa"/>
            <w:vAlign w:val="bottom"/>
            <w:tcBorders>
              <w:right w:val="single" w:sz="8" w:color="00548B"/>
            </w:tcBorders>
          </w:tcPr>
          <w:p>
            <w:pPr>
              <w:ind w:left="100"/>
              <w:spacing w:after="0" w:line="207" w:lineRule="exact"/>
              <w:rPr>
                <w:sz w:val="20"/>
                <w:szCs w:val="20"/>
                <w:color w:val="auto"/>
              </w:rPr>
            </w:pPr>
            <w:r>
              <w:rPr>
                <w:rFonts w:ascii="Arial" w:cs="Arial" w:eastAsia="Arial" w:hAnsi="Arial"/>
                <w:sz w:val="15"/>
                <w:szCs w:val="15"/>
                <w:color w:val="auto"/>
              </w:rPr>
              <w:t>the Performance Period.</w:t>
            </w:r>
            <w:r>
              <w:rPr>
                <w:rFonts w:ascii="Arial" w:cs="Arial" w:eastAsia="Arial" w:hAnsi="Arial"/>
                <w:sz w:val="24"/>
                <w:szCs w:val="24"/>
                <w:color w:val="auto"/>
                <w:vertAlign w:val="superscript"/>
              </w:rPr>
              <w:t>10</w:t>
            </w:r>
          </w:p>
        </w:tc>
        <w:tc>
          <w:tcPr>
            <w:tcW w:w="0" w:type="dxa"/>
            <w:vAlign w:val="bottom"/>
          </w:tcPr>
          <w:p>
            <w:pPr>
              <w:spacing w:after="0"/>
              <w:rPr>
                <w:sz w:val="1"/>
                <w:szCs w:val="1"/>
                <w:color w:val="auto"/>
              </w:rPr>
            </w:pPr>
          </w:p>
        </w:tc>
      </w:tr>
      <w:tr>
        <w:trPr>
          <w:trHeight w:val="198"/>
        </w:trPr>
        <w:tc>
          <w:tcPr>
            <w:tcW w:w="2980" w:type="dxa"/>
            <w:vAlign w:val="bottom"/>
            <w:tcBorders>
              <w:left w:val="single" w:sz="8" w:color="00548B"/>
              <w:bottom w:val="single" w:sz="8" w:color="999999"/>
              <w:right w:val="single" w:sz="8" w:color="999999"/>
            </w:tcBorders>
          </w:tcPr>
          <w:p>
            <w:pPr>
              <w:spacing w:after="0"/>
              <w:rPr>
                <w:sz w:val="17"/>
                <w:szCs w:val="17"/>
                <w:color w:val="auto"/>
              </w:rPr>
            </w:pPr>
          </w:p>
        </w:tc>
        <w:tc>
          <w:tcPr>
            <w:tcW w:w="2900" w:type="dxa"/>
            <w:vAlign w:val="bottom"/>
            <w:tcBorders>
              <w:bottom w:val="single" w:sz="8" w:color="999999"/>
              <w:right w:val="single" w:sz="8" w:color="999999"/>
            </w:tcBorders>
          </w:tcPr>
          <w:p>
            <w:pPr>
              <w:spacing w:after="0"/>
              <w:rPr>
                <w:sz w:val="17"/>
                <w:szCs w:val="17"/>
                <w:color w:val="auto"/>
              </w:rPr>
            </w:pPr>
          </w:p>
        </w:tc>
        <w:tc>
          <w:tcPr>
            <w:tcW w:w="80" w:type="dxa"/>
            <w:vAlign w:val="bottom"/>
            <w:tcBorders>
              <w:bottom w:val="single" w:sz="8" w:color="999999"/>
            </w:tcBorders>
          </w:tcPr>
          <w:p>
            <w:pPr>
              <w:spacing w:after="0"/>
              <w:rPr>
                <w:sz w:val="17"/>
                <w:szCs w:val="17"/>
                <w:color w:val="auto"/>
              </w:rPr>
            </w:pPr>
          </w:p>
        </w:tc>
        <w:tc>
          <w:tcPr>
            <w:tcW w:w="2540" w:type="dxa"/>
            <w:vAlign w:val="bottom"/>
            <w:tcBorders>
              <w:bottom w:val="single" w:sz="8" w:color="999999"/>
              <w:right w:val="single" w:sz="8" w:color="999999"/>
            </w:tcBorders>
            <w:gridSpan w:val="5"/>
          </w:tcPr>
          <w:p>
            <w:pPr>
              <w:spacing w:after="0"/>
              <w:rPr>
                <w:sz w:val="20"/>
                <w:szCs w:val="20"/>
                <w:color w:val="auto"/>
              </w:rPr>
            </w:pPr>
            <w:r>
              <w:rPr>
                <w:rFonts w:ascii="Arial" w:cs="Arial" w:eastAsia="Arial" w:hAnsi="Arial"/>
                <w:sz w:val="16"/>
                <w:szCs w:val="16"/>
                <w:color w:val="auto"/>
              </w:rPr>
              <w:t>rata basis.</w:t>
            </w:r>
          </w:p>
        </w:tc>
        <w:tc>
          <w:tcPr>
            <w:tcW w:w="2540" w:type="dxa"/>
            <w:vAlign w:val="bottom"/>
            <w:tcBorders>
              <w:bottom w:val="single" w:sz="8" w:color="999999"/>
              <w:right w:val="single" w:sz="8" w:color="00548B"/>
            </w:tcBorders>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980" w:type="dxa"/>
            <w:vAlign w:val="bottom"/>
            <w:tcBorders>
              <w:left w:val="single" w:sz="8" w:color="00548B"/>
              <w:right w:val="single" w:sz="8" w:color="999999"/>
            </w:tcBorders>
          </w:tcPr>
          <w:p>
            <w:pPr>
              <w:ind w:left="160"/>
              <w:spacing w:after="0" w:line="158" w:lineRule="exact"/>
              <w:rPr>
                <w:sz w:val="20"/>
                <w:szCs w:val="20"/>
                <w:color w:val="auto"/>
              </w:rPr>
            </w:pPr>
            <w:r>
              <w:rPr>
                <w:rFonts w:ascii="Arial" w:cs="Arial" w:eastAsia="Arial" w:hAnsi="Arial"/>
                <w:sz w:val="16"/>
                <w:szCs w:val="16"/>
                <w:color w:val="auto"/>
              </w:rPr>
              <w:t>Involuntary/Good Reason Termination</w:t>
            </w:r>
          </w:p>
        </w:tc>
        <w:tc>
          <w:tcPr>
            <w:tcW w:w="2900" w:type="dxa"/>
            <w:vAlign w:val="bottom"/>
            <w:tcBorders>
              <w:right w:val="single" w:sz="8" w:color="999999"/>
            </w:tcBorders>
          </w:tcPr>
          <w:p>
            <w:pPr>
              <w:ind w:left="360"/>
              <w:spacing w:after="0" w:line="158" w:lineRule="exact"/>
              <w:rPr>
                <w:sz w:val="20"/>
                <w:szCs w:val="20"/>
                <w:color w:val="auto"/>
              </w:rPr>
            </w:pPr>
            <w:r>
              <w:rPr>
                <w:rFonts w:ascii="Arial" w:cs="Arial" w:eastAsia="Arial" w:hAnsi="Arial"/>
                <w:sz w:val="16"/>
                <w:szCs w:val="16"/>
                <w:color w:val="auto"/>
              </w:rPr>
              <w:t>Forfeit.</w:t>
            </w:r>
          </w:p>
        </w:tc>
        <w:tc>
          <w:tcPr>
            <w:tcW w:w="80" w:type="dxa"/>
            <w:vAlign w:val="bottom"/>
          </w:tcPr>
          <w:p>
            <w:pPr>
              <w:spacing w:after="0"/>
              <w:rPr>
                <w:sz w:val="13"/>
                <w:szCs w:val="13"/>
                <w:color w:val="auto"/>
              </w:rPr>
            </w:pPr>
          </w:p>
        </w:tc>
        <w:tc>
          <w:tcPr>
            <w:tcW w:w="2540" w:type="dxa"/>
            <w:vAlign w:val="bottom"/>
            <w:tcBorders>
              <w:right w:val="single" w:sz="8" w:color="999999"/>
            </w:tcBorders>
            <w:gridSpan w:val="5"/>
          </w:tcPr>
          <w:p>
            <w:pPr>
              <w:spacing w:after="0" w:line="158" w:lineRule="exact"/>
              <w:rPr>
                <w:sz w:val="20"/>
                <w:szCs w:val="20"/>
                <w:color w:val="auto"/>
              </w:rPr>
            </w:pPr>
            <w:r>
              <w:rPr>
                <w:rFonts w:ascii="Arial" w:cs="Arial" w:eastAsia="Arial" w:hAnsi="Arial"/>
                <w:sz w:val="16"/>
                <w:szCs w:val="16"/>
                <w:color w:val="auto"/>
              </w:rPr>
              <w:t>One-Year PSUs: Will vest in pro</w:t>
            </w:r>
          </w:p>
        </w:tc>
        <w:tc>
          <w:tcPr>
            <w:tcW w:w="2540" w:type="dxa"/>
            <w:vAlign w:val="bottom"/>
            <w:tcBorders>
              <w:right w:val="single" w:sz="8" w:color="00548B"/>
            </w:tcBorders>
          </w:tcPr>
          <w:p>
            <w:pPr>
              <w:ind w:left="100"/>
              <w:spacing w:after="0" w:line="158" w:lineRule="exact"/>
              <w:rPr>
                <w:sz w:val="20"/>
                <w:szCs w:val="20"/>
                <w:color w:val="auto"/>
              </w:rPr>
            </w:pPr>
            <w:r>
              <w:rPr>
                <w:rFonts w:ascii="Arial" w:cs="Arial" w:eastAsia="Arial" w:hAnsi="Arial"/>
                <w:sz w:val="16"/>
                <w:szCs w:val="16"/>
                <w:color w:val="auto"/>
              </w:rPr>
              <w:t>Earned based on actual</w:t>
            </w:r>
          </w:p>
        </w:tc>
        <w:tc>
          <w:tcPr>
            <w:tcW w:w="0" w:type="dxa"/>
            <w:vAlign w:val="bottom"/>
          </w:tcPr>
          <w:p>
            <w:pPr>
              <w:spacing w:after="0"/>
              <w:rPr>
                <w:sz w:val="1"/>
                <w:szCs w:val="1"/>
                <w:color w:val="auto"/>
              </w:rPr>
            </w:pPr>
          </w:p>
        </w:tc>
      </w:tr>
      <w:tr>
        <w:trPr>
          <w:trHeight w:val="20"/>
        </w:trPr>
        <w:tc>
          <w:tcPr>
            <w:tcW w:w="2980" w:type="dxa"/>
            <w:vAlign w:val="bottom"/>
            <w:tcBorders>
              <w:left w:val="single" w:sz="8" w:color="00548B"/>
              <w:right w:val="single" w:sz="8" w:color="999999"/>
            </w:tcBorders>
          </w:tcPr>
          <w:p>
            <w:pPr>
              <w:spacing w:after="0" w:line="20" w:lineRule="exact"/>
              <w:rPr>
                <w:sz w:val="1"/>
                <w:szCs w:val="1"/>
                <w:color w:val="auto"/>
              </w:rPr>
            </w:pPr>
          </w:p>
        </w:tc>
        <w:tc>
          <w:tcPr>
            <w:tcW w:w="2900" w:type="dxa"/>
            <w:vAlign w:val="bottom"/>
            <w:tcBorders>
              <w:right w:val="single" w:sz="8" w:color="999999"/>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1400" w:type="dxa"/>
            <w:vAlign w:val="bottom"/>
            <w:tcBorders>
              <w:right w:val="single" w:sz="8" w:color="999999"/>
            </w:tcBorders>
            <w:gridSpan w:val="3"/>
          </w:tcPr>
          <w:p>
            <w:pPr>
              <w:spacing w:after="0" w:line="20" w:lineRule="exact"/>
              <w:rPr>
                <w:sz w:val="1"/>
                <w:szCs w:val="1"/>
                <w:color w:val="auto"/>
              </w:rPr>
            </w:pPr>
          </w:p>
        </w:tc>
        <w:tc>
          <w:tcPr>
            <w:tcW w:w="2540" w:type="dxa"/>
            <w:vAlign w:val="bottom"/>
            <w:tcBorders>
              <w:right w:val="single" w:sz="8" w:color="00548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980" w:type="dxa"/>
            <w:vAlign w:val="bottom"/>
            <w:tcBorders>
              <w:left w:val="single" w:sz="8" w:color="00548B"/>
              <w:right w:val="single" w:sz="8" w:color="999999"/>
            </w:tcBorders>
          </w:tcPr>
          <w:p>
            <w:pPr>
              <w:spacing w:after="0"/>
              <w:rPr>
                <w:sz w:val="17"/>
                <w:szCs w:val="17"/>
                <w:color w:val="auto"/>
              </w:rPr>
            </w:pPr>
          </w:p>
        </w:tc>
        <w:tc>
          <w:tcPr>
            <w:tcW w:w="2900" w:type="dxa"/>
            <w:vAlign w:val="bottom"/>
            <w:tcBorders>
              <w:right w:val="single" w:sz="8" w:color="999999"/>
            </w:tcBorders>
          </w:tcPr>
          <w:p>
            <w:pPr>
              <w:spacing w:after="0"/>
              <w:rPr>
                <w:sz w:val="17"/>
                <w:szCs w:val="17"/>
                <w:color w:val="auto"/>
              </w:rPr>
            </w:pPr>
          </w:p>
        </w:tc>
        <w:tc>
          <w:tcPr>
            <w:tcW w:w="80" w:type="dxa"/>
            <w:vAlign w:val="bottom"/>
          </w:tcPr>
          <w:p>
            <w:pPr>
              <w:spacing w:after="0"/>
              <w:rPr>
                <w:sz w:val="17"/>
                <w:szCs w:val="17"/>
                <w:color w:val="auto"/>
              </w:rPr>
            </w:pPr>
          </w:p>
        </w:tc>
        <w:tc>
          <w:tcPr>
            <w:tcW w:w="2540" w:type="dxa"/>
            <w:vAlign w:val="bottom"/>
            <w:tcBorders>
              <w:right w:val="single" w:sz="8" w:color="999999"/>
            </w:tcBorders>
            <w:gridSpan w:val="5"/>
          </w:tcPr>
          <w:p>
            <w:pPr>
              <w:spacing w:after="0"/>
              <w:rPr>
                <w:sz w:val="20"/>
                <w:szCs w:val="20"/>
                <w:color w:val="auto"/>
              </w:rPr>
            </w:pPr>
            <w:r>
              <w:rPr>
                <w:rFonts w:ascii="Arial" w:cs="Arial" w:eastAsia="Arial" w:hAnsi="Arial"/>
                <w:sz w:val="16"/>
                <w:szCs w:val="16"/>
                <w:color w:val="auto"/>
              </w:rPr>
              <w:t>rata portion of next tranche to vest,</w:t>
            </w:r>
          </w:p>
        </w:tc>
        <w:tc>
          <w:tcPr>
            <w:tcW w:w="2540" w:type="dxa"/>
            <w:vAlign w:val="bottom"/>
            <w:tcBorders>
              <w:right w:val="single" w:sz="8" w:color="00548B"/>
            </w:tcBorders>
          </w:tcPr>
          <w:p>
            <w:pPr>
              <w:ind w:left="100"/>
              <w:spacing w:after="0"/>
              <w:rPr>
                <w:sz w:val="20"/>
                <w:szCs w:val="20"/>
                <w:color w:val="auto"/>
              </w:rPr>
            </w:pPr>
            <w:r>
              <w:rPr>
                <w:rFonts w:ascii="Arial" w:cs="Arial" w:eastAsia="Arial" w:hAnsi="Arial"/>
                <w:sz w:val="16"/>
                <w:szCs w:val="16"/>
                <w:color w:val="auto"/>
              </w:rPr>
              <w:t>performance and will vest pro</w:t>
            </w:r>
          </w:p>
        </w:tc>
        <w:tc>
          <w:tcPr>
            <w:tcW w:w="0" w:type="dxa"/>
            <w:vAlign w:val="bottom"/>
          </w:tcPr>
          <w:p>
            <w:pPr>
              <w:spacing w:after="0"/>
              <w:rPr>
                <w:sz w:val="1"/>
                <w:szCs w:val="1"/>
                <w:color w:val="auto"/>
              </w:rPr>
            </w:pPr>
          </w:p>
        </w:tc>
      </w:tr>
      <w:tr>
        <w:trPr>
          <w:trHeight w:val="189"/>
        </w:trPr>
        <w:tc>
          <w:tcPr>
            <w:tcW w:w="2980" w:type="dxa"/>
            <w:vAlign w:val="bottom"/>
            <w:tcBorders>
              <w:left w:val="single" w:sz="8" w:color="00548B"/>
              <w:right w:val="single" w:sz="8" w:color="999999"/>
            </w:tcBorders>
          </w:tcPr>
          <w:p>
            <w:pPr>
              <w:spacing w:after="0"/>
              <w:rPr>
                <w:sz w:val="16"/>
                <w:szCs w:val="16"/>
                <w:color w:val="auto"/>
              </w:rPr>
            </w:pPr>
          </w:p>
        </w:tc>
        <w:tc>
          <w:tcPr>
            <w:tcW w:w="2900" w:type="dxa"/>
            <w:vAlign w:val="bottom"/>
            <w:tcBorders>
              <w:right w:val="single" w:sz="8" w:color="999999"/>
            </w:tcBorders>
          </w:tcPr>
          <w:p>
            <w:pPr>
              <w:spacing w:after="0"/>
              <w:rPr>
                <w:sz w:val="16"/>
                <w:szCs w:val="16"/>
                <w:color w:val="auto"/>
              </w:rPr>
            </w:pPr>
          </w:p>
        </w:tc>
        <w:tc>
          <w:tcPr>
            <w:tcW w:w="80" w:type="dxa"/>
            <w:vAlign w:val="bottom"/>
          </w:tcPr>
          <w:p>
            <w:pPr>
              <w:spacing w:after="0"/>
              <w:rPr>
                <w:sz w:val="16"/>
                <w:szCs w:val="16"/>
                <w:color w:val="auto"/>
              </w:rPr>
            </w:pPr>
          </w:p>
        </w:tc>
        <w:tc>
          <w:tcPr>
            <w:tcW w:w="2540" w:type="dxa"/>
            <w:vAlign w:val="bottom"/>
            <w:tcBorders>
              <w:right w:val="single" w:sz="8" w:color="999999"/>
            </w:tcBorders>
            <w:gridSpan w:val="5"/>
          </w:tcPr>
          <w:p>
            <w:pPr>
              <w:spacing w:after="0"/>
              <w:rPr>
                <w:sz w:val="20"/>
                <w:szCs w:val="20"/>
                <w:color w:val="auto"/>
              </w:rPr>
            </w:pPr>
            <w:r>
              <w:rPr>
                <w:rFonts w:ascii="Arial" w:cs="Arial" w:eastAsia="Arial" w:hAnsi="Arial"/>
                <w:sz w:val="16"/>
                <w:szCs w:val="16"/>
                <w:color w:val="auto"/>
              </w:rPr>
              <w:t>with pro rata portion based on</w:t>
            </w:r>
          </w:p>
        </w:tc>
        <w:tc>
          <w:tcPr>
            <w:tcW w:w="2540" w:type="dxa"/>
            <w:vAlign w:val="bottom"/>
            <w:tcBorders>
              <w:right w:val="single" w:sz="8" w:color="00548B"/>
            </w:tcBorders>
          </w:tcPr>
          <w:p>
            <w:pPr>
              <w:ind w:left="100"/>
              <w:spacing w:after="0"/>
              <w:rPr>
                <w:sz w:val="20"/>
                <w:szCs w:val="20"/>
                <w:color w:val="auto"/>
              </w:rPr>
            </w:pPr>
            <w:r>
              <w:rPr>
                <w:rFonts w:ascii="Arial" w:cs="Arial" w:eastAsia="Arial" w:hAnsi="Arial"/>
                <w:sz w:val="16"/>
                <w:szCs w:val="16"/>
                <w:color w:val="auto"/>
              </w:rPr>
              <w:t>rata on March 1 of the year</w:t>
            </w:r>
          </w:p>
        </w:tc>
        <w:tc>
          <w:tcPr>
            <w:tcW w:w="0" w:type="dxa"/>
            <w:vAlign w:val="bottom"/>
          </w:tcPr>
          <w:p>
            <w:pPr>
              <w:spacing w:after="0"/>
              <w:rPr>
                <w:sz w:val="1"/>
                <w:szCs w:val="1"/>
                <w:color w:val="auto"/>
              </w:rPr>
            </w:pPr>
          </w:p>
        </w:tc>
      </w:tr>
      <w:tr>
        <w:trPr>
          <w:trHeight w:val="189"/>
        </w:trPr>
        <w:tc>
          <w:tcPr>
            <w:tcW w:w="2980" w:type="dxa"/>
            <w:vAlign w:val="bottom"/>
            <w:tcBorders>
              <w:left w:val="single" w:sz="8" w:color="00548B"/>
              <w:right w:val="single" w:sz="8" w:color="999999"/>
            </w:tcBorders>
          </w:tcPr>
          <w:p>
            <w:pPr>
              <w:spacing w:after="0"/>
              <w:rPr>
                <w:sz w:val="16"/>
                <w:szCs w:val="16"/>
                <w:color w:val="auto"/>
              </w:rPr>
            </w:pPr>
          </w:p>
        </w:tc>
        <w:tc>
          <w:tcPr>
            <w:tcW w:w="2900" w:type="dxa"/>
            <w:vAlign w:val="bottom"/>
            <w:tcBorders>
              <w:right w:val="single" w:sz="8" w:color="999999"/>
            </w:tcBorders>
          </w:tcPr>
          <w:p>
            <w:pPr>
              <w:spacing w:after="0"/>
              <w:rPr>
                <w:sz w:val="16"/>
                <w:szCs w:val="16"/>
                <w:color w:val="auto"/>
              </w:rPr>
            </w:pPr>
          </w:p>
        </w:tc>
        <w:tc>
          <w:tcPr>
            <w:tcW w:w="80" w:type="dxa"/>
            <w:vAlign w:val="bottom"/>
          </w:tcPr>
          <w:p>
            <w:pPr>
              <w:spacing w:after="0"/>
              <w:rPr>
                <w:sz w:val="16"/>
                <w:szCs w:val="16"/>
                <w:color w:val="auto"/>
              </w:rPr>
            </w:pPr>
          </w:p>
        </w:tc>
        <w:tc>
          <w:tcPr>
            <w:tcW w:w="2540" w:type="dxa"/>
            <w:vAlign w:val="bottom"/>
            <w:tcBorders>
              <w:right w:val="single" w:sz="8" w:color="999999"/>
            </w:tcBorders>
            <w:gridSpan w:val="5"/>
          </w:tcPr>
          <w:p>
            <w:pPr>
              <w:spacing w:after="0"/>
              <w:rPr>
                <w:sz w:val="20"/>
                <w:szCs w:val="20"/>
                <w:color w:val="auto"/>
              </w:rPr>
            </w:pPr>
            <w:r>
              <w:rPr>
                <w:rFonts w:ascii="Arial" w:cs="Arial" w:eastAsia="Arial" w:hAnsi="Arial"/>
                <w:sz w:val="16"/>
                <w:szCs w:val="16"/>
                <w:color w:val="auto"/>
              </w:rPr>
              <w:t>employment during vesting period.</w:t>
            </w:r>
          </w:p>
        </w:tc>
        <w:tc>
          <w:tcPr>
            <w:tcW w:w="2540" w:type="dxa"/>
            <w:vAlign w:val="bottom"/>
            <w:tcBorders>
              <w:right w:val="single" w:sz="8" w:color="00548B"/>
            </w:tcBorders>
          </w:tcPr>
          <w:p>
            <w:pPr>
              <w:ind w:left="100"/>
              <w:spacing w:after="0"/>
              <w:rPr>
                <w:sz w:val="20"/>
                <w:szCs w:val="20"/>
                <w:color w:val="auto"/>
              </w:rPr>
            </w:pPr>
            <w:r>
              <w:rPr>
                <w:rFonts w:ascii="Arial" w:cs="Arial" w:eastAsia="Arial" w:hAnsi="Arial"/>
                <w:sz w:val="16"/>
                <w:szCs w:val="16"/>
                <w:color w:val="auto"/>
              </w:rPr>
              <w:t>following the three year</w:t>
            </w:r>
          </w:p>
        </w:tc>
        <w:tc>
          <w:tcPr>
            <w:tcW w:w="0" w:type="dxa"/>
            <w:vAlign w:val="bottom"/>
          </w:tcPr>
          <w:p>
            <w:pPr>
              <w:spacing w:after="0"/>
              <w:rPr>
                <w:sz w:val="1"/>
                <w:szCs w:val="1"/>
                <w:color w:val="auto"/>
              </w:rPr>
            </w:pPr>
          </w:p>
        </w:tc>
      </w:tr>
      <w:tr>
        <w:trPr>
          <w:trHeight w:val="189"/>
        </w:trPr>
        <w:tc>
          <w:tcPr>
            <w:tcW w:w="2980" w:type="dxa"/>
            <w:vAlign w:val="bottom"/>
            <w:tcBorders>
              <w:left w:val="single" w:sz="8" w:color="00548B"/>
              <w:right w:val="single" w:sz="8" w:color="999999"/>
            </w:tcBorders>
          </w:tcPr>
          <w:p>
            <w:pPr>
              <w:spacing w:after="0"/>
              <w:rPr>
                <w:sz w:val="16"/>
                <w:szCs w:val="16"/>
                <w:color w:val="auto"/>
              </w:rPr>
            </w:pPr>
          </w:p>
        </w:tc>
        <w:tc>
          <w:tcPr>
            <w:tcW w:w="2900" w:type="dxa"/>
            <w:vAlign w:val="bottom"/>
            <w:tcBorders>
              <w:right w:val="single" w:sz="8" w:color="999999"/>
            </w:tcBorders>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Borders>
              <w:right w:val="single" w:sz="8" w:color="999999"/>
            </w:tcBorders>
          </w:tcPr>
          <w:p>
            <w:pPr>
              <w:spacing w:after="0"/>
              <w:rPr>
                <w:sz w:val="16"/>
                <w:szCs w:val="16"/>
                <w:color w:val="auto"/>
              </w:rPr>
            </w:pPr>
          </w:p>
        </w:tc>
        <w:tc>
          <w:tcPr>
            <w:tcW w:w="2540" w:type="dxa"/>
            <w:vAlign w:val="bottom"/>
            <w:tcBorders>
              <w:right w:val="single" w:sz="8" w:color="00548B"/>
            </w:tcBorders>
          </w:tcPr>
          <w:p>
            <w:pPr>
              <w:ind w:left="100"/>
              <w:spacing w:after="0"/>
              <w:rPr>
                <w:sz w:val="20"/>
                <w:szCs w:val="20"/>
                <w:color w:val="auto"/>
              </w:rPr>
            </w:pPr>
            <w:r>
              <w:rPr>
                <w:rFonts w:ascii="Arial" w:cs="Arial" w:eastAsia="Arial" w:hAnsi="Arial"/>
                <w:sz w:val="16"/>
                <w:szCs w:val="16"/>
                <w:color w:val="auto"/>
              </w:rPr>
              <w:t>Performance Period based on</w:t>
            </w:r>
          </w:p>
        </w:tc>
        <w:tc>
          <w:tcPr>
            <w:tcW w:w="0" w:type="dxa"/>
            <w:vAlign w:val="bottom"/>
          </w:tcPr>
          <w:p>
            <w:pPr>
              <w:spacing w:after="0"/>
              <w:rPr>
                <w:sz w:val="1"/>
                <w:szCs w:val="1"/>
                <w:color w:val="auto"/>
              </w:rPr>
            </w:pPr>
          </w:p>
        </w:tc>
      </w:tr>
      <w:tr>
        <w:trPr>
          <w:trHeight w:val="174"/>
        </w:trPr>
        <w:tc>
          <w:tcPr>
            <w:tcW w:w="2980" w:type="dxa"/>
            <w:vAlign w:val="bottom"/>
            <w:tcBorders>
              <w:left w:val="single" w:sz="8" w:color="00548B"/>
              <w:right w:val="single" w:sz="8" w:color="999999"/>
            </w:tcBorders>
          </w:tcPr>
          <w:p>
            <w:pPr>
              <w:spacing w:after="0"/>
              <w:rPr>
                <w:sz w:val="15"/>
                <w:szCs w:val="15"/>
                <w:color w:val="auto"/>
              </w:rPr>
            </w:pPr>
          </w:p>
        </w:tc>
        <w:tc>
          <w:tcPr>
            <w:tcW w:w="2900" w:type="dxa"/>
            <w:vAlign w:val="bottom"/>
            <w:tcBorders>
              <w:right w:val="single" w:sz="8" w:color="999999"/>
            </w:tcBorders>
          </w:tcPr>
          <w:p>
            <w:pPr>
              <w:spacing w:after="0"/>
              <w:rPr>
                <w:sz w:val="15"/>
                <w:szCs w:val="15"/>
                <w:color w:val="auto"/>
              </w:rPr>
            </w:pPr>
          </w:p>
        </w:tc>
        <w:tc>
          <w:tcPr>
            <w:tcW w:w="80" w:type="dxa"/>
            <w:vAlign w:val="bottom"/>
          </w:tcPr>
          <w:p>
            <w:pPr>
              <w:spacing w:after="0"/>
              <w:rPr>
                <w:sz w:val="15"/>
                <w:szCs w:val="15"/>
                <w:color w:val="auto"/>
              </w:rPr>
            </w:pPr>
          </w:p>
        </w:tc>
        <w:tc>
          <w:tcPr>
            <w:tcW w:w="2540" w:type="dxa"/>
            <w:vAlign w:val="bottom"/>
            <w:tcBorders>
              <w:right w:val="single" w:sz="8" w:color="999999"/>
            </w:tcBorders>
            <w:gridSpan w:val="5"/>
          </w:tcPr>
          <w:p>
            <w:pPr>
              <w:spacing w:after="0" w:line="174" w:lineRule="exact"/>
              <w:rPr>
                <w:sz w:val="20"/>
                <w:szCs w:val="20"/>
                <w:color w:val="auto"/>
              </w:rPr>
            </w:pPr>
            <w:r>
              <w:rPr>
                <w:rFonts w:ascii="Arial" w:cs="Arial" w:eastAsia="Arial" w:hAnsi="Arial"/>
                <w:sz w:val="16"/>
                <w:szCs w:val="16"/>
                <w:color w:val="auto"/>
              </w:rPr>
              <w:t>Three-Year PSUs: Will receive a</w:t>
            </w:r>
          </w:p>
        </w:tc>
        <w:tc>
          <w:tcPr>
            <w:tcW w:w="2540" w:type="dxa"/>
            <w:vAlign w:val="bottom"/>
            <w:tcBorders>
              <w:right w:val="single" w:sz="8" w:color="00548B"/>
            </w:tcBorders>
          </w:tcPr>
          <w:p>
            <w:pPr>
              <w:ind w:left="100"/>
              <w:spacing w:after="0" w:line="174" w:lineRule="exact"/>
              <w:rPr>
                <w:sz w:val="20"/>
                <w:szCs w:val="20"/>
                <w:color w:val="auto"/>
              </w:rPr>
            </w:pPr>
            <w:r>
              <w:rPr>
                <w:rFonts w:ascii="Arial" w:cs="Arial" w:eastAsia="Arial" w:hAnsi="Arial"/>
                <w:sz w:val="16"/>
                <w:szCs w:val="16"/>
                <w:color w:val="auto"/>
              </w:rPr>
              <w:t>number of days employed during</w:t>
            </w:r>
          </w:p>
        </w:tc>
        <w:tc>
          <w:tcPr>
            <w:tcW w:w="0" w:type="dxa"/>
            <w:vAlign w:val="bottom"/>
          </w:tcPr>
          <w:p>
            <w:pPr>
              <w:spacing w:after="0"/>
              <w:rPr>
                <w:sz w:val="1"/>
                <w:szCs w:val="1"/>
                <w:color w:val="auto"/>
              </w:rPr>
            </w:pPr>
          </w:p>
        </w:tc>
      </w:tr>
      <w:tr>
        <w:trPr>
          <w:trHeight w:val="20"/>
        </w:trPr>
        <w:tc>
          <w:tcPr>
            <w:tcW w:w="2980" w:type="dxa"/>
            <w:vAlign w:val="bottom"/>
            <w:tcBorders>
              <w:left w:val="single" w:sz="8" w:color="00548B"/>
              <w:right w:val="single" w:sz="8" w:color="999999"/>
            </w:tcBorders>
          </w:tcPr>
          <w:p>
            <w:pPr>
              <w:spacing w:after="0" w:line="20" w:lineRule="exact"/>
              <w:rPr>
                <w:sz w:val="1"/>
                <w:szCs w:val="1"/>
                <w:color w:val="auto"/>
              </w:rPr>
            </w:pPr>
          </w:p>
        </w:tc>
        <w:tc>
          <w:tcPr>
            <w:tcW w:w="2900" w:type="dxa"/>
            <w:vAlign w:val="bottom"/>
            <w:tcBorders>
              <w:right w:val="single" w:sz="8" w:color="999999"/>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gridSpan w:val="3"/>
            <w:shd w:val="clear" w:color="auto" w:fill="000000"/>
          </w:tcPr>
          <w:p>
            <w:pPr>
              <w:spacing w:after="0" w:line="20" w:lineRule="exact"/>
              <w:rPr>
                <w:sz w:val="1"/>
                <w:szCs w:val="1"/>
                <w:color w:val="auto"/>
              </w:rPr>
            </w:pPr>
          </w:p>
        </w:tc>
        <w:tc>
          <w:tcPr>
            <w:tcW w:w="1280" w:type="dxa"/>
            <w:vAlign w:val="bottom"/>
            <w:tcBorders>
              <w:right w:val="single" w:sz="8" w:color="999999"/>
            </w:tcBorders>
            <w:gridSpan w:val="2"/>
          </w:tcPr>
          <w:p>
            <w:pPr>
              <w:spacing w:after="0" w:line="20" w:lineRule="exact"/>
              <w:rPr>
                <w:sz w:val="1"/>
                <w:szCs w:val="1"/>
                <w:color w:val="auto"/>
              </w:rPr>
            </w:pPr>
          </w:p>
        </w:tc>
        <w:tc>
          <w:tcPr>
            <w:tcW w:w="2540" w:type="dxa"/>
            <w:vAlign w:val="bottom"/>
            <w:tcBorders>
              <w:right w:val="single" w:sz="8" w:color="00548B"/>
            </w:tcBorders>
            <w:vMerge w:val="restart"/>
          </w:tcPr>
          <w:p>
            <w:pPr>
              <w:ind w:left="100"/>
              <w:spacing w:after="0" w:line="217" w:lineRule="exact"/>
              <w:rPr>
                <w:sz w:val="20"/>
                <w:szCs w:val="20"/>
                <w:color w:val="auto"/>
              </w:rPr>
            </w:pPr>
            <w:r>
              <w:rPr>
                <w:rFonts w:ascii="Arial" w:cs="Arial" w:eastAsia="Arial" w:hAnsi="Arial"/>
                <w:sz w:val="15"/>
                <w:szCs w:val="15"/>
                <w:color w:val="auto"/>
              </w:rPr>
              <w:t>the Performance Period.</w:t>
            </w:r>
            <w:r>
              <w:rPr>
                <w:rFonts w:ascii="Arial" w:cs="Arial" w:eastAsia="Arial" w:hAnsi="Arial"/>
                <w:sz w:val="25"/>
                <w:szCs w:val="25"/>
                <w:color w:val="auto"/>
                <w:vertAlign w:val="superscript"/>
              </w:rPr>
              <w:t>11</w:t>
            </w:r>
          </w:p>
        </w:tc>
        <w:tc>
          <w:tcPr>
            <w:tcW w:w="0" w:type="dxa"/>
            <w:vAlign w:val="bottom"/>
          </w:tcPr>
          <w:p>
            <w:pPr>
              <w:spacing w:after="0" w:line="20" w:lineRule="exact"/>
              <w:rPr>
                <w:sz w:val="1"/>
                <w:szCs w:val="1"/>
                <w:color w:val="auto"/>
              </w:rPr>
            </w:pPr>
          </w:p>
        </w:tc>
      </w:tr>
      <w:tr>
        <w:trPr>
          <w:trHeight w:val="198"/>
        </w:trPr>
        <w:tc>
          <w:tcPr>
            <w:tcW w:w="2980" w:type="dxa"/>
            <w:vAlign w:val="bottom"/>
            <w:tcBorders>
              <w:left w:val="single" w:sz="8" w:color="00548B"/>
              <w:right w:val="single" w:sz="8" w:color="999999"/>
            </w:tcBorders>
          </w:tcPr>
          <w:p>
            <w:pPr>
              <w:spacing w:after="0"/>
              <w:rPr>
                <w:sz w:val="17"/>
                <w:szCs w:val="17"/>
                <w:color w:val="auto"/>
              </w:rPr>
            </w:pPr>
          </w:p>
        </w:tc>
        <w:tc>
          <w:tcPr>
            <w:tcW w:w="2900" w:type="dxa"/>
            <w:vAlign w:val="bottom"/>
            <w:tcBorders>
              <w:right w:val="single" w:sz="8" w:color="999999"/>
            </w:tcBorders>
          </w:tcPr>
          <w:p>
            <w:pPr>
              <w:spacing w:after="0"/>
              <w:rPr>
                <w:sz w:val="17"/>
                <w:szCs w:val="17"/>
                <w:color w:val="auto"/>
              </w:rPr>
            </w:pPr>
          </w:p>
        </w:tc>
        <w:tc>
          <w:tcPr>
            <w:tcW w:w="80" w:type="dxa"/>
            <w:vAlign w:val="bottom"/>
          </w:tcPr>
          <w:p>
            <w:pPr>
              <w:spacing w:after="0"/>
              <w:rPr>
                <w:sz w:val="17"/>
                <w:szCs w:val="17"/>
                <w:color w:val="auto"/>
              </w:rPr>
            </w:pPr>
          </w:p>
        </w:tc>
        <w:tc>
          <w:tcPr>
            <w:tcW w:w="2540" w:type="dxa"/>
            <w:vAlign w:val="bottom"/>
            <w:tcBorders>
              <w:right w:val="single" w:sz="8" w:color="999999"/>
            </w:tcBorders>
            <w:gridSpan w:val="5"/>
          </w:tcPr>
          <w:p>
            <w:pPr>
              <w:spacing w:after="0"/>
              <w:rPr>
                <w:sz w:val="20"/>
                <w:szCs w:val="20"/>
                <w:color w:val="auto"/>
              </w:rPr>
            </w:pPr>
            <w:r>
              <w:rPr>
                <w:rFonts w:ascii="Arial" w:cs="Arial" w:eastAsia="Arial" w:hAnsi="Arial"/>
                <w:sz w:val="16"/>
                <w:szCs w:val="16"/>
                <w:color w:val="auto"/>
              </w:rPr>
              <w:t>pro rata amount of earned shares</w:t>
            </w:r>
          </w:p>
        </w:tc>
        <w:tc>
          <w:tcPr>
            <w:tcW w:w="2540" w:type="dxa"/>
            <w:vAlign w:val="bottom"/>
            <w:tcBorders>
              <w:right w:val="single" w:sz="8" w:color="00548B"/>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980" w:type="dxa"/>
            <w:vAlign w:val="bottom"/>
            <w:tcBorders>
              <w:left w:val="single" w:sz="8" w:color="00548B"/>
              <w:right w:val="single" w:sz="8" w:color="999999"/>
            </w:tcBorders>
          </w:tcPr>
          <w:p>
            <w:pPr>
              <w:spacing w:after="0"/>
              <w:rPr>
                <w:sz w:val="16"/>
                <w:szCs w:val="16"/>
                <w:color w:val="auto"/>
              </w:rPr>
            </w:pPr>
          </w:p>
        </w:tc>
        <w:tc>
          <w:tcPr>
            <w:tcW w:w="2900" w:type="dxa"/>
            <w:vAlign w:val="bottom"/>
            <w:tcBorders>
              <w:right w:val="single" w:sz="8" w:color="999999"/>
            </w:tcBorders>
          </w:tcPr>
          <w:p>
            <w:pPr>
              <w:spacing w:after="0"/>
              <w:rPr>
                <w:sz w:val="16"/>
                <w:szCs w:val="16"/>
                <w:color w:val="auto"/>
              </w:rPr>
            </w:pPr>
          </w:p>
        </w:tc>
        <w:tc>
          <w:tcPr>
            <w:tcW w:w="80" w:type="dxa"/>
            <w:vAlign w:val="bottom"/>
          </w:tcPr>
          <w:p>
            <w:pPr>
              <w:spacing w:after="0"/>
              <w:rPr>
                <w:sz w:val="16"/>
                <w:szCs w:val="16"/>
                <w:color w:val="auto"/>
              </w:rPr>
            </w:pPr>
          </w:p>
        </w:tc>
        <w:tc>
          <w:tcPr>
            <w:tcW w:w="2540" w:type="dxa"/>
            <w:vAlign w:val="bottom"/>
            <w:tcBorders>
              <w:right w:val="single" w:sz="8" w:color="999999"/>
            </w:tcBorders>
            <w:gridSpan w:val="5"/>
          </w:tcPr>
          <w:p>
            <w:pPr>
              <w:spacing w:after="0"/>
              <w:rPr>
                <w:sz w:val="20"/>
                <w:szCs w:val="20"/>
                <w:color w:val="auto"/>
              </w:rPr>
            </w:pPr>
            <w:r>
              <w:rPr>
                <w:rFonts w:ascii="Arial" w:cs="Arial" w:eastAsia="Arial" w:hAnsi="Arial"/>
                <w:sz w:val="16"/>
                <w:szCs w:val="16"/>
                <w:color w:val="auto"/>
              </w:rPr>
              <w:t>based on actual performance;</w:t>
            </w:r>
          </w:p>
        </w:tc>
        <w:tc>
          <w:tcPr>
            <w:tcW w:w="2540" w:type="dxa"/>
            <w:vAlign w:val="bottom"/>
            <w:tcBorders>
              <w:right w:val="single" w:sz="8" w:color="00548B"/>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80" w:type="dxa"/>
            <w:vAlign w:val="bottom"/>
            <w:tcBorders>
              <w:left w:val="single" w:sz="8" w:color="00548B"/>
              <w:right w:val="single" w:sz="8" w:color="999999"/>
            </w:tcBorders>
          </w:tcPr>
          <w:p>
            <w:pPr>
              <w:spacing w:after="0"/>
              <w:rPr>
                <w:sz w:val="16"/>
                <w:szCs w:val="16"/>
                <w:color w:val="auto"/>
              </w:rPr>
            </w:pPr>
          </w:p>
        </w:tc>
        <w:tc>
          <w:tcPr>
            <w:tcW w:w="2900" w:type="dxa"/>
            <w:vAlign w:val="bottom"/>
            <w:tcBorders>
              <w:right w:val="single" w:sz="8" w:color="999999"/>
            </w:tcBorders>
          </w:tcPr>
          <w:p>
            <w:pPr>
              <w:spacing w:after="0"/>
              <w:rPr>
                <w:sz w:val="16"/>
                <w:szCs w:val="16"/>
                <w:color w:val="auto"/>
              </w:rPr>
            </w:pPr>
          </w:p>
        </w:tc>
        <w:tc>
          <w:tcPr>
            <w:tcW w:w="80" w:type="dxa"/>
            <w:vAlign w:val="bottom"/>
          </w:tcPr>
          <w:p>
            <w:pPr>
              <w:spacing w:after="0"/>
              <w:rPr>
                <w:sz w:val="16"/>
                <w:szCs w:val="16"/>
                <w:color w:val="auto"/>
              </w:rPr>
            </w:pPr>
          </w:p>
        </w:tc>
        <w:tc>
          <w:tcPr>
            <w:tcW w:w="2540" w:type="dxa"/>
            <w:vAlign w:val="bottom"/>
            <w:tcBorders>
              <w:right w:val="single" w:sz="8" w:color="999999"/>
            </w:tcBorders>
            <w:gridSpan w:val="5"/>
          </w:tcPr>
          <w:p>
            <w:pPr>
              <w:spacing w:after="0"/>
              <w:rPr>
                <w:sz w:val="20"/>
                <w:szCs w:val="20"/>
                <w:color w:val="auto"/>
              </w:rPr>
            </w:pPr>
            <w:r>
              <w:rPr>
                <w:rFonts w:ascii="Arial" w:cs="Arial" w:eastAsia="Arial" w:hAnsi="Arial"/>
                <w:sz w:val="16"/>
                <w:szCs w:val="16"/>
                <w:color w:val="auto"/>
              </w:rPr>
              <w:t>vesting continues per normal</w:t>
            </w:r>
          </w:p>
        </w:tc>
        <w:tc>
          <w:tcPr>
            <w:tcW w:w="2540" w:type="dxa"/>
            <w:vAlign w:val="bottom"/>
            <w:tcBorders>
              <w:right w:val="single" w:sz="8" w:color="00548B"/>
            </w:tcBorders>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980" w:type="dxa"/>
            <w:vAlign w:val="bottom"/>
            <w:tcBorders>
              <w:left w:val="single" w:sz="8" w:color="00548B"/>
              <w:bottom w:val="single" w:sz="8" w:color="00548B"/>
              <w:right w:val="single" w:sz="8" w:color="999999"/>
            </w:tcBorders>
          </w:tcPr>
          <w:p>
            <w:pPr>
              <w:spacing w:after="0"/>
              <w:rPr>
                <w:sz w:val="17"/>
                <w:szCs w:val="17"/>
                <w:color w:val="auto"/>
              </w:rPr>
            </w:pPr>
          </w:p>
        </w:tc>
        <w:tc>
          <w:tcPr>
            <w:tcW w:w="2900" w:type="dxa"/>
            <w:vAlign w:val="bottom"/>
            <w:tcBorders>
              <w:bottom w:val="single" w:sz="8" w:color="00548B"/>
              <w:right w:val="single" w:sz="8" w:color="999999"/>
            </w:tcBorders>
          </w:tcPr>
          <w:p>
            <w:pPr>
              <w:spacing w:after="0"/>
              <w:rPr>
                <w:sz w:val="17"/>
                <w:szCs w:val="17"/>
                <w:color w:val="auto"/>
              </w:rPr>
            </w:pPr>
          </w:p>
        </w:tc>
        <w:tc>
          <w:tcPr>
            <w:tcW w:w="80" w:type="dxa"/>
            <w:vAlign w:val="bottom"/>
            <w:tcBorders>
              <w:bottom w:val="single" w:sz="8" w:color="00548B"/>
            </w:tcBorders>
          </w:tcPr>
          <w:p>
            <w:pPr>
              <w:spacing w:after="0"/>
              <w:rPr>
                <w:sz w:val="17"/>
                <w:szCs w:val="17"/>
                <w:color w:val="auto"/>
              </w:rPr>
            </w:pPr>
          </w:p>
        </w:tc>
        <w:tc>
          <w:tcPr>
            <w:tcW w:w="2540" w:type="dxa"/>
            <w:vAlign w:val="bottom"/>
            <w:tcBorders>
              <w:bottom w:val="single" w:sz="8" w:color="00548B"/>
              <w:right w:val="single" w:sz="8" w:color="999999"/>
            </w:tcBorders>
            <w:gridSpan w:val="5"/>
          </w:tcPr>
          <w:p>
            <w:pPr>
              <w:spacing w:after="0"/>
              <w:rPr>
                <w:sz w:val="20"/>
                <w:szCs w:val="20"/>
                <w:color w:val="auto"/>
              </w:rPr>
            </w:pPr>
            <w:r>
              <w:rPr>
                <w:rFonts w:ascii="Arial" w:cs="Arial" w:eastAsia="Arial" w:hAnsi="Arial"/>
                <w:sz w:val="16"/>
                <w:szCs w:val="16"/>
                <w:color w:val="auto"/>
              </w:rPr>
              <w:t>course.</w:t>
            </w:r>
          </w:p>
        </w:tc>
        <w:tc>
          <w:tcPr>
            <w:tcW w:w="2540" w:type="dxa"/>
            <w:vAlign w:val="bottom"/>
            <w:tcBorders>
              <w:bottom w:val="single" w:sz="8" w:color="00548B"/>
              <w:right w:val="single" w:sz="8" w:color="00548B"/>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11226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122680" cy="8890"/>
                    </a:xfrm>
                    <a:prstGeom prst="rect">
                      <a:avLst/>
                    </a:prstGeom>
                    <a:noFill/>
                  </pic:spPr>
                </pic:pic>
              </a:graphicData>
            </a:graphic>
          </wp:anchor>
        </w:drawing>
      </w:r>
    </w:p>
    <w:p>
      <w:pPr>
        <w:spacing w:after="0" w:line="159" w:lineRule="exact"/>
        <w:rPr>
          <w:sz w:val="20"/>
          <w:szCs w:val="20"/>
          <w:color w:val="auto"/>
        </w:rPr>
      </w:pPr>
    </w:p>
    <w:p>
      <w:pPr>
        <w:ind w:left="340" w:hanging="224"/>
        <w:spacing w:after="0"/>
        <w:tabs>
          <w:tab w:leader="none" w:pos="340" w:val="left"/>
        </w:tabs>
        <w:numPr>
          <w:ilvl w:val="0"/>
          <w:numId w:val="46"/>
        </w:numPr>
        <w:rPr>
          <w:rFonts w:ascii="Arial" w:cs="Arial" w:eastAsia="Arial" w:hAnsi="Arial"/>
          <w:sz w:val="12"/>
          <w:szCs w:val="12"/>
          <w:i w:val="1"/>
          <w:iCs w:val="1"/>
          <w:color w:val="auto"/>
        </w:rPr>
      </w:pPr>
      <w:r>
        <w:rPr>
          <w:rFonts w:ascii="Arial" w:cs="Arial" w:eastAsia="Arial" w:hAnsi="Arial"/>
          <w:sz w:val="12"/>
          <w:szCs w:val="12"/>
          <w:i w:val="1"/>
          <w:iCs w:val="1"/>
          <w:color w:val="auto"/>
        </w:rPr>
        <w:t>Except with respect to Ms. Ratekin, whose award will continue to vest as if she were employed through her retirement date, and all outstanding equity awards will vest in full.</w:t>
      </w:r>
    </w:p>
    <w:p>
      <w:pPr>
        <w:spacing w:after="0" w:line="9" w:lineRule="exact"/>
        <w:rPr>
          <w:rFonts w:ascii="Arial" w:cs="Arial" w:eastAsia="Arial" w:hAnsi="Arial"/>
          <w:sz w:val="12"/>
          <w:szCs w:val="12"/>
          <w:i w:val="1"/>
          <w:iCs w:val="1"/>
          <w:color w:val="auto"/>
        </w:rPr>
      </w:pPr>
    </w:p>
    <w:p>
      <w:pPr>
        <w:ind w:left="340" w:hanging="224"/>
        <w:spacing w:after="0"/>
        <w:tabs>
          <w:tab w:leader="none" w:pos="340" w:val="left"/>
        </w:tabs>
        <w:numPr>
          <w:ilvl w:val="0"/>
          <w:numId w:val="46"/>
        </w:numPr>
        <w:rPr>
          <w:rFonts w:ascii="Arial" w:cs="Arial" w:eastAsia="Arial" w:hAnsi="Arial"/>
          <w:sz w:val="12"/>
          <w:szCs w:val="12"/>
          <w:i w:val="1"/>
          <w:iCs w:val="1"/>
          <w:color w:val="auto"/>
        </w:rPr>
      </w:pPr>
      <w:r>
        <w:rPr>
          <w:rFonts w:ascii="Arial" w:cs="Arial" w:eastAsia="Arial" w:hAnsi="Arial"/>
          <w:sz w:val="12"/>
          <w:szCs w:val="12"/>
          <w:i w:val="1"/>
          <w:iCs w:val="1"/>
          <w:color w:val="auto"/>
        </w:rPr>
        <w:t>Except with respect to Ms. Ratekin, whose award will continue to vest as if she were employed through her retirement date.</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00548B"/>
        </w:rPr>
        <w:t>41</w:t>
      </w:r>
    </w:p>
    <w:p>
      <w:pPr>
        <w:sectPr>
          <w:pgSz w:w="11900" w:h="16838" w:orient="portrait"/>
          <w:cols w:equalWidth="0" w:num="1">
            <w:col w:w="11140"/>
          </w:cols>
          <w:pgMar w:left="32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130" w:type="dxa"/>
        <w:tblCellMar>
          <w:top w:w="0" w:type="dxa"/>
          <w:left w:w="0" w:type="dxa"/>
          <w:bottom w:w="0" w:type="dxa"/>
          <w:right w:w="0" w:type="dxa"/>
        </w:tblCellMar>
      </w:tblPr>
      <w:tr>
        <w:trPr>
          <w:trHeight w:val="184"/>
        </w:trPr>
        <w:tc>
          <w:tcPr>
            <w:tcW w:w="2980" w:type="dxa"/>
            <w:vAlign w:val="bottom"/>
            <w:tcBorders>
              <w:top w:val="single" w:sz="8" w:color="00548B"/>
              <w:left w:val="single" w:sz="8" w:color="00548B"/>
              <w:right w:val="single" w:sz="8" w:color="999999"/>
            </w:tcBorders>
            <w:shd w:val="clear" w:color="auto" w:fill="00548B"/>
          </w:tcPr>
          <w:p>
            <w:pPr>
              <w:spacing w:after="0"/>
              <w:rPr>
                <w:sz w:val="16"/>
                <w:szCs w:val="16"/>
                <w:color w:val="auto"/>
              </w:rPr>
            </w:pPr>
          </w:p>
        </w:tc>
        <w:tc>
          <w:tcPr>
            <w:tcW w:w="2900" w:type="dxa"/>
            <w:vAlign w:val="bottom"/>
            <w:tcBorders>
              <w:top w:val="single" w:sz="8" w:color="00548B"/>
              <w:right w:val="single" w:sz="8" w:color="999999"/>
            </w:tcBorders>
            <w:shd w:val="clear" w:color="auto" w:fill="00548B"/>
          </w:tcPr>
          <w:p>
            <w:pPr>
              <w:spacing w:after="0"/>
              <w:rPr>
                <w:sz w:val="16"/>
                <w:szCs w:val="16"/>
                <w:color w:val="auto"/>
              </w:rPr>
            </w:pPr>
          </w:p>
        </w:tc>
        <w:tc>
          <w:tcPr>
            <w:tcW w:w="80" w:type="dxa"/>
            <w:vAlign w:val="bottom"/>
            <w:tcBorders>
              <w:top w:val="single" w:sz="8" w:color="00548B"/>
            </w:tcBorders>
            <w:shd w:val="clear" w:color="auto" w:fill="00548B"/>
          </w:tcPr>
          <w:p>
            <w:pPr>
              <w:spacing w:after="0"/>
              <w:rPr>
                <w:sz w:val="16"/>
                <w:szCs w:val="16"/>
                <w:color w:val="auto"/>
              </w:rPr>
            </w:pPr>
          </w:p>
        </w:tc>
        <w:tc>
          <w:tcPr>
            <w:tcW w:w="2160" w:type="dxa"/>
            <w:vAlign w:val="bottom"/>
            <w:tcBorders>
              <w:top w:val="single" w:sz="8" w:color="00548B"/>
            </w:tcBorders>
            <w:shd w:val="clear" w:color="auto" w:fill="00548B"/>
          </w:tcPr>
          <w:p>
            <w:pPr>
              <w:spacing w:after="0"/>
              <w:rPr>
                <w:sz w:val="16"/>
                <w:szCs w:val="16"/>
                <w:color w:val="auto"/>
              </w:rPr>
            </w:pPr>
          </w:p>
        </w:tc>
        <w:tc>
          <w:tcPr>
            <w:tcW w:w="380" w:type="dxa"/>
            <w:vAlign w:val="bottom"/>
            <w:tcBorders>
              <w:top w:val="single" w:sz="8" w:color="00548B"/>
              <w:left w:val="single" w:sz="8" w:color="00548B"/>
              <w:right w:val="single" w:sz="8" w:color="999999"/>
            </w:tcBorders>
            <w:shd w:val="clear" w:color="auto" w:fill="00548B"/>
          </w:tcPr>
          <w:p>
            <w:pPr>
              <w:spacing w:after="0"/>
              <w:rPr>
                <w:sz w:val="16"/>
                <w:szCs w:val="16"/>
                <w:color w:val="auto"/>
              </w:rPr>
            </w:pPr>
          </w:p>
        </w:tc>
        <w:tc>
          <w:tcPr>
            <w:tcW w:w="2540" w:type="dxa"/>
            <w:vAlign w:val="bottom"/>
            <w:tcBorders>
              <w:top w:val="single" w:sz="8" w:color="00548B"/>
              <w:right w:val="single" w:sz="8" w:color="00548B"/>
            </w:tcBorders>
            <w:shd w:val="clear" w:color="auto" w:fill="00548B"/>
          </w:tcPr>
          <w:p>
            <w:pPr>
              <w:jc w:val="center"/>
              <w:spacing w:after="0"/>
              <w:rPr>
                <w:sz w:val="20"/>
                <w:szCs w:val="20"/>
                <w:color w:val="auto"/>
              </w:rPr>
            </w:pPr>
            <w:r>
              <w:rPr>
                <w:rFonts w:ascii="Arial" w:cs="Arial" w:eastAsia="Arial" w:hAnsi="Arial"/>
                <w:sz w:val="16"/>
                <w:szCs w:val="16"/>
                <w:b w:val="1"/>
                <w:bCs w:val="1"/>
                <w:color w:val="E5E5E5"/>
              </w:rPr>
              <w:t>2018 and 2019</w:t>
            </w:r>
          </w:p>
        </w:tc>
      </w:tr>
      <w:tr>
        <w:trPr>
          <w:trHeight w:val="189"/>
        </w:trPr>
        <w:tc>
          <w:tcPr>
            <w:tcW w:w="2980" w:type="dxa"/>
            <w:vAlign w:val="bottom"/>
            <w:tcBorders>
              <w:left w:val="single" w:sz="8" w:color="00548B"/>
              <w:right w:val="single" w:sz="8" w:color="999999"/>
            </w:tcBorders>
            <w:shd w:val="clear" w:color="auto" w:fill="00548B"/>
          </w:tcPr>
          <w:p>
            <w:pPr>
              <w:spacing w:after="0"/>
              <w:rPr>
                <w:sz w:val="16"/>
                <w:szCs w:val="16"/>
                <w:color w:val="auto"/>
              </w:rPr>
            </w:pPr>
          </w:p>
        </w:tc>
        <w:tc>
          <w:tcPr>
            <w:tcW w:w="2900" w:type="dxa"/>
            <w:vAlign w:val="bottom"/>
            <w:tcBorders>
              <w:right w:val="single" w:sz="8" w:color="999999"/>
            </w:tcBorders>
            <w:shd w:val="clear" w:color="auto" w:fill="00548B"/>
          </w:tcPr>
          <w:p>
            <w:pPr>
              <w:jc w:val="center"/>
              <w:ind w:left="239"/>
              <w:spacing w:after="0"/>
              <w:rPr>
                <w:sz w:val="20"/>
                <w:szCs w:val="20"/>
                <w:color w:val="auto"/>
              </w:rPr>
            </w:pPr>
            <w:r>
              <w:rPr>
                <w:rFonts w:ascii="Arial" w:cs="Arial" w:eastAsia="Arial" w:hAnsi="Arial"/>
                <w:sz w:val="16"/>
                <w:szCs w:val="16"/>
                <w:b w:val="1"/>
                <w:bCs w:val="1"/>
                <w:color w:val="E5E5E5"/>
              </w:rPr>
              <w:t>Restricted Stock and</w:t>
            </w:r>
          </w:p>
        </w:tc>
        <w:tc>
          <w:tcPr>
            <w:tcW w:w="80" w:type="dxa"/>
            <w:vAlign w:val="bottom"/>
            <w:shd w:val="clear" w:color="auto" w:fill="00548B"/>
          </w:tcPr>
          <w:p>
            <w:pPr>
              <w:spacing w:after="0"/>
              <w:rPr>
                <w:sz w:val="16"/>
                <w:szCs w:val="16"/>
                <w:color w:val="auto"/>
              </w:rPr>
            </w:pPr>
          </w:p>
        </w:tc>
        <w:tc>
          <w:tcPr>
            <w:tcW w:w="2540" w:type="dxa"/>
            <w:vAlign w:val="bottom"/>
            <w:tcBorders>
              <w:right w:val="single" w:sz="8" w:color="999999"/>
            </w:tcBorders>
            <w:gridSpan w:val="2"/>
            <w:shd w:val="clear" w:color="auto" w:fill="00548B"/>
          </w:tcPr>
          <w:p>
            <w:pPr>
              <w:ind w:left="560"/>
              <w:spacing w:after="0"/>
              <w:rPr>
                <w:sz w:val="20"/>
                <w:szCs w:val="20"/>
                <w:color w:val="auto"/>
              </w:rPr>
            </w:pPr>
            <w:r>
              <w:rPr>
                <w:rFonts w:ascii="Arial" w:cs="Arial" w:eastAsia="Arial" w:hAnsi="Arial"/>
                <w:sz w:val="16"/>
                <w:szCs w:val="16"/>
                <w:b w:val="1"/>
                <w:bCs w:val="1"/>
                <w:color w:val="E5E5E5"/>
              </w:rPr>
              <w:t>2017 Performance</w:t>
            </w:r>
          </w:p>
        </w:tc>
        <w:tc>
          <w:tcPr>
            <w:tcW w:w="2540" w:type="dxa"/>
            <w:vAlign w:val="bottom"/>
            <w:tcBorders>
              <w:right w:val="single" w:sz="8" w:color="00548B"/>
            </w:tcBorders>
            <w:shd w:val="clear" w:color="auto" w:fill="00548B"/>
          </w:tcPr>
          <w:p>
            <w:pPr>
              <w:jc w:val="center"/>
              <w:spacing w:after="0"/>
              <w:rPr>
                <w:sz w:val="20"/>
                <w:szCs w:val="20"/>
                <w:color w:val="auto"/>
              </w:rPr>
            </w:pPr>
            <w:r>
              <w:rPr>
                <w:rFonts w:ascii="Arial" w:cs="Arial" w:eastAsia="Arial" w:hAnsi="Arial"/>
                <w:sz w:val="16"/>
                <w:szCs w:val="16"/>
                <w:b w:val="1"/>
                <w:bCs w:val="1"/>
                <w:color w:val="E5E5E5"/>
              </w:rPr>
              <w:t>Performance</w:t>
            </w:r>
          </w:p>
        </w:tc>
      </w:tr>
      <w:tr>
        <w:trPr>
          <w:trHeight w:val="207"/>
        </w:trPr>
        <w:tc>
          <w:tcPr>
            <w:tcW w:w="2980" w:type="dxa"/>
            <w:vAlign w:val="bottom"/>
            <w:tcBorders>
              <w:left w:val="single" w:sz="8" w:color="00548B"/>
              <w:right w:val="single" w:sz="8" w:color="999999"/>
            </w:tcBorders>
            <w:shd w:val="clear" w:color="auto" w:fill="00548B"/>
          </w:tcPr>
          <w:p>
            <w:pPr>
              <w:ind w:left="1340"/>
              <w:spacing w:after="0"/>
              <w:rPr>
                <w:sz w:val="20"/>
                <w:szCs w:val="20"/>
                <w:color w:val="auto"/>
              </w:rPr>
            </w:pPr>
            <w:r>
              <w:rPr>
                <w:rFonts w:ascii="Arial" w:cs="Arial" w:eastAsia="Arial" w:hAnsi="Arial"/>
                <w:sz w:val="16"/>
                <w:szCs w:val="16"/>
                <w:b w:val="1"/>
                <w:bCs w:val="1"/>
                <w:color w:val="E5E5E5"/>
              </w:rPr>
              <w:t>Event</w:t>
            </w:r>
          </w:p>
        </w:tc>
        <w:tc>
          <w:tcPr>
            <w:tcW w:w="2900" w:type="dxa"/>
            <w:vAlign w:val="bottom"/>
            <w:tcBorders>
              <w:right w:val="single" w:sz="8" w:color="999999"/>
            </w:tcBorders>
            <w:shd w:val="clear" w:color="auto" w:fill="00548B"/>
          </w:tcPr>
          <w:p>
            <w:pPr>
              <w:jc w:val="center"/>
              <w:ind w:left="239"/>
              <w:spacing w:after="0"/>
              <w:rPr>
                <w:sz w:val="20"/>
                <w:szCs w:val="20"/>
                <w:color w:val="auto"/>
              </w:rPr>
            </w:pPr>
            <w:r>
              <w:rPr>
                <w:rFonts w:ascii="Arial" w:cs="Arial" w:eastAsia="Arial" w:hAnsi="Arial"/>
                <w:sz w:val="16"/>
                <w:szCs w:val="16"/>
                <w:b w:val="1"/>
                <w:bCs w:val="1"/>
                <w:color w:val="E5E5E5"/>
              </w:rPr>
              <w:t>Options</w:t>
            </w:r>
          </w:p>
        </w:tc>
        <w:tc>
          <w:tcPr>
            <w:tcW w:w="80" w:type="dxa"/>
            <w:vAlign w:val="bottom"/>
            <w:shd w:val="clear" w:color="auto" w:fill="00548B"/>
          </w:tcPr>
          <w:p>
            <w:pPr>
              <w:spacing w:after="0"/>
              <w:rPr>
                <w:sz w:val="18"/>
                <w:szCs w:val="18"/>
                <w:color w:val="auto"/>
              </w:rPr>
            </w:pPr>
          </w:p>
        </w:tc>
        <w:tc>
          <w:tcPr>
            <w:tcW w:w="2540" w:type="dxa"/>
            <w:vAlign w:val="bottom"/>
            <w:tcBorders>
              <w:right w:val="single" w:sz="8" w:color="999999"/>
            </w:tcBorders>
            <w:gridSpan w:val="2"/>
            <w:shd w:val="clear" w:color="auto" w:fill="00548B"/>
          </w:tcPr>
          <w:p>
            <w:pPr>
              <w:ind w:left="820"/>
              <w:spacing w:after="0"/>
              <w:rPr>
                <w:sz w:val="20"/>
                <w:szCs w:val="20"/>
                <w:color w:val="auto"/>
              </w:rPr>
            </w:pPr>
            <w:r>
              <w:rPr>
                <w:rFonts w:ascii="Arial" w:cs="Arial" w:eastAsia="Arial" w:hAnsi="Arial"/>
                <w:sz w:val="16"/>
                <w:szCs w:val="16"/>
                <w:b w:val="1"/>
                <w:bCs w:val="1"/>
                <w:color w:val="E5E5E5"/>
              </w:rPr>
              <w:t>Stock Units</w:t>
            </w:r>
          </w:p>
        </w:tc>
        <w:tc>
          <w:tcPr>
            <w:tcW w:w="2540" w:type="dxa"/>
            <w:vAlign w:val="bottom"/>
            <w:tcBorders>
              <w:right w:val="single" w:sz="8" w:color="00548B"/>
            </w:tcBorders>
            <w:shd w:val="clear" w:color="auto" w:fill="00548B"/>
          </w:tcPr>
          <w:p>
            <w:pPr>
              <w:jc w:val="center"/>
              <w:spacing w:after="0"/>
              <w:rPr>
                <w:sz w:val="20"/>
                <w:szCs w:val="20"/>
                <w:color w:val="auto"/>
              </w:rPr>
            </w:pPr>
            <w:r>
              <w:rPr>
                <w:rFonts w:ascii="Arial" w:cs="Arial" w:eastAsia="Arial" w:hAnsi="Arial"/>
                <w:sz w:val="16"/>
                <w:szCs w:val="16"/>
                <w:b w:val="1"/>
                <w:bCs w:val="1"/>
                <w:color w:val="E5E5E5"/>
              </w:rPr>
              <w:t>Stock Units</w:t>
            </w:r>
          </w:p>
        </w:tc>
      </w:tr>
      <w:tr>
        <w:trPr>
          <w:trHeight w:val="162"/>
        </w:trPr>
        <w:tc>
          <w:tcPr>
            <w:tcW w:w="2980" w:type="dxa"/>
            <w:vAlign w:val="bottom"/>
            <w:tcBorders>
              <w:left w:val="single" w:sz="8" w:color="00548B"/>
              <w:right w:val="single" w:sz="8" w:color="999999"/>
            </w:tcBorders>
          </w:tcPr>
          <w:p>
            <w:pPr>
              <w:ind w:left="160"/>
              <w:spacing w:after="0" w:line="162" w:lineRule="exact"/>
              <w:rPr>
                <w:sz w:val="20"/>
                <w:szCs w:val="20"/>
                <w:color w:val="auto"/>
              </w:rPr>
            </w:pPr>
            <w:r>
              <w:rPr>
                <w:rFonts w:ascii="Arial" w:cs="Arial" w:eastAsia="Arial" w:hAnsi="Arial"/>
                <w:sz w:val="16"/>
                <w:szCs w:val="16"/>
                <w:color w:val="auto"/>
              </w:rPr>
              <w:t>Change of Control (“COC”), No</w:t>
            </w:r>
          </w:p>
        </w:tc>
        <w:tc>
          <w:tcPr>
            <w:tcW w:w="2900" w:type="dxa"/>
            <w:vAlign w:val="bottom"/>
            <w:tcBorders>
              <w:right w:val="single" w:sz="8" w:color="999999"/>
            </w:tcBorders>
          </w:tcPr>
          <w:p>
            <w:pPr>
              <w:ind w:left="360"/>
              <w:spacing w:after="0" w:line="162" w:lineRule="exact"/>
              <w:rPr>
                <w:sz w:val="20"/>
                <w:szCs w:val="20"/>
                <w:color w:val="auto"/>
              </w:rPr>
            </w:pPr>
            <w:r>
              <w:rPr>
                <w:rFonts w:ascii="Arial" w:cs="Arial" w:eastAsia="Arial" w:hAnsi="Arial"/>
                <w:sz w:val="16"/>
                <w:szCs w:val="16"/>
                <w:color w:val="auto"/>
              </w:rPr>
              <w:t>No impact, assumed by acquirer.</w:t>
            </w:r>
          </w:p>
        </w:tc>
        <w:tc>
          <w:tcPr>
            <w:tcW w:w="80" w:type="dxa"/>
            <w:vAlign w:val="bottom"/>
          </w:tcPr>
          <w:p>
            <w:pPr>
              <w:spacing w:after="0"/>
              <w:rPr>
                <w:sz w:val="14"/>
                <w:szCs w:val="14"/>
                <w:color w:val="auto"/>
              </w:rPr>
            </w:pPr>
          </w:p>
        </w:tc>
        <w:tc>
          <w:tcPr>
            <w:tcW w:w="2540" w:type="dxa"/>
            <w:vAlign w:val="bottom"/>
            <w:tcBorders>
              <w:right w:val="single" w:sz="8" w:color="999999"/>
            </w:tcBorders>
            <w:gridSpan w:val="2"/>
          </w:tcPr>
          <w:p>
            <w:pPr>
              <w:spacing w:after="0" w:line="162" w:lineRule="exact"/>
              <w:rPr>
                <w:sz w:val="20"/>
                <w:szCs w:val="20"/>
                <w:color w:val="auto"/>
              </w:rPr>
            </w:pPr>
            <w:r>
              <w:rPr>
                <w:rFonts w:ascii="Arial" w:cs="Arial" w:eastAsia="Arial" w:hAnsi="Arial"/>
                <w:sz w:val="16"/>
                <w:szCs w:val="16"/>
                <w:color w:val="auto"/>
              </w:rPr>
              <w:t>One-Year &amp; Three-Year PSUs: If</w:t>
            </w:r>
          </w:p>
        </w:tc>
        <w:tc>
          <w:tcPr>
            <w:tcW w:w="2540" w:type="dxa"/>
            <w:vAlign w:val="bottom"/>
            <w:tcBorders>
              <w:right w:val="single" w:sz="8" w:color="00548B"/>
            </w:tcBorders>
          </w:tcPr>
          <w:p>
            <w:pPr>
              <w:ind w:left="100"/>
              <w:spacing w:after="0" w:line="162" w:lineRule="exact"/>
              <w:rPr>
                <w:sz w:val="20"/>
                <w:szCs w:val="20"/>
                <w:color w:val="auto"/>
              </w:rPr>
            </w:pPr>
            <w:r>
              <w:rPr>
                <w:rFonts w:ascii="Arial" w:cs="Arial" w:eastAsia="Arial" w:hAnsi="Arial"/>
                <w:sz w:val="16"/>
                <w:szCs w:val="16"/>
                <w:color w:val="auto"/>
              </w:rPr>
              <w:t>If assumed by acquirer and</w:t>
            </w:r>
          </w:p>
        </w:tc>
      </w:tr>
      <w:tr>
        <w:trPr>
          <w:trHeight w:val="20"/>
        </w:trPr>
        <w:tc>
          <w:tcPr>
            <w:tcW w:w="2980" w:type="dxa"/>
            <w:vAlign w:val="bottom"/>
            <w:tcBorders>
              <w:left w:val="single" w:sz="8" w:color="00548B"/>
              <w:right w:val="single" w:sz="8" w:color="999999"/>
            </w:tcBorders>
          </w:tcPr>
          <w:p>
            <w:pPr>
              <w:spacing w:after="0" w:line="20" w:lineRule="exact"/>
              <w:rPr>
                <w:sz w:val="1"/>
                <w:szCs w:val="1"/>
                <w:color w:val="auto"/>
              </w:rPr>
            </w:pPr>
          </w:p>
        </w:tc>
        <w:tc>
          <w:tcPr>
            <w:tcW w:w="2900" w:type="dxa"/>
            <w:vAlign w:val="bottom"/>
            <w:tcBorders>
              <w:right w:val="single" w:sz="8" w:color="999999"/>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380" w:type="dxa"/>
            <w:vAlign w:val="bottom"/>
            <w:tcBorders>
              <w:left w:val="single" w:sz="8" w:color="auto"/>
              <w:right w:val="single" w:sz="8" w:color="999999"/>
            </w:tcBorders>
          </w:tcPr>
          <w:p>
            <w:pPr>
              <w:spacing w:after="0" w:line="20" w:lineRule="exact"/>
              <w:rPr>
                <w:sz w:val="1"/>
                <w:szCs w:val="1"/>
                <w:color w:val="auto"/>
              </w:rPr>
            </w:pPr>
          </w:p>
        </w:tc>
        <w:tc>
          <w:tcPr>
            <w:tcW w:w="2540" w:type="dxa"/>
            <w:vAlign w:val="bottom"/>
            <w:tcBorders>
              <w:right w:val="single" w:sz="8" w:color="00548B"/>
            </w:tcBorders>
          </w:tcPr>
          <w:p>
            <w:pPr>
              <w:spacing w:after="0" w:line="20" w:lineRule="exact"/>
              <w:rPr>
                <w:sz w:val="1"/>
                <w:szCs w:val="1"/>
                <w:color w:val="auto"/>
              </w:rPr>
            </w:pPr>
          </w:p>
        </w:tc>
      </w:tr>
      <w:tr>
        <w:trPr>
          <w:trHeight w:val="198"/>
        </w:trPr>
        <w:tc>
          <w:tcPr>
            <w:tcW w:w="2980" w:type="dxa"/>
            <w:vAlign w:val="bottom"/>
            <w:tcBorders>
              <w:left w:val="single" w:sz="8" w:color="00548B"/>
              <w:right w:val="single" w:sz="8" w:color="999999"/>
            </w:tcBorders>
          </w:tcPr>
          <w:p>
            <w:pPr>
              <w:ind w:left="160"/>
              <w:spacing w:after="0"/>
              <w:rPr>
                <w:sz w:val="20"/>
                <w:szCs w:val="20"/>
                <w:color w:val="auto"/>
              </w:rPr>
            </w:pPr>
            <w:r>
              <w:rPr>
                <w:rFonts w:ascii="Arial" w:cs="Arial" w:eastAsia="Arial" w:hAnsi="Arial"/>
                <w:sz w:val="16"/>
                <w:szCs w:val="16"/>
                <w:color w:val="auto"/>
              </w:rPr>
              <w:t>Termination</w:t>
            </w:r>
          </w:p>
        </w:tc>
        <w:tc>
          <w:tcPr>
            <w:tcW w:w="2900" w:type="dxa"/>
            <w:vAlign w:val="bottom"/>
            <w:tcBorders>
              <w:right w:val="single" w:sz="8" w:color="999999"/>
            </w:tcBorders>
          </w:tcPr>
          <w:p>
            <w:pPr>
              <w:spacing w:after="0"/>
              <w:rPr>
                <w:sz w:val="17"/>
                <w:szCs w:val="17"/>
                <w:color w:val="auto"/>
              </w:rPr>
            </w:pPr>
          </w:p>
        </w:tc>
        <w:tc>
          <w:tcPr>
            <w:tcW w:w="80" w:type="dxa"/>
            <w:vAlign w:val="bottom"/>
          </w:tcPr>
          <w:p>
            <w:pPr>
              <w:spacing w:after="0"/>
              <w:rPr>
                <w:sz w:val="17"/>
                <w:szCs w:val="17"/>
                <w:color w:val="auto"/>
              </w:rPr>
            </w:pPr>
          </w:p>
        </w:tc>
        <w:tc>
          <w:tcPr>
            <w:tcW w:w="2540" w:type="dxa"/>
            <w:vAlign w:val="bottom"/>
            <w:tcBorders>
              <w:right w:val="single" w:sz="8" w:color="999999"/>
            </w:tcBorders>
            <w:gridSpan w:val="2"/>
          </w:tcPr>
          <w:p>
            <w:pPr>
              <w:spacing w:after="0"/>
              <w:rPr>
                <w:sz w:val="20"/>
                <w:szCs w:val="20"/>
                <w:color w:val="auto"/>
              </w:rPr>
            </w:pPr>
            <w:r>
              <w:rPr>
                <w:rFonts w:ascii="Arial" w:cs="Arial" w:eastAsia="Arial" w:hAnsi="Arial"/>
                <w:sz w:val="16"/>
                <w:szCs w:val="16"/>
                <w:color w:val="auto"/>
              </w:rPr>
              <w:t>assumed by acquirer and converts</w:t>
            </w:r>
          </w:p>
        </w:tc>
        <w:tc>
          <w:tcPr>
            <w:tcW w:w="2540" w:type="dxa"/>
            <w:vAlign w:val="bottom"/>
            <w:tcBorders>
              <w:right w:val="single" w:sz="8" w:color="00548B"/>
            </w:tcBorders>
          </w:tcPr>
          <w:p>
            <w:pPr>
              <w:ind w:left="100"/>
              <w:spacing w:after="0"/>
              <w:rPr>
                <w:sz w:val="20"/>
                <w:szCs w:val="20"/>
                <w:color w:val="auto"/>
              </w:rPr>
            </w:pPr>
            <w:r>
              <w:rPr>
                <w:rFonts w:ascii="Arial" w:cs="Arial" w:eastAsia="Arial" w:hAnsi="Arial"/>
                <w:sz w:val="16"/>
                <w:szCs w:val="16"/>
                <w:color w:val="auto"/>
              </w:rPr>
              <w:t>converts shares into right to</w:t>
            </w:r>
          </w:p>
        </w:tc>
      </w:tr>
      <w:tr>
        <w:trPr>
          <w:trHeight w:val="189"/>
        </w:trPr>
        <w:tc>
          <w:tcPr>
            <w:tcW w:w="2980" w:type="dxa"/>
            <w:vAlign w:val="bottom"/>
            <w:tcBorders>
              <w:left w:val="single" w:sz="8" w:color="00548B"/>
              <w:right w:val="single" w:sz="8" w:color="999999"/>
            </w:tcBorders>
          </w:tcPr>
          <w:p>
            <w:pPr>
              <w:spacing w:after="0"/>
              <w:rPr>
                <w:sz w:val="16"/>
                <w:szCs w:val="16"/>
                <w:color w:val="auto"/>
              </w:rPr>
            </w:pPr>
          </w:p>
        </w:tc>
        <w:tc>
          <w:tcPr>
            <w:tcW w:w="2900" w:type="dxa"/>
            <w:vAlign w:val="bottom"/>
            <w:tcBorders>
              <w:right w:val="single" w:sz="8" w:color="999999"/>
            </w:tcBorders>
          </w:tcPr>
          <w:p>
            <w:pPr>
              <w:spacing w:after="0"/>
              <w:rPr>
                <w:sz w:val="16"/>
                <w:szCs w:val="16"/>
                <w:color w:val="auto"/>
              </w:rPr>
            </w:pPr>
          </w:p>
        </w:tc>
        <w:tc>
          <w:tcPr>
            <w:tcW w:w="80" w:type="dxa"/>
            <w:vAlign w:val="bottom"/>
          </w:tcPr>
          <w:p>
            <w:pPr>
              <w:spacing w:after="0"/>
              <w:rPr>
                <w:sz w:val="16"/>
                <w:szCs w:val="16"/>
                <w:color w:val="auto"/>
              </w:rPr>
            </w:pPr>
          </w:p>
        </w:tc>
        <w:tc>
          <w:tcPr>
            <w:tcW w:w="2540" w:type="dxa"/>
            <w:vAlign w:val="bottom"/>
            <w:tcBorders>
              <w:right w:val="single" w:sz="8" w:color="999999"/>
            </w:tcBorders>
            <w:gridSpan w:val="2"/>
          </w:tcPr>
          <w:p>
            <w:pPr>
              <w:spacing w:after="0"/>
              <w:rPr>
                <w:sz w:val="20"/>
                <w:szCs w:val="20"/>
                <w:color w:val="auto"/>
              </w:rPr>
            </w:pPr>
            <w:r>
              <w:rPr>
                <w:rFonts w:ascii="Arial" w:cs="Arial" w:eastAsia="Arial" w:hAnsi="Arial"/>
                <w:sz w:val="16"/>
                <w:szCs w:val="16"/>
                <w:color w:val="auto"/>
              </w:rPr>
              <w:t>earned shares into right to receive</w:t>
            </w:r>
          </w:p>
        </w:tc>
        <w:tc>
          <w:tcPr>
            <w:tcW w:w="2540" w:type="dxa"/>
            <w:vAlign w:val="bottom"/>
            <w:tcBorders>
              <w:right w:val="single" w:sz="8" w:color="00548B"/>
            </w:tcBorders>
          </w:tcPr>
          <w:p>
            <w:pPr>
              <w:ind w:left="100"/>
              <w:spacing w:after="0"/>
              <w:rPr>
                <w:sz w:val="20"/>
                <w:szCs w:val="20"/>
                <w:color w:val="auto"/>
              </w:rPr>
            </w:pPr>
            <w:r>
              <w:rPr>
                <w:rFonts w:ascii="Arial" w:cs="Arial" w:eastAsia="Arial" w:hAnsi="Arial"/>
                <w:sz w:val="16"/>
                <w:szCs w:val="16"/>
                <w:color w:val="auto"/>
              </w:rPr>
              <w:t>receive equivalent value shares</w:t>
            </w:r>
          </w:p>
        </w:tc>
      </w:tr>
      <w:tr>
        <w:trPr>
          <w:trHeight w:val="189"/>
        </w:trPr>
        <w:tc>
          <w:tcPr>
            <w:tcW w:w="2980" w:type="dxa"/>
            <w:vAlign w:val="bottom"/>
            <w:tcBorders>
              <w:left w:val="single" w:sz="8" w:color="00548B"/>
              <w:right w:val="single" w:sz="8" w:color="999999"/>
            </w:tcBorders>
          </w:tcPr>
          <w:p>
            <w:pPr>
              <w:spacing w:after="0"/>
              <w:rPr>
                <w:sz w:val="16"/>
                <w:szCs w:val="16"/>
                <w:color w:val="auto"/>
              </w:rPr>
            </w:pPr>
          </w:p>
        </w:tc>
        <w:tc>
          <w:tcPr>
            <w:tcW w:w="2900" w:type="dxa"/>
            <w:vAlign w:val="bottom"/>
            <w:tcBorders>
              <w:right w:val="single" w:sz="8" w:color="999999"/>
            </w:tcBorders>
          </w:tcPr>
          <w:p>
            <w:pPr>
              <w:spacing w:after="0"/>
              <w:rPr>
                <w:sz w:val="16"/>
                <w:szCs w:val="16"/>
                <w:color w:val="auto"/>
              </w:rPr>
            </w:pPr>
          </w:p>
        </w:tc>
        <w:tc>
          <w:tcPr>
            <w:tcW w:w="80" w:type="dxa"/>
            <w:vAlign w:val="bottom"/>
          </w:tcPr>
          <w:p>
            <w:pPr>
              <w:spacing w:after="0"/>
              <w:rPr>
                <w:sz w:val="16"/>
                <w:szCs w:val="16"/>
                <w:color w:val="auto"/>
              </w:rPr>
            </w:pPr>
          </w:p>
        </w:tc>
        <w:tc>
          <w:tcPr>
            <w:tcW w:w="2540" w:type="dxa"/>
            <w:vAlign w:val="bottom"/>
            <w:tcBorders>
              <w:right w:val="single" w:sz="8" w:color="999999"/>
            </w:tcBorders>
            <w:gridSpan w:val="2"/>
          </w:tcPr>
          <w:p>
            <w:pPr>
              <w:spacing w:after="0"/>
              <w:rPr>
                <w:sz w:val="20"/>
                <w:szCs w:val="20"/>
                <w:color w:val="auto"/>
              </w:rPr>
            </w:pPr>
            <w:r>
              <w:rPr>
                <w:rFonts w:ascii="Arial" w:cs="Arial" w:eastAsia="Arial" w:hAnsi="Arial"/>
                <w:sz w:val="16"/>
                <w:szCs w:val="16"/>
                <w:color w:val="auto"/>
              </w:rPr>
              <w:t>equivalent value shares in new</w:t>
            </w:r>
          </w:p>
        </w:tc>
        <w:tc>
          <w:tcPr>
            <w:tcW w:w="2540" w:type="dxa"/>
            <w:vAlign w:val="bottom"/>
            <w:tcBorders>
              <w:right w:val="single" w:sz="8" w:color="00548B"/>
            </w:tcBorders>
          </w:tcPr>
          <w:p>
            <w:pPr>
              <w:ind w:left="100"/>
              <w:spacing w:after="0"/>
              <w:rPr>
                <w:sz w:val="20"/>
                <w:szCs w:val="20"/>
                <w:color w:val="auto"/>
              </w:rPr>
            </w:pPr>
            <w:r>
              <w:rPr>
                <w:rFonts w:ascii="Arial" w:cs="Arial" w:eastAsia="Arial" w:hAnsi="Arial"/>
                <w:sz w:val="16"/>
                <w:szCs w:val="16"/>
                <w:color w:val="auto"/>
              </w:rPr>
              <w:t>in new entity then vesting</w:t>
            </w:r>
          </w:p>
        </w:tc>
      </w:tr>
      <w:tr>
        <w:trPr>
          <w:trHeight w:val="189"/>
        </w:trPr>
        <w:tc>
          <w:tcPr>
            <w:tcW w:w="2980" w:type="dxa"/>
            <w:vAlign w:val="bottom"/>
            <w:tcBorders>
              <w:left w:val="single" w:sz="8" w:color="00548B"/>
              <w:right w:val="single" w:sz="8" w:color="999999"/>
            </w:tcBorders>
          </w:tcPr>
          <w:p>
            <w:pPr>
              <w:spacing w:after="0"/>
              <w:rPr>
                <w:sz w:val="16"/>
                <w:szCs w:val="16"/>
                <w:color w:val="auto"/>
              </w:rPr>
            </w:pPr>
          </w:p>
        </w:tc>
        <w:tc>
          <w:tcPr>
            <w:tcW w:w="2900" w:type="dxa"/>
            <w:vAlign w:val="bottom"/>
            <w:tcBorders>
              <w:right w:val="single" w:sz="8" w:color="999999"/>
            </w:tcBorders>
          </w:tcPr>
          <w:p>
            <w:pPr>
              <w:spacing w:after="0"/>
              <w:rPr>
                <w:sz w:val="16"/>
                <w:szCs w:val="16"/>
                <w:color w:val="auto"/>
              </w:rPr>
            </w:pPr>
          </w:p>
        </w:tc>
        <w:tc>
          <w:tcPr>
            <w:tcW w:w="80" w:type="dxa"/>
            <w:vAlign w:val="bottom"/>
          </w:tcPr>
          <w:p>
            <w:pPr>
              <w:spacing w:after="0"/>
              <w:rPr>
                <w:sz w:val="16"/>
                <w:szCs w:val="16"/>
                <w:color w:val="auto"/>
              </w:rPr>
            </w:pPr>
          </w:p>
        </w:tc>
        <w:tc>
          <w:tcPr>
            <w:tcW w:w="2540" w:type="dxa"/>
            <w:vAlign w:val="bottom"/>
            <w:tcBorders>
              <w:right w:val="single" w:sz="8" w:color="999999"/>
            </w:tcBorders>
            <w:gridSpan w:val="2"/>
          </w:tcPr>
          <w:p>
            <w:pPr>
              <w:spacing w:after="0"/>
              <w:rPr>
                <w:sz w:val="20"/>
                <w:szCs w:val="20"/>
                <w:color w:val="auto"/>
              </w:rPr>
            </w:pPr>
            <w:r>
              <w:rPr>
                <w:rFonts w:ascii="Arial" w:cs="Arial" w:eastAsia="Arial" w:hAnsi="Arial"/>
                <w:sz w:val="16"/>
                <w:szCs w:val="16"/>
                <w:color w:val="auto"/>
              </w:rPr>
              <w:t>entity then vesting continues per</w:t>
            </w:r>
          </w:p>
        </w:tc>
        <w:tc>
          <w:tcPr>
            <w:tcW w:w="2540" w:type="dxa"/>
            <w:vAlign w:val="bottom"/>
            <w:tcBorders>
              <w:right w:val="single" w:sz="8" w:color="00548B"/>
            </w:tcBorders>
          </w:tcPr>
          <w:p>
            <w:pPr>
              <w:ind w:left="100"/>
              <w:spacing w:after="0"/>
              <w:rPr>
                <w:sz w:val="20"/>
                <w:szCs w:val="20"/>
                <w:color w:val="auto"/>
              </w:rPr>
            </w:pPr>
            <w:r>
              <w:rPr>
                <w:rFonts w:ascii="Arial" w:cs="Arial" w:eastAsia="Arial" w:hAnsi="Arial"/>
                <w:sz w:val="16"/>
                <w:szCs w:val="16"/>
                <w:color w:val="auto"/>
              </w:rPr>
              <w:t>continues per normal course.</w:t>
            </w:r>
          </w:p>
        </w:tc>
      </w:tr>
      <w:tr>
        <w:trPr>
          <w:trHeight w:val="195"/>
        </w:trPr>
        <w:tc>
          <w:tcPr>
            <w:tcW w:w="2980" w:type="dxa"/>
            <w:vAlign w:val="bottom"/>
            <w:tcBorders>
              <w:left w:val="single" w:sz="8" w:color="00548B"/>
              <w:right w:val="single" w:sz="8" w:color="999999"/>
            </w:tcBorders>
          </w:tcPr>
          <w:p>
            <w:pPr>
              <w:spacing w:after="0"/>
              <w:rPr>
                <w:sz w:val="16"/>
                <w:szCs w:val="16"/>
                <w:color w:val="auto"/>
              </w:rPr>
            </w:pPr>
          </w:p>
        </w:tc>
        <w:tc>
          <w:tcPr>
            <w:tcW w:w="2900" w:type="dxa"/>
            <w:vAlign w:val="bottom"/>
            <w:tcBorders>
              <w:right w:val="single" w:sz="8" w:color="999999"/>
            </w:tcBorders>
          </w:tcPr>
          <w:p>
            <w:pPr>
              <w:spacing w:after="0"/>
              <w:rPr>
                <w:sz w:val="16"/>
                <w:szCs w:val="16"/>
                <w:color w:val="auto"/>
              </w:rPr>
            </w:pPr>
          </w:p>
        </w:tc>
        <w:tc>
          <w:tcPr>
            <w:tcW w:w="80" w:type="dxa"/>
            <w:vAlign w:val="bottom"/>
          </w:tcPr>
          <w:p>
            <w:pPr>
              <w:spacing w:after="0"/>
              <w:rPr>
                <w:sz w:val="16"/>
                <w:szCs w:val="16"/>
                <w:color w:val="auto"/>
              </w:rPr>
            </w:pPr>
          </w:p>
        </w:tc>
        <w:tc>
          <w:tcPr>
            <w:tcW w:w="2540" w:type="dxa"/>
            <w:vAlign w:val="bottom"/>
            <w:tcBorders>
              <w:right w:val="single" w:sz="8" w:color="999999"/>
            </w:tcBorders>
            <w:gridSpan w:val="2"/>
          </w:tcPr>
          <w:p>
            <w:pPr>
              <w:spacing w:after="0"/>
              <w:rPr>
                <w:sz w:val="20"/>
                <w:szCs w:val="20"/>
                <w:color w:val="auto"/>
              </w:rPr>
            </w:pPr>
            <w:r>
              <w:rPr>
                <w:rFonts w:ascii="Arial" w:cs="Arial" w:eastAsia="Arial" w:hAnsi="Arial"/>
                <w:sz w:val="16"/>
                <w:szCs w:val="16"/>
                <w:color w:val="auto"/>
              </w:rPr>
              <w:t>normal course.</w:t>
            </w:r>
          </w:p>
        </w:tc>
        <w:tc>
          <w:tcPr>
            <w:tcW w:w="2540" w:type="dxa"/>
            <w:vAlign w:val="bottom"/>
            <w:tcBorders>
              <w:right w:val="single" w:sz="8" w:color="00548B"/>
            </w:tcBorders>
          </w:tcPr>
          <w:p>
            <w:pPr>
              <w:spacing w:after="0"/>
              <w:rPr>
                <w:sz w:val="16"/>
                <w:szCs w:val="16"/>
                <w:color w:val="auto"/>
              </w:rPr>
            </w:pPr>
          </w:p>
        </w:tc>
      </w:tr>
      <w:tr>
        <w:trPr>
          <w:trHeight w:val="197"/>
        </w:trPr>
        <w:tc>
          <w:tcPr>
            <w:tcW w:w="2980" w:type="dxa"/>
            <w:vAlign w:val="bottom"/>
            <w:tcBorders>
              <w:left w:val="single" w:sz="8" w:color="00548B"/>
              <w:right w:val="single" w:sz="8" w:color="999999"/>
            </w:tcBorders>
          </w:tcPr>
          <w:p>
            <w:pPr>
              <w:spacing w:after="0"/>
              <w:rPr>
                <w:sz w:val="17"/>
                <w:szCs w:val="17"/>
                <w:color w:val="auto"/>
              </w:rPr>
            </w:pPr>
          </w:p>
        </w:tc>
        <w:tc>
          <w:tcPr>
            <w:tcW w:w="2900" w:type="dxa"/>
            <w:vAlign w:val="bottom"/>
            <w:tcBorders>
              <w:right w:val="single" w:sz="8" w:color="999999"/>
            </w:tcBorders>
          </w:tcPr>
          <w:p>
            <w:pPr>
              <w:spacing w:after="0"/>
              <w:rPr>
                <w:sz w:val="17"/>
                <w:szCs w:val="17"/>
                <w:color w:val="auto"/>
              </w:rPr>
            </w:pPr>
          </w:p>
        </w:tc>
        <w:tc>
          <w:tcPr>
            <w:tcW w:w="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380" w:type="dxa"/>
            <w:vAlign w:val="bottom"/>
            <w:tcBorders>
              <w:right w:val="single" w:sz="8" w:color="999999"/>
            </w:tcBorders>
          </w:tcPr>
          <w:p>
            <w:pPr>
              <w:spacing w:after="0"/>
              <w:rPr>
                <w:sz w:val="17"/>
                <w:szCs w:val="17"/>
                <w:color w:val="auto"/>
              </w:rPr>
            </w:pPr>
          </w:p>
        </w:tc>
        <w:tc>
          <w:tcPr>
            <w:tcW w:w="2540" w:type="dxa"/>
            <w:vAlign w:val="bottom"/>
            <w:tcBorders>
              <w:right w:val="single" w:sz="8" w:color="00548B"/>
            </w:tcBorders>
          </w:tcPr>
          <w:p>
            <w:pPr>
              <w:ind w:left="100"/>
              <w:spacing w:after="0"/>
              <w:rPr>
                <w:sz w:val="20"/>
                <w:szCs w:val="20"/>
                <w:color w:val="auto"/>
              </w:rPr>
            </w:pPr>
            <w:r>
              <w:rPr>
                <w:rFonts w:ascii="Arial" w:cs="Arial" w:eastAsia="Arial" w:hAnsi="Arial"/>
                <w:sz w:val="16"/>
                <w:szCs w:val="16"/>
                <w:color w:val="auto"/>
              </w:rPr>
              <w:t>If not assumed by acquirer or</w:t>
            </w:r>
          </w:p>
        </w:tc>
      </w:tr>
      <w:tr>
        <w:trPr>
          <w:trHeight w:val="189"/>
        </w:trPr>
        <w:tc>
          <w:tcPr>
            <w:tcW w:w="2980" w:type="dxa"/>
            <w:vAlign w:val="bottom"/>
            <w:tcBorders>
              <w:left w:val="single" w:sz="8" w:color="00548B"/>
              <w:right w:val="single" w:sz="8" w:color="999999"/>
            </w:tcBorders>
          </w:tcPr>
          <w:p>
            <w:pPr>
              <w:spacing w:after="0"/>
              <w:rPr>
                <w:sz w:val="16"/>
                <w:szCs w:val="16"/>
                <w:color w:val="auto"/>
              </w:rPr>
            </w:pPr>
          </w:p>
        </w:tc>
        <w:tc>
          <w:tcPr>
            <w:tcW w:w="2900" w:type="dxa"/>
            <w:vAlign w:val="bottom"/>
            <w:tcBorders>
              <w:right w:val="single" w:sz="8" w:color="999999"/>
            </w:tcBorders>
          </w:tcPr>
          <w:p>
            <w:pPr>
              <w:spacing w:after="0"/>
              <w:rPr>
                <w:sz w:val="16"/>
                <w:szCs w:val="16"/>
                <w:color w:val="auto"/>
              </w:rPr>
            </w:pPr>
          </w:p>
        </w:tc>
        <w:tc>
          <w:tcPr>
            <w:tcW w:w="80" w:type="dxa"/>
            <w:vAlign w:val="bottom"/>
          </w:tcPr>
          <w:p>
            <w:pPr>
              <w:spacing w:after="0"/>
              <w:rPr>
                <w:sz w:val="16"/>
                <w:szCs w:val="16"/>
                <w:color w:val="auto"/>
              </w:rPr>
            </w:pPr>
          </w:p>
        </w:tc>
        <w:tc>
          <w:tcPr>
            <w:tcW w:w="2540" w:type="dxa"/>
            <w:vAlign w:val="bottom"/>
            <w:tcBorders>
              <w:right w:val="single" w:sz="8" w:color="999999"/>
            </w:tcBorders>
            <w:gridSpan w:val="2"/>
          </w:tcPr>
          <w:p>
            <w:pPr>
              <w:spacing w:after="0"/>
              <w:rPr>
                <w:sz w:val="20"/>
                <w:szCs w:val="20"/>
                <w:color w:val="auto"/>
              </w:rPr>
            </w:pPr>
            <w:r>
              <w:rPr>
                <w:rFonts w:ascii="Arial" w:cs="Arial" w:eastAsia="Arial" w:hAnsi="Arial"/>
                <w:sz w:val="16"/>
                <w:szCs w:val="16"/>
                <w:color w:val="auto"/>
              </w:rPr>
              <w:t>If not assumed by acquirer or</w:t>
            </w:r>
          </w:p>
        </w:tc>
        <w:tc>
          <w:tcPr>
            <w:tcW w:w="2540" w:type="dxa"/>
            <w:vAlign w:val="bottom"/>
            <w:tcBorders>
              <w:right w:val="single" w:sz="8" w:color="00548B"/>
            </w:tcBorders>
          </w:tcPr>
          <w:p>
            <w:pPr>
              <w:ind w:left="100"/>
              <w:spacing w:after="0"/>
              <w:rPr>
                <w:sz w:val="20"/>
                <w:szCs w:val="20"/>
                <w:color w:val="auto"/>
              </w:rPr>
            </w:pPr>
            <w:r>
              <w:rPr>
                <w:rFonts w:ascii="Arial" w:cs="Arial" w:eastAsia="Arial" w:hAnsi="Arial"/>
                <w:sz w:val="16"/>
                <w:szCs w:val="16"/>
                <w:color w:val="auto"/>
              </w:rPr>
              <w:t>acquirer does not convert shares</w:t>
            </w:r>
          </w:p>
        </w:tc>
      </w:tr>
      <w:tr>
        <w:trPr>
          <w:trHeight w:val="189"/>
        </w:trPr>
        <w:tc>
          <w:tcPr>
            <w:tcW w:w="2980" w:type="dxa"/>
            <w:vAlign w:val="bottom"/>
            <w:tcBorders>
              <w:left w:val="single" w:sz="8" w:color="00548B"/>
              <w:right w:val="single" w:sz="8" w:color="999999"/>
            </w:tcBorders>
          </w:tcPr>
          <w:p>
            <w:pPr>
              <w:spacing w:after="0"/>
              <w:rPr>
                <w:sz w:val="16"/>
                <w:szCs w:val="16"/>
                <w:color w:val="auto"/>
              </w:rPr>
            </w:pPr>
          </w:p>
        </w:tc>
        <w:tc>
          <w:tcPr>
            <w:tcW w:w="2900" w:type="dxa"/>
            <w:vAlign w:val="bottom"/>
            <w:tcBorders>
              <w:right w:val="single" w:sz="8" w:color="999999"/>
            </w:tcBorders>
          </w:tcPr>
          <w:p>
            <w:pPr>
              <w:spacing w:after="0"/>
              <w:rPr>
                <w:sz w:val="16"/>
                <w:szCs w:val="16"/>
                <w:color w:val="auto"/>
              </w:rPr>
            </w:pPr>
          </w:p>
        </w:tc>
        <w:tc>
          <w:tcPr>
            <w:tcW w:w="80" w:type="dxa"/>
            <w:vAlign w:val="bottom"/>
          </w:tcPr>
          <w:p>
            <w:pPr>
              <w:spacing w:after="0"/>
              <w:rPr>
                <w:sz w:val="16"/>
                <w:szCs w:val="16"/>
                <w:color w:val="auto"/>
              </w:rPr>
            </w:pPr>
          </w:p>
        </w:tc>
        <w:tc>
          <w:tcPr>
            <w:tcW w:w="2540" w:type="dxa"/>
            <w:vAlign w:val="bottom"/>
            <w:tcBorders>
              <w:right w:val="single" w:sz="8" w:color="999999"/>
            </w:tcBorders>
            <w:gridSpan w:val="2"/>
          </w:tcPr>
          <w:p>
            <w:pPr>
              <w:spacing w:after="0"/>
              <w:rPr>
                <w:sz w:val="20"/>
                <w:szCs w:val="20"/>
                <w:color w:val="auto"/>
              </w:rPr>
            </w:pPr>
            <w:r>
              <w:rPr>
                <w:rFonts w:ascii="Arial" w:cs="Arial" w:eastAsia="Arial" w:hAnsi="Arial"/>
                <w:sz w:val="16"/>
                <w:szCs w:val="16"/>
                <w:color w:val="auto"/>
              </w:rPr>
              <w:t>acquirer does not convert earned</w:t>
            </w:r>
          </w:p>
        </w:tc>
        <w:tc>
          <w:tcPr>
            <w:tcW w:w="2540" w:type="dxa"/>
            <w:vAlign w:val="bottom"/>
            <w:tcBorders>
              <w:right w:val="single" w:sz="8" w:color="00548B"/>
            </w:tcBorders>
          </w:tcPr>
          <w:p>
            <w:pPr>
              <w:ind w:left="100"/>
              <w:spacing w:after="0"/>
              <w:rPr>
                <w:sz w:val="20"/>
                <w:szCs w:val="20"/>
                <w:color w:val="auto"/>
              </w:rPr>
            </w:pPr>
            <w:r>
              <w:rPr>
                <w:rFonts w:ascii="Arial" w:cs="Arial" w:eastAsia="Arial" w:hAnsi="Arial"/>
                <w:sz w:val="16"/>
                <w:szCs w:val="16"/>
                <w:color w:val="auto"/>
              </w:rPr>
              <w:t>into right to receive equivalent</w:t>
            </w:r>
          </w:p>
        </w:tc>
      </w:tr>
      <w:tr>
        <w:trPr>
          <w:trHeight w:val="189"/>
        </w:trPr>
        <w:tc>
          <w:tcPr>
            <w:tcW w:w="2980" w:type="dxa"/>
            <w:vAlign w:val="bottom"/>
            <w:tcBorders>
              <w:left w:val="single" w:sz="8" w:color="00548B"/>
              <w:right w:val="single" w:sz="8" w:color="999999"/>
            </w:tcBorders>
          </w:tcPr>
          <w:p>
            <w:pPr>
              <w:spacing w:after="0"/>
              <w:rPr>
                <w:sz w:val="16"/>
                <w:szCs w:val="16"/>
                <w:color w:val="auto"/>
              </w:rPr>
            </w:pPr>
          </w:p>
        </w:tc>
        <w:tc>
          <w:tcPr>
            <w:tcW w:w="2900" w:type="dxa"/>
            <w:vAlign w:val="bottom"/>
            <w:tcBorders>
              <w:right w:val="single" w:sz="8" w:color="999999"/>
            </w:tcBorders>
          </w:tcPr>
          <w:p>
            <w:pPr>
              <w:spacing w:after="0"/>
              <w:rPr>
                <w:sz w:val="16"/>
                <w:szCs w:val="16"/>
                <w:color w:val="auto"/>
              </w:rPr>
            </w:pPr>
          </w:p>
        </w:tc>
        <w:tc>
          <w:tcPr>
            <w:tcW w:w="80" w:type="dxa"/>
            <w:vAlign w:val="bottom"/>
          </w:tcPr>
          <w:p>
            <w:pPr>
              <w:spacing w:after="0"/>
              <w:rPr>
                <w:sz w:val="16"/>
                <w:szCs w:val="16"/>
                <w:color w:val="auto"/>
              </w:rPr>
            </w:pPr>
          </w:p>
        </w:tc>
        <w:tc>
          <w:tcPr>
            <w:tcW w:w="2540" w:type="dxa"/>
            <w:vAlign w:val="bottom"/>
            <w:tcBorders>
              <w:right w:val="single" w:sz="8" w:color="999999"/>
            </w:tcBorders>
            <w:gridSpan w:val="2"/>
          </w:tcPr>
          <w:p>
            <w:pPr>
              <w:spacing w:after="0"/>
              <w:rPr>
                <w:sz w:val="20"/>
                <w:szCs w:val="20"/>
                <w:color w:val="auto"/>
              </w:rPr>
            </w:pPr>
            <w:r>
              <w:rPr>
                <w:rFonts w:ascii="Arial" w:cs="Arial" w:eastAsia="Arial" w:hAnsi="Arial"/>
                <w:sz w:val="16"/>
                <w:szCs w:val="16"/>
                <w:color w:val="auto"/>
              </w:rPr>
              <w:t>shares into right to receive</w:t>
            </w:r>
          </w:p>
        </w:tc>
        <w:tc>
          <w:tcPr>
            <w:tcW w:w="2540" w:type="dxa"/>
            <w:vAlign w:val="bottom"/>
            <w:tcBorders>
              <w:right w:val="single" w:sz="8" w:color="00548B"/>
            </w:tcBorders>
          </w:tcPr>
          <w:p>
            <w:pPr>
              <w:ind w:left="100"/>
              <w:spacing w:after="0"/>
              <w:rPr>
                <w:sz w:val="20"/>
                <w:szCs w:val="20"/>
                <w:color w:val="auto"/>
              </w:rPr>
            </w:pPr>
            <w:r>
              <w:rPr>
                <w:rFonts w:ascii="Arial" w:cs="Arial" w:eastAsia="Arial" w:hAnsi="Arial"/>
                <w:sz w:val="16"/>
                <w:szCs w:val="16"/>
                <w:color w:val="auto"/>
              </w:rPr>
              <w:t>value in shares of new entity,</w:t>
            </w:r>
          </w:p>
        </w:tc>
      </w:tr>
      <w:tr>
        <w:trPr>
          <w:trHeight w:val="189"/>
        </w:trPr>
        <w:tc>
          <w:tcPr>
            <w:tcW w:w="2980" w:type="dxa"/>
            <w:vAlign w:val="bottom"/>
            <w:tcBorders>
              <w:left w:val="single" w:sz="8" w:color="00548B"/>
              <w:right w:val="single" w:sz="8" w:color="999999"/>
            </w:tcBorders>
          </w:tcPr>
          <w:p>
            <w:pPr>
              <w:spacing w:after="0"/>
              <w:rPr>
                <w:sz w:val="16"/>
                <w:szCs w:val="16"/>
                <w:color w:val="auto"/>
              </w:rPr>
            </w:pPr>
          </w:p>
        </w:tc>
        <w:tc>
          <w:tcPr>
            <w:tcW w:w="2900" w:type="dxa"/>
            <w:vAlign w:val="bottom"/>
            <w:tcBorders>
              <w:right w:val="single" w:sz="8" w:color="999999"/>
            </w:tcBorders>
          </w:tcPr>
          <w:p>
            <w:pPr>
              <w:spacing w:after="0"/>
              <w:rPr>
                <w:sz w:val="16"/>
                <w:szCs w:val="16"/>
                <w:color w:val="auto"/>
              </w:rPr>
            </w:pPr>
          </w:p>
        </w:tc>
        <w:tc>
          <w:tcPr>
            <w:tcW w:w="80" w:type="dxa"/>
            <w:vAlign w:val="bottom"/>
          </w:tcPr>
          <w:p>
            <w:pPr>
              <w:spacing w:after="0"/>
              <w:rPr>
                <w:sz w:val="16"/>
                <w:szCs w:val="16"/>
                <w:color w:val="auto"/>
              </w:rPr>
            </w:pPr>
          </w:p>
        </w:tc>
        <w:tc>
          <w:tcPr>
            <w:tcW w:w="2540" w:type="dxa"/>
            <w:vAlign w:val="bottom"/>
            <w:tcBorders>
              <w:right w:val="single" w:sz="8" w:color="999999"/>
            </w:tcBorders>
            <w:gridSpan w:val="2"/>
          </w:tcPr>
          <w:p>
            <w:pPr>
              <w:spacing w:after="0"/>
              <w:rPr>
                <w:sz w:val="20"/>
                <w:szCs w:val="20"/>
                <w:color w:val="auto"/>
              </w:rPr>
            </w:pPr>
            <w:r>
              <w:rPr>
                <w:rFonts w:ascii="Arial" w:cs="Arial" w:eastAsia="Arial" w:hAnsi="Arial"/>
                <w:sz w:val="16"/>
                <w:szCs w:val="16"/>
                <w:color w:val="auto"/>
              </w:rPr>
              <w:t>equivalent value in shares of new</w:t>
            </w:r>
          </w:p>
        </w:tc>
        <w:tc>
          <w:tcPr>
            <w:tcW w:w="2540" w:type="dxa"/>
            <w:vAlign w:val="bottom"/>
            <w:tcBorders>
              <w:right w:val="single" w:sz="8" w:color="00548B"/>
            </w:tcBorders>
          </w:tcPr>
          <w:p>
            <w:pPr>
              <w:ind w:left="100"/>
              <w:spacing w:after="0"/>
              <w:rPr>
                <w:sz w:val="20"/>
                <w:szCs w:val="20"/>
                <w:color w:val="auto"/>
              </w:rPr>
            </w:pPr>
            <w:r>
              <w:rPr>
                <w:rFonts w:ascii="Arial" w:cs="Arial" w:eastAsia="Arial" w:hAnsi="Arial"/>
                <w:sz w:val="16"/>
                <w:szCs w:val="16"/>
                <w:color w:val="auto"/>
              </w:rPr>
              <w:t>then PSUs will vest at target if</w:t>
            </w:r>
          </w:p>
        </w:tc>
      </w:tr>
      <w:tr>
        <w:trPr>
          <w:trHeight w:val="189"/>
        </w:trPr>
        <w:tc>
          <w:tcPr>
            <w:tcW w:w="2980" w:type="dxa"/>
            <w:vAlign w:val="bottom"/>
            <w:tcBorders>
              <w:left w:val="single" w:sz="8" w:color="00548B"/>
              <w:right w:val="single" w:sz="8" w:color="999999"/>
            </w:tcBorders>
          </w:tcPr>
          <w:p>
            <w:pPr>
              <w:spacing w:after="0"/>
              <w:rPr>
                <w:sz w:val="16"/>
                <w:szCs w:val="16"/>
                <w:color w:val="auto"/>
              </w:rPr>
            </w:pPr>
          </w:p>
        </w:tc>
        <w:tc>
          <w:tcPr>
            <w:tcW w:w="2900" w:type="dxa"/>
            <w:vAlign w:val="bottom"/>
            <w:tcBorders>
              <w:right w:val="single" w:sz="8" w:color="999999"/>
            </w:tcBorders>
          </w:tcPr>
          <w:p>
            <w:pPr>
              <w:spacing w:after="0"/>
              <w:rPr>
                <w:sz w:val="16"/>
                <w:szCs w:val="16"/>
                <w:color w:val="auto"/>
              </w:rPr>
            </w:pPr>
          </w:p>
        </w:tc>
        <w:tc>
          <w:tcPr>
            <w:tcW w:w="80" w:type="dxa"/>
            <w:vAlign w:val="bottom"/>
          </w:tcPr>
          <w:p>
            <w:pPr>
              <w:spacing w:after="0"/>
              <w:rPr>
                <w:sz w:val="16"/>
                <w:szCs w:val="16"/>
                <w:color w:val="auto"/>
              </w:rPr>
            </w:pPr>
          </w:p>
        </w:tc>
        <w:tc>
          <w:tcPr>
            <w:tcW w:w="2540" w:type="dxa"/>
            <w:vAlign w:val="bottom"/>
            <w:tcBorders>
              <w:right w:val="single" w:sz="8" w:color="999999"/>
            </w:tcBorders>
            <w:gridSpan w:val="2"/>
          </w:tcPr>
          <w:p>
            <w:pPr>
              <w:spacing w:after="0"/>
              <w:rPr>
                <w:sz w:val="20"/>
                <w:szCs w:val="20"/>
                <w:color w:val="auto"/>
              </w:rPr>
            </w:pPr>
            <w:r>
              <w:rPr>
                <w:rFonts w:ascii="Arial" w:cs="Arial" w:eastAsia="Arial" w:hAnsi="Arial"/>
                <w:sz w:val="16"/>
                <w:szCs w:val="16"/>
                <w:color w:val="auto"/>
              </w:rPr>
              <w:t>entity, then 100% of shares will</w:t>
            </w:r>
          </w:p>
        </w:tc>
        <w:tc>
          <w:tcPr>
            <w:tcW w:w="2540" w:type="dxa"/>
            <w:vAlign w:val="bottom"/>
            <w:tcBorders>
              <w:right w:val="single" w:sz="8" w:color="00548B"/>
            </w:tcBorders>
          </w:tcPr>
          <w:p>
            <w:pPr>
              <w:ind w:left="100"/>
              <w:spacing w:after="0"/>
              <w:rPr>
                <w:sz w:val="20"/>
                <w:szCs w:val="20"/>
                <w:color w:val="auto"/>
              </w:rPr>
            </w:pPr>
            <w:r>
              <w:rPr>
                <w:rFonts w:ascii="Arial" w:cs="Arial" w:eastAsia="Arial" w:hAnsi="Arial"/>
                <w:sz w:val="16"/>
                <w:szCs w:val="16"/>
                <w:color w:val="auto"/>
              </w:rPr>
              <w:t>the COC occurs during the</w:t>
            </w:r>
          </w:p>
        </w:tc>
      </w:tr>
      <w:tr>
        <w:trPr>
          <w:trHeight w:val="189"/>
        </w:trPr>
        <w:tc>
          <w:tcPr>
            <w:tcW w:w="2980" w:type="dxa"/>
            <w:vAlign w:val="bottom"/>
            <w:tcBorders>
              <w:left w:val="single" w:sz="8" w:color="00548B"/>
              <w:right w:val="single" w:sz="8" w:color="999999"/>
            </w:tcBorders>
          </w:tcPr>
          <w:p>
            <w:pPr>
              <w:spacing w:after="0"/>
              <w:rPr>
                <w:sz w:val="16"/>
                <w:szCs w:val="16"/>
                <w:color w:val="auto"/>
              </w:rPr>
            </w:pPr>
          </w:p>
        </w:tc>
        <w:tc>
          <w:tcPr>
            <w:tcW w:w="2900" w:type="dxa"/>
            <w:vAlign w:val="bottom"/>
            <w:tcBorders>
              <w:right w:val="single" w:sz="8" w:color="999999"/>
            </w:tcBorders>
          </w:tcPr>
          <w:p>
            <w:pPr>
              <w:spacing w:after="0"/>
              <w:rPr>
                <w:sz w:val="16"/>
                <w:szCs w:val="16"/>
                <w:color w:val="auto"/>
              </w:rPr>
            </w:pPr>
          </w:p>
        </w:tc>
        <w:tc>
          <w:tcPr>
            <w:tcW w:w="80" w:type="dxa"/>
            <w:vAlign w:val="bottom"/>
          </w:tcPr>
          <w:p>
            <w:pPr>
              <w:spacing w:after="0"/>
              <w:rPr>
                <w:sz w:val="16"/>
                <w:szCs w:val="16"/>
                <w:color w:val="auto"/>
              </w:rPr>
            </w:pPr>
          </w:p>
        </w:tc>
        <w:tc>
          <w:tcPr>
            <w:tcW w:w="2540" w:type="dxa"/>
            <w:vAlign w:val="bottom"/>
            <w:tcBorders>
              <w:right w:val="single" w:sz="8" w:color="999999"/>
            </w:tcBorders>
            <w:gridSpan w:val="2"/>
          </w:tcPr>
          <w:p>
            <w:pPr>
              <w:spacing w:after="0"/>
              <w:rPr>
                <w:sz w:val="20"/>
                <w:szCs w:val="20"/>
                <w:color w:val="auto"/>
              </w:rPr>
            </w:pPr>
            <w:r>
              <w:rPr>
                <w:rFonts w:ascii="Arial" w:cs="Arial" w:eastAsia="Arial" w:hAnsi="Arial"/>
                <w:sz w:val="16"/>
                <w:szCs w:val="16"/>
                <w:color w:val="auto"/>
              </w:rPr>
              <w:t>vest (at the greater of target or</w:t>
            </w:r>
          </w:p>
        </w:tc>
        <w:tc>
          <w:tcPr>
            <w:tcW w:w="2540" w:type="dxa"/>
            <w:vAlign w:val="bottom"/>
            <w:tcBorders>
              <w:right w:val="single" w:sz="8" w:color="00548B"/>
            </w:tcBorders>
          </w:tcPr>
          <w:p>
            <w:pPr>
              <w:ind w:left="100"/>
              <w:spacing w:after="0"/>
              <w:rPr>
                <w:sz w:val="20"/>
                <w:szCs w:val="20"/>
                <w:color w:val="auto"/>
              </w:rPr>
            </w:pPr>
            <w:r>
              <w:rPr>
                <w:rFonts w:ascii="Arial" w:cs="Arial" w:eastAsia="Arial" w:hAnsi="Arial"/>
                <w:sz w:val="16"/>
                <w:szCs w:val="16"/>
                <w:color w:val="auto"/>
              </w:rPr>
              <w:t>performance period or at the</w:t>
            </w:r>
          </w:p>
        </w:tc>
      </w:tr>
      <w:tr>
        <w:trPr>
          <w:trHeight w:val="189"/>
        </w:trPr>
        <w:tc>
          <w:tcPr>
            <w:tcW w:w="2980" w:type="dxa"/>
            <w:vAlign w:val="bottom"/>
            <w:tcBorders>
              <w:left w:val="single" w:sz="8" w:color="00548B"/>
              <w:right w:val="single" w:sz="8" w:color="999999"/>
            </w:tcBorders>
          </w:tcPr>
          <w:p>
            <w:pPr>
              <w:spacing w:after="0"/>
              <w:rPr>
                <w:sz w:val="16"/>
                <w:szCs w:val="16"/>
                <w:color w:val="auto"/>
              </w:rPr>
            </w:pPr>
          </w:p>
        </w:tc>
        <w:tc>
          <w:tcPr>
            <w:tcW w:w="2900" w:type="dxa"/>
            <w:vAlign w:val="bottom"/>
            <w:tcBorders>
              <w:right w:val="single" w:sz="8" w:color="999999"/>
            </w:tcBorders>
          </w:tcPr>
          <w:p>
            <w:pPr>
              <w:spacing w:after="0"/>
              <w:rPr>
                <w:sz w:val="16"/>
                <w:szCs w:val="16"/>
                <w:color w:val="auto"/>
              </w:rPr>
            </w:pPr>
          </w:p>
        </w:tc>
        <w:tc>
          <w:tcPr>
            <w:tcW w:w="80" w:type="dxa"/>
            <w:vAlign w:val="bottom"/>
          </w:tcPr>
          <w:p>
            <w:pPr>
              <w:spacing w:after="0"/>
              <w:rPr>
                <w:sz w:val="16"/>
                <w:szCs w:val="16"/>
                <w:color w:val="auto"/>
              </w:rPr>
            </w:pPr>
          </w:p>
        </w:tc>
        <w:tc>
          <w:tcPr>
            <w:tcW w:w="2540" w:type="dxa"/>
            <w:vAlign w:val="bottom"/>
            <w:tcBorders>
              <w:right w:val="single" w:sz="8" w:color="999999"/>
            </w:tcBorders>
            <w:gridSpan w:val="2"/>
          </w:tcPr>
          <w:p>
            <w:pPr>
              <w:spacing w:after="0"/>
              <w:rPr>
                <w:sz w:val="20"/>
                <w:szCs w:val="20"/>
                <w:color w:val="auto"/>
              </w:rPr>
            </w:pPr>
            <w:r>
              <w:rPr>
                <w:rFonts w:ascii="Arial" w:cs="Arial" w:eastAsia="Arial" w:hAnsi="Arial"/>
                <w:sz w:val="16"/>
                <w:szCs w:val="16"/>
                <w:color w:val="auto"/>
              </w:rPr>
              <w:t>level dictated by actual</w:t>
            </w:r>
          </w:p>
        </w:tc>
        <w:tc>
          <w:tcPr>
            <w:tcW w:w="2540" w:type="dxa"/>
            <w:vAlign w:val="bottom"/>
            <w:tcBorders>
              <w:right w:val="single" w:sz="8" w:color="00548B"/>
            </w:tcBorders>
          </w:tcPr>
          <w:p>
            <w:pPr>
              <w:ind w:left="100"/>
              <w:spacing w:after="0"/>
              <w:rPr>
                <w:sz w:val="20"/>
                <w:szCs w:val="20"/>
                <w:color w:val="auto"/>
              </w:rPr>
            </w:pPr>
            <w:r>
              <w:rPr>
                <w:rFonts w:ascii="Arial" w:cs="Arial" w:eastAsia="Arial" w:hAnsi="Arial"/>
                <w:sz w:val="16"/>
                <w:szCs w:val="16"/>
                <w:color w:val="auto"/>
              </w:rPr>
              <w:t>level dictated by actual</w:t>
            </w:r>
          </w:p>
        </w:tc>
      </w:tr>
      <w:tr>
        <w:trPr>
          <w:trHeight w:val="189"/>
        </w:trPr>
        <w:tc>
          <w:tcPr>
            <w:tcW w:w="2980" w:type="dxa"/>
            <w:vAlign w:val="bottom"/>
            <w:tcBorders>
              <w:left w:val="single" w:sz="8" w:color="00548B"/>
              <w:right w:val="single" w:sz="8" w:color="999999"/>
            </w:tcBorders>
          </w:tcPr>
          <w:p>
            <w:pPr>
              <w:spacing w:after="0"/>
              <w:rPr>
                <w:sz w:val="16"/>
                <w:szCs w:val="16"/>
                <w:color w:val="auto"/>
              </w:rPr>
            </w:pPr>
          </w:p>
        </w:tc>
        <w:tc>
          <w:tcPr>
            <w:tcW w:w="2900" w:type="dxa"/>
            <w:vAlign w:val="bottom"/>
            <w:tcBorders>
              <w:right w:val="single" w:sz="8" w:color="999999"/>
            </w:tcBorders>
          </w:tcPr>
          <w:p>
            <w:pPr>
              <w:spacing w:after="0"/>
              <w:rPr>
                <w:sz w:val="16"/>
                <w:szCs w:val="16"/>
                <w:color w:val="auto"/>
              </w:rPr>
            </w:pPr>
          </w:p>
        </w:tc>
        <w:tc>
          <w:tcPr>
            <w:tcW w:w="80" w:type="dxa"/>
            <w:vAlign w:val="bottom"/>
          </w:tcPr>
          <w:p>
            <w:pPr>
              <w:spacing w:after="0"/>
              <w:rPr>
                <w:sz w:val="16"/>
                <w:szCs w:val="16"/>
                <w:color w:val="auto"/>
              </w:rPr>
            </w:pPr>
          </w:p>
        </w:tc>
        <w:tc>
          <w:tcPr>
            <w:tcW w:w="2540" w:type="dxa"/>
            <w:vAlign w:val="bottom"/>
            <w:tcBorders>
              <w:right w:val="single" w:sz="8" w:color="999999"/>
            </w:tcBorders>
            <w:gridSpan w:val="2"/>
          </w:tcPr>
          <w:p>
            <w:pPr>
              <w:spacing w:after="0"/>
              <w:rPr>
                <w:sz w:val="20"/>
                <w:szCs w:val="20"/>
                <w:color w:val="auto"/>
              </w:rPr>
            </w:pPr>
            <w:r>
              <w:rPr>
                <w:rFonts w:ascii="Arial" w:cs="Arial" w:eastAsia="Arial" w:hAnsi="Arial"/>
                <w:sz w:val="16"/>
                <w:szCs w:val="16"/>
                <w:color w:val="auto"/>
              </w:rPr>
              <w:t>performance) and one share of</w:t>
            </w:r>
          </w:p>
        </w:tc>
        <w:tc>
          <w:tcPr>
            <w:tcW w:w="2540" w:type="dxa"/>
            <w:vAlign w:val="bottom"/>
            <w:tcBorders>
              <w:right w:val="single" w:sz="8" w:color="00548B"/>
            </w:tcBorders>
          </w:tcPr>
          <w:p>
            <w:pPr>
              <w:ind w:left="100"/>
              <w:spacing w:after="0"/>
              <w:rPr>
                <w:sz w:val="20"/>
                <w:szCs w:val="20"/>
                <w:color w:val="auto"/>
              </w:rPr>
            </w:pPr>
            <w:r>
              <w:rPr>
                <w:rFonts w:ascii="Arial" w:cs="Arial" w:eastAsia="Arial" w:hAnsi="Arial"/>
                <w:sz w:val="16"/>
                <w:szCs w:val="16"/>
                <w:color w:val="auto"/>
              </w:rPr>
              <w:t>performance if the COC occurs</w:t>
            </w:r>
          </w:p>
        </w:tc>
      </w:tr>
      <w:tr>
        <w:trPr>
          <w:trHeight w:val="189"/>
        </w:trPr>
        <w:tc>
          <w:tcPr>
            <w:tcW w:w="2980" w:type="dxa"/>
            <w:vAlign w:val="bottom"/>
            <w:tcBorders>
              <w:left w:val="single" w:sz="8" w:color="00548B"/>
              <w:right w:val="single" w:sz="8" w:color="999999"/>
            </w:tcBorders>
          </w:tcPr>
          <w:p>
            <w:pPr>
              <w:spacing w:after="0"/>
              <w:rPr>
                <w:sz w:val="16"/>
                <w:szCs w:val="16"/>
                <w:color w:val="auto"/>
              </w:rPr>
            </w:pPr>
          </w:p>
        </w:tc>
        <w:tc>
          <w:tcPr>
            <w:tcW w:w="2900" w:type="dxa"/>
            <w:vAlign w:val="bottom"/>
            <w:tcBorders>
              <w:right w:val="single" w:sz="8" w:color="999999"/>
            </w:tcBorders>
          </w:tcPr>
          <w:p>
            <w:pPr>
              <w:spacing w:after="0"/>
              <w:rPr>
                <w:sz w:val="16"/>
                <w:szCs w:val="16"/>
                <w:color w:val="auto"/>
              </w:rPr>
            </w:pPr>
          </w:p>
        </w:tc>
        <w:tc>
          <w:tcPr>
            <w:tcW w:w="80" w:type="dxa"/>
            <w:vAlign w:val="bottom"/>
          </w:tcPr>
          <w:p>
            <w:pPr>
              <w:spacing w:after="0"/>
              <w:rPr>
                <w:sz w:val="16"/>
                <w:szCs w:val="16"/>
                <w:color w:val="auto"/>
              </w:rPr>
            </w:pPr>
          </w:p>
        </w:tc>
        <w:tc>
          <w:tcPr>
            <w:tcW w:w="2540" w:type="dxa"/>
            <w:vAlign w:val="bottom"/>
            <w:tcBorders>
              <w:right w:val="single" w:sz="8" w:color="999999"/>
            </w:tcBorders>
            <w:gridSpan w:val="2"/>
          </w:tcPr>
          <w:p>
            <w:pPr>
              <w:spacing w:after="0"/>
              <w:rPr>
                <w:sz w:val="20"/>
                <w:szCs w:val="20"/>
                <w:color w:val="auto"/>
              </w:rPr>
            </w:pPr>
            <w:r>
              <w:rPr>
                <w:rFonts w:ascii="Arial" w:cs="Arial" w:eastAsia="Arial" w:hAnsi="Arial"/>
                <w:sz w:val="16"/>
                <w:szCs w:val="16"/>
                <w:color w:val="auto"/>
              </w:rPr>
              <w:t>Company common stock will be</w:t>
            </w:r>
          </w:p>
        </w:tc>
        <w:tc>
          <w:tcPr>
            <w:tcW w:w="2540" w:type="dxa"/>
            <w:vAlign w:val="bottom"/>
            <w:tcBorders>
              <w:right w:val="single" w:sz="8" w:color="00548B"/>
            </w:tcBorders>
          </w:tcPr>
          <w:p>
            <w:pPr>
              <w:ind w:left="100"/>
              <w:spacing w:after="0"/>
              <w:rPr>
                <w:sz w:val="20"/>
                <w:szCs w:val="20"/>
                <w:color w:val="auto"/>
              </w:rPr>
            </w:pPr>
            <w:r>
              <w:rPr>
                <w:rFonts w:ascii="Arial" w:cs="Arial" w:eastAsia="Arial" w:hAnsi="Arial"/>
                <w:sz w:val="16"/>
                <w:szCs w:val="16"/>
                <w:color w:val="auto"/>
              </w:rPr>
              <w:t>after the performance period and</w:t>
            </w:r>
          </w:p>
        </w:tc>
      </w:tr>
      <w:tr>
        <w:trPr>
          <w:trHeight w:val="189"/>
        </w:trPr>
        <w:tc>
          <w:tcPr>
            <w:tcW w:w="2980" w:type="dxa"/>
            <w:vAlign w:val="bottom"/>
            <w:tcBorders>
              <w:left w:val="single" w:sz="8" w:color="00548B"/>
              <w:right w:val="single" w:sz="8" w:color="999999"/>
            </w:tcBorders>
          </w:tcPr>
          <w:p>
            <w:pPr>
              <w:spacing w:after="0"/>
              <w:rPr>
                <w:sz w:val="16"/>
                <w:szCs w:val="16"/>
                <w:color w:val="auto"/>
              </w:rPr>
            </w:pPr>
          </w:p>
        </w:tc>
        <w:tc>
          <w:tcPr>
            <w:tcW w:w="2900" w:type="dxa"/>
            <w:vAlign w:val="bottom"/>
            <w:tcBorders>
              <w:right w:val="single" w:sz="8" w:color="999999"/>
            </w:tcBorders>
          </w:tcPr>
          <w:p>
            <w:pPr>
              <w:spacing w:after="0"/>
              <w:rPr>
                <w:sz w:val="16"/>
                <w:szCs w:val="16"/>
                <w:color w:val="auto"/>
              </w:rPr>
            </w:pPr>
          </w:p>
        </w:tc>
        <w:tc>
          <w:tcPr>
            <w:tcW w:w="80" w:type="dxa"/>
            <w:vAlign w:val="bottom"/>
          </w:tcPr>
          <w:p>
            <w:pPr>
              <w:spacing w:after="0"/>
              <w:rPr>
                <w:sz w:val="16"/>
                <w:szCs w:val="16"/>
                <w:color w:val="auto"/>
              </w:rPr>
            </w:pPr>
          </w:p>
        </w:tc>
        <w:tc>
          <w:tcPr>
            <w:tcW w:w="2540" w:type="dxa"/>
            <w:vAlign w:val="bottom"/>
            <w:tcBorders>
              <w:right w:val="single" w:sz="8" w:color="999999"/>
            </w:tcBorders>
            <w:gridSpan w:val="2"/>
          </w:tcPr>
          <w:p>
            <w:pPr>
              <w:spacing w:after="0"/>
              <w:rPr>
                <w:sz w:val="20"/>
                <w:szCs w:val="20"/>
                <w:color w:val="auto"/>
              </w:rPr>
            </w:pPr>
            <w:r>
              <w:rPr>
                <w:rFonts w:ascii="Arial" w:cs="Arial" w:eastAsia="Arial" w:hAnsi="Arial"/>
                <w:sz w:val="16"/>
                <w:szCs w:val="16"/>
                <w:color w:val="auto"/>
              </w:rPr>
              <w:t>exchanged for each PSU and such</w:t>
            </w:r>
          </w:p>
        </w:tc>
        <w:tc>
          <w:tcPr>
            <w:tcW w:w="2540" w:type="dxa"/>
            <w:vAlign w:val="bottom"/>
            <w:tcBorders>
              <w:right w:val="single" w:sz="8" w:color="00548B"/>
            </w:tcBorders>
          </w:tcPr>
          <w:p>
            <w:pPr>
              <w:ind w:left="100"/>
              <w:spacing w:after="0"/>
              <w:rPr>
                <w:sz w:val="20"/>
                <w:szCs w:val="20"/>
                <w:color w:val="auto"/>
              </w:rPr>
            </w:pPr>
            <w:r>
              <w:rPr>
                <w:rFonts w:ascii="Arial" w:cs="Arial" w:eastAsia="Arial" w:hAnsi="Arial"/>
                <w:sz w:val="16"/>
                <w:szCs w:val="16"/>
                <w:color w:val="auto"/>
              </w:rPr>
              <w:t>one share of Company common</w:t>
            </w:r>
          </w:p>
        </w:tc>
      </w:tr>
      <w:tr>
        <w:trPr>
          <w:trHeight w:val="189"/>
        </w:trPr>
        <w:tc>
          <w:tcPr>
            <w:tcW w:w="2980" w:type="dxa"/>
            <w:vAlign w:val="bottom"/>
            <w:tcBorders>
              <w:left w:val="single" w:sz="8" w:color="00548B"/>
              <w:right w:val="single" w:sz="8" w:color="999999"/>
            </w:tcBorders>
          </w:tcPr>
          <w:p>
            <w:pPr>
              <w:spacing w:after="0"/>
              <w:rPr>
                <w:sz w:val="16"/>
                <w:szCs w:val="16"/>
                <w:color w:val="auto"/>
              </w:rPr>
            </w:pPr>
          </w:p>
        </w:tc>
        <w:tc>
          <w:tcPr>
            <w:tcW w:w="2900" w:type="dxa"/>
            <w:vAlign w:val="bottom"/>
            <w:tcBorders>
              <w:right w:val="single" w:sz="8" w:color="999999"/>
            </w:tcBorders>
          </w:tcPr>
          <w:p>
            <w:pPr>
              <w:spacing w:after="0"/>
              <w:rPr>
                <w:sz w:val="16"/>
                <w:szCs w:val="16"/>
                <w:color w:val="auto"/>
              </w:rPr>
            </w:pPr>
          </w:p>
        </w:tc>
        <w:tc>
          <w:tcPr>
            <w:tcW w:w="80" w:type="dxa"/>
            <w:vAlign w:val="bottom"/>
          </w:tcPr>
          <w:p>
            <w:pPr>
              <w:spacing w:after="0"/>
              <w:rPr>
                <w:sz w:val="16"/>
                <w:szCs w:val="16"/>
                <w:color w:val="auto"/>
              </w:rPr>
            </w:pPr>
          </w:p>
        </w:tc>
        <w:tc>
          <w:tcPr>
            <w:tcW w:w="2540" w:type="dxa"/>
            <w:vAlign w:val="bottom"/>
            <w:tcBorders>
              <w:right w:val="single" w:sz="8" w:color="999999"/>
            </w:tcBorders>
            <w:gridSpan w:val="2"/>
          </w:tcPr>
          <w:p>
            <w:pPr>
              <w:spacing w:after="0"/>
              <w:rPr>
                <w:sz w:val="20"/>
                <w:szCs w:val="20"/>
                <w:color w:val="auto"/>
              </w:rPr>
            </w:pPr>
            <w:r>
              <w:rPr>
                <w:rFonts w:ascii="Arial" w:cs="Arial" w:eastAsia="Arial" w:hAnsi="Arial"/>
                <w:sz w:val="16"/>
                <w:szCs w:val="16"/>
                <w:color w:val="auto"/>
              </w:rPr>
              <w:t>common stock will receive the</w:t>
            </w:r>
          </w:p>
        </w:tc>
        <w:tc>
          <w:tcPr>
            <w:tcW w:w="2540" w:type="dxa"/>
            <w:vAlign w:val="bottom"/>
            <w:tcBorders>
              <w:right w:val="single" w:sz="8" w:color="00548B"/>
            </w:tcBorders>
          </w:tcPr>
          <w:p>
            <w:pPr>
              <w:ind w:left="100"/>
              <w:spacing w:after="0"/>
              <w:rPr>
                <w:sz w:val="20"/>
                <w:szCs w:val="20"/>
                <w:color w:val="auto"/>
              </w:rPr>
            </w:pPr>
            <w:r>
              <w:rPr>
                <w:rFonts w:ascii="Arial" w:cs="Arial" w:eastAsia="Arial" w:hAnsi="Arial"/>
                <w:sz w:val="16"/>
                <w:szCs w:val="16"/>
                <w:color w:val="auto"/>
              </w:rPr>
              <w:t>stock will be exchanged for each</w:t>
            </w:r>
          </w:p>
        </w:tc>
      </w:tr>
      <w:tr>
        <w:trPr>
          <w:trHeight w:val="189"/>
        </w:trPr>
        <w:tc>
          <w:tcPr>
            <w:tcW w:w="2980" w:type="dxa"/>
            <w:vAlign w:val="bottom"/>
            <w:tcBorders>
              <w:left w:val="single" w:sz="8" w:color="00548B"/>
              <w:right w:val="single" w:sz="8" w:color="999999"/>
            </w:tcBorders>
          </w:tcPr>
          <w:p>
            <w:pPr>
              <w:spacing w:after="0"/>
              <w:rPr>
                <w:sz w:val="16"/>
                <w:szCs w:val="16"/>
                <w:color w:val="auto"/>
              </w:rPr>
            </w:pPr>
          </w:p>
        </w:tc>
        <w:tc>
          <w:tcPr>
            <w:tcW w:w="2900" w:type="dxa"/>
            <w:vAlign w:val="bottom"/>
            <w:tcBorders>
              <w:right w:val="single" w:sz="8" w:color="999999"/>
            </w:tcBorders>
          </w:tcPr>
          <w:p>
            <w:pPr>
              <w:spacing w:after="0"/>
              <w:rPr>
                <w:sz w:val="16"/>
                <w:szCs w:val="16"/>
                <w:color w:val="auto"/>
              </w:rPr>
            </w:pPr>
          </w:p>
        </w:tc>
        <w:tc>
          <w:tcPr>
            <w:tcW w:w="80" w:type="dxa"/>
            <w:vAlign w:val="bottom"/>
          </w:tcPr>
          <w:p>
            <w:pPr>
              <w:spacing w:after="0"/>
              <w:rPr>
                <w:sz w:val="16"/>
                <w:szCs w:val="16"/>
                <w:color w:val="auto"/>
              </w:rPr>
            </w:pPr>
          </w:p>
        </w:tc>
        <w:tc>
          <w:tcPr>
            <w:tcW w:w="2540" w:type="dxa"/>
            <w:vAlign w:val="bottom"/>
            <w:tcBorders>
              <w:right w:val="single" w:sz="8" w:color="999999"/>
            </w:tcBorders>
            <w:gridSpan w:val="2"/>
          </w:tcPr>
          <w:p>
            <w:pPr>
              <w:spacing w:after="0"/>
              <w:rPr>
                <w:sz w:val="20"/>
                <w:szCs w:val="20"/>
                <w:color w:val="auto"/>
              </w:rPr>
            </w:pPr>
            <w:r>
              <w:rPr>
                <w:rFonts w:ascii="Arial" w:cs="Arial" w:eastAsia="Arial" w:hAnsi="Arial"/>
                <w:sz w:val="16"/>
                <w:szCs w:val="16"/>
                <w:color w:val="auto"/>
              </w:rPr>
              <w:t>consideration paid by the acquirer</w:t>
            </w:r>
          </w:p>
        </w:tc>
        <w:tc>
          <w:tcPr>
            <w:tcW w:w="2540" w:type="dxa"/>
            <w:vAlign w:val="bottom"/>
            <w:tcBorders>
              <w:right w:val="single" w:sz="8" w:color="00548B"/>
            </w:tcBorders>
          </w:tcPr>
          <w:p>
            <w:pPr>
              <w:ind w:left="100"/>
              <w:spacing w:after="0"/>
              <w:rPr>
                <w:sz w:val="20"/>
                <w:szCs w:val="20"/>
                <w:color w:val="auto"/>
              </w:rPr>
            </w:pPr>
            <w:r>
              <w:rPr>
                <w:rFonts w:ascii="Arial" w:cs="Arial" w:eastAsia="Arial" w:hAnsi="Arial"/>
                <w:sz w:val="16"/>
                <w:szCs w:val="16"/>
                <w:color w:val="auto"/>
              </w:rPr>
              <w:t>PSU and such common stock</w:t>
            </w:r>
          </w:p>
        </w:tc>
      </w:tr>
      <w:tr>
        <w:trPr>
          <w:trHeight w:val="189"/>
        </w:trPr>
        <w:tc>
          <w:tcPr>
            <w:tcW w:w="2980" w:type="dxa"/>
            <w:vAlign w:val="bottom"/>
            <w:tcBorders>
              <w:left w:val="single" w:sz="8" w:color="00548B"/>
              <w:right w:val="single" w:sz="8" w:color="999999"/>
            </w:tcBorders>
          </w:tcPr>
          <w:p>
            <w:pPr>
              <w:spacing w:after="0"/>
              <w:rPr>
                <w:sz w:val="16"/>
                <w:szCs w:val="16"/>
                <w:color w:val="auto"/>
              </w:rPr>
            </w:pPr>
          </w:p>
        </w:tc>
        <w:tc>
          <w:tcPr>
            <w:tcW w:w="2900" w:type="dxa"/>
            <w:vAlign w:val="bottom"/>
            <w:tcBorders>
              <w:right w:val="single" w:sz="8" w:color="999999"/>
            </w:tcBorders>
          </w:tcPr>
          <w:p>
            <w:pPr>
              <w:spacing w:after="0"/>
              <w:rPr>
                <w:sz w:val="16"/>
                <w:szCs w:val="16"/>
                <w:color w:val="auto"/>
              </w:rPr>
            </w:pPr>
          </w:p>
        </w:tc>
        <w:tc>
          <w:tcPr>
            <w:tcW w:w="80" w:type="dxa"/>
            <w:vAlign w:val="bottom"/>
          </w:tcPr>
          <w:p>
            <w:pPr>
              <w:spacing w:after="0"/>
              <w:rPr>
                <w:sz w:val="16"/>
                <w:szCs w:val="16"/>
                <w:color w:val="auto"/>
              </w:rPr>
            </w:pPr>
          </w:p>
        </w:tc>
        <w:tc>
          <w:tcPr>
            <w:tcW w:w="2540" w:type="dxa"/>
            <w:vAlign w:val="bottom"/>
            <w:tcBorders>
              <w:right w:val="single" w:sz="8" w:color="999999"/>
            </w:tcBorders>
            <w:gridSpan w:val="2"/>
          </w:tcPr>
          <w:p>
            <w:pPr>
              <w:spacing w:after="0"/>
              <w:rPr>
                <w:sz w:val="20"/>
                <w:szCs w:val="20"/>
                <w:color w:val="auto"/>
              </w:rPr>
            </w:pPr>
            <w:r>
              <w:rPr>
                <w:rFonts w:ascii="Arial" w:cs="Arial" w:eastAsia="Arial" w:hAnsi="Arial"/>
                <w:sz w:val="16"/>
                <w:szCs w:val="16"/>
                <w:color w:val="auto"/>
              </w:rPr>
              <w:t>in the COC.</w:t>
            </w:r>
          </w:p>
        </w:tc>
        <w:tc>
          <w:tcPr>
            <w:tcW w:w="2540" w:type="dxa"/>
            <w:vAlign w:val="bottom"/>
            <w:tcBorders>
              <w:right w:val="single" w:sz="8" w:color="00548B"/>
            </w:tcBorders>
          </w:tcPr>
          <w:p>
            <w:pPr>
              <w:ind w:left="100"/>
              <w:spacing w:after="0"/>
              <w:rPr>
                <w:sz w:val="20"/>
                <w:szCs w:val="20"/>
                <w:color w:val="auto"/>
              </w:rPr>
            </w:pPr>
            <w:r>
              <w:rPr>
                <w:rFonts w:ascii="Arial" w:cs="Arial" w:eastAsia="Arial" w:hAnsi="Arial"/>
                <w:sz w:val="16"/>
                <w:szCs w:val="16"/>
                <w:color w:val="auto"/>
              </w:rPr>
              <w:t>will receive the consideration</w:t>
            </w:r>
          </w:p>
        </w:tc>
      </w:tr>
      <w:tr>
        <w:trPr>
          <w:trHeight w:val="198"/>
        </w:trPr>
        <w:tc>
          <w:tcPr>
            <w:tcW w:w="2980" w:type="dxa"/>
            <w:vAlign w:val="bottom"/>
            <w:tcBorders>
              <w:left w:val="single" w:sz="8" w:color="00548B"/>
              <w:bottom w:val="single" w:sz="8" w:color="999999"/>
              <w:right w:val="single" w:sz="8" w:color="999999"/>
            </w:tcBorders>
          </w:tcPr>
          <w:p>
            <w:pPr>
              <w:spacing w:after="0"/>
              <w:rPr>
                <w:sz w:val="17"/>
                <w:szCs w:val="17"/>
                <w:color w:val="auto"/>
              </w:rPr>
            </w:pPr>
          </w:p>
        </w:tc>
        <w:tc>
          <w:tcPr>
            <w:tcW w:w="2900" w:type="dxa"/>
            <w:vAlign w:val="bottom"/>
            <w:tcBorders>
              <w:bottom w:val="single" w:sz="8" w:color="999999"/>
              <w:right w:val="single" w:sz="8" w:color="999999"/>
            </w:tcBorders>
          </w:tcPr>
          <w:p>
            <w:pPr>
              <w:spacing w:after="0"/>
              <w:rPr>
                <w:sz w:val="17"/>
                <w:szCs w:val="17"/>
                <w:color w:val="auto"/>
              </w:rPr>
            </w:pPr>
          </w:p>
        </w:tc>
        <w:tc>
          <w:tcPr>
            <w:tcW w:w="80" w:type="dxa"/>
            <w:vAlign w:val="bottom"/>
            <w:tcBorders>
              <w:bottom w:val="single" w:sz="8" w:color="999999"/>
            </w:tcBorders>
          </w:tcPr>
          <w:p>
            <w:pPr>
              <w:spacing w:after="0"/>
              <w:rPr>
                <w:sz w:val="17"/>
                <w:szCs w:val="17"/>
                <w:color w:val="auto"/>
              </w:rPr>
            </w:pPr>
          </w:p>
        </w:tc>
        <w:tc>
          <w:tcPr>
            <w:tcW w:w="2160" w:type="dxa"/>
            <w:vAlign w:val="bottom"/>
            <w:tcBorders>
              <w:bottom w:val="single" w:sz="8" w:color="999999"/>
            </w:tcBorders>
          </w:tcPr>
          <w:p>
            <w:pPr>
              <w:spacing w:after="0"/>
              <w:rPr>
                <w:sz w:val="17"/>
                <w:szCs w:val="17"/>
                <w:color w:val="auto"/>
              </w:rPr>
            </w:pPr>
          </w:p>
        </w:tc>
        <w:tc>
          <w:tcPr>
            <w:tcW w:w="380" w:type="dxa"/>
            <w:vAlign w:val="bottom"/>
            <w:tcBorders>
              <w:bottom w:val="single" w:sz="8" w:color="999999"/>
              <w:right w:val="single" w:sz="8" w:color="999999"/>
            </w:tcBorders>
          </w:tcPr>
          <w:p>
            <w:pPr>
              <w:spacing w:after="0"/>
              <w:rPr>
                <w:sz w:val="17"/>
                <w:szCs w:val="17"/>
                <w:color w:val="auto"/>
              </w:rPr>
            </w:pPr>
          </w:p>
        </w:tc>
        <w:tc>
          <w:tcPr>
            <w:tcW w:w="2540" w:type="dxa"/>
            <w:vAlign w:val="bottom"/>
            <w:tcBorders>
              <w:bottom w:val="single" w:sz="8" w:color="999999"/>
              <w:right w:val="single" w:sz="8" w:color="00548B"/>
            </w:tcBorders>
          </w:tcPr>
          <w:p>
            <w:pPr>
              <w:ind w:left="100"/>
              <w:spacing w:after="0"/>
              <w:rPr>
                <w:sz w:val="20"/>
                <w:szCs w:val="20"/>
                <w:color w:val="auto"/>
              </w:rPr>
            </w:pPr>
            <w:r>
              <w:rPr>
                <w:rFonts w:ascii="Arial" w:cs="Arial" w:eastAsia="Arial" w:hAnsi="Arial"/>
                <w:sz w:val="16"/>
                <w:szCs w:val="16"/>
                <w:color w:val="auto"/>
              </w:rPr>
              <w:t>paid by the acquirer in the COC.</w:t>
            </w:r>
          </w:p>
        </w:tc>
      </w:tr>
      <w:tr>
        <w:trPr>
          <w:trHeight w:val="158"/>
        </w:trPr>
        <w:tc>
          <w:tcPr>
            <w:tcW w:w="2980" w:type="dxa"/>
            <w:vAlign w:val="bottom"/>
            <w:tcBorders>
              <w:left w:val="single" w:sz="8" w:color="00548B"/>
              <w:right w:val="single" w:sz="8" w:color="999999"/>
            </w:tcBorders>
          </w:tcPr>
          <w:p>
            <w:pPr>
              <w:ind w:left="160"/>
              <w:spacing w:after="0" w:line="158" w:lineRule="exact"/>
              <w:rPr>
                <w:sz w:val="20"/>
                <w:szCs w:val="20"/>
                <w:color w:val="auto"/>
              </w:rPr>
            </w:pPr>
            <w:r>
              <w:rPr>
                <w:rFonts w:ascii="Arial" w:cs="Arial" w:eastAsia="Arial" w:hAnsi="Arial"/>
                <w:sz w:val="16"/>
                <w:szCs w:val="16"/>
                <w:color w:val="auto"/>
              </w:rPr>
              <w:t>Involuntary/Good Reason Termination</w:t>
            </w:r>
          </w:p>
        </w:tc>
        <w:tc>
          <w:tcPr>
            <w:tcW w:w="2900" w:type="dxa"/>
            <w:vAlign w:val="bottom"/>
            <w:tcBorders>
              <w:right w:val="single" w:sz="8" w:color="999999"/>
            </w:tcBorders>
          </w:tcPr>
          <w:p>
            <w:pPr>
              <w:ind w:left="360"/>
              <w:spacing w:after="0" w:line="158" w:lineRule="exact"/>
              <w:rPr>
                <w:sz w:val="20"/>
                <w:szCs w:val="20"/>
                <w:color w:val="auto"/>
              </w:rPr>
            </w:pPr>
            <w:r>
              <w:rPr>
                <w:rFonts w:ascii="Arial" w:cs="Arial" w:eastAsia="Arial" w:hAnsi="Arial"/>
                <w:sz w:val="16"/>
                <w:szCs w:val="16"/>
                <w:color w:val="auto"/>
              </w:rPr>
              <w:t>Full acceleration.</w:t>
            </w:r>
          </w:p>
        </w:tc>
        <w:tc>
          <w:tcPr>
            <w:tcW w:w="80" w:type="dxa"/>
            <w:vAlign w:val="bottom"/>
          </w:tcPr>
          <w:p>
            <w:pPr>
              <w:spacing w:after="0"/>
              <w:rPr>
                <w:sz w:val="13"/>
                <w:szCs w:val="13"/>
                <w:color w:val="auto"/>
              </w:rPr>
            </w:pPr>
          </w:p>
        </w:tc>
        <w:tc>
          <w:tcPr>
            <w:tcW w:w="2540" w:type="dxa"/>
            <w:vAlign w:val="bottom"/>
            <w:tcBorders>
              <w:right w:val="single" w:sz="8" w:color="999999"/>
            </w:tcBorders>
            <w:gridSpan w:val="2"/>
          </w:tcPr>
          <w:p>
            <w:pPr>
              <w:spacing w:after="0" w:line="158" w:lineRule="exact"/>
              <w:rPr>
                <w:sz w:val="20"/>
                <w:szCs w:val="20"/>
                <w:color w:val="auto"/>
              </w:rPr>
            </w:pPr>
            <w:r>
              <w:rPr>
                <w:rFonts w:ascii="Arial" w:cs="Arial" w:eastAsia="Arial" w:hAnsi="Arial"/>
                <w:sz w:val="16"/>
                <w:szCs w:val="16"/>
                <w:color w:val="auto"/>
              </w:rPr>
              <w:t>One-Year &amp; Three-Year PSUs:</w:t>
            </w:r>
          </w:p>
        </w:tc>
        <w:tc>
          <w:tcPr>
            <w:tcW w:w="2540" w:type="dxa"/>
            <w:vAlign w:val="bottom"/>
            <w:tcBorders>
              <w:right w:val="single" w:sz="8" w:color="00548B"/>
            </w:tcBorders>
          </w:tcPr>
          <w:p>
            <w:pPr>
              <w:ind w:left="100"/>
              <w:spacing w:after="0" w:line="158" w:lineRule="exact"/>
              <w:rPr>
                <w:sz w:val="20"/>
                <w:szCs w:val="20"/>
                <w:color w:val="auto"/>
              </w:rPr>
            </w:pPr>
            <w:r>
              <w:rPr>
                <w:rFonts w:ascii="Arial" w:cs="Arial" w:eastAsia="Arial" w:hAnsi="Arial"/>
                <w:sz w:val="16"/>
                <w:szCs w:val="16"/>
                <w:color w:val="auto"/>
              </w:rPr>
              <w:t>Shares shall immediately fully</w:t>
            </w:r>
          </w:p>
        </w:tc>
      </w:tr>
      <w:tr>
        <w:trPr>
          <w:trHeight w:val="20"/>
        </w:trPr>
        <w:tc>
          <w:tcPr>
            <w:tcW w:w="2980" w:type="dxa"/>
            <w:vAlign w:val="bottom"/>
            <w:tcBorders>
              <w:left w:val="single" w:sz="8" w:color="00548B"/>
              <w:right w:val="single" w:sz="8" w:color="999999"/>
            </w:tcBorders>
          </w:tcPr>
          <w:p>
            <w:pPr>
              <w:spacing w:after="0" w:line="20" w:lineRule="exact"/>
              <w:rPr>
                <w:sz w:val="1"/>
                <w:szCs w:val="1"/>
                <w:color w:val="auto"/>
              </w:rPr>
            </w:pPr>
          </w:p>
        </w:tc>
        <w:tc>
          <w:tcPr>
            <w:tcW w:w="2900" w:type="dxa"/>
            <w:vAlign w:val="bottom"/>
            <w:tcBorders>
              <w:right w:val="single" w:sz="8" w:color="999999"/>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380" w:type="dxa"/>
            <w:vAlign w:val="bottom"/>
            <w:tcBorders>
              <w:right w:val="single" w:sz="8" w:color="999999"/>
            </w:tcBorders>
          </w:tcPr>
          <w:p>
            <w:pPr>
              <w:spacing w:after="0" w:line="20" w:lineRule="exact"/>
              <w:rPr>
                <w:sz w:val="1"/>
                <w:szCs w:val="1"/>
                <w:color w:val="auto"/>
              </w:rPr>
            </w:pPr>
          </w:p>
        </w:tc>
        <w:tc>
          <w:tcPr>
            <w:tcW w:w="2540" w:type="dxa"/>
            <w:vAlign w:val="bottom"/>
            <w:tcBorders>
              <w:right w:val="single" w:sz="8" w:color="00548B"/>
            </w:tcBorders>
          </w:tcPr>
          <w:p>
            <w:pPr>
              <w:spacing w:after="0" w:line="20" w:lineRule="exact"/>
              <w:rPr>
                <w:sz w:val="1"/>
                <w:szCs w:val="1"/>
                <w:color w:val="auto"/>
              </w:rPr>
            </w:pPr>
          </w:p>
        </w:tc>
      </w:tr>
      <w:tr>
        <w:trPr>
          <w:trHeight w:val="198"/>
        </w:trPr>
        <w:tc>
          <w:tcPr>
            <w:tcW w:w="2980" w:type="dxa"/>
            <w:vAlign w:val="bottom"/>
            <w:tcBorders>
              <w:left w:val="single" w:sz="8" w:color="00548B"/>
              <w:right w:val="single" w:sz="8" w:color="999999"/>
            </w:tcBorders>
          </w:tcPr>
          <w:p>
            <w:pPr>
              <w:ind w:left="160"/>
              <w:spacing w:after="0"/>
              <w:rPr>
                <w:sz w:val="20"/>
                <w:szCs w:val="20"/>
                <w:color w:val="auto"/>
              </w:rPr>
            </w:pPr>
            <w:r>
              <w:rPr>
                <w:rFonts w:ascii="Arial" w:cs="Arial" w:eastAsia="Arial" w:hAnsi="Arial"/>
                <w:sz w:val="16"/>
                <w:szCs w:val="16"/>
                <w:color w:val="auto"/>
              </w:rPr>
              <w:t>Post-COC</w:t>
            </w:r>
          </w:p>
        </w:tc>
        <w:tc>
          <w:tcPr>
            <w:tcW w:w="2900" w:type="dxa"/>
            <w:vAlign w:val="bottom"/>
            <w:tcBorders>
              <w:right w:val="single" w:sz="8" w:color="999999"/>
            </w:tcBorders>
          </w:tcPr>
          <w:p>
            <w:pPr>
              <w:spacing w:after="0"/>
              <w:rPr>
                <w:sz w:val="17"/>
                <w:szCs w:val="17"/>
                <w:color w:val="auto"/>
              </w:rPr>
            </w:pPr>
          </w:p>
        </w:tc>
        <w:tc>
          <w:tcPr>
            <w:tcW w:w="80" w:type="dxa"/>
            <w:vAlign w:val="bottom"/>
          </w:tcPr>
          <w:p>
            <w:pPr>
              <w:spacing w:after="0"/>
              <w:rPr>
                <w:sz w:val="17"/>
                <w:szCs w:val="17"/>
                <w:color w:val="auto"/>
              </w:rPr>
            </w:pPr>
          </w:p>
        </w:tc>
        <w:tc>
          <w:tcPr>
            <w:tcW w:w="2540" w:type="dxa"/>
            <w:vAlign w:val="bottom"/>
            <w:tcBorders>
              <w:right w:val="single" w:sz="8" w:color="999999"/>
            </w:tcBorders>
            <w:gridSpan w:val="2"/>
          </w:tcPr>
          <w:p>
            <w:pPr>
              <w:spacing w:after="0"/>
              <w:rPr>
                <w:sz w:val="20"/>
                <w:szCs w:val="20"/>
                <w:color w:val="auto"/>
              </w:rPr>
            </w:pPr>
            <w:r>
              <w:rPr>
                <w:rFonts w:ascii="Arial" w:cs="Arial" w:eastAsia="Arial" w:hAnsi="Arial"/>
                <w:sz w:val="16"/>
                <w:szCs w:val="16"/>
                <w:color w:val="auto"/>
              </w:rPr>
              <w:t>Shares shall immediately fully vest</w:t>
            </w:r>
          </w:p>
        </w:tc>
        <w:tc>
          <w:tcPr>
            <w:tcW w:w="2540" w:type="dxa"/>
            <w:vAlign w:val="bottom"/>
            <w:tcBorders>
              <w:right w:val="single" w:sz="8" w:color="00548B"/>
            </w:tcBorders>
          </w:tcPr>
          <w:p>
            <w:pPr>
              <w:ind w:left="100"/>
              <w:spacing w:after="0"/>
              <w:rPr>
                <w:sz w:val="20"/>
                <w:szCs w:val="20"/>
                <w:color w:val="auto"/>
              </w:rPr>
            </w:pPr>
            <w:r>
              <w:rPr>
                <w:rFonts w:ascii="Arial" w:cs="Arial" w:eastAsia="Arial" w:hAnsi="Arial"/>
                <w:sz w:val="16"/>
                <w:szCs w:val="16"/>
                <w:color w:val="auto"/>
              </w:rPr>
              <w:t>vest (at the greater of target or</w:t>
            </w:r>
          </w:p>
        </w:tc>
      </w:tr>
      <w:tr>
        <w:trPr>
          <w:trHeight w:val="189"/>
        </w:trPr>
        <w:tc>
          <w:tcPr>
            <w:tcW w:w="2980" w:type="dxa"/>
            <w:vAlign w:val="bottom"/>
            <w:tcBorders>
              <w:left w:val="single" w:sz="8" w:color="00548B"/>
              <w:right w:val="single" w:sz="8" w:color="999999"/>
            </w:tcBorders>
          </w:tcPr>
          <w:p>
            <w:pPr>
              <w:spacing w:after="0"/>
              <w:rPr>
                <w:sz w:val="16"/>
                <w:szCs w:val="16"/>
                <w:color w:val="auto"/>
              </w:rPr>
            </w:pPr>
          </w:p>
        </w:tc>
        <w:tc>
          <w:tcPr>
            <w:tcW w:w="2900" w:type="dxa"/>
            <w:vAlign w:val="bottom"/>
            <w:tcBorders>
              <w:right w:val="single" w:sz="8" w:color="999999"/>
            </w:tcBorders>
          </w:tcPr>
          <w:p>
            <w:pPr>
              <w:spacing w:after="0"/>
              <w:rPr>
                <w:sz w:val="16"/>
                <w:szCs w:val="16"/>
                <w:color w:val="auto"/>
              </w:rPr>
            </w:pPr>
          </w:p>
        </w:tc>
        <w:tc>
          <w:tcPr>
            <w:tcW w:w="80" w:type="dxa"/>
            <w:vAlign w:val="bottom"/>
          </w:tcPr>
          <w:p>
            <w:pPr>
              <w:spacing w:after="0"/>
              <w:rPr>
                <w:sz w:val="16"/>
                <w:szCs w:val="16"/>
                <w:color w:val="auto"/>
              </w:rPr>
            </w:pPr>
          </w:p>
        </w:tc>
        <w:tc>
          <w:tcPr>
            <w:tcW w:w="2540" w:type="dxa"/>
            <w:vAlign w:val="bottom"/>
            <w:tcBorders>
              <w:right w:val="single" w:sz="8" w:color="999999"/>
            </w:tcBorders>
            <w:gridSpan w:val="2"/>
          </w:tcPr>
          <w:p>
            <w:pPr>
              <w:spacing w:after="0"/>
              <w:rPr>
                <w:sz w:val="20"/>
                <w:szCs w:val="20"/>
                <w:color w:val="auto"/>
              </w:rPr>
            </w:pPr>
            <w:r>
              <w:rPr>
                <w:rFonts w:ascii="Arial" w:cs="Arial" w:eastAsia="Arial" w:hAnsi="Arial"/>
                <w:sz w:val="16"/>
                <w:szCs w:val="16"/>
                <w:color w:val="auto"/>
              </w:rPr>
              <w:t>(at the greater of target or level</w:t>
            </w:r>
          </w:p>
        </w:tc>
        <w:tc>
          <w:tcPr>
            <w:tcW w:w="2540" w:type="dxa"/>
            <w:vAlign w:val="bottom"/>
            <w:tcBorders>
              <w:right w:val="single" w:sz="8" w:color="00548B"/>
            </w:tcBorders>
          </w:tcPr>
          <w:p>
            <w:pPr>
              <w:ind w:left="100"/>
              <w:spacing w:after="0"/>
              <w:rPr>
                <w:sz w:val="20"/>
                <w:szCs w:val="20"/>
                <w:color w:val="auto"/>
              </w:rPr>
            </w:pPr>
            <w:r>
              <w:rPr>
                <w:rFonts w:ascii="Arial" w:cs="Arial" w:eastAsia="Arial" w:hAnsi="Arial"/>
                <w:sz w:val="16"/>
                <w:szCs w:val="16"/>
                <w:color w:val="auto"/>
              </w:rPr>
              <w:t>level dictated by actual</w:t>
            </w:r>
          </w:p>
        </w:tc>
      </w:tr>
      <w:tr>
        <w:trPr>
          <w:trHeight w:val="187"/>
        </w:trPr>
        <w:tc>
          <w:tcPr>
            <w:tcW w:w="2980" w:type="dxa"/>
            <w:vAlign w:val="bottom"/>
            <w:tcBorders>
              <w:left w:val="single" w:sz="8" w:color="00548B"/>
              <w:bottom w:val="single" w:sz="8" w:color="00548B"/>
              <w:right w:val="single" w:sz="8" w:color="999999"/>
            </w:tcBorders>
          </w:tcPr>
          <w:p>
            <w:pPr>
              <w:spacing w:after="0"/>
              <w:rPr>
                <w:sz w:val="16"/>
                <w:szCs w:val="16"/>
                <w:color w:val="auto"/>
              </w:rPr>
            </w:pPr>
          </w:p>
        </w:tc>
        <w:tc>
          <w:tcPr>
            <w:tcW w:w="2900" w:type="dxa"/>
            <w:vAlign w:val="bottom"/>
            <w:tcBorders>
              <w:bottom w:val="single" w:sz="8" w:color="00548B"/>
              <w:right w:val="single" w:sz="8" w:color="999999"/>
            </w:tcBorders>
          </w:tcPr>
          <w:p>
            <w:pPr>
              <w:spacing w:after="0"/>
              <w:rPr>
                <w:sz w:val="16"/>
                <w:szCs w:val="16"/>
                <w:color w:val="auto"/>
              </w:rPr>
            </w:pPr>
          </w:p>
        </w:tc>
        <w:tc>
          <w:tcPr>
            <w:tcW w:w="80" w:type="dxa"/>
            <w:vAlign w:val="bottom"/>
            <w:tcBorders>
              <w:bottom w:val="single" w:sz="8" w:color="00548B"/>
            </w:tcBorders>
          </w:tcPr>
          <w:p>
            <w:pPr>
              <w:spacing w:after="0"/>
              <w:rPr>
                <w:sz w:val="16"/>
                <w:szCs w:val="16"/>
                <w:color w:val="auto"/>
              </w:rPr>
            </w:pPr>
          </w:p>
        </w:tc>
        <w:tc>
          <w:tcPr>
            <w:tcW w:w="2540" w:type="dxa"/>
            <w:vAlign w:val="bottom"/>
            <w:tcBorders>
              <w:bottom w:val="single" w:sz="8" w:color="00548B"/>
              <w:right w:val="single" w:sz="8" w:color="999999"/>
            </w:tcBorders>
            <w:gridSpan w:val="2"/>
          </w:tcPr>
          <w:p>
            <w:pPr>
              <w:spacing w:after="0"/>
              <w:rPr>
                <w:sz w:val="20"/>
                <w:szCs w:val="20"/>
                <w:color w:val="auto"/>
              </w:rPr>
            </w:pPr>
            <w:r>
              <w:rPr>
                <w:rFonts w:ascii="Arial" w:cs="Arial" w:eastAsia="Arial" w:hAnsi="Arial"/>
                <w:sz w:val="16"/>
                <w:szCs w:val="16"/>
                <w:color w:val="auto"/>
              </w:rPr>
              <w:t>dictated by actual performance).</w:t>
            </w:r>
          </w:p>
        </w:tc>
        <w:tc>
          <w:tcPr>
            <w:tcW w:w="2540" w:type="dxa"/>
            <w:vAlign w:val="bottom"/>
            <w:tcBorders>
              <w:bottom w:val="single" w:sz="8" w:color="00548B"/>
              <w:right w:val="single" w:sz="8" w:color="00548B"/>
            </w:tcBorders>
          </w:tcPr>
          <w:p>
            <w:pPr>
              <w:ind w:left="100"/>
              <w:spacing w:after="0"/>
              <w:rPr>
                <w:sz w:val="20"/>
                <w:szCs w:val="20"/>
                <w:color w:val="auto"/>
              </w:rPr>
            </w:pPr>
            <w:r>
              <w:rPr>
                <w:rFonts w:ascii="Arial" w:cs="Arial" w:eastAsia="Arial" w:hAnsi="Arial"/>
                <w:sz w:val="16"/>
                <w:szCs w:val="16"/>
                <w:color w:val="auto"/>
              </w:rPr>
              <w:t>performance).</w:t>
            </w:r>
          </w:p>
        </w:tc>
      </w:tr>
    </w:tbl>
    <w:p>
      <w:pPr>
        <w:spacing w:after="0" w:line="171"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00548B"/>
        </w:rPr>
        <w:t>Other Benefits</w:t>
      </w:r>
    </w:p>
    <w:p>
      <w:pPr>
        <w:spacing w:after="0" w:line="25" w:lineRule="exact"/>
        <w:rPr>
          <w:sz w:val="20"/>
          <w:szCs w:val="20"/>
          <w:color w:val="auto"/>
        </w:rPr>
      </w:pPr>
    </w:p>
    <w:p>
      <w:pPr>
        <w:jc w:val="both"/>
        <w:ind w:left="120" w:right="20"/>
        <w:spacing w:after="0" w:line="260" w:lineRule="auto"/>
        <w:rPr>
          <w:sz w:val="20"/>
          <w:szCs w:val="20"/>
          <w:color w:val="auto"/>
        </w:rPr>
      </w:pPr>
      <w:r>
        <w:rPr>
          <w:rFonts w:ascii="Arial" w:cs="Arial" w:eastAsia="Arial" w:hAnsi="Arial"/>
          <w:sz w:val="16"/>
          <w:szCs w:val="16"/>
          <w:color w:val="auto"/>
        </w:rPr>
        <w:t>Mr. Roth, Mr. Hussey, Mr. Kelly and Ms. Ratekin will be eligible to participate in the Company’s various health and welfare benefit plans for its similarly situated key management employees.</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00548B"/>
        </w:rPr>
        <w:t>Restrictive Covenants on Termination</w:t>
      </w:r>
    </w:p>
    <w:p>
      <w:pPr>
        <w:spacing w:after="0" w:line="25" w:lineRule="exact"/>
        <w:rPr>
          <w:sz w:val="20"/>
          <w:szCs w:val="20"/>
          <w:color w:val="auto"/>
        </w:rPr>
      </w:pPr>
    </w:p>
    <w:p>
      <w:pPr>
        <w:jc w:val="both"/>
        <w:ind w:left="120" w:right="20"/>
        <w:spacing w:after="0" w:line="248" w:lineRule="auto"/>
        <w:rPr>
          <w:sz w:val="20"/>
          <w:szCs w:val="20"/>
          <w:color w:val="auto"/>
        </w:rPr>
      </w:pPr>
      <w:r>
        <w:rPr>
          <w:rFonts w:ascii="Arial" w:cs="Arial" w:eastAsia="Arial" w:hAnsi="Arial"/>
          <w:sz w:val="16"/>
          <w:szCs w:val="16"/>
          <w:color w:val="auto"/>
        </w:rPr>
        <w:t>For the applicable restricted period set forth in each executive officer’s Senior Management Agreement, he or she may not directly or indirectly (i) hire any employees of the Company or solicit, induce or encourage any employee of the Company or any client of the Company to leave, alter or cease his or her relationship with it or (ii) provide services that are the same as or similar to those offered by the Company to any client of the Company that he or she obtained as a client for the Company, to whom he or she provided services within the 12 months preceding termination of employment, or to whom he or she submitted a proposal during the six months prior to termination of employment. The restricted period for Mr. Roth is 12 to 24 months (depending on the type of termination) following termination of employment. The restricted period for Mr. Hussey, Mr. Kelly and Ms. Ratekin is 12 months following termination of employment for any reason. In addition, for a period of 12 to 24 months (depending on the type of termination) following the termination of his employment, Mr. Roth may not, directly or indirectly, provide services that are competitive with those of the Company to any person, firm or other business entity. Executives are also subject to a confidentiality and non-disclosure covenant.</w:t>
      </w:r>
    </w:p>
    <w:p>
      <w:pPr>
        <w:spacing w:after="0" w:line="13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00548B"/>
        </w:rPr>
        <w:t>42</w:t>
      </w:r>
    </w:p>
    <w:p>
      <w:pPr>
        <w:sectPr>
          <w:pgSz w:w="11900" w:h="16838" w:orient="portrait"/>
          <w:cols w:equalWidth="0" w:num="1">
            <w:col w:w="11140"/>
          </w:cols>
          <w:pgMar w:left="32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00548B"/>
        </w:rPr>
        <w:t>Key Definitions</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00548B"/>
        </w:rPr>
        <w:t>Definition of “Change of Control”</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 Change of Control is defined in all four agreements as:</w:t>
      </w:r>
    </w:p>
    <w:p>
      <w:pPr>
        <w:spacing w:after="0" w:line="127" w:lineRule="exact"/>
        <w:rPr>
          <w:sz w:val="20"/>
          <w:szCs w:val="20"/>
          <w:color w:val="auto"/>
        </w:rPr>
      </w:pPr>
    </w:p>
    <w:p>
      <w:pPr>
        <w:ind w:left="980" w:hanging="432"/>
        <w:spacing w:after="0"/>
        <w:tabs>
          <w:tab w:leader="none" w:pos="980" w:val="left"/>
        </w:tabs>
        <w:numPr>
          <w:ilvl w:val="0"/>
          <w:numId w:val="47"/>
        </w:numPr>
        <w:rPr>
          <w:rFonts w:ascii="Arial" w:cs="Arial" w:eastAsia="Arial" w:hAnsi="Arial"/>
          <w:sz w:val="16"/>
          <w:szCs w:val="16"/>
          <w:color w:val="00548B"/>
        </w:rPr>
      </w:pPr>
      <w:r>
        <w:rPr>
          <w:rFonts w:ascii="Arial" w:cs="Arial" w:eastAsia="Arial" w:hAnsi="Arial"/>
          <w:sz w:val="16"/>
          <w:szCs w:val="16"/>
          <w:color w:val="auto"/>
        </w:rPr>
        <w:t>any person becomes a beneficial owner of 40% or more of the Company’s outstanding securities;</w:t>
      </w:r>
    </w:p>
    <w:p>
      <w:pPr>
        <w:spacing w:after="0" w:line="5" w:lineRule="exact"/>
        <w:rPr>
          <w:rFonts w:ascii="Arial" w:cs="Arial" w:eastAsia="Arial" w:hAnsi="Arial"/>
          <w:sz w:val="16"/>
          <w:szCs w:val="16"/>
          <w:color w:val="00548B"/>
        </w:rPr>
      </w:pPr>
    </w:p>
    <w:p>
      <w:pPr>
        <w:jc w:val="both"/>
        <w:ind w:left="980" w:right="20" w:hanging="432"/>
        <w:spacing w:after="0" w:line="246" w:lineRule="auto"/>
        <w:tabs>
          <w:tab w:leader="none" w:pos="980" w:val="left"/>
        </w:tabs>
        <w:numPr>
          <w:ilvl w:val="0"/>
          <w:numId w:val="47"/>
        </w:numPr>
        <w:rPr>
          <w:rFonts w:ascii="Arial" w:cs="Arial" w:eastAsia="Arial" w:hAnsi="Arial"/>
          <w:sz w:val="16"/>
          <w:szCs w:val="16"/>
          <w:color w:val="00548B"/>
        </w:rPr>
      </w:pPr>
      <w:r>
        <w:rPr>
          <w:rFonts w:ascii="Arial" w:cs="Arial" w:eastAsia="Arial" w:hAnsi="Arial"/>
          <w:sz w:val="16"/>
          <w:szCs w:val="16"/>
          <w:color w:val="auto"/>
        </w:rPr>
        <w:t>there is a consummation of a merger or consolidation with any person unless (a) the voting securities of the Company outstanding immediately prior to the transaction continue to represent at least 50% of the combined voting power of the securities of the Company or such other surviving entity; (b) the merger is a recapitalization in which no person other than existing security holders becomes a beneficial owner representing 50% or more of the Company’s then outstanding securities; or (c) the merger does not represent a sale of all or substantially all of the Company’s assets;</w:t>
      </w:r>
    </w:p>
    <w:p>
      <w:pPr>
        <w:spacing w:after="0" w:line="2" w:lineRule="exact"/>
        <w:rPr>
          <w:rFonts w:ascii="Arial" w:cs="Arial" w:eastAsia="Arial" w:hAnsi="Arial"/>
          <w:sz w:val="16"/>
          <w:szCs w:val="16"/>
          <w:color w:val="00548B"/>
        </w:rPr>
      </w:pPr>
    </w:p>
    <w:p>
      <w:pPr>
        <w:ind w:left="980" w:hanging="432"/>
        <w:spacing w:after="0"/>
        <w:tabs>
          <w:tab w:leader="none" w:pos="980" w:val="left"/>
        </w:tabs>
        <w:numPr>
          <w:ilvl w:val="0"/>
          <w:numId w:val="47"/>
        </w:numPr>
        <w:rPr>
          <w:rFonts w:ascii="Arial" w:cs="Arial" w:eastAsia="Arial" w:hAnsi="Arial"/>
          <w:sz w:val="16"/>
          <w:szCs w:val="16"/>
          <w:color w:val="00548B"/>
        </w:rPr>
      </w:pPr>
      <w:r>
        <w:rPr>
          <w:rFonts w:ascii="Arial" w:cs="Arial" w:eastAsia="Arial" w:hAnsi="Arial"/>
          <w:sz w:val="16"/>
          <w:szCs w:val="16"/>
          <w:color w:val="auto"/>
        </w:rPr>
        <w:t>the stockholders approve a plan of complete liquidation or dissolution; or</w:t>
      </w:r>
    </w:p>
    <w:p>
      <w:pPr>
        <w:spacing w:after="0" w:line="5" w:lineRule="exact"/>
        <w:rPr>
          <w:rFonts w:ascii="Arial" w:cs="Arial" w:eastAsia="Arial" w:hAnsi="Arial"/>
          <w:sz w:val="16"/>
          <w:szCs w:val="16"/>
          <w:color w:val="00548B"/>
        </w:rPr>
      </w:pPr>
    </w:p>
    <w:p>
      <w:pPr>
        <w:ind w:left="980" w:right="20" w:hanging="432"/>
        <w:spacing w:after="0" w:line="260" w:lineRule="auto"/>
        <w:tabs>
          <w:tab w:leader="none" w:pos="980" w:val="left"/>
        </w:tabs>
        <w:numPr>
          <w:ilvl w:val="0"/>
          <w:numId w:val="47"/>
        </w:numPr>
        <w:rPr>
          <w:rFonts w:ascii="Arial" w:cs="Arial" w:eastAsia="Arial" w:hAnsi="Arial"/>
          <w:sz w:val="16"/>
          <w:szCs w:val="16"/>
          <w:color w:val="00548B"/>
        </w:rPr>
      </w:pPr>
      <w:r>
        <w:rPr>
          <w:rFonts w:ascii="Arial" w:cs="Arial" w:eastAsia="Arial" w:hAnsi="Arial"/>
          <w:sz w:val="16"/>
          <w:szCs w:val="16"/>
          <w:color w:val="auto"/>
        </w:rPr>
        <w:t>there is a disposition or sale of all or substantially all of the Company’s assets other than a sale or disposition in which at least 50% of the combined voting power of the voting securities are owned by shareholders of Huron.</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00548B"/>
        </w:rPr>
        <w:t>Definition of “Good Reason”</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definition of “Good Reason” is defined in all four agreements to mean a resignation following: (i) a change in primary location of employment to a</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location that is more than 50 miles from Chicago, Illinois; (ii) a failure to comply with any material term of the agreement by the Company or (iii) a material</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reduction in base salary or benefits coverage, provided that such reduction is without his or her consent, is not warranted by the Company’s financial</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condition, and is not a change that applies uniformly to similarly situated Company executives. The agreements provide the Company the right to cure</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prior to a senior executive’s resignation for</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Good Reason.</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00548B"/>
        </w:rPr>
        <w:t>Definition of “Good Reason” in Relation to a Change of Control</w:t>
      </w:r>
    </w:p>
    <w:p>
      <w:pPr>
        <w:spacing w:after="0" w:line="25" w:lineRule="exact"/>
        <w:rPr>
          <w:sz w:val="20"/>
          <w:szCs w:val="20"/>
          <w:color w:val="auto"/>
        </w:rPr>
      </w:pPr>
    </w:p>
    <w:p>
      <w:pPr>
        <w:jc w:val="both"/>
        <w:ind w:left="120" w:right="20"/>
        <w:spacing w:after="0" w:line="260" w:lineRule="auto"/>
        <w:rPr>
          <w:sz w:val="20"/>
          <w:szCs w:val="20"/>
          <w:color w:val="auto"/>
        </w:rPr>
      </w:pPr>
      <w:r>
        <w:rPr>
          <w:rFonts w:ascii="Arial" w:cs="Arial" w:eastAsia="Arial" w:hAnsi="Arial"/>
          <w:sz w:val="16"/>
          <w:szCs w:val="16"/>
          <w:color w:val="auto"/>
        </w:rPr>
        <w:t>Under all four agreements, a Change of Control Good Reason occurs if certain adverse changes occur in anticipation of, or within twenty-four months following, a Change of Control including:</w:t>
      </w:r>
    </w:p>
    <w:p>
      <w:pPr>
        <w:spacing w:after="0" w:line="101" w:lineRule="exact"/>
        <w:rPr>
          <w:sz w:val="20"/>
          <w:szCs w:val="20"/>
          <w:color w:val="auto"/>
        </w:rPr>
      </w:pPr>
    </w:p>
    <w:p>
      <w:pPr>
        <w:ind w:left="980" w:hanging="432"/>
        <w:spacing w:after="0"/>
        <w:tabs>
          <w:tab w:leader="none" w:pos="9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any material breach of the Senior Management Agreement by the Company,</w:t>
      </w:r>
    </w:p>
    <w:p>
      <w:pPr>
        <w:spacing w:after="0" w:line="5" w:lineRule="exact"/>
        <w:rPr>
          <w:rFonts w:ascii="Arial" w:cs="Arial" w:eastAsia="Arial" w:hAnsi="Arial"/>
          <w:sz w:val="16"/>
          <w:szCs w:val="16"/>
          <w:color w:val="auto"/>
        </w:rPr>
      </w:pPr>
    </w:p>
    <w:p>
      <w:pPr>
        <w:ind w:left="980" w:hanging="432"/>
        <w:spacing w:after="0"/>
        <w:tabs>
          <w:tab w:leader="none" w:pos="9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any material adverse change in the executive’s status, responsibilities or position with the Company,</w:t>
      </w:r>
    </w:p>
    <w:p>
      <w:pPr>
        <w:spacing w:after="0" w:line="5" w:lineRule="exact"/>
        <w:rPr>
          <w:rFonts w:ascii="Arial" w:cs="Arial" w:eastAsia="Arial" w:hAnsi="Arial"/>
          <w:sz w:val="16"/>
          <w:szCs w:val="16"/>
          <w:color w:val="auto"/>
        </w:rPr>
      </w:pPr>
    </w:p>
    <w:p>
      <w:pPr>
        <w:ind w:left="980" w:right="20" w:hanging="432"/>
        <w:spacing w:after="0" w:line="246" w:lineRule="auto"/>
        <w:tabs>
          <w:tab w:leader="none" w:pos="9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any material reduction in his or her base salary or target bonus, other than in connection with an across-the-board reduction in base salaries applicable in like proportions to all similarly situated executives of the Company and any direct or indirect parent of the Company,</w:t>
      </w:r>
    </w:p>
    <w:p>
      <w:pPr>
        <w:jc w:val="both"/>
        <w:ind w:left="980" w:hanging="432"/>
        <w:spacing w:after="0" w:line="246" w:lineRule="auto"/>
        <w:tabs>
          <w:tab w:leader="none" w:pos="9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assignment of duties to the executive that are materially inconsistent with his or her position and responsibilities described in the Senior Management Agreement, including, specifically, assignment of a position other than as Chief Executive Officer of the surviving Company in the case of Mr. Roth, or</w:t>
      </w:r>
    </w:p>
    <w:p>
      <w:pPr>
        <w:spacing w:after="0" w:line="1" w:lineRule="exact"/>
        <w:rPr>
          <w:rFonts w:ascii="Arial" w:cs="Arial" w:eastAsia="Arial" w:hAnsi="Arial"/>
          <w:sz w:val="16"/>
          <w:szCs w:val="16"/>
          <w:color w:val="auto"/>
        </w:rPr>
      </w:pPr>
    </w:p>
    <w:p>
      <w:pPr>
        <w:ind w:left="980" w:hanging="432"/>
        <w:spacing w:after="0"/>
        <w:tabs>
          <w:tab w:leader="none" w:pos="9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requiring the executive to be principally based at any office or location that is greater than 50 miles from Chicago, Illinois.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00548B"/>
        </w:rPr>
        <w:t>Termination without Cause or Resignation for Good Reason</w:t>
      </w:r>
    </w:p>
    <w:p>
      <w:pPr>
        <w:spacing w:after="0" w:line="25"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6"/>
          <w:szCs w:val="16"/>
          <w:color w:val="auto"/>
        </w:rPr>
        <w:t>If any of the NEOs is terminated without Cause or resigns for Good Reason, as defined in his or her Senior Management Agreement, upon executing a general release and waiver, the Company is obligated to pay severance and continuation of benefits in varying amounts. In addition, NEOs will receive pro rata vesting of performance stock units that would otherwise have been earned in the performance period.</w:t>
      </w:r>
    </w:p>
    <w:p>
      <w:pPr>
        <w:spacing w:after="0" w:line="13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00548B"/>
        </w:rPr>
        <w:t>43</w:t>
      </w:r>
    </w:p>
    <w:p>
      <w:pPr>
        <w:sectPr>
          <w:pgSz w:w="11900" w:h="16838" w:orient="portrait"/>
          <w:cols w:equalWidth="0" w:num="1">
            <w:col w:w="11140"/>
          </w:cols>
          <w:pgMar w:left="32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both"/>
        <w:ind w:left="120" w:right="20"/>
        <w:spacing w:after="0" w:line="260" w:lineRule="auto"/>
        <w:rPr>
          <w:sz w:val="20"/>
          <w:szCs w:val="20"/>
          <w:color w:val="auto"/>
        </w:rPr>
      </w:pPr>
      <w:r>
        <w:rPr>
          <w:rFonts w:ascii="Arial" w:cs="Arial" w:eastAsia="Arial" w:hAnsi="Arial"/>
          <w:sz w:val="16"/>
          <w:szCs w:val="16"/>
          <w:color w:val="auto"/>
        </w:rPr>
        <w:t>The following severance benefits are payable to each of our named executive officers upon termination without Cause or resignation for Good Reason, except in the case of a Change of Control, as of December 31, 2019:</w:t>
      </w:r>
    </w:p>
    <w:p>
      <w:pPr>
        <w:spacing w:after="0" w:line="193" w:lineRule="exact"/>
        <w:rPr>
          <w:sz w:val="20"/>
          <w:szCs w:val="20"/>
          <w:color w:val="auto"/>
        </w:rPr>
      </w:pPr>
    </w:p>
    <w:tbl>
      <w:tblPr>
        <w:tblLayout w:type="fixed"/>
        <w:tblInd w:w="130" w:type="dxa"/>
        <w:tblCellMar>
          <w:top w:w="0" w:type="dxa"/>
          <w:left w:w="0" w:type="dxa"/>
          <w:bottom w:w="0" w:type="dxa"/>
          <w:right w:w="0" w:type="dxa"/>
        </w:tblCellMar>
      </w:tblPr>
      <w:tr>
        <w:trPr>
          <w:trHeight w:val="162"/>
        </w:trPr>
        <w:tc>
          <w:tcPr>
            <w:tcW w:w="1920" w:type="dxa"/>
            <w:vAlign w:val="bottom"/>
            <w:tcBorders>
              <w:left w:val="single" w:sz="8" w:color="00548B"/>
              <w:right w:val="single" w:sz="8" w:color="999999"/>
            </w:tcBorders>
            <w:shd w:val="clear" w:color="auto" w:fill="00548B"/>
          </w:tcPr>
          <w:p>
            <w:pPr>
              <w:ind w:left="160"/>
              <w:spacing w:after="0"/>
              <w:rPr>
                <w:sz w:val="20"/>
                <w:szCs w:val="20"/>
                <w:color w:val="auto"/>
              </w:rPr>
            </w:pPr>
            <w:r>
              <w:rPr>
                <w:rFonts w:ascii="Arial" w:cs="Arial" w:eastAsia="Arial" w:hAnsi="Arial"/>
                <w:sz w:val="14"/>
                <w:szCs w:val="14"/>
                <w:b w:val="1"/>
                <w:bCs w:val="1"/>
                <w:color w:val="D8D8D8"/>
              </w:rPr>
              <w:t>Executive</w:t>
            </w:r>
          </w:p>
        </w:tc>
        <w:tc>
          <w:tcPr>
            <w:tcW w:w="9120" w:type="dxa"/>
            <w:vAlign w:val="bottom"/>
            <w:tcBorders>
              <w:right w:val="single" w:sz="8" w:color="00548B"/>
            </w:tcBorders>
            <w:shd w:val="clear" w:color="auto" w:fill="00548B"/>
          </w:tcPr>
          <w:p>
            <w:pPr>
              <w:ind w:left="3960"/>
              <w:spacing w:after="0"/>
              <w:rPr>
                <w:sz w:val="20"/>
                <w:szCs w:val="20"/>
                <w:color w:val="auto"/>
              </w:rPr>
            </w:pPr>
            <w:r>
              <w:rPr>
                <w:rFonts w:ascii="Arial" w:cs="Arial" w:eastAsia="Arial" w:hAnsi="Arial"/>
                <w:sz w:val="14"/>
                <w:szCs w:val="14"/>
                <w:b w:val="1"/>
                <w:bCs w:val="1"/>
                <w:color w:val="D8D8D8"/>
              </w:rPr>
              <w:t>Severance Benefits</w:t>
            </w:r>
          </w:p>
        </w:tc>
      </w:tr>
      <w:tr>
        <w:trPr>
          <w:trHeight w:val="191"/>
        </w:trPr>
        <w:tc>
          <w:tcPr>
            <w:tcW w:w="1920" w:type="dxa"/>
            <w:vAlign w:val="bottom"/>
            <w:tcBorders>
              <w:left w:val="single" w:sz="8" w:color="00548B"/>
              <w:right w:val="single" w:sz="8" w:color="999999"/>
            </w:tcBorders>
          </w:tcPr>
          <w:p>
            <w:pPr>
              <w:ind w:left="160"/>
              <w:spacing w:after="0"/>
              <w:rPr>
                <w:sz w:val="20"/>
                <w:szCs w:val="20"/>
                <w:color w:val="auto"/>
              </w:rPr>
            </w:pPr>
            <w:r>
              <w:rPr>
                <w:rFonts w:ascii="Arial" w:cs="Arial" w:eastAsia="Arial" w:hAnsi="Arial"/>
                <w:sz w:val="16"/>
                <w:szCs w:val="16"/>
                <w:color w:val="auto"/>
              </w:rPr>
              <w:t>James H. Roth</w:t>
            </w:r>
          </w:p>
        </w:tc>
        <w:tc>
          <w:tcPr>
            <w:tcW w:w="9120" w:type="dxa"/>
            <w:vAlign w:val="bottom"/>
            <w:tcBorders>
              <w:right w:val="single" w:sz="8" w:color="00548B"/>
            </w:tcBorders>
          </w:tcPr>
          <w:p>
            <w:pPr>
              <w:ind w:left="200"/>
              <w:spacing w:after="0"/>
              <w:rPr>
                <w:sz w:val="20"/>
                <w:szCs w:val="20"/>
                <w:color w:val="auto"/>
              </w:rPr>
            </w:pPr>
            <w:r>
              <w:rPr>
                <w:rFonts w:ascii="Arial" w:cs="Arial" w:eastAsia="Arial" w:hAnsi="Arial"/>
                <w:sz w:val="16"/>
                <w:szCs w:val="16"/>
                <w:color w:val="auto"/>
              </w:rPr>
              <w:t>An amount in cash equal to two times the sum of his then current annual base salary and his then current target bonus; pro</w:t>
            </w:r>
          </w:p>
        </w:tc>
      </w:tr>
      <w:tr>
        <w:trPr>
          <w:trHeight w:val="189"/>
        </w:trPr>
        <w:tc>
          <w:tcPr>
            <w:tcW w:w="1920" w:type="dxa"/>
            <w:vAlign w:val="bottom"/>
            <w:tcBorders>
              <w:left w:val="single" w:sz="8" w:color="00548B"/>
              <w:right w:val="single" w:sz="8" w:color="999999"/>
            </w:tcBorders>
          </w:tcPr>
          <w:p>
            <w:pPr>
              <w:spacing w:after="0"/>
              <w:rPr>
                <w:sz w:val="16"/>
                <w:szCs w:val="16"/>
                <w:color w:val="auto"/>
              </w:rPr>
            </w:pPr>
          </w:p>
        </w:tc>
        <w:tc>
          <w:tcPr>
            <w:tcW w:w="9120" w:type="dxa"/>
            <w:vAlign w:val="bottom"/>
            <w:tcBorders>
              <w:right w:val="single" w:sz="8" w:color="00548B"/>
            </w:tcBorders>
          </w:tcPr>
          <w:p>
            <w:pPr>
              <w:ind w:left="200"/>
              <w:spacing w:after="0"/>
              <w:rPr>
                <w:sz w:val="20"/>
                <w:szCs w:val="20"/>
                <w:color w:val="auto"/>
              </w:rPr>
            </w:pPr>
            <w:r>
              <w:rPr>
                <w:rFonts w:ascii="Arial" w:cs="Arial" w:eastAsia="Arial" w:hAnsi="Arial"/>
                <w:sz w:val="16"/>
                <w:szCs w:val="16"/>
                <w:color w:val="auto"/>
              </w:rPr>
              <w:t>rata bonus in the year of termination based on actual results; 24 months’ continuation of medical insurance; and pro rata</w:t>
            </w:r>
          </w:p>
        </w:tc>
      </w:tr>
      <w:tr>
        <w:trPr>
          <w:trHeight w:val="189"/>
        </w:trPr>
        <w:tc>
          <w:tcPr>
            <w:tcW w:w="1920" w:type="dxa"/>
            <w:vAlign w:val="bottom"/>
            <w:tcBorders>
              <w:left w:val="single" w:sz="8" w:color="00548B"/>
              <w:right w:val="single" w:sz="8" w:color="999999"/>
            </w:tcBorders>
          </w:tcPr>
          <w:p>
            <w:pPr>
              <w:spacing w:after="0"/>
              <w:rPr>
                <w:sz w:val="16"/>
                <w:szCs w:val="16"/>
                <w:color w:val="auto"/>
              </w:rPr>
            </w:pPr>
          </w:p>
        </w:tc>
        <w:tc>
          <w:tcPr>
            <w:tcW w:w="9120" w:type="dxa"/>
            <w:vAlign w:val="bottom"/>
            <w:tcBorders>
              <w:right w:val="single" w:sz="8" w:color="00548B"/>
            </w:tcBorders>
          </w:tcPr>
          <w:p>
            <w:pPr>
              <w:ind w:left="200"/>
              <w:spacing w:after="0"/>
              <w:rPr>
                <w:sz w:val="20"/>
                <w:szCs w:val="20"/>
                <w:color w:val="auto"/>
              </w:rPr>
            </w:pPr>
            <w:r>
              <w:rPr>
                <w:rFonts w:ascii="Arial" w:cs="Arial" w:eastAsia="Arial" w:hAnsi="Arial"/>
                <w:sz w:val="16"/>
                <w:szCs w:val="16"/>
                <w:color w:val="auto"/>
              </w:rPr>
              <w:t>vesting of performance stock units that would otherwise have been earned in the performance period. Severance amounts</w:t>
            </w:r>
          </w:p>
        </w:tc>
      </w:tr>
      <w:tr>
        <w:trPr>
          <w:trHeight w:val="187"/>
        </w:trPr>
        <w:tc>
          <w:tcPr>
            <w:tcW w:w="1920" w:type="dxa"/>
            <w:vAlign w:val="bottom"/>
            <w:tcBorders>
              <w:left w:val="single" w:sz="8" w:color="00548B"/>
              <w:bottom w:val="single" w:sz="8" w:color="999999"/>
              <w:right w:val="single" w:sz="8" w:color="999999"/>
            </w:tcBorders>
          </w:tcPr>
          <w:p>
            <w:pPr>
              <w:spacing w:after="0"/>
              <w:rPr>
                <w:sz w:val="16"/>
                <w:szCs w:val="16"/>
                <w:color w:val="auto"/>
              </w:rPr>
            </w:pPr>
          </w:p>
        </w:tc>
        <w:tc>
          <w:tcPr>
            <w:tcW w:w="9120" w:type="dxa"/>
            <w:vAlign w:val="bottom"/>
            <w:tcBorders>
              <w:bottom w:val="single" w:sz="8" w:color="999999"/>
              <w:right w:val="single" w:sz="8" w:color="00548B"/>
            </w:tcBorders>
          </w:tcPr>
          <w:p>
            <w:pPr>
              <w:ind w:left="200"/>
              <w:spacing w:after="0"/>
              <w:rPr>
                <w:sz w:val="20"/>
                <w:szCs w:val="20"/>
                <w:color w:val="auto"/>
              </w:rPr>
            </w:pPr>
            <w:r>
              <w:rPr>
                <w:rFonts w:ascii="Arial" w:cs="Arial" w:eastAsia="Arial" w:hAnsi="Arial"/>
                <w:sz w:val="16"/>
                <w:szCs w:val="16"/>
                <w:color w:val="auto"/>
              </w:rPr>
              <w:t>are payable in a lump sum.</w:t>
            </w:r>
          </w:p>
        </w:tc>
      </w:tr>
      <w:tr>
        <w:trPr>
          <w:trHeight w:val="184"/>
        </w:trPr>
        <w:tc>
          <w:tcPr>
            <w:tcW w:w="1920" w:type="dxa"/>
            <w:vAlign w:val="bottom"/>
            <w:tcBorders>
              <w:left w:val="single" w:sz="8" w:color="00548B"/>
              <w:right w:val="single" w:sz="8" w:color="999999"/>
            </w:tcBorders>
          </w:tcPr>
          <w:p>
            <w:pPr>
              <w:ind w:left="160"/>
              <w:spacing w:after="0"/>
              <w:rPr>
                <w:sz w:val="20"/>
                <w:szCs w:val="20"/>
                <w:color w:val="auto"/>
              </w:rPr>
            </w:pPr>
            <w:r>
              <w:rPr>
                <w:rFonts w:ascii="Arial" w:cs="Arial" w:eastAsia="Arial" w:hAnsi="Arial"/>
                <w:sz w:val="16"/>
                <w:szCs w:val="16"/>
                <w:color w:val="auto"/>
              </w:rPr>
              <w:t>C. Mark Hussey</w:t>
            </w:r>
          </w:p>
        </w:tc>
        <w:tc>
          <w:tcPr>
            <w:tcW w:w="9120" w:type="dxa"/>
            <w:vAlign w:val="bottom"/>
            <w:tcBorders>
              <w:right w:val="single" w:sz="8" w:color="00548B"/>
            </w:tcBorders>
          </w:tcPr>
          <w:p>
            <w:pPr>
              <w:ind w:left="200"/>
              <w:spacing w:after="0"/>
              <w:rPr>
                <w:sz w:val="20"/>
                <w:szCs w:val="20"/>
                <w:color w:val="auto"/>
              </w:rPr>
            </w:pPr>
            <w:r>
              <w:rPr>
                <w:rFonts w:ascii="Arial" w:cs="Arial" w:eastAsia="Arial" w:hAnsi="Arial"/>
                <w:sz w:val="16"/>
                <w:szCs w:val="16"/>
                <w:color w:val="auto"/>
              </w:rPr>
              <w:t>An amount in cash equal to one and one-half times the sum of his then current annual base salary and his then current</w:t>
            </w:r>
          </w:p>
        </w:tc>
      </w:tr>
      <w:tr>
        <w:trPr>
          <w:trHeight w:val="189"/>
        </w:trPr>
        <w:tc>
          <w:tcPr>
            <w:tcW w:w="1920" w:type="dxa"/>
            <w:vAlign w:val="bottom"/>
            <w:tcBorders>
              <w:left w:val="single" w:sz="8" w:color="00548B"/>
              <w:right w:val="single" w:sz="8" w:color="999999"/>
            </w:tcBorders>
          </w:tcPr>
          <w:p>
            <w:pPr>
              <w:spacing w:after="0"/>
              <w:rPr>
                <w:sz w:val="16"/>
                <w:szCs w:val="16"/>
                <w:color w:val="auto"/>
              </w:rPr>
            </w:pPr>
          </w:p>
        </w:tc>
        <w:tc>
          <w:tcPr>
            <w:tcW w:w="9120" w:type="dxa"/>
            <w:vAlign w:val="bottom"/>
            <w:tcBorders>
              <w:right w:val="single" w:sz="8" w:color="00548B"/>
            </w:tcBorders>
          </w:tcPr>
          <w:p>
            <w:pPr>
              <w:ind w:left="200"/>
              <w:spacing w:after="0"/>
              <w:rPr>
                <w:sz w:val="20"/>
                <w:szCs w:val="20"/>
                <w:color w:val="auto"/>
              </w:rPr>
            </w:pPr>
            <w:r>
              <w:rPr>
                <w:rFonts w:ascii="Arial" w:cs="Arial" w:eastAsia="Arial" w:hAnsi="Arial"/>
                <w:sz w:val="16"/>
                <w:szCs w:val="16"/>
                <w:color w:val="auto"/>
              </w:rPr>
              <w:t>target bonus; pro rata bonus in the year of termination based on actual results; 18 months’ continuation of medical</w:t>
            </w:r>
          </w:p>
        </w:tc>
      </w:tr>
      <w:tr>
        <w:trPr>
          <w:trHeight w:val="189"/>
        </w:trPr>
        <w:tc>
          <w:tcPr>
            <w:tcW w:w="1920" w:type="dxa"/>
            <w:vAlign w:val="bottom"/>
            <w:tcBorders>
              <w:left w:val="single" w:sz="8" w:color="00548B"/>
              <w:right w:val="single" w:sz="8" w:color="999999"/>
            </w:tcBorders>
          </w:tcPr>
          <w:p>
            <w:pPr>
              <w:spacing w:after="0"/>
              <w:rPr>
                <w:sz w:val="16"/>
                <w:szCs w:val="16"/>
                <w:color w:val="auto"/>
              </w:rPr>
            </w:pPr>
          </w:p>
        </w:tc>
        <w:tc>
          <w:tcPr>
            <w:tcW w:w="9120" w:type="dxa"/>
            <w:vAlign w:val="bottom"/>
            <w:tcBorders>
              <w:right w:val="single" w:sz="8" w:color="00548B"/>
            </w:tcBorders>
          </w:tcPr>
          <w:p>
            <w:pPr>
              <w:ind w:left="200"/>
              <w:spacing w:after="0"/>
              <w:rPr>
                <w:sz w:val="20"/>
                <w:szCs w:val="20"/>
                <w:color w:val="auto"/>
              </w:rPr>
            </w:pPr>
            <w:r>
              <w:rPr>
                <w:rFonts w:ascii="Arial" w:cs="Arial" w:eastAsia="Arial" w:hAnsi="Arial"/>
                <w:sz w:val="16"/>
                <w:szCs w:val="16"/>
                <w:color w:val="auto"/>
              </w:rPr>
              <w:t>insurance; and pro rata vesting of performance stock units that would otherwise have been earned in the performance</w:t>
            </w:r>
          </w:p>
        </w:tc>
      </w:tr>
      <w:tr>
        <w:trPr>
          <w:trHeight w:val="187"/>
        </w:trPr>
        <w:tc>
          <w:tcPr>
            <w:tcW w:w="1920" w:type="dxa"/>
            <w:vAlign w:val="bottom"/>
            <w:tcBorders>
              <w:left w:val="single" w:sz="8" w:color="00548B"/>
              <w:bottom w:val="single" w:sz="8" w:color="999999"/>
              <w:right w:val="single" w:sz="8" w:color="999999"/>
            </w:tcBorders>
          </w:tcPr>
          <w:p>
            <w:pPr>
              <w:spacing w:after="0"/>
              <w:rPr>
                <w:sz w:val="16"/>
                <w:szCs w:val="16"/>
                <w:color w:val="auto"/>
              </w:rPr>
            </w:pPr>
          </w:p>
        </w:tc>
        <w:tc>
          <w:tcPr>
            <w:tcW w:w="9120" w:type="dxa"/>
            <w:vAlign w:val="bottom"/>
            <w:tcBorders>
              <w:bottom w:val="single" w:sz="8" w:color="999999"/>
              <w:right w:val="single" w:sz="8" w:color="00548B"/>
            </w:tcBorders>
          </w:tcPr>
          <w:p>
            <w:pPr>
              <w:ind w:left="200"/>
              <w:spacing w:after="0"/>
              <w:rPr>
                <w:sz w:val="20"/>
                <w:szCs w:val="20"/>
                <w:color w:val="auto"/>
              </w:rPr>
            </w:pPr>
            <w:r>
              <w:rPr>
                <w:rFonts w:ascii="Arial" w:cs="Arial" w:eastAsia="Arial" w:hAnsi="Arial"/>
                <w:sz w:val="16"/>
                <w:szCs w:val="16"/>
                <w:color w:val="auto"/>
              </w:rPr>
              <w:t>period. Severance amounts are payable in a lump sum.</w:t>
            </w:r>
          </w:p>
        </w:tc>
      </w:tr>
      <w:tr>
        <w:trPr>
          <w:trHeight w:val="184"/>
        </w:trPr>
        <w:tc>
          <w:tcPr>
            <w:tcW w:w="1920" w:type="dxa"/>
            <w:vAlign w:val="bottom"/>
            <w:tcBorders>
              <w:left w:val="single" w:sz="8" w:color="00548B"/>
              <w:right w:val="single" w:sz="8" w:color="999999"/>
            </w:tcBorders>
          </w:tcPr>
          <w:p>
            <w:pPr>
              <w:ind w:left="160"/>
              <w:spacing w:after="0"/>
              <w:rPr>
                <w:sz w:val="20"/>
                <w:szCs w:val="20"/>
                <w:color w:val="auto"/>
              </w:rPr>
            </w:pPr>
            <w:r>
              <w:rPr>
                <w:rFonts w:ascii="Arial" w:cs="Arial" w:eastAsia="Arial" w:hAnsi="Arial"/>
                <w:sz w:val="16"/>
                <w:szCs w:val="16"/>
                <w:color w:val="auto"/>
              </w:rPr>
              <w:t>John D. Kelly</w:t>
            </w:r>
          </w:p>
        </w:tc>
        <w:tc>
          <w:tcPr>
            <w:tcW w:w="9120" w:type="dxa"/>
            <w:vAlign w:val="bottom"/>
            <w:tcBorders>
              <w:right w:val="single" w:sz="8" w:color="00548B"/>
            </w:tcBorders>
          </w:tcPr>
          <w:p>
            <w:pPr>
              <w:ind w:left="200"/>
              <w:spacing w:after="0"/>
              <w:rPr>
                <w:sz w:val="20"/>
                <w:szCs w:val="20"/>
                <w:color w:val="auto"/>
              </w:rPr>
            </w:pPr>
            <w:r>
              <w:rPr>
                <w:rFonts w:ascii="Arial" w:cs="Arial" w:eastAsia="Arial" w:hAnsi="Arial"/>
                <w:sz w:val="16"/>
                <w:szCs w:val="16"/>
                <w:color w:val="auto"/>
              </w:rPr>
              <w:t>An amount in cash equal to the sum of his or her then current annual base salary and his or her then current target bonus;</w:t>
            </w:r>
          </w:p>
        </w:tc>
      </w:tr>
      <w:tr>
        <w:trPr>
          <w:trHeight w:val="189"/>
        </w:trPr>
        <w:tc>
          <w:tcPr>
            <w:tcW w:w="1920" w:type="dxa"/>
            <w:vAlign w:val="bottom"/>
            <w:tcBorders>
              <w:left w:val="single" w:sz="8" w:color="00548B"/>
              <w:right w:val="single" w:sz="8" w:color="999999"/>
            </w:tcBorders>
          </w:tcPr>
          <w:p>
            <w:pPr>
              <w:spacing w:after="0"/>
              <w:rPr>
                <w:sz w:val="16"/>
                <w:szCs w:val="16"/>
                <w:color w:val="auto"/>
              </w:rPr>
            </w:pPr>
          </w:p>
        </w:tc>
        <w:tc>
          <w:tcPr>
            <w:tcW w:w="9120" w:type="dxa"/>
            <w:vAlign w:val="bottom"/>
            <w:tcBorders>
              <w:right w:val="single" w:sz="8" w:color="00548B"/>
            </w:tcBorders>
          </w:tcPr>
          <w:p>
            <w:pPr>
              <w:ind w:left="200"/>
              <w:spacing w:after="0"/>
              <w:rPr>
                <w:sz w:val="20"/>
                <w:szCs w:val="20"/>
                <w:color w:val="auto"/>
              </w:rPr>
            </w:pPr>
            <w:r>
              <w:rPr>
                <w:rFonts w:ascii="Arial" w:cs="Arial" w:eastAsia="Arial" w:hAnsi="Arial"/>
                <w:sz w:val="16"/>
                <w:szCs w:val="16"/>
                <w:color w:val="auto"/>
              </w:rPr>
              <w:t>pro rata bonus in the year of termination based on actual results; 12 months’ continuation of medical insurance; and pro</w:t>
            </w:r>
          </w:p>
        </w:tc>
      </w:tr>
      <w:tr>
        <w:trPr>
          <w:trHeight w:val="189"/>
        </w:trPr>
        <w:tc>
          <w:tcPr>
            <w:tcW w:w="1920" w:type="dxa"/>
            <w:vAlign w:val="bottom"/>
            <w:tcBorders>
              <w:left w:val="single" w:sz="8" w:color="00548B"/>
              <w:right w:val="single" w:sz="8" w:color="999999"/>
            </w:tcBorders>
          </w:tcPr>
          <w:p>
            <w:pPr>
              <w:spacing w:after="0"/>
              <w:rPr>
                <w:sz w:val="16"/>
                <w:szCs w:val="16"/>
                <w:color w:val="auto"/>
              </w:rPr>
            </w:pPr>
          </w:p>
        </w:tc>
        <w:tc>
          <w:tcPr>
            <w:tcW w:w="9120" w:type="dxa"/>
            <w:vAlign w:val="bottom"/>
            <w:tcBorders>
              <w:right w:val="single" w:sz="8" w:color="00548B"/>
            </w:tcBorders>
          </w:tcPr>
          <w:p>
            <w:pPr>
              <w:ind w:left="200"/>
              <w:spacing w:after="0"/>
              <w:rPr>
                <w:sz w:val="20"/>
                <w:szCs w:val="20"/>
                <w:color w:val="auto"/>
              </w:rPr>
            </w:pPr>
            <w:r>
              <w:rPr>
                <w:rFonts w:ascii="Arial" w:cs="Arial" w:eastAsia="Arial" w:hAnsi="Arial"/>
                <w:sz w:val="16"/>
                <w:szCs w:val="16"/>
                <w:color w:val="auto"/>
              </w:rPr>
              <w:t>rata vesting of performance stock units that would otherwise have been earned in the performance period. Severance</w:t>
            </w:r>
          </w:p>
        </w:tc>
      </w:tr>
      <w:tr>
        <w:trPr>
          <w:trHeight w:val="187"/>
        </w:trPr>
        <w:tc>
          <w:tcPr>
            <w:tcW w:w="1920" w:type="dxa"/>
            <w:vAlign w:val="bottom"/>
            <w:tcBorders>
              <w:left w:val="single" w:sz="8" w:color="00548B"/>
              <w:bottom w:val="single" w:sz="8" w:color="00548B"/>
              <w:right w:val="single" w:sz="8" w:color="999999"/>
            </w:tcBorders>
          </w:tcPr>
          <w:p>
            <w:pPr>
              <w:spacing w:after="0"/>
              <w:rPr>
                <w:sz w:val="16"/>
                <w:szCs w:val="16"/>
                <w:color w:val="auto"/>
              </w:rPr>
            </w:pPr>
          </w:p>
        </w:tc>
        <w:tc>
          <w:tcPr>
            <w:tcW w:w="9120" w:type="dxa"/>
            <w:vAlign w:val="bottom"/>
            <w:tcBorders>
              <w:bottom w:val="single" w:sz="8" w:color="00548B"/>
              <w:right w:val="single" w:sz="8" w:color="00548B"/>
            </w:tcBorders>
          </w:tcPr>
          <w:p>
            <w:pPr>
              <w:ind w:left="200"/>
              <w:spacing w:after="0"/>
              <w:rPr>
                <w:sz w:val="20"/>
                <w:szCs w:val="20"/>
                <w:color w:val="auto"/>
              </w:rPr>
            </w:pPr>
            <w:r>
              <w:rPr>
                <w:rFonts w:ascii="Arial" w:cs="Arial" w:eastAsia="Arial" w:hAnsi="Arial"/>
                <w:sz w:val="16"/>
                <w:szCs w:val="16"/>
                <w:color w:val="auto"/>
              </w:rPr>
              <w:t>amounts are payable in a lump sum.</w:t>
            </w:r>
          </w:p>
        </w:tc>
      </w:tr>
    </w:tbl>
    <w:p>
      <w:pPr>
        <w:spacing w:after="0" w:line="191"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6"/>
          <w:szCs w:val="16"/>
          <w:color w:val="auto"/>
        </w:rPr>
        <w:t>In the event an executive qualifies for an approved retirement and signs a non-compete agreement, he or she would receive continued vesting of his or her stock options and restricted stock. There would be no acceleration, but the equity would continue to vest per the schedule as outlined in the grant agreements.</w:t>
      </w:r>
    </w:p>
    <w:p>
      <w:pPr>
        <w:spacing w:after="0" w:line="161" w:lineRule="exact"/>
        <w:rPr>
          <w:sz w:val="20"/>
          <w:szCs w:val="20"/>
          <w:color w:val="auto"/>
        </w:rPr>
      </w:pPr>
    </w:p>
    <w:p>
      <w:pPr>
        <w:jc w:val="both"/>
        <w:ind w:left="120" w:right="20"/>
        <w:spacing w:after="0" w:line="251" w:lineRule="auto"/>
        <w:rPr>
          <w:sz w:val="20"/>
          <w:szCs w:val="20"/>
          <w:color w:val="auto"/>
        </w:rPr>
      </w:pPr>
      <w:r>
        <w:rPr>
          <w:rFonts w:ascii="Arial" w:cs="Arial" w:eastAsia="Arial" w:hAnsi="Arial"/>
          <w:sz w:val="16"/>
          <w:szCs w:val="16"/>
          <w:color w:val="auto"/>
        </w:rPr>
        <w:t>Ms. Ratekin’s termination benefits in the event of her termination without Cause or resignation for Good Reason, except in the case of a Change of Control, are covered under her Transitional Retirement Agreement. In these circumstances, Ms. Ratekin’s salary, bonus and welfare benefits would continue to be paid through her retirement date. In addition, Ms. Ratekin’s equity awards would continue to vest after termination as described in the table above beginning on page 40 of this Proxy Statement.</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00548B"/>
        </w:rPr>
        <w:t>Termination of Employment Due to Death or Disability</w:t>
      </w:r>
    </w:p>
    <w:p>
      <w:pPr>
        <w:spacing w:after="0" w:line="25"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6"/>
          <w:szCs w:val="16"/>
          <w:color w:val="auto"/>
        </w:rPr>
        <w:t>If any of our executives dies or becomes disabled, his or her estate will receive payment of base salary and a pro rata bonus at target through the date of termination. The executive and/or his or her eligible dependents shall receive continuation of medical benefits for six months. In addition, unvested time-based equity outstanding will vest and unvested performance-based awards will vest in accordance with the applicable PSU agreement.</w:t>
      </w:r>
    </w:p>
    <w:p>
      <w:pPr>
        <w:spacing w:after="0" w:line="174"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6"/>
          <w:szCs w:val="16"/>
          <w:color w:val="auto"/>
        </w:rPr>
        <w:t>Ms. Ratekin’s termination benefits in the event of her death are covered under her Transitional Retirement Agreement. In this circumstance, Ms. Ratekin’s salary and bonus would continue to be paid through her retirement date. In addition, Ms. Ratekin’s equity awards would continue to vest after termination as described in the table above beginning on page 40 of this Proxy Statement.</w:t>
      </w:r>
    </w:p>
    <w:p>
      <w:pPr>
        <w:spacing w:after="0" w:line="141"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00548B"/>
        </w:rPr>
        <w:t>Termination of Employment Due to Termination other than for Resignation for Good Reason or Due to Cause</w:t>
      </w:r>
    </w:p>
    <w:p>
      <w:pPr>
        <w:spacing w:after="0" w:line="25" w:lineRule="exact"/>
        <w:rPr>
          <w:sz w:val="20"/>
          <w:szCs w:val="20"/>
          <w:color w:val="auto"/>
        </w:rPr>
      </w:pPr>
    </w:p>
    <w:p>
      <w:pPr>
        <w:jc w:val="both"/>
        <w:ind w:left="120" w:right="20"/>
        <w:spacing w:after="0" w:line="260" w:lineRule="auto"/>
        <w:rPr>
          <w:sz w:val="20"/>
          <w:szCs w:val="20"/>
          <w:color w:val="auto"/>
        </w:rPr>
      </w:pPr>
      <w:r>
        <w:rPr>
          <w:rFonts w:ascii="Arial" w:cs="Arial" w:eastAsia="Arial" w:hAnsi="Arial"/>
          <w:sz w:val="16"/>
          <w:szCs w:val="16"/>
          <w:color w:val="auto"/>
        </w:rPr>
        <w:t>No severance or benefits are paid if an executive officer is terminated for Cause or resigns other than for Good Reason as defined in the executive’s Senior Management Agreement.</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00548B"/>
        </w:rPr>
        <w:t>Termination without Cause or Resignation for Good Reason Related to a Change of Control</w:t>
      </w:r>
    </w:p>
    <w:p>
      <w:pPr>
        <w:spacing w:after="0" w:line="25"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6"/>
          <w:szCs w:val="16"/>
          <w:color w:val="auto"/>
        </w:rPr>
        <w:t>If any of our executives with a Senior Management Agreement is terminated without Cause or resigns for Good Reason in conjunction with a Change of Control, as defined in his or her Senior Management Agreement, upon executing a general release and waiver, the Company is obligated to pay severance and continuation of benefits in varying amounts.</w:t>
      </w:r>
    </w:p>
    <w:p>
      <w:pPr>
        <w:spacing w:after="0" w:line="13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00548B"/>
        </w:rPr>
        <w:t>44</w:t>
      </w:r>
    </w:p>
    <w:p>
      <w:pPr>
        <w:sectPr>
          <w:pgSz w:w="11900" w:h="16838" w:orient="portrait"/>
          <w:cols w:equalWidth="0" w:num="1">
            <w:col w:w="11140"/>
          </w:cols>
          <w:pgMar w:left="32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both"/>
        <w:ind w:left="120" w:right="20"/>
        <w:spacing w:after="0" w:line="260" w:lineRule="auto"/>
        <w:rPr>
          <w:sz w:val="20"/>
          <w:szCs w:val="20"/>
          <w:color w:val="auto"/>
        </w:rPr>
      </w:pPr>
      <w:r>
        <w:rPr>
          <w:rFonts w:ascii="Arial" w:cs="Arial" w:eastAsia="Arial" w:hAnsi="Arial"/>
          <w:sz w:val="16"/>
          <w:szCs w:val="16"/>
          <w:color w:val="auto"/>
        </w:rPr>
        <w:t>The following severance benefits are payable to each of our named executive officers upon termination without Cause or resignation for Good Reason, in the case of a Change of Control, as of December 31, 2019:</w:t>
      </w:r>
    </w:p>
    <w:p>
      <w:pPr>
        <w:spacing w:after="0" w:line="193" w:lineRule="exact"/>
        <w:rPr>
          <w:sz w:val="20"/>
          <w:szCs w:val="20"/>
          <w:color w:val="auto"/>
        </w:rPr>
      </w:pPr>
    </w:p>
    <w:tbl>
      <w:tblPr>
        <w:tblLayout w:type="fixed"/>
        <w:tblInd w:w="130" w:type="dxa"/>
        <w:tblCellMar>
          <w:top w:w="0" w:type="dxa"/>
          <w:left w:w="0" w:type="dxa"/>
          <w:bottom w:w="0" w:type="dxa"/>
          <w:right w:w="0" w:type="dxa"/>
        </w:tblCellMar>
      </w:tblPr>
      <w:tr>
        <w:trPr>
          <w:trHeight w:val="162"/>
        </w:trPr>
        <w:tc>
          <w:tcPr>
            <w:tcW w:w="1920" w:type="dxa"/>
            <w:vAlign w:val="bottom"/>
            <w:tcBorders>
              <w:left w:val="single" w:sz="8" w:color="00548B"/>
              <w:right w:val="single" w:sz="8" w:color="999999"/>
            </w:tcBorders>
            <w:shd w:val="clear" w:color="auto" w:fill="00548B"/>
          </w:tcPr>
          <w:p>
            <w:pPr>
              <w:ind w:left="160"/>
              <w:spacing w:after="0"/>
              <w:rPr>
                <w:sz w:val="20"/>
                <w:szCs w:val="20"/>
                <w:color w:val="auto"/>
              </w:rPr>
            </w:pPr>
            <w:r>
              <w:rPr>
                <w:rFonts w:ascii="Arial" w:cs="Arial" w:eastAsia="Arial" w:hAnsi="Arial"/>
                <w:sz w:val="14"/>
                <w:szCs w:val="14"/>
                <w:b w:val="1"/>
                <w:bCs w:val="1"/>
                <w:color w:val="D8D8D8"/>
              </w:rPr>
              <w:t>Executive</w:t>
            </w:r>
          </w:p>
        </w:tc>
        <w:tc>
          <w:tcPr>
            <w:tcW w:w="9120" w:type="dxa"/>
            <w:vAlign w:val="bottom"/>
            <w:tcBorders>
              <w:right w:val="single" w:sz="8" w:color="00548B"/>
            </w:tcBorders>
            <w:shd w:val="clear" w:color="auto" w:fill="00548B"/>
          </w:tcPr>
          <w:p>
            <w:pPr>
              <w:ind w:left="3960"/>
              <w:spacing w:after="0"/>
              <w:rPr>
                <w:sz w:val="20"/>
                <w:szCs w:val="20"/>
                <w:color w:val="auto"/>
              </w:rPr>
            </w:pPr>
            <w:r>
              <w:rPr>
                <w:rFonts w:ascii="Arial" w:cs="Arial" w:eastAsia="Arial" w:hAnsi="Arial"/>
                <w:sz w:val="14"/>
                <w:szCs w:val="14"/>
                <w:b w:val="1"/>
                <w:bCs w:val="1"/>
                <w:color w:val="D8D8D8"/>
              </w:rPr>
              <w:t>Severance Benefits</w:t>
            </w:r>
          </w:p>
        </w:tc>
      </w:tr>
      <w:tr>
        <w:trPr>
          <w:trHeight w:val="191"/>
        </w:trPr>
        <w:tc>
          <w:tcPr>
            <w:tcW w:w="1920" w:type="dxa"/>
            <w:vAlign w:val="bottom"/>
            <w:tcBorders>
              <w:left w:val="single" w:sz="8" w:color="00548B"/>
              <w:right w:val="single" w:sz="8" w:color="999999"/>
            </w:tcBorders>
          </w:tcPr>
          <w:p>
            <w:pPr>
              <w:ind w:left="160"/>
              <w:spacing w:after="0"/>
              <w:rPr>
                <w:sz w:val="20"/>
                <w:szCs w:val="20"/>
                <w:color w:val="auto"/>
              </w:rPr>
            </w:pPr>
            <w:r>
              <w:rPr>
                <w:rFonts w:ascii="Arial" w:cs="Arial" w:eastAsia="Arial" w:hAnsi="Arial"/>
                <w:sz w:val="16"/>
                <w:szCs w:val="16"/>
                <w:color w:val="auto"/>
              </w:rPr>
              <w:t>James H. Roth</w:t>
            </w:r>
          </w:p>
        </w:tc>
        <w:tc>
          <w:tcPr>
            <w:tcW w:w="9120" w:type="dxa"/>
            <w:vAlign w:val="bottom"/>
            <w:tcBorders>
              <w:right w:val="single" w:sz="8" w:color="00548B"/>
            </w:tcBorders>
          </w:tcPr>
          <w:p>
            <w:pPr>
              <w:ind w:left="200"/>
              <w:spacing w:after="0"/>
              <w:rPr>
                <w:sz w:val="20"/>
                <w:szCs w:val="20"/>
                <w:color w:val="auto"/>
              </w:rPr>
            </w:pPr>
            <w:r>
              <w:rPr>
                <w:rFonts w:ascii="Arial" w:cs="Arial" w:eastAsia="Arial" w:hAnsi="Arial"/>
                <w:sz w:val="16"/>
                <w:szCs w:val="16"/>
                <w:color w:val="auto"/>
              </w:rPr>
              <w:t>An amount in cash equal to two and one-half times the sum of his then current annual base salary and his then current</w:t>
            </w:r>
          </w:p>
        </w:tc>
      </w:tr>
      <w:tr>
        <w:trPr>
          <w:trHeight w:val="189"/>
        </w:trPr>
        <w:tc>
          <w:tcPr>
            <w:tcW w:w="1920" w:type="dxa"/>
            <w:vAlign w:val="bottom"/>
            <w:tcBorders>
              <w:left w:val="single" w:sz="8" w:color="00548B"/>
              <w:right w:val="single" w:sz="8" w:color="999999"/>
            </w:tcBorders>
          </w:tcPr>
          <w:p>
            <w:pPr>
              <w:spacing w:after="0"/>
              <w:rPr>
                <w:sz w:val="16"/>
                <w:szCs w:val="16"/>
                <w:color w:val="auto"/>
              </w:rPr>
            </w:pPr>
          </w:p>
        </w:tc>
        <w:tc>
          <w:tcPr>
            <w:tcW w:w="9120" w:type="dxa"/>
            <w:vAlign w:val="bottom"/>
            <w:tcBorders>
              <w:right w:val="single" w:sz="8" w:color="00548B"/>
            </w:tcBorders>
          </w:tcPr>
          <w:p>
            <w:pPr>
              <w:ind w:left="200"/>
              <w:spacing w:after="0"/>
              <w:rPr>
                <w:sz w:val="20"/>
                <w:szCs w:val="20"/>
                <w:color w:val="auto"/>
              </w:rPr>
            </w:pPr>
            <w:r>
              <w:rPr>
                <w:rFonts w:ascii="Arial" w:cs="Arial" w:eastAsia="Arial" w:hAnsi="Arial"/>
                <w:sz w:val="16"/>
                <w:szCs w:val="16"/>
                <w:color w:val="auto"/>
              </w:rPr>
              <w:t>target bonus, pro rata target bonus in the year of termination, 30 months’ continuation of medical insurance, and</w:t>
            </w:r>
          </w:p>
        </w:tc>
      </w:tr>
      <w:tr>
        <w:trPr>
          <w:trHeight w:val="189"/>
        </w:trPr>
        <w:tc>
          <w:tcPr>
            <w:tcW w:w="1920" w:type="dxa"/>
            <w:vAlign w:val="bottom"/>
            <w:tcBorders>
              <w:left w:val="single" w:sz="8" w:color="00548B"/>
              <w:right w:val="single" w:sz="8" w:color="999999"/>
            </w:tcBorders>
          </w:tcPr>
          <w:p>
            <w:pPr>
              <w:spacing w:after="0"/>
              <w:rPr>
                <w:sz w:val="16"/>
                <w:szCs w:val="16"/>
                <w:color w:val="auto"/>
              </w:rPr>
            </w:pPr>
          </w:p>
        </w:tc>
        <w:tc>
          <w:tcPr>
            <w:tcW w:w="9120" w:type="dxa"/>
            <w:vAlign w:val="bottom"/>
            <w:tcBorders>
              <w:right w:val="single" w:sz="8" w:color="00548B"/>
            </w:tcBorders>
          </w:tcPr>
          <w:p>
            <w:pPr>
              <w:ind w:left="200"/>
              <w:spacing w:after="0"/>
              <w:rPr>
                <w:sz w:val="20"/>
                <w:szCs w:val="20"/>
                <w:color w:val="auto"/>
              </w:rPr>
            </w:pPr>
            <w:r>
              <w:rPr>
                <w:rFonts w:ascii="Arial" w:cs="Arial" w:eastAsia="Arial" w:hAnsi="Arial"/>
                <w:sz w:val="16"/>
                <w:szCs w:val="16"/>
                <w:color w:val="auto"/>
              </w:rPr>
              <w:t>accelerated vesting of all outstanding equity grants that were awarded at or prior to the time of the Change of Control.</w:t>
            </w:r>
          </w:p>
        </w:tc>
      </w:tr>
      <w:tr>
        <w:trPr>
          <w:trHeight w:val="187"/>
        </w:trPr>
        <w:tc>
          <w:tcPr>
            <w:tcW w:w="1920" w:type="dxa"/>
            <w:vAlign w:val="bottom"/>
            <w:tcBorders>
              <w:left w:val="single" w:sz="8" w:color="00548B"/>
              <w:bottom w:val="single" w:sz="8" w:color="999999"/>
              <w:right w:val="single" w:sz="8" w:color="999999"/>
            </w:tcBorders>
          </w:tcPr>
          <w:p>
            <w:pPr>
              <w:spacing w:after="0"/>
              <w:rPr>
                <w:sz w:val="16"/>
                <w:szCs w:val="16"/>
                <w:color w:val="auto"/>
              </w:rPr>
            </w:pPr>
          </w:p>
        </w:tc>
        <w:tc>
          <w:tcPr>
            <w:tcW w:w="9120" w:type="dxa"/>
            <w:vAlign w:val="bottom"/>
            <w:tcBorders>
              <w:bottom w:val="single" w:sz="8" w:color="999999"/>
              <w:right w:val="single" w:sz="8" w:color="00548B"/>
            </w:tcBorders>
          </w:tcPr>
          <w:p>
            <w:pPr>
              <w:ind w:left="200"/>
              <w:spacing w:after="0"/>
              <w:rPr>
                <w:sz w:val="20"/>
                <w:szCs w:val="20"/>
                <w:color w:val="auto"/>
              </w:rPr>
            </w:pPr>
            <w:r>
              <w:rPr>
                <w:rFonts w:ascii="Arial" w:cs="Arial" w:eastAsia="Arial" w:hAnsi="Arial"/>
                <w:sz w:val="16"/>
                <w:szCs w:val="16"/>
                <w:color w:val="auto"/>
              </w:rPr>
              <w:t>Severance amounts are payable in a lump sum.</w:t>
            </w:r>
          </w:p>
        </w:tc>
      </w:tr>
      <w:tr>
        <w:trPr>
          <w:trHeight w:val="184"/>
        </w:trPr>
        <w:tc>
          <w:tcPr>
            <w:tcW w:w="1920" w:type="dxa"/>
            <w:vAlign w:val="bottom"/>
            <w:tcBorders>
              <w:left w:val="single" w:sz="8" w:color="00548B"/>
              <w:right w:val="single" w:sz="8" w:color="999999"/>
            </w:tcBorders>
          </w:tcPr>
          <w:p>
            <w:pPr>
              <w:ind w:left="160"/>
              <w:spacing w:after="0"/>
              <w:rPr>
                <w:sz w:val="20"/>
                <w:szCs w:val="20"/>
                <w:color w:val="auto"/>
              </w:rPr>
            </w:pPr>
            <w:r>
              <w:rPr>
                <w:rFonts w:ascii="Arial" w:cs="Arial" w:eastAsia="Arial" w:hAnsi="Arial"/>
                <w:sz w:val="16"/>
                <w:szCs w:val="16"/>
                <w:color w:val="auto"/>
              </w:rPr>
              <w:t>C. Mark Hussey</w:t>
            </w:r>
          </w:p>
        </w:tc>
        <w:tc>
          <w:tcPr>
            <w:tcW w:w="9120" w:type="dxa"/>
            <w:vAlign w:val="bottom"/>
            <w:tcBorders>
              <w:right w:val="single" w:sz="8" w:color="00548B"/>
            </w:tcBorders>
          </w:tcPr>
          <w:p>
            <w:pPr>
              <w:ind w:left="200"/>
              <w:spacing w:after="0"/>
              <w:rPr>
                <w:sz w:val="20"/>
                <w:szCs w:val="20"/>
                <w:color w:val="auto"/>
              </w:rPr>
            </w:pPr>
            <w:r>
              <w:rPr>
                <w:rFonts w:ascii="Arial" w:cs="Arial" w:eastAsia="Arial" w:hAnsi="Arial"/>
                <w:sz w:val="16"/>
                <w:szCs w:val="16"/>
                <w:color w:val="auto"/>
              </w:rPr>
              <w:t>An amount in cash equal to two times the sum of his then current annual base salary and his then current target bonus, pro</w:t>
            </w:r>
          </w:p>
        </w:tc>
      </w:tr>
      <w:tr>
        <w:trPr>
          <w:trHeight w:val="189"/>
        </w:trPr>
        <w:tc>
          <w:tcPr>
            <w:tcW w:w="1920" w:type="dxa"/>
            <w:vAlign w:val="bottom"/>
            <w:tcBorders>
              <w:left w:val="single" w:sz="8" w:color="00548B"/>
              <w:right w:val="single" w:sz="8" w:color="999999"/>
            </w:tcBorders>
          </w:tcPr>
          <w:p>
            <w:pPr>
              <w:spacing w:after="0"/>
              <w:rPr>
                <w:sz w:val="16"/>
                <w:szCs w:val="16"/>
                <w:color w:val="auto"/>
              </w:rPr>
            </w:pPr>
          </w:p>
        </w:tc>
        <w:tc>
          <w:tcPr>
            <w:tcW w:w="9120" w:type="dxa"/>
            <w:vAlign w:val="bottom"/>
            <w:tcBorders>
              <w:right w:val="single" w:sz="8" w:color="00548B"/>
            </w:tcBorders>
          </w:tcPr>
          <w:p>
            <w:pPr>
              <w:ind w:left="200"/>
              <w:spacing w:after="0"/>
              <w:rPr>
                <w:sz w:val="20"/>
                <w:szCs w:val="20"/>
                <w:color w:val="auto"/>
              </w:rPr>
            </w:pPr>
            <w:r>
              <w:rPr>
                <w:rFonts w:ascii="Arial" w:cs="Arial" w:eastAsia="Arial" w:hAnsi="Arial"/>
                <w:sz w:val="16"/>
                <w:szCs w:val="16"/>
                <w:color w:val="auto"/>
              </w:rPr>
              <w:t>rata target bonus in the year of termination, 24 months’ continuation of medical insurance, and accelerated vesting of all</w:t>
            </w:r>
          </w:p>
        </w:tc>
      </w:tr>
      <w:tr>
        <w:trPr>
          <w:trHeight w:val="189"/>
        </w:trPr>
        <w:tc>
          <w:tcPr>
            <w:tcW w:w="1920" w:type="dxa"/>
            <w:vAlign w:val="bottom"/>
            <w:tcBorders>
              <w:left w:val="single" w:sz="8" w:color="00548B"/>
              <w:right w:val="single" w:sz="8" w:color="999999"/>
            </w:tcBorders>
          </w:tcPr>
          <w:p>
            <w:pPr>
              <w:spacing w:after="0"/>
              <w:rPr>
                <w:sz w:val="16"/>
                <w:szCs w:val="16"/>
                <w:color w:val="auto"/>
              </w:rPr>
            </w:pPr>
          </w:p>
        </w:tc>
        <w:tc>
          <w:tcPr>
            <w:tcW w:w="9120" w:type="dxa"/>
            <w:vAlign w:val="bottom"/>
            <w:tcBorders>
              <w:right w:val="single" w:sz="8" w:color="00548B"/>
            </w:tcBorders>
          </w:tcPr>
          <w:p>
            <w:pPr>
              <w:ind w:left="200"/>
              <w:spacing w:after="0"/>
              <w:rPr>
                <w:sz w:val="20"/>
                <w:szCs w:val="20"/>
                <w:color w:val="auto"/>
              </w:rPr>
            </w:pPr>
            <w:r>
              <w:rPr>
                <w:rFonts w:ascii="Arial" w:cs="Arial" w:eastAsia="Arial" w:hAnsi="Arial"/>
                <w:sz w:val="16"/>
                <w:szCs w:val="16"/>
                <w:color w:val="auto"/>
              </w:rPr>
              <w:t>outstanding equity grants that were awarded at or prior to the time of the Change of Control. Severance amounts are</w:t>
            </w:r>
          </w:p>
        </w:tc>
      </w:tr>
      <w:tr>
        <w:trPr>
          <w:trHeight w:val="187"/>
        </w:trPr>
        <w:tc>
          <w:tcPr>
            <w:tcW w:w="1920" w:type="dxa"/>
            <w:vAlign w:val="bottom"/>
            <w:tcBorders>
              <w:left w:val="single" w:sz="8" w:color="00548B"/>
              <w:bottom w:val="single" w:sz="8" w:color="999999"/>
              <w:right w:val="single" w:sz="8" w:color="999999"/>
            </w:tcBorders>
          </w:tcPr>
          <w:p>
            <w:pPr>
              <w:spacing w:after="0"/>
              <w:rPr>
                <w:sz w:val="16"/>
                <w:szCs w:val="16"/>
                <w:color w:val="auto"/>
              </w:rPr>
            </w:pPr>
          </w:p>
        </w:tc>
        <w:tc>
          <w:tcPr>
            <w:tcW w:w="9120" w:type="dxa"/>
            <w:vAlign w:val="bottom"/>
            <w:tcBorders>
              <w:bottom w:val="single" w:sz="8" w:color="999999"/>
              <w:right w:val="single" w:sz="8" w:color="00548B"/>
            </w:tcBorders>
          </w:tcPr>
          <w:p>
            <w:pPr>
              <w:ind w:left="200"/>
              <w:spacing w:after="0"/>
              <w:rPr>
                <w:sz w:val="20"/>
                <w:szCs w:val="20"/>
                <w:color w:val="auto"/>
              </w:rPr>
            </w:pPr>
            <w:r>
              <w:rPr>
                <w:rFonts w:ascii="Arial" w:cs="Arial" w:eastAsia="Arial" w:hAnsi="Arial"/>
                <w:sz w:val="16"/>
                <w:szCs w:val="16"/>
                <w:color w:val="auto"/>
              </w:rPr>
              <w:t>payable in a lump sum.</w:t>
            </w:r>
          </w:p>
        </w:tc>
      </w:tr>
      <w:tr>
        <w:trPr>
          <w:trHeight w:val="184"/>
        </w:trPr>
        <w:tc>
          <w:tcPr>
            <w:tcW w:w="1920" w:type="dxa"/>
            <w:vAlign w:val="bottom"/>
            <w:tcBorders>
              <w:left w:val="single" w:sz="8" w:color="00548B"/>
              <w:right w:val="single" w:sz="8" w:color="999999"/>
            </w:tcBorders>
          </w:tcPr>
          <w:p>
            <w:pPr>
              <w:ind w:left="160"/>
              <w:spacing w:after="0"/>
              <w:rPr>
                <w:sz w:val="20"/>
                <w:szCs w:val="20"/>
                <w:color w:val="auto"/>
              </w:rPr>
            </w:pPr>
            <w:r>
              <w:rPr>
                <w:rFonts w:ascii="Arial" w:cs="Arial" w:eastAsia="Arial" w:hAnsi="Arial"/>
                <w:sz w:val="16"/>
                <w:szCs w:val="16"/>
                <w:color w:val="auto"/>
              </w:rPr>
              <w:t>John D. Kelly &amp; Diane</w:t>
            </w:r>
          </w:p>
        </w:tc>
        <w:tc>
          <w:tcPr>
            <w:tcW w:w="9120" w:type="dxa"/>
            <w:vAlign w:val="bottom"/>
            <w:tcBorders>
              <w:right w:val="single" w:sz="8" w:color="00548B"/>
            </w:tcBorders>
          </w:tcPr>
          <w:p>
            <w:pPr>
              <w:ind w:left="200"/>
              <w:spacing w:after="0"/>
              <w:rPr>
                <w:sz w:val="20"/>
                <w:szCs w:val="20"/>
                <w:color w:val="auto"/>
              </w:rPr>
            </w:pPr>
            <w:r>
              <w:rPr>
                <w:rFonts w:ascii="Arial" w:cs="Arial" w:eastAsia="Arial" w:hAnsi="Arial"/>
                <w:sz w:val="16"/>
                <w:szCs w:val="16"/>
                <w:color w:val="auto"/>
              </w:rPr>
              <w:t>An amount in cash equal to one and one-half times the sum of his or her then current annual base salary and his or her</w:t>
            </w:r>
          </w:p>
        </w:tc>
      </w:tr>
      <w:tr>
        <w:trPr>
          <w:trHeight w:val="189"/>
        </w:trPr>
        <w:tc>
          <w:tcPr>
            <w:tcW w:w="1920" w:type="dxa"/>
            <w:vAlign w:val="bottom"/>
            <w:tcBorders>
              <w:left w:val="single" w:sz="8" w:color="00548B"/>
              <w:right w:val="single" w:sz="8" w:color="999999"/>
            </w:tcBorders>
          </w:tcPr>
          <w:p>
            <w:pPr>
              <w:ind w:left="160"/>
              <w:spacing w:after="0"/>
              <w:rPr>
                <w:sz w:val="20"/>
                <w:szCs w:val="20"/>
                <w:color w:val="auto"/>
              </w:rPr>
            </w:pPr>
            <w:r>
              <w:rPr>
                <w:rFonts w:ascii="Arial" w:cs="Arial" w:eastAsia="Arial" w:hAnsi="Arial"/>
                <w:sz w:val="16"/>
                <w:szCs w:val="16"/>
                <w:color w:val="auto"/>
              </w:rPr>
              <w:t>E. Ratekin</w:t>
            </w:r>
          </w:p>
        </w:tc>
        <w:tc>
          <w:tcPr>
            <w:tcW w:w="9120" w:type="dxa"/>
            <w:vAlign w:val="bottom"/>
            <w:tcBorders>
              <w:right w:val="single" w:sz="8" w:color="00548B"/>
            </w:tcBorders>
          </w:tcPr>
          <w:p>
            <w:pPr>
              <w:ind w:left="200"/>
              <w:spacing w:after="0"/>
              <w:rPr>
                <w:sz w:val="20"/>
                <w:szCs w:val="20"/>
                <w:color w:val="auto"/>
              </w:rPr>
            </w:pPr>
            <w:r>
              <w:rPr>
                <w:rFonts w:ascii="Arial" w:cs="Arial" w:eastAsia="Arial" w:hAnsi="Arial"/>
                <w:sz w:val="16"/>
                <w:szCs w:val="16"/>
                <w:color w:val="auto"/>
              </w:rPr>
              <w:t>then current target bonus, pro rata target bonus in the year of termination, 18 months’ continuation of medical insurance,</w:t>
            </w:r>
          </w:p>
        </w:tc>
      </w:tr>
      <w:tr>
        <w:trPr>
          <w:trHeight w:val="189"/>
        </w:trPr>
        <w:tc>
          <w:tcPr>
            <w:tcW w:w="1920" w:type="dxa"/>
            <w:vAlign w:val="bottom"/>
            <w:tcBorders>
              <w:left w:val="single" w:sz="8" w:color="00548B"/>
              <w:right w:val="single" w:sz="8" w:color="999999"/>
            </w:tcBorders>
          </w:tcPr>
          <w:p>
            <w:pPr>
              <w:spacing w:after="0"/>
              <w:rPr>
                <w:sz w:val="16"/>
                <w:szCs w:val="16"/>
                <w:color w:val="auto"/>
              </w:rPr>
            </w:pPr>
          </w:p>
        </w:tc>
        <w:tc>
          <w:tcPr>
            <w:tcW w:w="9120" w:type="dxa"/>
            <w:vAlign w:val="bottom"/>
            <w:tcBorders>
              <w:right w:val="single" w:sz="8" w:color="00548B"/>
            </w:tcBorders>
          </w:tcPr>
          <w:p>
            <w:pPr>
              <w:ind w:left="200"/>
              <w:spacing w:after="0"/>
              <w:rPr>
                <w:sz w:val="20"/>
                <w:szCs w:val="20"/>
                <w:color w:val="auto"/>
              </w:rPr>
            </w:pPr>
            <w:r>
              <w:rPr>
                <w:rFonts w:ascii="Arial" w:cs="Arial" w:eastAsia="Arial" w:hAnsi="Arial"/>
                <w:sz w:val="16"/>
                <w:szCs w:val="16"/>
                <w:color w:val="auto"/>
              </w:rPr>
              <w:t>and accelerated vesting of all outstanding equity grants that were awarded at or prior to the time of the Change of Control.</w:t>
            </w:r>
          </w:p>
        </w:tc>
      </w:tr>
      <w:tr>
        <w:trPr>
          <w:trHeight w:val="187"/>
        </w:trPr>
        <w:tc>
          <w:tcPr>
            <w:tcW w:w="1920" w:type="dxa"/>
            <w:vAlign w:val="bottom"/>
            <w:tcBorders>
              <w:left w:val="single" w:sz="8" w:color="00548B"/>
              <w:bottom w:val="single" w:sz="8" w:color="00548B"/>
              <w:right w:val="single" w:sz="8" w:color="999999"/>
            </w:tcBorders>
          </w:tcPr>
          <w:p>
            <w:pPr>
              <w:spacing w:after="0"/>
              <w:rPr>
                <w:sz w:val="16"/>
                <w:szCs w:val="16"/>
                <w:color w:val="auto"/>
              </w:rPr>
            </w:pPr>
          </w:p>
        </w:tc>
        <w:tc>
          <w:tcPr>
            <w:tcW w:w="9120" w:type="dxa"/>
            <w:vAlign w:val="bottom"/>
            <w:tcBorders>
              <w:bottom w:val="single" w:sz="8" w:color="00548B"/>
              <w:right w:val="single" w:sz="8" w:color="00548B"/>
            </w:tcBorders>
          </w:tcPr>
          <w:p>
            <w:pPr>
              <w:ind w:left="200"/>
              <w:spacing w:after="0"/>
              <w:rPr>
                <w:sz w:val="20"/>
                <w:szCs w:val="20"/>
                <w:color w:val="auto"/>
              </w:rPr>
            </w:pPr>
            <w:r>
              <w:rPr>
                <w:rFonts w:ascii="Arial" w:cs="Arial" w:eastAsia="Arial" w:hAnsi="Arial"/>
                <w:sz w:val="16"/>
                <w:szCs w:val="16"/>
                <w:color w:val="auto"/>
              </w:rPr>
              <w:t>Severance amounts are payable in a lump sum.</w:t>
            </w:r>
          </w:p>
        </w:tc>
      </w:tr>
    </w:tbl>
    <w:p>
      <w:pPr>
        <w:spacing w:after="0" w:line="171"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00548B"/>
        </w:rPr>
        <w:t>Golden Parachute Cutback</w:t>
      </w:r>
    </w:p>
    <w:p>
      <w:pPr>
        <w:spacing w:after="0" w:line="25" w:lineRule="exact"/>
        <w:rPr>
          <w:sz w:val="20"/>
          <w:szCs w:val="20"/>
          <w:color w:val="auto"/>
        </w:rPr>
      </w:pPr>
    </w:p>
    <w:p>
      <w:pPr>
        <w:jc w:val="both"/>
        <w:ind w:left="120" w:right="20"/>
        <w:spacing w:after="0" w:line="251" w:lineRule="auto"/>
        <w:rPr>
          <w:sz w:val="20"/>
          <w:szCs w:val="20"/>
          <w:color w:val="auto"/>
        </w:rPr>
      </w:pPr>
      <w:r>
        <w:rPr>
          <w:rFonts w:ascii="Arial" w:cs="Arial" w:eastAsia="Arial" w:hAnsi="Arial"/>
          <w:sz w:val="16"/>
          <w:szCs w:val="16"/>
          <w:color w:val="auto"/>
        </w:rPr>
        <w:t>All four Senior Management Agreements provide that, if any amount, right or benefit paid or payable to the executive under his or her Senior Management Agreement or any other plan, program or arrangement would constitute an “excess parachute payment” under Section 280G of the Code, subject to the excise tax imposed by Section 4999 of the Code, then the amount of payments payable to the executive under his or her Senior Management Agreement will be reduced to the extent necessary so that no portion of such payments is subject to such excise tax.</w:t>
      </w:r>
    </w:p>
    <w:p>
      <w:pPr>
        <w:spacing w:after="0" w:line="13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48B"/>
        </w:rPr>
        <w:t>P</w:t>
      </w:r>
      <w:r>
        <w:rPr>
          <w:rFonts w:ascii="Arial" w:cs="Arial" w:eastAsia="Arial" w:hAnsi="Arial"/>
          <w:sz w:val="14"/>
          <w:szCs w:val="14"/>
          <w:b w:val="1"/>
          <w:bCs w:val="1"/>
          <w:color w:val="00548B"/>
        </w:rPr>
        <w:t>OTENTIAL</w:t>
      </w:r>
      <w:r>
        <w:rPr>
          <w:rFonts w:ascii="Arial" w:cs="Arial" w:eastAsia="Arial" w:hAnsi="Arial"/>
          <w:sz w:val="18"/>
          <w:szCs w:val="18"/>
          <w:b w:val="1"/>
          <w:bCs w:val="1"/>
          <w:color w:val="00548B"/>
        </w:rPr>
        <w:t xml:space="preserve"> P</w:t>
      </w:r>
      <w:r>
        <w:rPr>
          <w:rFonts w:ascii="Arial" w:cs="Arial" w:eastAsia="Arial" w:hAnsi="Arial"/>
          <w:sz w:val="14"/>
          <w:szCs w:val="14"/>
          <w:b w:val="1"/>
          <w:bCs w:val="1"/>
          <w:color w:val="00548B"/>
        </w:rPr>
        <w:t>AYMENTS UPON</w:t>
      </w:r>
      <w:r>
        <w:rPr>
          <w:rFonts w:ascii="Arial" w:cs="Arial" w:eastAsia="Arial" w:hAnsi="Arial"/>
          <w:sz w:val="18"/>
          <w:szCs w:val="18"/>
          <w:b w:val="1"/>
          <w:bCs w:val="1"/>
          <w:color w:val="00548B"/>
        </w:rPr>
        <w:t xml:space="preserve"> T</w:t>
      </w:r>
      <w:r>
        <w:rPr>
          <w:rFonts w:ascii="Arial" w:cs="Arial" w:eastAsia="Arial" w:hAnsi="Arial"/>
          <w:sz w:val="14"/>
          <w:szCs w:val="14"/>
          <w:b w:val="1"/>
          <w:bCs w:val="1"/>
          <w:color w:val="00548B"/>
        </w:rPr>
        <w:t>ERMINATION OR</w:t>
      </w:r>
      <w:r>
        <w:rPr>
          <w:rFonts w:ascii="Arial" w:cs="Arial" w:eastAsia="Arial" w:hAnsi="Arial"/>
          <w:sz w:val="18"/>
          <w:szCs w:val="18"/>
          <w:b w:val="1"/>
          <w:bCs w:val="1"/>
          <w:color w:val="00548B"/>
        </w:rPr>
        <w:t xml:space="preserve"> C</w:t>
      </w:r>
      <w:r>
        <w:rPr>
          <w:rFonts w:ascii="Arial" w:cs="Arial" w:eastAsia="Arial" w:hAnsi="Arial"/>
          <w:sz w:val="14"/>
          <w:szCs w:val="14"/>
          <w:b w:val="1"/>
          <w:bCs w:val="1"/>
          <w:color w:val="00548B"/>
        </w:rPr>
        <w:t>HANGE OF</w:t>
      </w:r>
      <w:r>
        <w:rPr>
          <w:rFonts w:ascii="Arial" w:cs="Arial" w:eastAsia="Arial" w:hAnsi="Arial"/>
          <w:sz w:val="18"/>
          <w:szCs w:val="18"/>
          <w:b w:val="1"/>
          <w:bCs w:val="1"/>
          <w:color w:val="00548B"/>
        </w:rPr>
        <w:t xml:space="preserve"> C</w:t>
      </w:r>
      <w:r>
        <w:rPr>
          <w:rFonts w:ascii="Arial" w:cs="Arial" w:eastAsia="Arial" w:hAnsi="Arial"/>
          <w:sz w:val="14"/>
          <w:szCs w:val="14"/>
          <w:b w:val="1"/>
          <w:bCs w:val="1"/>
          <w:color w:val="00548B"/>
        </w:rPr>
        <w:t>ONTROL</w:t>
      </w:r>
    </w:p>
    <w:p>
      <w:pPr>
        <w:spacing w:after="0" w:line="20" w:lineRule="exact"/>
        <w:rPr>
          <w:sz w:val="20"/>
          <w:szCs w:val="20"/>
          <w:color w:val="auto"/>
        </w:rPr>
      </w:pPr>
    </w:p>
    <w:p>
      <w:pPr>
        <w:jc w:val="both"/>
        <w:ind w:left="120"/>
        <w:spacing w:after="0" w:line="249" w:lineRule="auto"/>
        <w:rPr>
          <w:sz w:val="20"/>
          <w:szCs w:val="20"/>
          <w:color w:val="auto"/>
        </w:rPr>
      </w:pPr>
      <w:r>
        <w:rPr>
          <w:rFonts w:ascii="Arial" w:cs="Arial" w:eastAsia="Arial" w:hAnsi="Arial"/>
          <w:sz w:val="16"/>
          <w:szCs w:val="16"/>
          <w:color w:val="auto"/>
        </w:rPr>
        <w:t>The estimated amount payable or provided to each named executive officer in each situation is summarized below. These estimates are based on the assumption that the various triggering events occurred on the last day of 2019, along with other material assumptions noted below. The actual amounts that would be paid to a named executive officer upon termination or a change of control can only be determined at the time the actual triggering event occurs. The estimated amount of compensation and benefits described below does not take into account compensation and benefits that a named executive officer has earned prior to the applicable triggering event, such as equity awards that have previously vested in accordance with their terms or vested benefits otherwise payable under our compensation programs.</w:t>
      </w:r>
    </w:p>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00548B"/>
        </w:rPr>
        <w:t>45</w:t>
      </w:r>
    </w:p>
    <w:p>
      <w:pPr>
        <w:sectPr>
          <w:pgSz w:w="11900" w:h="16838" w:orient="portrait"/>
          <w:cols w:equalWidth="0" w:num="1">
            <w:col w:w="11140"/>
          </w:cols>
          <w:pgMar w:left="32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6"/>
          <w:szCs w:val="16"/>
          <w:color w:val="auto"/>
        </w:rPr>
        <w:t>The following table and summary set forth potential payments we would be required to make to our named executive officers upon termination of employment or change of control. The table assumes termination of employment on December 31, 2019 and uses a share price of $68.72, the closing price of our stock on December 31, 2019.</w:t>
      </w:r>
    </w:p>
    <w:p>
      <w:pPr>
        <w:spacing w:after="0" w:line="18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60" w:type="dxa"/>
            <w:vAlign w:val="bottom"/>
            <w:shd w:val="clear" w:color="auto" w:fill="00548B"/>
          </w:tcPr>
          <w:p>
            <w:pPr>
              <w:spacing w:after="0"/>
              <w:rPr>
                <w:sz w:val="14"/>
                <w:szCs w:val="14"/>
                <w:color w:val="auto"/>
              </w:rPr>
            </w:pPr>
          </w:p>
        </w:tc>
        <w:tc>
          <w:tcPr>
            <w:tcW w:w="1820" w:type="dxa"/>
            <w:vAlign w:val="bottom"/>
            <w:shd w:val="clear" w:color="auto" w:fill="00548B"/>
          </w:tcPr>
          <w:p>
            <w:pPr>
              <w:spacing w:after="0"/>
              <w:rPr>
                <w:sz w:val="14"/>
                <w:szCs w:val="14"/>
                <w:color w:val="auto"/>
              </w:rPr>
            </w:pPr>
          </w:p>
        </w:tc>
        <w:tc>
          <w:tcPr>
            <w:tcW w:w="1200" w:type="dxa"/>
            <w:vAlign w:val="bottom"/>
            <w:shd w:val="clear" w:color="auto" w:fill="00548B"/>
          </w:tcPr>
          <w:p>
            <w:pPr>
              <w:jc w:val="center"/>
              <w:ind w:left="88"/>
              <w:spacing w:after="0"/>
              <w:rPr>
                <w:sz w:val="20"/>
                <w:szCs w:val="20"/>
                <w:color w:val="auto"/>
              </w:rPr>
            </w:pPr>
            <w:r>
              <w:rPr>
                <w:rFonts w:ascii="Arial" w:cs="Arial" w:eastAsia="Arial" w:hAnsi="Arial"/>
                <w:sz w:val="14"/>
                <w:szCs w:val="14"/>
                <w:b w:val="1"/>
                <w:bCs w:val="1"/>
                <w:color w:val="D8D8D8"/>
                <w:w w:val="99"/>
              </w:rPr>
              <w:t>Voluntary</w:t>
            </w:r>
          </w:p>
        </w:tc>
        <w:tc>
          <w:tcPr>
            <w:tcW w:w="440" w:type="dxa"/>
            <w:vAlign w:val="bottom"/>
            <w:shd w:val="clear" w:color="auto" w:fill="00548B"/>
          </w:tcPr>
          <w:p>
            <w:pPr>
              <w:spacing w:after="0"/>
              <w:rPr>
                <w:sz w:val="14"/>
                <w:szCs w:val="14"/>
                <w:color w:val="auto"/>
              </w:rPr>
            </w:pPr>
          </w:p>
        </w:tc>
        <w:tc>
          <w:tcPr>
            <w:tcW w:w="2140" w:type="dxa"/>
            <w:vAlign w:val="bottom"/>
            <w:shd w:val="clear" w:color="auto" w:fill="00548B"/>
          </w:tcPr>
          <w:p>
            <w:pPr>
              <w:jc w:val="right"/>
              <w:ind w:right="360"/>
              <w:spacing w:after="0"/>
              <w:rPr>
                <w:sz w:val="20"/>
                <w:szCs w:val="20"/>
                <w:color w:val="auto"/>
              </w:rPr>
            </w:pPr>
            <w:r>
              <w:rPr>
                <w:rFonts w:ascii="Arial" w:cs="Arial" w:eastAsia="Arial" w:hAnsi="Arial"/>
                <w:sz w:val="14"/>
                <w:szCs w:val="14"/>
                <w:b w:val="1"/>
                <w:bCs w:val="1"/>
                <w:color w:val="D8D8D8"/>
              </w:rPr>
              <w:t>Termination without</w:t>
            </w:r>
          </w:p>
        </w:tc>
        <w:tc>
          <w:tcPr>
            <w:tcW w:w="1960" w:type="dxa"/>
            <w:vAlign w:val="bottom"/>
            <w:shd w:val="clear" w:color="auto" w:fill="00548B"/>
          </w:tcPr>
          <w:p>
            <w:pPr>
              <w:spacing w:after="0"/>
              <w:rPr>
                <w:sz w:val="14"/>
                <w:szCs w:val="14"/>
                <w:color w:val="auto"/>
              </w:rPr>
            </w:pPr>
          </w:p>
        </w:tc>
        <w:tc>
          <w:tcPr>
            <w:tcW w:w="220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rPr>
              <w:t>Involuntary</w:t>
            </w:r>
          </w:p>
        </w:tc>
      </w:tr>
      <w:tr>
        <w:trPr>
          <w:trHeight w:val="162"/>
        </w:trPr>
        <w:tc>
          <w:tcPr>
            <w:tcW w:w="1260" w:type="dxa"/>
            <w:vAlign w:val="bottom"/>
            <w:shd w:val="clear" w:color="auto" w:fill="00548B"/>
          </w:tcPr>
          <w:p>
            <w:pPr>
              <w:spacing w:after="0"/>
              <w:rPr>
                <w:sz w:val="14"/>
                <w:szCs w:val="14"/>
                <w:color w:val="auto"/>
              </w:rPr>
            </w:pPr>
          </w:p>
        </w:tc>
        <w:tc>
          <w:tcPr>
            <w:tcW w:w="1820" w:type="dxa"/>
            <w:vAlign w:val="bottom"/>
            <w:shd w:val="clear" w:color="auto" w:fill="00548B"/>
          </w:tcPr>
          <w:p>
            <w:pPr>
              <w:spacing w:after="0"/>
              <w:rPr>
                <w:sz w:val="14"/>
                <w:szCs w:val="14"/>
                <w:color w:val="auto"/>
              </w:rPr>
            </w:pPr>
          </w:p>
        </w:tc>
        <w:tc>
          <w:tcPr>
            <w:tcW w:w="1200" w:type="dxa"/>
            <w:vAlign w:val="bottom"/>
            <w:shd w:val="clear" w:color="auto" w:fill="00548B"/>
          </w:tcPr>
          <w:p>
            <w:pPr>
              <w:jc w:val="center"/>
              <w:ind w:left="88"/>
              <w:spacing w:after="0"/>
              <w:rPr>
                <w:sz w:val="20"/>
                <w:szCs w:val="20"/>
                <w:color w:val="auto"/>
              </w:rPr>
            </w:pPr>
            <w:r>
              <w:rPr>
                <w:rFonts w:ascii="Arial" w:cs="Arial" w:eastAsia="Arial" w:hAnsi="Arial"/>
                <w:sz w:val="14"/>
                <w:szCs w:val="14"/>
                <w:b w:val="1"/>
                <w:bCs w:val="1"/>
                <w:color w:val="D8D8D8"/>
                <w:w w:val="99"/>
              </w:rPr>
              <w:t>Termination/</w:t>
            </w:r>
          </w:p>
        </w:tc>
        <w:tc>
          <w:tcPr>
            <w:tcW w:w="440" w:type="dxa"/>
            <w:vAlign w:val="bottom"/>
            <w:shd w:val="clear" w:color="auto" w:fill="00548B"/>
          </w:tcPr>
          <w:p>
            <w:pPr>
              <w:spacing w:after="0"/>
              <w:rPr>
                <w:sz w:val="14"/>
                <w:szCs w:val="14"/>
                <w:color w:val="auto"/>
              </w:rPr>
            </w:pPr>
          </w:p>
        </w:tc>
        <w:tc>
          <w:tcPr>
            <w:tcW w:w="2140" w:type="dxa"/>
            <w:vAlign w:val="bottom"/>
            <w:shd w:val="clear" w:color="auto" w:fill="00548B"/>
          </w:tcPr>
          <w:p>
            <w:pPr>
              <w:jc w:val="right"/>
              <w:ind w:right="320"/>
              <w:spacing w:after="0"/>
              <w:rPr>
                <w:sz w:val="20"/>
                <w:szCs w:val="20"/>
                <w:color w:val="auto"/>
              </w:rPr>
            </w:pPr>
            <w:r>
              <w:rPr>
                <w:rFonts w:ascii="Arial" w:cs="Arial" w:eastAsia="Arial" w:hAnsi="Arial"/>
                <w:sz w:val="14"/>
                <w:szCs w:val="14"/>
                <w:b w:val="1"/>
                <w:bCs w:val="1"/>
                <w:color w:val="D8D8D8"/>
              </w:rPr>
              <w:t>Cause or resignation</w:t>
            </w:r>
          </w:p>
        </w:tc>
        <w:tc>
          <w:tcPr>
            <w:tcW w:w="1960" w:type="dxa"/>
            <w:vAlign w:val="bottom"/>
            <w:shd w:val="clear" w:color="auto" w:fill="00548B"/>
          </w:tcPr>
          <w:p>
            <w:pPr>
              <w:jc w:val="right"/>
              <w:ind w:right="220"/>
              <w:spacing w:after="0"/>
              <w:rPr>
                <w:sz w:val="20"/>
                <w:szCs w:val="20"/>
                <w:color w:val="auto"/>
              </w:rPr>
            </w:pPr>
            <w:r>
              <w:rPr>
                <w:rFonts w:ascii="Arial" w:cs="Arial" w:eastAsia="Arial" w:hAnsi="Arial"/>
                <w:sz w:val="14"/>
                <w:szCs w:val="14"/>
                <w:b w:val="1"/>
                <w:bCs w:val="1"/>
                <w:color w:val="D8D8D8"/>
              </w:rPr>
              <w:t>Permanent Disability</w:t>
            </w:r>
          </w:p>
        </w:tc>
        <w:tc>
          <w:tcPr>
            <w:tcW w:w="220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rPr>
              <w:t>Termination Following</w:t>
            </w:r>
          </w:p>
        </w:tc>
      </w:tr>
      <w:tr>
        <w:trPr>
          <w:trHeight w:val="189"/>
        </w:trPr>
        <w:tc>
          <w:tcPr>
            <w:tcW w:w="1260" w:type="dxa"/>
            <w:vAlign w:val="bottom"/>
            <w:shd w:val="clear" w:color="auto" w:fill="00548B"/>
          </w:tcPr>
          <w:p>
            <w:pPr>
              <w:spacing w:after="0"/>
              <w:rPr>
                <w:sz w:val="20"/>
                <w:szCs w:val="20"/>
                <w:color w:val="auto"/>
              </w:rPr>
            </w:pPr>
            <w:r>
              <w:rPr>
                <w:rFonts w:ascii="Arial" w:cs="Arial" w:eastAsia="Arial" w:hAnsi="Arial"/>
                <w:sz w:val="14"/>
                <w:szCs w:val="14"/>
                <w:b w:val="1"/>
                <w:bCs w:val="1"/>
                <w:color w:val="D8D8D8"/>
              </w:rPr>
              <w:t>Name</w:t>
            </w:r>
          </w:p>
        </w:tc>
        <w:tc>
          <w:tcPr>
            <w:tcW w:w="1820" w:type="dxa"/>
            <w:vAlign w:val="bottom"/>
            <w:shd w:val="clear" w:color="auto" w:fill="00548B"/>
          </w:tcPr>
          <w:p>
            <w:pPr>
              <w:ind w:left="620"/>
              <w:spacing w:after="0"/>
              <w:rPr>
                <w:sz w:val="20"/>
                <w:szCs w:val="20"/>
                <w:color w:val="auto"/>
              </w:rPr>
            </w:pPr>
            <w:r>
              <w:rPr>
                <w:rFonts w:ascii="Arial" w:cs="Arial" w:eastAsia="Arial" w:hAnsi="Arial"/>
                <w:sz w:val="14"/>
                <w:szCs w:val="14"/>
                <w:b w:val="1"/>
                <w:bCs w:val="1"/>
                <w:color w:val="D8D8D8"/>
              </w:rPr>
              <w:t>Benefit</w:t>
            </w:r>
          </w:p>
        </w:tc>
        <w:tc>
          <w:tcPr>
            <w:tcW w:w="1200" w:type="dxa"/>
            <w:vAlign w:val="bottom"/>
            <w:shd w:val="clear" w:color="auto" w:fill="00548B"/>
          </w:tcPr>
          <w:p>
            <w:pPr>
              <w:jc w:val="center"/>
              <w:ind w:left="88"/>
              <w:spacing w:after="0"/>
              <w:rPr>
                <w:sz w:val="20"/>
                <w:szCs w:val="20"/>
                <w:color w:val="auto"/>
              </w:rPr>
            </w:pPr>
            <w:r>
              <w:rPr>
                <w:rFonts w:ascii="Arial" w:cs="Arial" w:eastAsia="Arial" w:hAnsi="Arial"/>
                <w:sz w:val="14"/>
                <w:szCs w:val="14"/>
                <w:b w:val="1"/>
                <w:bCs w:val="1"/>
                <w:color w:val="D8D8D8"/>
              </w:rPr>
              <w:t>Retirement ($)</w:t>
            </w:r>
          </w:p>
        </w:tc>
        <w:tc>
          <w:tcPr>
            <w:tcW w:w="440" w:type="dxa"/>
            <w:vAlign w:val="bottom"/>
            <w:shd w:val="clear" w:color="auto" w:fill="00548B"/>
          </w:tcPr>
          <w:p>
            <w:pPr>
              <w:spacing w:after="0"/>
              <w:rPr>
                <w:sz w:val="16"/>
                <w:szCs w:val="16"/>
                <w:color w:val="auto"/>
              </w:rPr>
            </w:pPr>
          </w:p>
        </w:tc>
        <w:tc>
          <w:tcPr>
            <w:tcW w:w="2140" w:type="dxa"/>
            <w:vAlign w:val="bottom"/>
            <w:shd w:val="clear" w:color="auto" w:fill="00548B"/>
          </w:tcPr>
          <w:p>
            <w:pPr>
              <w:jc w:val="right"/>
              <w:ind w:right="320"/>
              <w:spacing w:after="0"/>
              <w:rPr>
                <w:sz w:val="20"/>
                <w:szCs w:val="20"/>
                <w:color w:val="auto"/>
              </w:rPr>
            </w:pPr>
            <w:r>
              <w:rPr>
                <w:rFonts w:ascii="Arial" w:cs="Arial" w:eastAsia="Arial" w:hAnsi="Arial"/>
                <w:sz w:val="14"/>
                <w:szCs w:val="14"/>
                <w:b w:val="1"/>
                <w:bCs w:val="1"/>
                <w:color w:val="D8D8D8"/>
              </w:rPr>
              <w:t>For Good Reason ($)</w:t>
            </w:r>
          </w:p>
        </w:tc>
        <w:tc>
          <w:tcPr>
            <w:tcW w:w="1960" w:type="dxa"/>
            <w:vAlign w:val="bottom"/>
            <w:shd w:val="clear" w:color="auto" w:fill="00548B"/>
          </w:tcPr>
          <w:p>
            <w:pPr>
              <w:jc w:val="right"/>
              <w:ind w:right="540"/>
              <w:spacing w:after="0"/>
              <w:rPr>
                <w:sz w:val="20"/>
                <w:szCs w:val="20"/>
                <w:color w:val="auto"/>
              </w:rPr>
            </w:pPr>
            <w:r>
              <w:rPr>
                <w:rFonts w:ascii="Arial" w:cs="Arial" w:eastAsia="Arial" w:hAnsi="Arial"/>
                <w:sz w:val="14"/>
                <w:szCs w:val="14"/>
                <w:b w:val="1"/>
                <w:bCs w:val="1"/>
                <w:color w:val="D8D8D8"/>
              </w:rPr>
              <w:t>or Death ($)</w:t>
            </w:r>
          </w:p>
        </w:tc>
        <w:tc>
          <w:tcPr>
            <w:tcW w:w="220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rPr>
              <w:t>Change of Control ($)</w:t>
            </w:r>
          </w:p>
        </w:tc>
      </w:tr>
      <w:tr>
        <w:trPr>
          <w:trHeight w:val="191"/>
        </w:trPr>
        <w:tc>
          <w:tcPr>
            <w:tcW w:w="1260" w:type="dxa"/>
            <w:vAlign w:val="bottom"/>
          </w:tcPr>
          <w:p>
            <w:pPr>
              <w:spacing w:after="0"/>
              <w:rPr>
                <w:sz w:val="20"/>
                <w:szCs w:val="20"/>
                <w:color w:val="auto"/>
              </w:rPr>
            </w:pPr>
            <w:r>
              <w:rPr>
                <w:rFonts w:ascii="Arial" w:cs="Arial" w:eastAsia="Arial" w:hAnsi="Arial"/>
                <w:sz w:val="16"/>
                <w:szCs w:val="16"/>
                <w:color w:val="auto"/>
              </w:rPr>
              <w:t>James H. Roth</w:t>
            </w:r>
          </w:p>
        </w:tc>
        <w:tc>
          <w:tcPr>
            <w:tcW w:w="1820" w:type="dxa"/>
            <w:vAlign w:val="bottom"/>
          </w:tcPr>
          <w:p>
            <w:pPr>
              <w:ind w:left="120"/>
              <w:spacing w:after="0"/>
              <w:rPr>
                <w:sz w:val="20"/>
                <w:szCs w:val="20"/>
                <w:color w:val="auto"/>
              </w:rPr>
            </w:pPr>
            <w:r>
              <w:rPr>
                <w:rFonts w:ascii="Arial" w:cs="Arial" w:eastAsia="Arial" w:hAnsi="Arial"/>
                <w:sz w:val="16"/>
                <w:szCs w:val="16"/>
                <w:color w:val="auto"/>
              </w:rPr>
              <w:t>Salary</w:t>
            </w:r>
          </w:p>
        </w:tc>
        <w:tc>
          <w:tcPr>
            <w:tcW w:w="1200" w:type="dxa"/>
            <w:vAlign w:val="bottom"/>
          </w:tcPr>
          <w:p>
            <w:pPr>
              <w:spacing w:after="0"/>
              <w:rPr>
                <w:sz w:val="16"/>
                <w:szCs w:val="16"/>
                <w:color w:val="auto"/>
              </w:rPr>
            </w:pPr>
          </w:p>
        </w:tc>
        <w:tc>
          <w:tcPr>
            <w:tcW w:w="440" w:type="dxa"/>
            <w:vAlign w:val="bottom"/>
          </w:tcPr>
          <w:p>
            <w:pPr>
              <w:jc w:val="right"/>
              <w:ind w:right="219"/>
              <w:spacing w:after="0"/>
              <w:rPr>
                <w:sz w:val="20"/>
                <w:szCs w:val="20"/>
                <w:color w:val="auto"/>
              </w:rPr>
            </w:pPr>
            <w:r>
              <w:rPr>
                <w:rFonts w:ascii="Arial" w:cs="Arial" w:eastAsia="Arial" w:hAnsi="Arial"/>
                <w:sz w:val="16"/>
                <w:szCs w:val="16"/>
                <w:color w:val="auto"/>
              </w:rPr>
              <w:t>0</w:t>
            </w:r>
          </w:p>
        </w:tc>
        <w:tc>
          <w:tcPr>
            <w:tcW w:w="2140" w:type="dxa"/>
            <w:vAlign w:val="bottom"/>
          </w:tcPr>
          <w:p>
            <w:pPr>
              <w:jc w:val="right"/>
              <w:ind w:right="160"/>
              <w:spacing w:after="0"/>
              <w:rPr>
                <w:sz w:val="20"/>
                <w:szCs w:val="20"/>
                <w:color w:val="auto"/>
              </w:rPr>
            </w:pPr>
            <w:r>
              <w:rPr>
                <w:rFonts w:ascii="Arial" w:cs="Arial" w:eastAsia="Arial" w:hAnsi="Arial"/>
                <w:sz w:val="16"/>
                <w:szCs w:val="16"/>
                <w:color w:val="auto"/>
              </w:rPr>
              <w:t>1,800,000</w:t>
            </w:r>
          </w:p>
        </w:tc>
        <w:tc>
          <w:tcPr>
            <w:tcW w:w="1960" w:type="dxa"/>
            <w:vAlign w:val="bottom"/>
          </w:tcPr>
          <w:p>
            <w:pPr>
              <w:jc w:val="right"/>
              <w:ind w:right="220"/>
              <w:spacing w:after="0"/>
              <w:rPr>
                <w:sz w:val="20"/>
                <w:szCs w:val="20"/>
                <w:color w:val="auto"/>
              </w:rPr>
            </w:pPr>
            <w:r>
              <w:rPr>
                <w:rFonts w:ascii="Arial" w:cs="Arial" w:eastAsia="Arial" w:hAnsi="Arial"/>
                <w:sz w:val="16"/>
                <w:szCs w:val="16"/>
                <w:color w:val="auto"/>
              </w:rPr>
              <w:t>0</w:t>
            </w:r>
          </w:p>
        </w:tc>
        <w:tc>
          <w:tcPr>
            <w:tcW w:w="2200" w:type="dxa"/>
            <w:vAlign w:val="bottom"/>
          </w:tcPr>
          <w:p>
            <w:pPr>
              <w:jc w:val="right"/>
              <w:ind w:right="160"/>
              <w:spacing w:after="0"/>
              <w:rPr>
                <w:sz w:val="20"/>
                <w:szCs w:val="20"/>
                <w:color w:val="auto"/>
              </w:rPr>
            </w:pPr>
            <w:r>
              <w:rPr>
                <w:rFonts w:ascii="Arial" w:cs="Arial" w:eastAsia="Arial" w:hAnsi="Arial"/>
                <w:sz w:val="16"/>
                <w:szCs w:val="16"/>
                <w:color w:val="auto"/>
              </w:rPr>
              <w:t>2,250,000</w:t>
            </w:r>
          </w:p>
        </w:tc>
      </w:tr>
      <w:tr>
        <w:trPr>
          <w:trHeight w:val="189"/>
        </w:trPr>
        <w:tc>
          <w:tcPr>
            <w:tcW w:w="1260" w:type="dxa"/>
            <w:vAlign w:val="bottom"/>
          </w:tcPr>
          <w:p>
            <w:pPr>
              <w:spacing w:after="0"/>
              <w:rPr>
                <w:sz w:val="16"/>
                <w:szCs w:val="16"/>
                <w:color w:val="auto"/>
              </w:rPr>
            </w:pPr>
          </w:p>
        </w:tc>
        <w:tc>
          <w:tcPr>
            <w:tcW w:w="1820" w:type="dxa"/>
            <w:vAlign w:val="bottom"/>
          </w:tcPr>
          <w:p>
            <w:pPr>
              <w:ind w:left="120"/>
              <w:spacing w:after="0"/>
              <w:rPr>
                <w:sz w:val="20"/>
                <w:szCs w:val="20"/>
                <w:color w:val="auto"/>
              </w:rPr>
            </w:pPr>
            <w:r>
              <w:rPr>
                <w:rFonts w:ascii="Arial" w:cs="Arial" w:eastAsia="Arial" w:hAnsi="Arial"/>
                <w:sz w:val="16"/>
                <w:szCs w:val="16"/>
                <w:color w:val="auto"/>
              </w:rPr>
              <w:t>Bonus</w:t>
            </w:r>
          </w:p>
        </w:tc>
        <w:tc>
          <w:tcPr>
            <w:tcW w:w="1200" w:type="dxa"/>
            <w:vAlign w:val="bottom"/>
          </w:tcPr>
          <w:p>
            <w:pPr>
              <w:spacing w:after="0"/>
              <w:rPr>
                <w:sz w:val="16"/>
                <w:szCs w:val="16"/>
                <w:color w:val="auto"/>
              </w:rPr>
            </w:pPr>
          </w:p>
        </w:tc>
        <w:tc>
          <w:tcPr>
            <w:tcW w:w="440" w:type="dxa"/>
            <w:vAlign w:val="bottom"/>
          </w:tcPr>
          <w:p>
            <w:pPr>
              <w:jc w:val="right"/>
              <w:ind w:right="219"/>
              <w:spacing w:after="0"/>
              <w:rPr>
                <w:sz w:val="20"/>
                <w:szCs w:val="20"/>
                <w:color w:val="auto"/>
              </w:rPr>
            </w:pPr>
            <w:r>
              <w:rPr>
                <w:rFonts w:ascii="Arial" w:cs="Arial" w:eastAsia="Arial" w:hAnsi="Arial"/>
                <w:sz w:val="16"/>
                <w:szCs w:val="16"/>
                <w:color w:val="auto"/>
              </w:rPr>
              <w:t>0</w:t>
            </w:r>
          </w:p>
        </w:tc>
        <w:tc>
          <w:tcPr>
            <w:tcW w:w="2140" w:type="dxa"/>
            <w:vAlign w:val="bottom"/>
          </w:tcPr>
          <w:p>
            <w:pPr>
              <w:jc w:val="right"/>
              <w:ind w:right="160"/>
              <w:spacing w:after="0"/>
              <w:rPr>
                <w:sz w:val="20"/>
                <w:szCs w:val="20"/>
                <w:color w:val="auto"/>
              </w:rPr>
            </w:pPr>
            <w:r>
              <w:rPr>
                <w:rFonts w:ascii="Arial" w:cs="Arial" w:eastAsia="Arial" w:hAnsi="Arial"/>
                <w:sz w:val="16"/>
                <w:szCs w:val="16"/>
                <w:color w:val="auto"/>
              </w:rPr>
              <w:t>1,980,000</w:t>
            </w:r>
          </w:p>
        </w:tc>
        <w:tc>
          <w:tcPr>
            <w:tcW w:w="1960" w:type="dxa"/>
            <w:vAlign w:val="bottom"/>
          </w:tcPr>
          <w:p>
            <w:pPr>
              <w:jc w:val="right"/>
              <w:ind w:right="220"/>
              <w:spacing w:after="0"/>
              <w:rPr>
                <w:sz w:val="20"/>
                <w:szCs w:val="20"/>
                <w:color w:val="auto"/>
              </w:rPr>
            </w:pPr>
            <w:r>
              <w:rPr>
                <w:rFonts w:ascii="Arial" w:cs="Arial" w:eastAsia="Arial" w:hAnsi="Arial"/>
                <w:sz w:val="16"/>
                <w:szCs w:val="16"/>
                <w:color w:val="auto"/>
              </w:rPr>
              <w:t>0</w:t>
            </w:r>
          </w:p>
        </w:tc>
        <w:tc>
          <w:tcPr>
            <w:tcW w:w="2200" w:type="dxa"/>
            <w:vAlign w:val="bottom"/>
          </w:tcPr>
          <w:p>
            <w:pPr>
              <w:jc w:val="right"/>
              <w:ind w:right="160"/>
              <w:spacing w:after="0"/>
              <w:rPr>
                <w:sz w:val="20"/>
                <w:szCs w:val="20"/>
                <w:color w:val="auto"/>
              </w:rPr>
            </w:pPr>
            <w:r>
              <w:rPr>
                <w:rFonts w:ascii="Arial" w:cs="Arial" w:eastAsia="Arial" w:hAnsi="Arial"/>
                <w:sz w:val="16"/>
                <w:szCs w:val="16"/>
                <w:color w:val="auto"/>
              </w:rPr>
              <w:t>2,475,000</w:t>
            </w:r>
          </w:p>
        </w:tc>
      </w:tr>
      <w:tr>
        <w:trPr>
          <w:trHeight w:val="189"/>
        </w:trPr>
        <w:tc>
          <w:tcPr>
            <w:tcW w:w="1260" w:type="dxa"/>
            <w:vAlign w:val="bottom"/>
          </w:tcPr>
          <w:p>
            <w:pPr>
              <w:spacing w:after="0"/>
              <w:rPr>
                <w:sz w:val="16"/>
                <w:szCs w:val="16"/>
                <w:color w:val="auto"/>
              </w:rPr>
            </w:pPr>
          </w:p>
        </w:tc>
        <w:tc>
          <w:tcPr>
            <w:tcW w:w="1820" w:type="dxa"/>
            <w:vAlign w:val="bottom"/>
          </w:tcPr>
          <w:p>
            <w:pPr>
              <w:ind w:left="120"/>
              <w:spacing w:after="0"/>
              <w:rPr>
                <w:sz w:val="20"/>
                <w:szCs w:val="20"/>
                <w:color w:val="auto"/>
              </w:rPr>
            </w:pPr>
            <w:r>
              <w:rPr>
                <w:rFonts w:ascii="Arial" w:cs="Arial" w:eastAsia="Arial" w:hAnsi="Arial"/>
                <w:sz w:val="16"/>
                <w:szCs w:val="16"/>
                <w:color w:val="auto"/>
              </w:rPr>
              <w:t>Pro rata bonus (1)</w:t>
            </w:r>
          </w:p>
        </w:tc>
        <w:tc>
          <w:tcPr>
            <w:tcW w:w="1200" w:type="dxa"/>
            <w:vAlign w:val="bottom"/>
          </w:tcPr>
          <w:p>
            <w:pPr>
              <w:spacing w:after="0"/>
              <w:rPr>
                <w:sz w:val="16"/>
                <w:szCs w:val="16"/>
                <w:color w:val="auto"/>
              </w:rPr>
            </w:pPr>
          </w:p>
        </w:tc>
        <w:tc>
          <w:tcPr>
            <w:tcW w:w="440" w:type="dxa"/>
            <w:vAlign w:val="bottom"/>
          </w:tcPr>
          <w:p>
            <w:pPr>
              <w:jc w:val="right"/>
              <w:ind w:right="219"/>
              <w:spacing w:after="0"/>
              <w:rPr>
                <w:sz w:val="20"/>
                <w:szCs w:val="20"/>
                <w:color w:val="auto"/>
              </w:rPr>
            </w:pPr>
            <w:r>
              <w:rPr>
                <w:rFonts w:ascii="Arial" w:cs="Arial" w:eastAsia="Arial" w:hAnsi="Arial"/>
                <w:sz w:val="16"/>
                <w:szCs w:val="16"/>
                <w:color w:val="auto"/>
              </w:rPr>
              <w:t>0</w:t>
            </w:r>
          </w:p>
        </w:tc>
        <w:tc>
          <w:tcPr>
            <w:tcW w:w="2140" w:type="dxa"/>
            <w:vAlign w:val="bottom"/>
          </w:tcPr>
          <w:p>
            <w:pPr>
              <w:jc w:val="right"/>
              <w:ind w:right="160"/>
              <w:spacing w:after="0"/>
              <w:rPr>
                <w:sz w:val="20"/>
                <w:szCs w:val="20"/>
                <w:color w:val="auto"/>
              </w:rPr>
            </w:pPr>
            <w:r>
              <w:rPr>
                <w:rFonts w:ascii="Arial" w:cs="Arial" w:eastAsia="Arial" w:hAnsi="Arial"/>
                <w:sz w:val="16"/>
                <w:szCs w:val="16"/>
                <w:color w:val="auto"/>
              </w:rPr>
              <w:t>0</w:t>
            </w:r>
          </w:p>
        </w:tc>
        <w:tc>
          <w:tcPr>
            <w:tcW w:w="1960" w:type="dxa"/>
            <w:vAlign w:val="bottom"/>
          </w:tcPr>
          <w:p>
            <w:pPr>
              <w:jc w:val="right"/>
              <w:ind w:right="220"/>
              <w:spacing w:after="0"/>
              <w:rPr>
                <w:sz w:val="20"/>
                <w:szCs w:val="20"/>
                <w:color w:val="auto"/>
              </w:rPr>
            </w:pPr>
            <w:r>
              <w:rPr>
                <w:rFonts w:ascii="Arial" w:cs="Arial" w:eastAsia="Arial" w:hAnsi="Arial"/>
                <w:sz w:val="16"/>
                <w:szCs w:val="16"/>
                <w:color w:val="auto"/>
              </w:rPr>
              <w:t>990,000</w:t>
            </w:r>
          </w:p>
        </w:tc>
        <w:tc>
          <w:tcPr>
            <w:tcW w:w="2200" w:type="dxa"/>
            <w:vAlign w:val="bottom"/>
          </w:tcPr>
          <w:p>
            <w:pPr>
              <w:jc w:val="right"/>
              <w:ind w:right="160"/>
              <w:spacing w:after="0"/>
              <w:rPr>
                <w:sz w:val="20"/>
                <w:szCs w:val="20"/>
                <w:color w:val="auto"/>
              </w:rPr>
            </w:pPr>
            <w:r>
              <w:rPr>
                <w:rFonts w:ascii="Arial" w:cs="Arial" w:eastAsia="Arial" w:hAnsi="Arial"/>
                <w:sz w:val="16"/>
                <w:szCs w:val="16"/>
                <w:color w:val="auto"/>
              </w:rPr>
              <w:t>1,285,614</w:t>
            </w:r>
          </w:p>
        </w:tc>
      </w:tr>
      <w:tr>
        <w:trPr>
          <w:trHeight w:val="189"/>
        </w:trPr>
        <w:tc>
          <w:tcPr>
            <w:tcW w:w="1260" w:type="dxa"/>
            <w:vAlign w:val="bottom"/>
          </w:tcPr>
          <w:p>
            <w:pPr>
              <w:spacing w:after="0"/>
              <w:rPr>
                <w:sz w:val="16"/>
                <w:szCs w:val="16"/>
                <w:color w:val="auto"/>
              </w:rPr>
            </w:pPr>
          </w:p>
        </w:tc>
        <w:tc>
          <w:tcPr>
            <w:tcW w:w="1820" w:type="dxa"/>
            <w:vAlign w:val="bottom"/>
          </w:tcPr>
          <w:p>
            <w:pPr>
              <w:ind w:left="120"/>
              <w:spacing w:after="0"/>
              <w:rPr>
                <w:sz w:val="20"/>
                <w:szCs w:val="20"/>
                <w:color w:val="auto"/>
              </w:rPr>
            </w:pPr>
            <w:r>
              <w:rPr>
                <w:rFonts w:ascii="Arial" w:cs="Arial" w:eastAsia="Arial" w:hAnsi="Arial"/>
                <w:sz w:val="16"/>
                <w:szCs w:val="16"/>
                <w:color w:val="auto"/>
              </w:rPr>
              <w:t>Equity acceleration</w:t>
            </w:r>
          </w:p>
        </w:tc>
        <w:tc>
          <w:tcPr>
            <w:tcW w:w="1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200" w:type="dxa"/>
            <w:vAlign w:val="bottom"/>
          </w:tcPr>
          <w:p>
            <w:pPr>
              <w:spacing w:after="0"/>
              <w:rPr>
                <w:sz w:val="16"/>
                <w:szCs w:val="16"/>
                <w:color w:val="auto"/>
              </w:rPr>
            </w:pPr>
          </w:p>
        </w:tc>
      </w:tr>
      <w:tr>
        <w:trPr>
          <w:trHeight w:val="189"/>
        </w:trPr>
        <w:tc>
          <w:tcPr>
            <w:tcW w:w="1260" w:type="dxa"/>
            <w:vAlign w:val="bottom"/>
          </w:tcPr>
          <w:p>
            <w:pPr>
              <w:spacing w:after="0"/>
              <w:rPr>
                <w:sz w:val="16"/>
                <w:szCs w:val="16"/>
                <w:color w:val="auto"/>
              </w:rPr>
            </w:pPr>
          </w:p>
        </w:tc>
        <w:tc>
          <w:tcPr>
            <w:tcW w:w="1820" w:type="dxa"/>
            <w:vAlign w:val="bottom"/>
          </w:tcPr>
          <w:p>
            <w:pPr>
              <w:ind w:left="120"/>
              <w:spacing w:after="0"/>
              <w:rPr>
                <w:sz w:val="20"/>
                <w:szCs w:val="20"/>
                <w:color w:val="auto"/>
              </w:rPr>
            </w:pPr>
            <w:r>
              <w:rPr>
                <w:rFonts w:ascii="Arial" w:cs="Arial" w:eastAsia="Arial" w:hAnsi="Arial"/>
                <w:sz w:val="16"/>
                <w:szCs w:val="16"/>
                <w:color w:val="auto"/>
              </w:rPr>
              <w:t>(2)</w:t>
            </w:r>
          </w:p>
        </w:tc>
        <w:tc>
          <w:tcPr>
            <w:tcW w:w="1200" w:type="dxa"/>
            <w:vAlign w:val="bottom"/>
          </w:tcPr>
          <w:p>
            <w:pPr>
              <w:spacing w:after="0"/>
              <w:rPr>
                <w:sz w:val="16"/>
                <w:szCs w:val="16"/>
                <w:color w:val="auto"/>
              </w:rPr>
            </w:pPr>
          </w:p>
        </w:tc>
        <w:tc>
          <w:tcPr>
            <w:tcW w:w="440" w:type="dxa"/>
            <w:vAlign w:val="bottom"/>
          </w:tcPr>
          <w:p>
            <w:pPr>
              <w:jc w:val="right"/>
              <w:ind w:right="219"/>
              <w:spacing w:after="0"/>
              <w:rPr>
                <w:sz w:val="20"/>
                <w:szCs w:val="20"/>
                <w:color w:val="auto"/>
              </w:rPr>
            </w:pPr>
            <w:r>
              <w:rPr>
                <w:rFonts w:ascii="Arial" w:cs="Arial" w:eastAsia="Arial" w:hAnsi="Arial"/>
                <w:sz w:val="16"/>
                <w:szCs w:val="16"/>
                <w:color w:val="auto"/>
              </w:rPr>
              <w:t>0</w:t>
            </w:r>
          </w:p>
        </w:tc>
        <w:tc>
          <w:tcPr>
            <w:tcW w:w="2140" w:type="dxa"/>
            <w:vAlign w:val="bottom"/>
          </w:tcPr>
          <w:p>
            <w:pPr>
              <w:jc w:val="right"/>
              <w:ind w:right="160"/>
              <w:spacing w:after="0"/>
              <w:rPr>
                <w:sz w:val="20"/>
                <w:szCs w:val="20"/>
                <w:color w:val="auto"/>
              </w:rPr>
            </w:pPr>
            <w:r>
              <w:rPr>
                <w:rFonts w:ascii="Arial" w:cs="Arial" w:eastAsia="Arial" w:hAnsi="Arial"/>
                <w:sz w:val="16"/>
                <w:szCs w:val="16"/>
                <w:color w:val="auto"/>
              </w:rPr>
              <w:t>0</w:t>
            </w:r>
          </w:p>
        </w:tc>
        <w:tc>
          <w:tcPr>
            <w:tcW w:w="1960" w:type="dxa"/>
            <w:vAlign w:val="bottom"/>
          </w:tcPr>
          <w:p>
            <w:pPr>
              <w:jc w:val="right"/>
              <w:ind w:right="220"/>
              <w:spacing w:after="0"/>
              <w:rPr>
                <w:sz w:val="20"/>
                <w:szCs w:val="20"/>
                <w:color w:val="auto"/>
              </w:rPr>
            </w:pPr>
            <w:r>
              <w:rPr>
                <w:rFonts w:ascii="Arial" w:cs="Arial" w:eastAsia="Arial" w:hAnsi="Arial"/>
                <w:sz w:val="16"/>
                <w:szCs w:val="16"/>
                <w:color w:val="auto"/>
              </w:rPr>
              <w:t>2,565,375</w:t>
            </w:r>
          </w:p>
        </w:tc>
        <w:tc>
          <w:tcPr>
            <w:tcW w:w="2200" w:type="dxa"/>
            <w:vAlign w:val="bottom"/>
          </w:tcPr>
          <w:p>
            <w:pPr>
              <w:jc w:val="right"/>
              <w:ind w:right="160"/>
              <w:spacing w:after="0"/>
              <w:rPr>
                <w:sz w:val="20"/>
                <w:szCs w:val="20"/>
                <w:color w:val="auto"/>
              </w:rPr>
            </w:pPr>
            <w:r>
              <w:rPr>
                <w:rFonts w:ascii="Arial" w:cs="Arial" w:eastAsia="Arial" w:hAnsi="Arial"/>
                <w:sz w:val="16"/>
                <w:szCs w:val="16"/>
                <w:color w:val="auto"/>
              </w:rPr>
              <w:t>8,282,260</w:t>
            </w:r>
          </w:p>
        </w:tc>
      </w:tr>
      <w:tr>
        <w:trPr>
          <w:trHeight w:val="189"/>
        </w:trPr>
        <w:tc>
          <w:tcPr>
            <w:tcW w:w="1260" w:type="dxa"/>
            <w:vAlign w:val="bottom"/>
          </w:tcPr>
          <w:p>
            <w:pPr>
              <w:spacing w:after="0"/>
              <w:rPr>
                <w:sz w:val="16"/>
                <w:szCs w:val="16"/>
                <w:color w:val="auto"/>
              </w:rPr>
            </w:pPr>
          </w:p>
        </w:tc>
        <w:tc>
          <w:tcPr>
            <w:tcW w:w="1820" w:type="dxa"/>
            <w:vAlign w:val="bottom"/>
          </w:tcPr>
          <w:p>
            <w:pPr>
              <w:ind w:left="120"/>
              <w:spacing w:after="0"/>
              <w:rPr>
                <w:sz w:val="20"/>
                <w:szCs w:val="20"/>
                <w:color w:val="auto"/>
              </w:rPr>
            </w:pPr>
            <w:r>
              <w:rPr>
                <w:rFonts w:ascii="Arial" w:cs="Arial" w:eastAsia="Arial" w:hAnsi="Arial"/>
                <w:sz w:val="16"/>
                <w:szCs w:val="16"/>
                <w:color w:val="auto"/>
              </w:rPr>
              <w:t>Benefits continuation</w:t>
            </w:r>
          </w:p>
        </w:tc>
        <w:tc>
          <w:tcPr>
            <w:tcW w:w="1200" w:type="dxa"/>
            <w:vAlign w:val="bottom"/>
          </w:tcPr>
          <w:p>
            <w:pPr>
              <w:spacing w:after="0"/>
              <w:rPr>
                <w:sz w:val="16"/>
                <w:szCs w:val="16"/>
                <w:color w:val="auto"/>
              </w:rPr>
            </w:pPr>
          </w:p>
        </w:tc>
        <w:tc>
          <w:tcPr>
            <w:tcW w:w="440" w:type="dxa"/>
            <w:vAlign w:val="bottom"/>
          </w:tcPr>
          <w:p>
            <w:pPr>
              <w:jc w:val="right"/>
              <w:ind w:right="219"/>
              <w:spacing w:after="0"/>
              <w:rPr>
                <w:sz w:val="20"/>
                <w:szCs w:val="20"/>
                <w:color w:val="auto"/>
              </w:rPr>
            </w:pPr>
            <w:r>
              <w:rPr>
                <w:rFonts w:ascii="Arial" w:cs="Arial" w:eastAsia="Arial" w:hAnsi="Arial"/>
                <w:sz w:val="16"/>
                <w:szCs w:val="16"/>
                <w:color w:val="auto"/>
              </w:rPr>
              <w:t>0</w:t>
            </w:r>
          </w:p>
        </w:tc>
        <w:tc>
          <w:tcPr>
            <w:tcW w:w="2140" w:type="dxa"/>
            <w:vAlign w:val="bottom"/>
          </w:tcPr>
          <w:p>
            <w:pPr>
              <w:jc w:val="right"/>
              <w:ind w:right="160"/>
              <w:spacing w:after="0"/>
              <w:rPr>
                <w:sz w:val="20"/>
                <w:szCs w:val="20"/>
                <w:color w:val="auto"/>
              </w:rPr>
            </w:pPr>
            <w:r>
              <w:rPr>
                <w:rFonts w:ascii="Arial" w:cs="Arial" w:eastAsia="Arial" w:hAnsi="Arial"/>
                <w:sz w:val="16"/>
                <w:szCs w:val="16"/>
                <w:color w:val="auto"/>
              </w:rPr>
              <w:t>31,008</w:t>
            </w:r>
          </w:p>
        </w:tc>
        <w:tc>
          <w:tcPr>
            <w:tcW w:w="1960" w:type="dxa"/>
            <w:vAlign w:val="bottom"/>
          </w:tcPr>
          <w:p>
            <w:pPr>
              <w:jc w:val="right"/>
              <w:ind w:right="220"/>
              <w:spacing w:after="0"/>
              <w:rPr>
                <w:sz w:val="20"/>
                <w:szCs w:val="20"/>
                <w:color w:val="auto"/>
              </w:rPr>
            </w:pPr>
            <w:r>
              <w:rPr>
                <w:rFonts w:ascii="Arial" w:cs="Arial" w:eastAsia="Arial" w:hAnsi="Arial"/>
                <w:sz w:val="16"/>
                <w:szCs w:val="16"/>
                <w:color w:val="auto"/>
              </w:rPr>
              <w:t>8,227</w:t>
            </w:r>
          </w:p>
        </w:tc>
        <w:tc>
          <w:tcPr>
            <w:tcW w:w="2200" w:type="dxa"/>
            <w:vAlign w:val="bottom"/>
          </w:tcPr>
          <w:p>
            <w:pPr>
              <w:jc w:val="right"/>
              <w:ind w:right="160"/>
              <w:spacing w:after="0"/>
              <w:rPr>
                <w:sz w:val="20"/>
                <w:szCs w:val="20"/>
                <w:color w:val="auto"/>
              </w:rPr>
            </w:pPr>
            <w:r>
              <w:rPr>
                <w:rFonts w:ascii="Arial" w:cs="Arial" w:eastAsia="Arial" w:hAnsi="Arial"/>
                <w:sz w:val="16"/>
                <w:szCs w:val="16"/>
                <w:color w:val="auto"/>
              </w:rPr>
              <w:t>38,760</w:t>
            </w:r>
          </w:p>
        </w:tc>
      </w:tr>
      <w:tr>
        <w:trPr>
          <w:trHeight w:val="187"/>
        </w:trPr>
        <w:tc>
          <w:tcPr>
            <w:tcW w:w="1260" w:type="dxa"/>
            <w:vAlign w:val="bottom"/>
            <w:tcBorders>
              <w:bottom w:val="single" w:sz="8" w:color="999999"/>
            </w:tcBorders>
          </w:tcPr>
          <w:p>
            <w:pPr>
              <w:spacing w:after="0"/>
              <w:rPr>
                <w:sz w:val="16"/>
                <w:szCs w:val="16"/>
                <w:color w:val="auto"/>
              </w:rPr>
            </w:pPr>
          </w:p>
        </w:tc>
        <w:tc>
          <w:tcPr>
            <w:tcW w:w="1820" w:type="dxa"/>
            <w:vAlign w:val="bottom"/>
            <w:tcBorders>
              <w:bottom w:val="single" w:sz="8" w:color="999999"/>
            </w:tcBorders>
          </w:tcPr>
          <w:p>
            <w:pPr>
              <w:ind w:left="120"/>
              <w:spacing w:after="0"/>
              <w:rPr>
                <w:sz w:val="20"/>
                <w:szCs w:val="20"/>
                <w:color w:val="auto"/>
              </w:rPr>
            </w:pPr>
            <w:r>
              <w:rPr>
                <w:rFonts w:ascii="Arial" w:cs="Arial" w:eastAsia="Arial" w:hAnsi="Arial"/>
                <w:sz w:val="16"/>
                <w:szCs w:val="16"/>
                <w:color w:val="auto"/>
              </w:rPr>
              <w:t>Cutback (3)</w:t>
            </w:r>
          </w:p>
        </w:tc>
        <w:tc>
          <w:tcPr>
            <w:tcW w:w="1200" w:type="dxa"/>
            <w:vAlign w:val="bottom"/>
            <w:tcBorders>
              <w:bottom w:val="single" w:sz="8" w:color="999999"/>
            </w:tcBorders>
          </w:tcPr>
          <w:p>
            <w:pPr>
              <w:spacing w:after="0"/>
              <w:rPr>
                <w:sz w:val="16"/>
                <w:szCs w:val="16"/>
                <w:color w:val="auto"/>
              </w:rPr>
            </w:pPr>
          </w:p>
        </w:tc>
        <w:tc>
          <w:tcPr>
            <w:tcW w:w="440" w:type="dxa"/>
            <w:vAlign w:val="bottom"/>
            <w:tcBorders>
              <w:bottom w:val="single" w:sz="8" w:color="999999"/>
            </w:tcBorders>
          </w:tcPr>
          <w:p>
            <w:pPr>
              <w:jc w:val="right"/>
              <w:ind w:right="219"/>
              <w:spacing w:after="0"/>
              <w:rPr>
                <w:sz w:val="20"/>
                <w:szCs w:val="20"/>
                <w:color w:val="auto"/>
              </w:rPr>
            </w:pPr>
            <w:r>
              <w:rPr>
                <w:rFonts w:ascii="Arial" w:cs="Arial" w:eastAsia="Arial" w:hAnsi="Arial"/>
                <w:sz w:val="16"/>
                <w:szCs w:val="16"/>
                <w:color w:val="auto"/>
              </w:rPr>
              <w:t>0</w:t>
            </w:r>
          </w:p>
        </w:tc>
        <w:tc>
          <w:tcPr>
            <w:tcW w:w="2140" w:type="dxa"/>
            <w:vAlign w:val="bottom"/>
            <w:tcBorders>
              <w:bottom w:val="single" w:sz="8" w:color="999999"/>
            </w:tcBorders>
          </w:tcPr>
          <w:p>
            <w:pPr>
              <w:jc w:val="right"/>
              <w:ind w:right="160"/>
              <w:spacing w:after="0"/>
              <w:rPr>
                <w:sz w:val="20"/>
                <w:szCs w:val="20"/>
                <w:color w:val="auto"/>
              </w:rPr>
            </w:pPr>
            <w:r>
              <w:rPr>
                <w:rFonts w:ascii="Arial" w:cs="Arial" w:eastAsia="Arial" w:hAnsi="Arial"/>
                <w:sz w:val="16"/>
                <w:szCs w:val="16"/>
                <w:color w:val="auto"/>
              </w:rPr>
              <w:t>0</w:t>
            </w:r>
          </w:p>
        </w:tc>
        <w:tc>
          <w:tcPr>
            <w:tcW w:w="1960" w:type="dxa"/>
            <w:vAlign w:val="bottom"/>
            <w:tcBorders>
              <w:bottom w:val="single" w:sz="8" w:color="999999"/>
            </w:tcBorders>
          </w:tcPr>
          <w:p>
            <w:pPr>
              <w:jc w:val="right"/>
              <w:ind w:right="220"/>
              <w:spacing w:after="0"/>
              <w:rPr>
                <w:sz w:val="20"/>
                <w:szCs w:val="20"/>
                <w:color w:val="auto"/>
              </w:rPr>
            </w:pPr>
            <w:r>
              <w:rPr>
                <w:rFonts w:ascii="Arial" w:cs="Arial" w:eastAsia="Arial" w:hAnsi="Arial"/>
                <w:sz w:val="16"/>
                <w:szCs w:val="16"/>
                <w:color w:val="auto"/>
              </w:rPr>
              <w:t>0</w:t>
            </w:r>
          </w:p>
        </w:tc>
        <w:tc>
          <w:tcPr>
            <w:tcW w:w="2200" w:type="dxa"/>
            <w:vAlign w:val="bottom"/>
            <w:tcBorders>
              <w:bottom w:val="single" w:sz="8" w:color="999999"/>
            </w:tcBorders>
          </w:tcPr>
          <w:p>
            <w:pPr>
              <w:jc w:val="right"/>
              <w:ind w:right="160"/>
              <w:spacing w:after="0"/>
              <w:rPr>
                <w:sz w:val="20"/>
                <w:szCs w:val="20"/>
                <w:color w:val="auto"/>
              </w:rPr>
            </w:pPr>
            <w:r>
              <w:rPr>
                <w:rFonts w:ascii="Arial" w:cs="Arial" w:eastAsia="Arial" w:hAnsi="Arial"/>
                <w:sz w:val="16"/>
                <w:szCs w:val="16"/>
                <w:color w:val="auto"/>
              </w:rPr>
              <w:t>-3,010,130</w:t>
            </w:r>
          </w:p>
        </w:tc>
      </w:tr>
      <w:tr>
        <w:trPr>
          <w:trHeight w:val="183"/>
        </w:trPr>
        <w:tc>
          <w:tcPr>
            <w:tcW w:w="1260" w:type="dxa"/>
            <w:vAlign w:val="bottom"/>
            <w:tcBorders>
              <w:bottom w:val="single" w:sz="8" w:color="999999"/>
            </w:tcBorders>
          </w:tcPr>
          <w:p>
            <w:pPr>
              <w:spacing w:after="0"/>
              <w:rPr>
                <w:sz w:val="15"/>
                <w:szCs w:val="15"/>
                <w:color w:val="auto"/>
              </w:rPr>
            </w:pPr>
          </w:p>
        </w:tc>
        <w:tc>
          <w:tcPr>
            <w:tcW w:w="1820" w:type="dxa"/>
            <w:vAlign w:val="bottom"/>
            <w:tcBorders>
              <w:bottom w:val="single" w:sz="8" w:color="999999"/>
            </w:tcBorders>
          </w:tcPr>
          <w:p>
            <w:pPr>
              <w:ind w:left="120"/>
              <w:spacing w:after="0" w:line="183" w:lineRule="exact"/>
              <w:rPr>
                <w:sz w:val="20"/>
                <w:szCs w:val="20"/>
                <w:color w:val="auto"/>
              </w:rPr>
            </w:pPr>
            <w:r>
              <w:rPr>
                <w:rFonts w:ascii="Arial" w:cs="Arial" w:eastAsia="Arial" w:hAnsi="Arial"/>
                <w:sz w:val="16"/>
                <w:szCs w:val="16"/>
                <w:b w:val="1"/>
                <w:bCs w:val="1"/>
                <w:color w:val="auto"/>
              </w:rPr>
              <w:t>Total Value</w:t>
            </w:r>
          </w:p>
        </w:tc>
        <w:tc>
          <w:tcPr>
            <w:tcW w:w="1200" w:type="dxa"/>
            <w:vAlign w:val="bottom"/>
            <w:tcBorders>
              <w:bottom w:val="single" w:sz="8" w:color="999999"/>
            </w:tcBorders>
          </w:tcPr>
          <w:p>
            <w:pPr>
              <w:spacing w:after="0"/>
              <w:rPr>
                <w:sz w:val="15"/>
                <w:szCs w:val="15"/>
                <w:color w:val="auto"/>
              </w:rPr>
            </w:pPr>
          </w:p>
        </w:tc>
        <w:tc>
          <w:tcPr>
            <w:tcW w:w="440" w:type="dxa"/>
            <w:vAlign w:val="bottom"/>
            <w:tcBorders>
              <w:bottom w:val="single" w:sz="8" w:color="999999"/>
            </w:tcBorders>
          </w:tcPr>
          <w:p>
            <w:pPr>
              <w:jc w:val="right"/>
              <w:ind w:right="219"/>
              <w:spacing w:after="0" w:line="183" w:lineRule="exact"/>
              <w:rPr>
                <w:sz w:val="20"/>
                <w:szCs w:val="20"/>
                <w:color w:val="auto"/>
              </w:rPr>
            </w:pPr>
            <w:r>
              <w:rPr>
                <w:rFonts w:ascii="Arial" w:cs="Arial" w:eastAsia="Arial" w:hAnsi="Arial"/>
                <w:sz w:val="16"/>
                <w:szCs w:val="16"/>
                <w:b w:val="1"/>
                <w:bCs w:val="1"/>
                <w:color w:val="auto"/>
              </w:rPr>
              <w:t>0</w:t>
            </w:r>
          </w:p>
        </w:tc>
        <w:tc>
          <w:tcPr>
            <w:tcW w:w="2140" w:type="dxa"/>
            <w:vAlign w:val="bottom"/>
            <w:tcBorders>
              <w:bottom w:val="single" w:sz="8" w:color="999999"/>
            </w:tcBorders>
          </w:tcPr>
          <w:p>
            <w:pPr>
              <w:jc w:val="right"/>
              <w:ind w:right="160"/>
              <w:spacing w:after="0" w:line="183" w:lineRule="exact"/>
              <w:rPr>
                <w:sz w:val="20"/>
                <w:szCs w:val="20"/>
                <w:color w:val="auto"/>
              </w:rPr>
            </w:pPr>
            <w:r>
              <w:rPr>
                <w:rFonts w:ascii="Arial" w:cs="Arial" w:eastAsia="Arial" w:hAnsi="Arial"/>
                <w:sz w:val="16"/>
                <w:szCs w:val="16"/>
                <w:b w:val="1"/>
                <w:bCs w:val="1"/>
                <w:color w:val="auto"/>
              </w:rPr>
              <w:t>3,811,008</w:t>
            </w:r>
          </w:p>
        </w:tc>
        <w:tc>
          <w:tcPr>
            <w:tcW w:w="1960" w:type="dxa"/>
            <w:vAlign w:val="bottom"/>
            <w:tcBorders>
              <w:bottom w:val="single" w:sz="8" w:color="999999"/>
            </w:tcBorders>
          </w:tcPr>
          <w:p>
            <w:pPr>
              <w:jc w:val="right"/>
              <w:ind w:right="220"/>
              <w:spacing w:after="0" w:line="183" w:lineRule="exact"/>
              <w:rPr>
                <w:sz w:val="20"/>
                <w:szCs w:val="20"/>
                <w:color w:val="auto"/>
              </w:rPr>
            </w:pPr>
            <w:r>
              <w:rPr>
                <w:rFonts w:ascii="Arial" w:cs="Arial" w:eastAsia="Arial" w:hAnsi="Arial"/>
                <w:sz w:val="16"/>
                <w:szCs w:val="16"/>
                <w:b w:val="1"/>
                <w:bCs w:val="1"/>
                <w:color w:val="auto"/>
              </w:rPr>
              <w:t>3,563,602</w:t>
            </w:r>
          </w:p>
        </w:tc>
        <w:tc>
          <w:tcPr>
            <w:tcW w:w="2200" w:type="dxa"/>
            <w:vAlign w:val="bottom"/>
            <w:tcBorders>
              <w:bottom w:val="single" w:sz="8" w:color="999999"/>
            </w:tcBorders>
          </w:tcPr>
          <w:p>
            <w:pPr>
              <w:jc w:val="right"/>
              <w:ind w:right="160"/>
              <w:spacing w:after="0" w:line="183" w:lineRule="exact"/>
              <w:rPr>
                <w:sz w:val="20"/>
                <w:szCs w:val="20"/>
                <w:color w:val="auto"/>
              </w:rPr>
            </w:pPr>
            <w:r>
              <w:rPr>
                <w:rFonts w:ascii="Arial" w:cs="Arial" w:eastAsia="Arial" w:hAnsi="Arial"/>
                <w:sz w:val="16"/>
                <w:szCs w:val="16"/>
                <w:b w:val="1"/>
                <w:bCs w:val="1"/>
                <w:color w:val="auto"/>
              </w:rPr>
              <w:t>11,321,504</w:t>
            </w:r>
          </w:p>
        </w:tc>
      </w:tr>
      <w:tr>
        <w:trPr>
          <w:trHeight w:val="184"/>
        </w:trPr>
        <w:tc>
          <w:tcPr>
            <w:tcW w:w="1260" w:type="dxa"/>
            <w:vAlign w:val="bottom"/>
          </w:tcPr>
          <w:p>
            <w:pPr>
              <w:spacing w:after="0"/>
              <w:rPr>
                <w:sz w:val="20"/>
                <w:szCs w:val="20"/>
                <w:color w:val="auto"/>
              </w:rPr>
            </w:pPr>
            <w:r>
              <w:rPr>
                <w:rFonts w:ascii="Arial" w:cs="Arial" w:eastAsia="Arial" w:hAnsi="Arial"/>
                <w:sz w:val="16"/>
                <w:szCs w:val="16"/>
                <w:color w:val="auto"/>
              </w:rPr>
              <w:t>C. Mark Hussey</w:t>
            </w:r>
          </w:p>
        </w:tc>
        <w:tc>
          <w:tcPr>
            <w:tcW w:w="1820" w:type="dxa"/>
            <w:vAlign w:val="bottom"/>
          </w:tcPr>
          <w:p>
            <w:pPr>
              <w:ind w:left="120"/>
              <w:spacing w:after="0"/>
              <w:rPr>
                <w:sz w:val="20"/>
                <w:szCs w:val="20"/>
                <w:color w:val="auto"/>
              </w:rPr>
            </w:pPr>
            <w:r>
              <w:rPr>
                <w:rFonts w:ascii="Arial" w:cs="Arial" w:eastAsia="Arial" w:hAnsi="Arial"/>
                <w:sz w:val="16"/>
                <w:szCs w:val="16"/>
                <w:color w:val="auto"/>
              </w:rPr>
              <w:t>Salary</w:t>
            </w:r>
          </w:p>
        </w:tc>
        <w:tc>
          <w:tcPr>
            <w:tcW w:w="1200" w:type="dxa"/>
            <w:vAlign w:val="bottom"/>
          </w:tcPr>
          <w:p>
            <w:pPr>
              <w:spacing w:after="0"/>
              <w:rPr>
                <w:sz w:val="16"/>
                <w:szCs w:val="16"/>
                <w:color w:val="auto"/>
              </w:rPr>
            </w:pPr>
          </w:p>
        </w:tc>
        <w:tc>
          <w:tcPr>
            <w:tcW w:w="440" w:type="dxa"/>
            <w:vAlign w:val="bottom"/>
          </w:tcPr>
          <w:p>
            <w:pPr>
              <w:jc w:val="right"/>
              <w:ind w:right="219"/>
              <w:spacing w:after="0"/>
              <w:rPr>
                <w:sz w:val="20"/>
                <w:szCs w:val="20"/>
                <w:color w:val="auto"/>
              </w:rPr>
            </w:pPr>
            <w:r>
              <w:rPr>
                <w:rFonts w:ascii="Arial" w:cs="Arial" w:eastAsia="Arial" w:hAnsi="Arial"/>
                <w:sz w:val="16"/>
                <w:szCs w:val="16"/>
                <w:color w:val="auto"/>
              </w:rPr>
              <w:t>0</w:t>
            </w:r>
          </w:p>
        </w:tc>
        <w:tc>
          <w:tcPr>
            <w:tcW w:w="2140" w:type="dxa"/>
            <w:vAlign w:val="bottom"/>
          </w:tcPr>
          <w:p>
            <w:pPr>
              <w:jc w:val="right"/>
              <w:ind w:right="160"/>
              <w:spacing w:after="0"/>
              <w:rPr>
                <w:sz w:val="20"/>
                <w:szCs w:val="20"/>
                <w:color w:val="auto"/>
              </w:rPr>
            </w:pPr>
            <w:r>
              <w:rPr>
                <w:rFonts w:ascii="Arial" w:cs="Arial" w:eastAsia="Arial" w:hAnsi="Arial"/>
                <w:sz w:val="16"/>
                <w:szCs w:val="16"/>
                <w:color w:val="auto"/>
              </w:rPr>
              <w:t>1,125,000</w:t>
            </w:r>
          </w:p>
        </w:tc>
        <w:tc>
          <w:tcPr>
            <w:tcW w:w="1960" w:type="dxa"/>
            <w:vAlign w:val="bottom"/>
          </w:tcPr>
          <w:p>
            <w:pPr>
              <w:jc w:val="right"/>
              <w:ind w:right="220"/>
              <w:spacing w:after="0"/>
              <w:rPr>
                <w:sz w:val="20"/>
                <w:szCs w:val="20"/>
                <w:color w:val="auto"/>
              </w:rPr>
            </w:pPr>
            <w:r>
              <w:rPr>
                <w:rFonts w:ascii="Arial" w:cs="Arial" w:eastAsia="Arial" w:hAnsi="Arial"/>
                <w:sz w:val="16"/>
                <w:szCs w:val="16"/>
                <w:color w:val="auto"/>
              </w:rPr>
              <w:t>0</w:t>
            </w:r>
          </w:p>
        </w:tc>
        <w:tc>
          <w:tcPr>
            <w:tcW w:w="2200" w:type="dxa"/>
            <w:vAlign w:val="bottom"/>
          </w:tcPr>
          <w:p>
            <w:pPr>
              <w:jc w:val="right"/>
              <w:ind w:right="160"/>
              <w:spacing w:after="0"/>
              <w:rPr>
                <w:sz w:val="20"/>
                <w:szCs w:val="20"/>
                <w:color w:val="auto"/>
              </w:rPr>
            </w:pPr>
            <w:r>
              <w:rPr>
                <w:rFonts w:ascii="Arial" w:cs="Arial" w:eastAsia="Arial" w:hAnsi="Arial"/>
                <w:sz w:val="16"/>
                <w:szCs w:val="16"/>
                <w:color w:val="auto"/>
              </w:rPr>
              <w:t>1,500,000</w:t>
            </w:r>
          </w:p>
        </w:tc>
      </w:tr>
      <w:tr>
        <w:trPr>
          <w:trHeight w:val="189"/>
        </w:trPr>
        <w:tc>
          <w:tcPr>
            <w:tcW w:w="1260" w:type="dxa"/>
            <w:vAlign w:val="bottom"/>
          </w:tcPr>
          <w:p>
            <w:pPr>
              <w:spacing w:after="0"/>
              <w:rPr>
                <w:sz w:val="16"/>
                <w:szCs w:val="16"/>
                <w:color w:val="auto"/>
              </w:rPr>
            </w:pPr>
          </w:p>
        </w:tc>
        <w:tc>
          <w:tcPr>
            <w:tcW w:w="1820" w:type="dxa"/>
            <w:vAlign w:val="bottom"/>
          </w:tcPr>
          <w:p>
            <w:pPr>
              <w:ind w:left="120"/>
              <w:spacing w:after="0"/>
              <w:rPr>
                <w:sz w:val="20"/>
                <w:szCs w:val="20"/>
                <w:color w:val="auto"/>
              </w:rPr>
            </w:pPr>
            <w:r>
              <w:rPr>
                <w:rFonts w:ascii="Arial" w:cs="Arial" w:eastAsia="Arial" w:hAnsi="Arial"/>
                <w:sz w:val="16"/>
                <w:szCs w:val="16"/>
                <w:color w:val="auto"/>
              </w:rPr>
              <w:t>Bonus</w:t>
            </w:r>
          </w:p>
        </w:tc>
        <w:tc>
          <w:tcPr>
            <w:tcW w:w="1200" w:type="dxa"/>
            <w:vAlign w:val="bottom"/>
          </w:tcPr>
          <w:p>
            <w:pPr>
              <w:spacing w:after="0"/>
              <w:rPr>
                <w:sz w:val="16"/>
                <w:szCs w:val="16"/>
                <w:color w:val="auto"/>
              </w:rPr>
            </w:pPr>
          </w:p>
        </w:tc>
        <w:tc>
          <w:tcPr>
            <w:tcW w:w="440" w:type="dxa"/>
            <w:vAlign w:val="bottom"/>
          </w:tcPr>
          <w:p>
            <w:pPr>
              <w:jc w:val="right"/>
              <w:ind w:right="219"/>
              <w:spacing w:after="0"/>
              <w:rPr>
                <w:sz w:val="20"/>
                <w:szCs w:val="20"/>
                <w:color w:val="auto"/>
              </w:rPr>
            </w:pPr>
            <w:r>
              <w:rPr>
                <w:rFonts w:ascii="Arial" w:cs="Arial" w:eastAsia="Arial" w:hAnsi="Arial"/>
                <w:sz w:val="16"/>
                <w:szCs w:val="16"/>
                <w:color w:val="auto"/>
              </w:rPr>
              <w:t>0</w:t>
            </w:r>
          </w:p>
        </w:tc>
        <w:tc>
          <w:tcPr>
            <w:tcW w:w="2140" w:type="dxa"/>
            <w:vAlign w:val="bottom"/>
          </w:tcPr>
          <w:p>
            <w:pPr>
              <w:jc w:val="right"/>
              <w:ind w:right="160"/>
              <w:spacing w:after="0"/>
              <w:rPr>
                <w:sz w:val="20"/>
                <w:szCs w:val="20"/>
                <w:color w:val="auto"/>
              </w:rPr>
            </w:pPr>
            <w:r>
              <w:rPr>
                <w:rFonts w:ascii="Arial" w:cs="Arial" w:eastAsia="Arial" w:hAnsi="Arial"/>
                <w:sz w:val="16"/>
                <w:szCs w:val="16"/>
                <w:color w:val="auto"/>
              </w:rPr>
              <w:t>1,125,000</w:t>
            </w:r>
          </w:p>
        </w:tc>
        <w:tc>
          <w:tcPr>
            <w:tcW w:w="1960" w:type="dxa"/>
            <w:vAlign w:val="bottom"/>
          </w:tcPr>
          <w:p>
            <w:pPr>
              <w:jc w:val="right"/>
              <w:ind w:right="220"/>
              <w:spacing w:after="0"/>
              <w:rPr>
                <w:sz w:val="20"/>
                <w:szCs w:val="20"/>
                <w:color w:val="auto"/>
              </w:rPr>
            </w:pPr>
            <w:r>
              <w:rPr>
                <w:rFonts w:ascii="Arial" w:cs="Arial" w:eastAsia="Arial" w:hAnsi="Arial"/>
                <w:sz w:val="16"/>
                <w:szCs w:val="16"/>
                <w:color w:val="auto"/>
              </w:rPr>
              <w:t>0</w:t>
            </w:r>
          </w:p>
        </w:tc>
        <w:tc>
          <w:tcPr>
            <w:tcW w:w="2200" w:type="dxa"/>
            <w:vAlign w:val="bottom"/>
          </w:tcPr>
          <w:p>
            <w:pPr>
              <w:jc w:val="right"/>
              <w:ind w:right="160"/>
              <w:spacing w:after="0"/>
              <w:rPr>
                <w:sz w:val="20"/>
                <w:szCs w:val="20"/>
                <w:color w:val="auto"/>
              </w:rPr>
            </w:pPr>
            <w:r>
              <w:rPr>
                <w:rFonts w:ascii="Arial" w:cs="Arial" w:eastAsia="Arial" w:hAnsi="Arial"/>
                <w:sz w:val="16"/>
                <w:szCs w:val="16"/>
                <w:color w:val="auto"/>
              </w:rPr>
              <w:t>1,500,000</w:t>
            </w:r>
          </w:p>
        </w:tc>
      </w:tr>
      <w:tr>
        <w:trPr>
          <w:trHeight w:val="189"/>
        </w:trPr>
        <w:tc>
          <w:tcPr>
            <w:tcW w:w="1260" w:type="dxa"/>
            <w:vAlign w:val="bottom"/>
          </w:tcPr>
          <w:p>
            <w:pPr>
              <w:spacing w:after="0"/>
              <w:rPr>
                <w:sz w:val="16"/>
                <w:szCs w:val="16"/>
                <w:color w:val="auto"/>
              </w:rPr>
            </w:pPr>
          </w:p>
        </w:tc>
        <w:tc>
          <w:tcPr>
            <w:tcW w:w="1820" w:type="dxa"/>
            <w:vAlign w:val="bottom"/>
          </w:tcPr>
          <w:p>
            <w:pPr>
              <w:ind w:left="120"/>
              <w:spacing w:after="0"/>
              <w:rPr>
                <w:sz w:val="20"/>
                <w:szCs w:val="20"/>
                <w:color w:val="auto"/>
              </w:rPr>
            </w:pPr>
            <w:r>
              <w:rPr>
                <w:rFonts w:ascii="Arial" w:cs="Arial" w:eastAsia="Arial" w:hAnsi="Arial"/>
                <w:sz w:val="16"/>
                <w:szCs w:val="16"/>
                <w:color w:val="auto"/>
              </w:rPr>
              <w:t>Pro rata bonus (1)</w:t>
            </w:r>
          </w:p>
        </w:tc>
        <w:tc>
          <w:tcPr>
            <w:tcW w:w="1200" w:type="dxa"/>
            <w:vAlign w:val="bottom"/>
          </w:tcPr>
          <w:p>
            <w:pPr>
              <w:spacing w:after="0"/>
              <w:rPr>
                <w:sz w:val="16"/>
                <w:szCs w:val="16"/>
                <w:color w:val="auto"/>
              </w:rPr>
            </w:pPr>
          </w:p>
        </w:tc>
        <w:tc>
          <w:tcPr>
            <w:tcW w:w="440" w:type="dxa"/>
            <w:vAlign w:val="bottom"/>
          </w:tcPr>
          <w:p>
            <w:pPr>
              <w:jc w:val="right"/>
              <w:ind w:right="219"/>
              <w:spacing w:after="0"/>
              <w:rPr>
                <w:sz w:val="20"/>
                <w:szCs w:val="20"/>
                <w:color w:val="auto"/>
              </w:rPr>
            </w:pPr>
            <w:r>
              <w:rPr>
                <w:rFonts w:ascii="Arial" w:cs="Arial" w:eastAsia="Arial" w:hAnsi="Arial"/>
                <w:sz w:val="16"/>
                <w:szCs w:val="16"/>
                <w:color w:val="auto"/>
              </w:rPr>
              <w:t>0</w:t>
            </w:r>
          </w:p>
        </w:tc>
        <w:tc>
          <w:tcPr>
            <w:tcW w:w="2140" w:type="dxa"/>
            <w:vAlign w:val="bottom"/>
          </w:tcPr>
          <w:p>
            <w:pPr>
              <w:jc w:val="right"/>
              <w:ind w:right="160"/>
              <w:spacing w:after="0"/>
              <w:rPr>
                <w:sz w:val="20"/>
                <w:szCs w:val="20"/>
                <w:color w:val="auto"/>
              </w:rPr>
            </w:pPr>
            <w:r>
              <w:rPr>
                <w:rFonts w:ascii="Arial" w:cs="Arial" w:eastAsia="Arial" w:hAnsi="Arial"/>
                <w:sz w:val="16"/>
                <w:szCs w:val="16"/>
                <w:color w:val="auto"/>
              </w:rPr>
              <w:t>973,950</w:t>
            </w:r>
          </w:p>
        </w:tc>
        <w:tc>
          <w:tcPr>
            <w:tcW w:w="1960" w:type="dxa"/>
            <w:vAlign w:val="bottom"/>
          </w:tcPr>
          <w:p>
            <w:pPr>
              <w:jc w:val="right"/>
              <w:ind w:right="220"/>
              <w:spacing w:after="0"/>
              <w:rPr>
                <w:sz w:val="20"/>
                <w:szCs w:val="20"/>
                <w:color w:val="auto"/>
              </w:rPr>
            </w:pPr>
            <w:r>
              <w:rPr>
                <w:rFonts w:ascii="Arial" w:cs="Arial" w:eastAsia="Arial" w:hAnsi="Arial"/>
                <w:sz w:val="16"/>
                <w:szCs w:val="16"/>
                <w:color w:val="auto"/>
              </w:rPr>
              <w:t>750,000</w:t>
            </w:r>
          </w:p>
        </w:tc>
        <w:tc>
          <w:tcPr>
            <w:tcW w:w="2200" w:type="dxa"/>
            <w:vAlign w:val="bottom"/>
          </w:tcPr>
          <w:p>
            <w:pPr>
              <w:jc w:val="right"/>
              <w:ind w:right="160"/>
              <w:spacing w:after="0"/>
              <w:rPr>
                <w:sz w:val="20"/>
                <w:szCs w:val="20"/>
                <w:color w:val="auto"/>
              </w:rPr>
            </w:pPr>
            <w:r>
              <w:rPr>
                <w:rFonts w:ascii="Arial" w:cs="Arial" w:eastAsia="Arial" w:hAnsi="Arial"/>
                <w:sz w:val="16"/>
                <w:szCs w:val="16"/>
                <w:color w:val="auto"/>
              </w:rPr>
              <w:t>973,950</w:t>
            </w:r>
          </w:p>
        </w:tc>
      </w:tr>
      <w:tr>
        <w:trPr>
          <w:trHeight w:val="189"/>
        </w:trPr>
        <w:tc>
          <w:tcPr>
            <w:tcW w:w="1260" w:type="dxa"/>
            <w:vAlign w:val="bottom"/>
          </w:tcPr>
          <w:p>
            <w:pPr>
              <w:spacing w:after="0"/>
              <w:rPr>
                <w:sz w:val="16"/>
                <w:szCs w:val="16"/>
                <w:color w:val="auto"/>
              </w:rPr>
            </w:pPr>
          </w:p>
        </w:tc>
        <w:tc>
          <w:tcPr>
            <w:tcW w:w="1820" w:type="dxa"/>
            <w:vAlign w:val="bottom"/>
          </w:tcPr>
          <w:p>
            <w:pPr>
              <w:ind w:left="120"/>
              <w:spacing w:after="0"/>
              <w:rPr>
                <w:sz w:val="20"/>
                <w:szCs w:val="20"/>
                <w:color w:val="auto"/>
              </w:rPr>
            </w:pPr>
            <w:r>
              <w:rPr>
                <w:rFonts w:ascii="Arial" w:cs="Arial" w:eastAsia="Arial" w:hAnsi="Arial"/>
                <w:sz w:val="16"/>
                <w:szCs w:val="16"/>
                <w:color w:val="auto"/>
              </w:rPr>
              <w:t>Equity acceleration</w:t>
            </w:r>
          </w:p>
        </w:tc>
        <w:tc>
          <w:tcPr>
            <w:tcW w:w="1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200" w:type="dxa"/>
            <w:vAlign w:val="bottom"/>
          </w:tcPr>
          <w:p>
            <w:pPr>
              <w:spacing w:after="0"/>
              <w:rPr>
                <w:sz w:val="16"/>
                <w:szCs w:val="16"/>
                <w:color w:val="auto"/>
              </w:rPr>
            </w:pPr>
          </w:p>
        </w:tc>
      </w:tr>
      <w:tr>
        <w:trPr>
          <w:trHeight w:val="189"/>
        </w:trPr>
        <w:tc>
          <w:tcPr>
            <w:tcW w:w="1260" w:type="dxa"/>
            <w:vAlign w:val="bottom"/>
          </w:tcPr>
          <w:p>
            <w:pPr>
              <w:spacing w:after="0"/>
              <w:rPr>
                <w:sz w:val="16"/>
                <w:szCs w:val="16"/>
                <w:color w:val="auto"/>
              </w:rPr>
            </w:pPr>
          </w:p>
        </w:tc>
        <w:tc>
          <w:tcPr>
            <w:tcW w:w="1820" w:type="dxa"/>
            <w:vAlign w:val="bottom"/>
          </w:tcPr>
          <w:p>
            <w:pPr>
              <w:ind w:left="120"/>
              <w:spacing w:after="0"/>
              <w:rPr>
                <w:sz w:val="20"/>
                <w:szCs w:val="20"/>
                <w:color w:val="auto"/>
              </w:rPr>
            </w:pPr>
            <w:r>
              <w:rPr>
                <w:rFonts w:ascii="Arial" w:cs="Arial" w:eastAsia="Arial" w:hAnsi="Arial"/>
                <w:sz w:val="16"/>
                <w:szCs w:val="16"/>
                <w:color w:val="auto"/>
              </w:rPr>
              <w:t>(2)</w:t>
            </w:r>
          </w:p>
        </w:tc>
        <w:tc>
          <w:tcPr>
            <w:tcW w:w="1200" w:type="dxa"/>
            <w:vAlign w:val="bottom"/>
          </w:tcPr>
          <w:p>
            <w:pPr>
              <w:spacing w:after="0"/>
              <w:rPr>
                <w:sz w:val="16"/>
                <w:szCs w:val="16"/>
                <w:color w:val="auto"/>
              </w:rPr>
            </w:pPr>
          </w:p>
        </w:tc>
        <w:tc>
          <w:tcPr>
            <w:tcW w:w="440" w:type="dxa"/>
            <w:vAlign w:val="bottom"/>
          </w:tcPr>
          <w:p>
            <w:pPr>
              <w:jc w:val="right"/>
              <w:ind w:right="219"/>
              <w:spacing w:after="0"/>
              <w:rPr>
                <w:sz w:val="20"/>
                <w:szCs w:val="20"/>
                <w:color w:val="auto"/>
              </w:rPr>
            </w:pPr>
            <w:r>
              <w:rPr>
                <w:rFonts w:ascii="Arial" w:cs="Arial" w:eastAsia="Arial" w:hAnsi="Arial"/>
                <w:sz w:val="16"/>
                <w:szCs w:val="16"/>
                <w:color w:val="auto"/>
              </w:rPr>
              <w:t>0</w:t>
            </w:r>
          </w:p>
        </w:tc>
        <w:tc>
          <w:tcPr>
            <w:tcW w:w="2140" w:type="dxa"/>
            <w:vAlign w:val="bottom"/>
          </w:tcPr>
          <w:p>
            <w:pPr>
              <w:jc w:val="right"/>
              <w:ind w:right="160"/>
              <w:spacing w:after="0"/>
              <w:rPr>
                <w:sz w:val="20"/>
                <w:szCs w:val="20"/>
                <w:color w:val="auto"/>
              </w:rPr>
            </w:pPr>
            <w:r>
              <w:rPr>
                <w:rFonts w:ascii="Arial" w:cs="Arial" w:eastAsia="Arial" w:hAnsi="Arial"/>
                <w:sz w:val="16"/>
                <w:szCs w:val="16"/>
                <w:color w:val="auto"/>
              </w:rPr>
              <w:t>0</w:t>
            </w:r>
          </w:p>
        </w:tc>
        <w:tc>
          <w:tcPr>
            <w:tcW w:w="1960" w:type="dxa"/>
            <w:vAlign w:val="bottom"/>
          </w:tcPr>
          <w:p>
            <w:pPr>
              <w:jc w:val="right"/>
              <w:ind w:right="220"/>
              <w:spacing w:after="0"/>
              <w:rPr>
                <w:sz w:val="20"/>
                <w:szCs w:val="20"/>
                <w:color w:val="auto"/>
              </w:rPr>
            </w:pPr>
            <w:r>
              <w:rPr>
                <w:rFonts w:ascii="Arial" w:cs="Arial" w:eastAsia="Arial" w:hAnsi="Arial"/>
                <w:sz w:val="16"/>
                <w:szCs w:val="16"/>
                <w:color w:val="auto"/>
              </w:rPr>
              <w:t>2,495,567</w:t>
            </w:r>
          </w:p>
        </w:tc>
        <w:tc>
          <w:tcPr>
            <w:tcW w:w="2200" w:type="dxa"/>
            <w:vAlign w:val="bottom"/>
          </w:tcPr>
          <w:p>
            <w:pPr>
              <w:jc w:val="right"/>
              <w:ind w:right="160"/>
              <w:spacing w:after="0"/>
              <w:rPr>
                <w:sz w:val="20"/>
                <w:szCs w:val="20"/>
                <w:color w:val="auto"/>
              </w:rPr>
            </w:pPr>
            <w:r>
              <w:rPr>
                <w:rFonts w:ascii="Arial" w:cs="Arial" w:eastAsia="Arial" w:hAnsi="Arial"/>
                <w:sz w:val="16"/>
                <w:szCs w:val="16"/>
                <w:color w:val="auto"/>
              </w:rPr>
              <w:t>5,603,979</w:t>
            </w:r>
          </w:p>
        </w:tc>
      </w:tr>
      <w:tr>
        <w:trPr>
          <w:trHeight w:val="189"/>
        </w:trPr>
        <w:tc>
          <w:tcPr>
            <w:tcW w:w="1260" w:type="dxa"/>
            <w:vAlign w:val="bottom"/>
          </w:tcPr>
          <w:p>
            <w:pPr>
              <w:spacing w:after="0"/>
              <w:rPr>
                <w:sz w:val="16"/>
                <w:szCs w:val="16"/>
                <w:color w:val="auto"/>
              </w:rPr>
            </w:pPr>
          </w:p>
        </w:tc>
        <w:tc>
          <w:tcPr>
            <w:tcW w:w="1820" w:type="dxa"/>
            <w:vAlign w:val="bottom"/>
          </w:tcPr>
          <w:p>
            <w:pPr>
              <w:ind w:left="120"/>
              <w:spacing w:after="0"/>
              <w:rPr>
                <w:sz w:val="20"/>
                <w:szCs w:val="20"/>
                <w:color w:val="auto"/>
              </w:rPr>
            </w:pPr>
            <w:r>
              <w:rPr>
                <w:rFonts w:ascii="Arial" w:cs="Arial" w:eastAsia="Arial" w:hAnsi="Arial"/>
                <w:sz w:val="16"/>
                <w:szCs w:val="16"/>
                <w:color w:val="auto"/>
              </w:rPr>
              <w:t>Benefits continuation</w:t>
            </w:r>
          </w:p>
        </w:tc>
        <w:tc>
          <w:tcPr>
            <w:tcW w:w="1200" w:type="dxa"/>
            <w:vAlign w:val="bottom"/>
          </w:tcPr>
          <w:p>
            <w:pPr>
              <w:spacing w:after="0"/>
              <w:rPr>
                <w:sz w:val="16"/>
                <w:szCs w:val="16"/>
                <w:color w:val="auto"/>
              </w:rPr>
            </w:pPr>
          </w:p>
        </w:tc>
        <w:tc>
          <w:tcPr>
            <w:tcW w:w="440" w:type="dxa"/>
            <w:vAlign w:val="bottom"/>
          </w:tcPr>
          <w:p>
            <w:pPr>
              <w:jc w:val="right"/>
              <w:ind w:right="219"/>
              <w:spacing w:after="0"/>
              <w:rPr>
                <w:sz w:val="20"/>
                <w:szCs w:val="20"/>
                <w:color w:val="auto"/>
              </w:rPr>
            </w:pPr>
            <w:r>
              <w:rPr>
                <w:rFonts w:ascii="Arial" w:cs="Arial" w:eastAsia="Arial" w:hAnsi="Arial"/>
                <w:sz w:val="16"/>
                <w:szCs w:val="16"/>
                <w:color w:val="auto"/>
              </w:rPr>
              <w:t>0</w:t>
            </w:r>
          </w:p>
        </w:tc>
        <w:tc>
          <w:tcPr>
            <w:tcW w:w="2140" w:type="dxa"/>
            <w:vAlign w:val="bottom"/>
          </w:tcPr>
          <w:p>
            <w:pPr>
              <w:jc w:val="right"/>
              <w:ind w:right="160"/>
              <w:spacing w:after="0"/>
              <w:rPr>
                <w:sz w:val="20"/>
                <w:szCs w:val="20"/>
                <w:color w:val="auto"/>
              </w:rPr>
            </w:pPr>
            <w:r>
              <w:rPr>
                <w:rFonts w:ascii="Arial" w:cs="Arial" w:eastAsia="Arial" w:hAnsi="Arial"/>
                <w:sz w:val="16"/>
                <w:szCs w:val="16"/>
                <w:color w:val="auto"/>
              </w:rPr>
              <w:t>23,256</w:t>
            </w:r>
          </w:p>
        </w:tc>
        <w:tc>
          <w:tcPr>
            <w:tcW w:w="1960" w:type="dxa"/>
            <w:vAlign w:val="bottom"/>
          </w:tcPr>
          <w:p>
            <w:pPr>
              <w:jc w:val="right"/>
              <w:ind w:right="220"/>
              <w:spacing w:after="0"/>
              <w:rPr>
                <w:sz w:val="20"/>
                <w:szCs w:val="20"/>
                <w:color w:val="auto"/>
              </w:rPr>
            </w:pPr>
            <w:r>
              <w:rPr>
                <w:rFonts w:ascii="Arial" w:cs="Arial" w:eastAsia="Arial" w:hAnsi="Arial"/>
                <w:sz w:val="16"/>
                <w:szCs w:val="16"/>
                <w:color w:val="auto"/>
              </w:rPr>
              <w:t>8,226</w:t>
            </w:r>
          </w:p>
        </w:tc>
        <w:tc>
          <w:tcPr>
            <w:tcW w:w="2200" w:type="dxa"/>
            <w:vAlign w:val="bottom"/>
          </w:tcPr>
          <w:p>
            <w:pPr>
              <w:jc w:val="right"/>
              <w:ind w:right="160"/>
              <w:spacing w:after="0"/>
              <w:rPr>
                <w:sz w:val="20"/>
                <w:szCs w:val="20"/>
                <w:color w:val="auto"/>
              </w:rPr>
            </w:pPr>
            <w:r>
              <w:rPr>
                <w:rFonts w:ascii="Arial" w:cs="Arial" w:eastAsia="Arial" w:hAnsi="Arial"/>
                <w:sz w:val="16"/>
                <w:szCs w:val="16"/>
                <w:color w:val="auto"/>
              </w:rPr>
              <w:t>31,008</w:t>
            </w:r>
          </w:p>
        </w:tc>
      </w:tr>
      <w:tr>
        <w:trPr>
          <w:trHeight w:val="187"/>
        </w:trPr>
        <w:tc>
          <w:tcPr>
            <w:tcW w:w="1260" w:type="dxa"/>
            <w:vAlign w:val="bottom"/>
            <w:tcBorders>
              <w:bottom w:val="single" w:sz="8" w:color="999999"/>
            </w:tcBorders>
          </w:tcPr>
          <w:p>
            <w:pPr>
              <w:spacing w:after="0"/>
              <w:rPr>
                <w:sz w:val="16"/>
                <w:szCs w:val="16"/>
                <w:color w:val="auto"/>
              </w:rPr>
            </w:pPr>
          </w:p>
        </w:tc>
        <w:tc>
          <w:tcPr>
            <w:tcW w:w="1820" w:type="dxa"/>
            <w:vAlign w:val="bottom"/>
            <w:tcBorders>
              <w:bottom w:val="single" w:sz="8" w:color="999999"/>
            </w:tcBorders>
          </w:tcPr>
          <w:p>
            <w:pPr>
              <w:ind w:left="120"/>
              <w:spacing w:after="0"/>
              <w:rPr>
                <w:sz w:val="20"/>
                <w:szCs w:val="20"/>
                <w:color w:val="auto"/>
              </w:rPr>
            </w:pPr>
            <w:r>
              <w:rPr>
                <w:rFonts w:ascii="Arial" w:cs="Arial" w:eastAsia="Arial" w:hAnsi="Arial"/>
                <w:sz w:val="16"/>
                <w:szCs w:val="16"/>
                <w:color w:val="auto"/>
              </w:rPr>
              <w:t>Cutback (3)</w:t>
            </w:r>
          </w:p>
        </w:tc>
        <w:tc>
          <w:tcPr>
            <w:tcW w:w="1200" w:type="dxa"/>
            <w:vAlign w:val="bottom"/>
            <w:tcBorders>
              <w:bottom w:val="single" w:sz="8" w:color="999999"/>
            </w:tcBorders>
          </w:tcPr>
          <w:p>
            <w:pPr>
              <w:spacing w:after="0"/>
              <w:rPr>
                <w:sz w:val="16"/>
                <w:szCs w:val="16"/>
                <w:color w:val="auto"/>
              </w:rPr>
            </w:pPr>
          </w:p>
        </w:tc>
        <w:tc>
          <w:tcPr>
            <w:tcW w:w="440" w:type="dxa"/>
            <w:vAlign w:val="bottom"/>
            <w:tcBorders>
              <w:bottom w:val="single" w:sz="8" w:color="999999"/>
            </w:tcBorders>
          </w:tcPr>
          <w:p>
            <w:pPr>
              <w:jc w:val="right"/>
              <w:ind w:right="219"/>
              <w:spacing w:after="0"/>
              <w:rPr>
                <w:sz w:val="20"/>
                <w:szCs w:val="20"/>
                <w:color w:val="auto"/>
              </w:rPr>
            </w:pPr>
            <w:r>
              <w:rPr>
                <w:rFonts w:ascii="Arial" w:cs="Arial" w:eastAsia="Arial" w:hAnsi="Arial"/>
                <w:sz w:val="16"/>
                <w:szCs w:val="16"/>
                <w:color w:val="auto"/>
              </w:rPr>
              <w:t>0</w:t>
            </w:r>
          </w:p>
        </w:tc>
        <w:tc>
          <w:tcPr>
            <w:tcW w:w="2140" w:type="dxa"/>
            <w:vAlign w:val="bottom"/>
            <w:tcBorders>
              <w:bottom w:val="single" w:sz="8" w:color="999999"/>
            </w:tcBorders>
          </w:tcPr>
          <w:p>
            <w:pPr>
              <w:jc w:val="right"/>
              <w:ind w:right="160"/>
              <w:spacing w:after="0"/>
              <w:rPr>
                <w:sz w:val="20"/>
                <w:szCs w:val="20"/>
                <w:color w:val="auto"/>
              </w:rPr>
            </w:pPr>
            <w:r>
              <w:rPr>
                <w:rFonts w:ascii="Arial" w:cs="Arial" w:eastAsia="Arial" w:hAnsi="Arial"/>
                <w:sz w:val="16"/>
                <w:szCs w:val="16"/>
                <w:color w:val="auto"/>
              </w:rPr>
              <w:t>0</w:t>
            </w:r>
          </w:p>
        </w:tc>
        <w:tc>
          <w:tcPr>
            <w:tcW w:w="1960" w:type="dxa"/>
            <w:vAlign w:val="bottom"/>
            <w:tcBorders>
              <w:bottom w:val="single" w:sz="8" w:color="999999"/>
            </w:tcBorders>
          </w:tcPr>
          <w:p>
            <w:pPr>
              <w:jc w:val="right"/>
              <w:ind w:right="220"/>
              <w:spacing w:after="0"/>
              <w:rPr>
                <w:sz w:val="20"/>
                <w:szCs w:val="20"/>
                <w:color w:val="auto"/>
              </w:rPr>
            </w:pPr>
            <w:r>
              <w:rPr>
                <w:rFonts w:ascii="Arial" w:cs="Arial" w:eastAsia="Arial" w:hAnsi="Arial"/>
                <w:sz w:val="16"/>
                <w:szCs w:val="16"/>
                <w:color w:val="auto"/>
              </w:rPr>
              <w:t>0</w:t>
            </w:r>
          </w:p>
        </w:tc>
        <w:tc>
          <w:tcPr>
            <w:tcW w:w="2200" w:type="dxa"/>
            <w:vAlign w:val="bottom"/>
            <w:tcBorders>
              <w:bottom w:val="single" w:sz="8" w:color="999999"/>
            </w:tcBorders>
          </w:tcPr>
          <w:p>
            <w:pPr>
              <w:jc w:val="right"/>
              <w:ind w:right="160"/>
              <w:spacing w:after="0"/>
              <w:rPr>
                <w:sz w:val="20"/>
                <w:szCs w:val="20"/>
                <w:color w:val="auto"/>
              </w:rPr>
            </w:pPr>
            <w:r>
              <w:rPr>
                <w:rFonts w:ascii="Arial" w:cs="Arial" w:eastAsia="Arial" w:hAnsi="Arial"/>
                <w:sz w:val="16"/>
                <w:szCs w:val="16"/>
                <w:color w:val="auto"/>
              </w:rPr>
              <w:t>-2,306,192</w:t>
            </w:r>
          </w:p>
        </w:tc>
      </w:tr>
      <w:tr>
        <w:trPr>
          <w:trHeight w:val="183"/>
        </w:trPr>
        <w:tc>
          <w:tcPr>
            <w:tcW w:w="1260" w:type="dxa"/>
            <w:vAlign w:val="bottom"/>
            <w:tcBorders>
              <w:bottom w:val="single" w:sz="8" w:color="999999"/>
            </w:tcBorders>
          </w:tcPr>
          <w:p>
            <w:pPr>
              <w:spacing w:after="0"/>
              <w:rPr>
                <w:sz w:val="15"/>
                <w:szCs w:val="15"/>
                <w:color w:val="auto"/>
              </w:rPr>
            </w:pPr>
          </w:p>
        </w:tc>
        <w:tc>
          <w:tcPr>
            <w:tcW w:w="1820" w:type="dxa"/>
            <w:vAlign w:val="bottom"/>
            <w:tcBorders>
              <w:bottom w:val="single" w:sz="8" w:color="999999"/>
            </w:tcBorders>
          </w:tcPr>
          <w:p>
            <w:pPr>
              <w:ind w:left="120"/>
              <w:spacing w:after="0" w:line="183" w:lineRule="exact"/>
              <w:rPr>
                <w:sz w:val="20"/>
                <w:szCs w:val="20"/>
                <w:color w:val="auto"/>
              </w:rPr>
            </w:pPr>
            <w:r>
              <w:rPr>
                <w:rFonts w:ascii="Arial" w:cs="Arial" w:eastAsia="Arial" w:hAnsi="Arial"/>
                <w:sz w:val="16"/>
                <w:szCs w:val="16"/>
                <w:b w:val="1"/>
                <w:bCs w:val="1"/>
                <w:color w:val="auto"/>
              </w:rPr>
              <w:t>Total Value</w:t>
            </w:r>
          </w:p>
        </w:tc>
        <w:tc>
          <w:tcPr>
            <w:tcW w:w="1200" w:type="dxa"/>
            <w:vAlign w:val="bottom"/>
            <w:tcBorders>
              <w:bottom w:val="single" w:sz="8" w:color="999999"/>
            </w:tcBorders>
          </w:tcPr>
          <w:p>
            <w:pPr>
              <w:spacing w:after="0"/>
              <w:rPr>
                <w:sz w:val="15"/>
                <w:szCs w:val="15"/>
                <w:color w:val="auto"/>
              </w:rPr>
            </w:pPr>
          </w:p>
        </w:tc>
        <w:tc>
          <w:tcPr>
            <w:tcW w:w="440" w:type="dxa"/>
            <w:vAlign w:val="bottom"/>
            <w:tcBorders>
              <w:bottom w:val="single" w:sz="8" w:color="999999"/>
            </w:tcBorders>
          </w:tcPr>
          <w:p>
            <w:pPr>
              <w:jc w:val="right"/>
              <w:ind w:right="219"/>
              <w:spacing w:after="0" w:line="183" w:lineRule="exact"/>
              <w:rPr>
                <w:sz w:val="20"/>
                <w:szCs w:val="20"/>
                <w:color w:val="auto"/>
              </w:rPr>
            </w:pPr>
            <w:r>
              <w:rPr>
                <w:rFonts w:ascii="Arial" w:cs="Arial" w:eastAsia="Arial" w:hAnsi="Arial"/>
                <w:sz w:val="16"/>
                <w:szCs w:val="16"/>
                <w:b w:val="1"/>
                <w:bCs w:val="1"/>
                <w:color w:val="auto"/>
              </w:rPr>
              <w:t>0</w:t>
            </w:r>
          </w:p>
        </w:tc>
        <w:tc>
          <w:tcPr>
            <w:tcW w:w="2140" w:type="dxa"/>
            <w:vAlign w:val="bottom"/>
            <w:tcBorders>
              <w:bottom w:val="single" w:sz="8" w:color="999999"/>
            </w:tcBorders>
          </w:tcPr>
          <w:p>
            <w:pPr>
              <w:jc w:val="right"/>
              <w:ind w:right="160"/>
              <w:spacing w:after="0" w:line="183" w:lineRule="exact"/>
              <w:rPr>
                <w:sz w:val="20"/>
                <w:szCs w:val="20"/>
                <w:color w:val="auto"/>
              </w:rPr>
            </w:pPr>
            <w:r>
              <w:rPr>
                <w:rFonts w:ascii="Arial" w:cs="Arial" w:eastAsia="Arial" w:hAnsi="Arial"/>
                <w:sz w:val="16"/>
                <w:szCs w:val="16"/>
                <w:b w:val="1"/>
                <w:bCs w:val="1"/>
                <w:color w:val="auto"/>
              </w:rPr>
              <w:t>3,247,206</w:t>
            </w:r>
          </w:p>
        </w:tc>
        <w:tc>
          <w:tcPr>
            <w:tcW w:w="1960" w:type="dxa"/>
            <w:vAlign w:val="bottom"/>
            <w:tcBorders>
              <w:bottom w:val="single" w:sz="8" w:color="999999"/>
            </w:tcBorders>
          </w:tcPr>
          <w:p>
            <w:pPr>
              <w:jc w:val="right"/>
              <w:ind w:right="220"/>
              <w:spacing w:after="0" w:line="183" w:lineRule="exact"/>
              <w:rPr>
                <w:sz w:val="20"/>
                <w:szCs w:val="20"/>
                <w:color w:val="auto"/>
              </w:rPr>
            </w:pPr>
            <w:r>
              <w:rPr>
                <w:rFonts w:ascii="Arial" w:cs="Arial" w:eastAsia="Arial" w:hAnsi="Arial"/>
                <w:sz w:val="16"/>
                <w:szCs w:val="16"/>
                <w:b w:val="1"/>
                <w:bCs w:val="1"/>
                <w:color w:val="auto"/>
              </w:rPr>
              <w:t>3,253,793</w:t>
            </w:r>
          </w:p>
        </w:tc>
        <w:tc>
          <w:tcPr>
            <w:tcW w:w="2200" w:type="dxa"/>
            <w:vAlign w:val="bottom"/>
            <w:tcBorders>
              <w:bottom w:val="single" w:sz="8" w:color="999999"/>
            </w:tcBorders>
          </w:tcPr>
          <w:p>
            <w:pPr>
              <w:jc w:val="right"/>
              <w:ind w:right="160"/>
              <w:spacing w:after="0" w:line="183" w:lineRule="exact"/>
              <w:rPr>
                <w:sz w:val="20"/>
                <w:szCs w:val="20"/>
                <w:color w:val="auto"/>
              </w:rPr>
            </w:pPr>
            <w:r>
              <w:rPr>
                <w:rFonts w:ascii="Arial" w:cs="Arial" w:eastAsia="Arial" w:hAnsi="Arial"/>
                <w:sz w:val="16"/>
                <w:szCs w:val="16"/>
                <w:b w:val="1"/>
                <w:bCs w:val="1"/>
                <w:color w:val="auto"/>
              </w:rPr>
              <w:t>7,302,745</w:t>
            </w:r>
          </w:p>
        </w:tc>
      </w:tr>
      <w:tr>
        <w:trPr>
          <w:trHeight w:val="184"/>
        </w:trPr>
        <w:tc>
          <w:tcPr>
            <w:tcW w:w="1260" w:type="dxa"/>
            <w:vAlign w:val="bottom"/>
          </w:tcPr>
          <w:p>
            <w:pPr>
              <w:spacing w:after="0"/>
              <w:rPr>
                <w:sz w:val="20"/>
                <w:szCs w:val="20"/>
                <w:color w:val="auto"/>
              </w:rPr>
            </w:pPr>
            <w:r>
              <w:rPr>
                <w:rFonts w:ascii="Arial" w:cs="Arial" w:eastAsia="Arial" w:hAnsi="Arial"/>
                <w:sz w:val="16"/>
                <w:szCs w:val="16"/>
                <w:color w:val="auto"/>
              </w:rPr>
              <w:t>John D. Kelly</w:t>
            </w:r>
          </w:p>
        </w:tc>
        <w:tc>
          <w:tcPr>
            <w:tcW w:w="1820" w:type="dxa"/>
            <w:vAlign w:val="bottom"/>
          </w:tcPr>
          <w:p>
            <w:pPr>
              <w:ind w:left="120"/>
              <w:spacing w:after="0"/>
              <w:rPr>
                <w:sz w:val="20"/>
                <w:szCs w:val="20"/>
                <w:color w:val="auto"/>
              </w:rPr>
            </w:pPr>
            <w:r>
              <w:rPr>
                <w:rFonts w:ascii="Arial" w:cs="Arial" w:eastAsia="Arial" w:hAnsi="Arial"/>
                <w:sz w:val="16"/>
                <w:szCs w:val="16"/>
                <w:color w:val="auto"/>
              </w:rPr>
              <w:t>Salary</w:t>
            </w:r>
          </w:p>
        </w:tc>
        <w:tc>
          <w:tcPr>
            <w:tcW w:w="1200" w:type="dxa"/>
            <w:vAlign w:val="bottom"/>
          </w:tcPr>
          <w:p>
            <w:pPr>
              <w:spacing w:after="0"/>
              <w:rPr>
                <w:sz w:val="16"/>
                <w:szCs w:val="16"/>
                <w:color w:val="auto"/>
              </w:rPr>
            </w:pPr>
          </w:p>
        </w:tc>
        <w:tc>
          <w:tcPr>
            <w:tcW w:w="440" w:type="dxa"/>
            <w:vAlign w:val="bottom"/>
          </w:tcPr>
          <w:p>
            <w:pPr>
              <w:jc w:val="right"/>
              <w:ind w:right="219"/>
              <w:spacing w:after="0"/>
              <w:rPr>
                <w:sz w:val="20"/>
                <w:szCs w:val="20"/>
                <w:color w:val="auto"/>
              </w:rPr>
            </w:pPr>
            <w:r>
              <w:rPr>
                <w:rFonts w:ascii="Arial" w:cs="Arial" w:eastAsia="Arial" w:hAnsi="Arial"/>
                <w:sz w:val="16"/>
                <w:szCs w:val="16"/>
                <w:color w:val="auto"/>
              </w:rPr>
              <w:t>0</w:t>
            </w:r>
          </w:p>
        </w:tc>
        <w:tc>
          <w:tcPr>
            <w:tcW w:w="2140" w:type="dxa"/>
            <w:vAlign w:val="bottom"/>
          </w:tcPr>
          <w:p>
            <w:pPr>
              <w:jc w:val="right"/>
              <w:ind w:right="160"/>
              <w:spacing w:after="0"/>
              <w:rPr>
                <w:sz w:val="20"/>
                <w:szCs w:val="20"/>
                <w:color w:val="auto"/>
              </w:rPr>
            </w:pPr>
            <w:r>
              <w:rPr>
                <w:rFonts w:ascii="Arial" w:cs="Arial" w:eastAsia="Arial" w:hAnsi="Arial"/>
                <w:sz w:val="16"/>
                <w:szCs w:val="16"/>
                <w:color w:val="auto"/>
              </w:rPr>
              <w:t>460,000</w:t>
            </w:r>
          </w:p>
        </w:tc>
        <w:tc>
          <w:tcPr>
            <w:tcW w:w="1960" w:type="dxa"/>
            <w:vAlign w:val="bottom"/>
          </w:tcPr>
          <w:p>
            <w:pPr>
              <w:jc w:val="right"/>
              <w:ind w:right="220"/>
              <w:spacing w:after="0"/>
              <w:rPr>
                <w:sz w:val="20"/>
                <w:szCs w:val="20"/>
                <w:color w:val="auto"/>
              </w:rPr>
            </w:pPr>
            <w:r>
              <w:rPr>
                <w:rFonts w:ascii="Arial" w:cs="Arial" w:eastAsia="Arial" w:hAnsi="Arial"/>
                <w:sz w:val="16"/>
                <w:szCs w:val="16"/>
                <w:color w:val="auto"/>
              </w:rPr>
              <w:t>0</w:t>
            </w:r>
          </w:p>
        </w:tc>
        <w:tc>
          <w:tcPr>
            <w:tcW w:w="2200" w:type="dxa"/>
            <w:vAlign w:val="bottom"/>
          </w:tcPr>
          <w:p>
            <w:pPr>
              <w:jc w:val="right"/>
              <w:ind w:right="160"/>
              <w:spacing w:after="0"/>
              <w:rPr>
                <w:sz w:val="20"/>
                <w:szCs w:val="20"/>
                <w:color w:val="auto"/>
              </w:rPr>
            </w:pPr>
            <w:r>
              <w:rPr>
                <w:rFonts w:ascii="Arial" w:cs="Arial" w:eastAsia="Arial" w:hAnsi="Arial"/>
                <w:sz w:val="16"/>
                <w:szCs w:val="16"/>
                <w:color w:val="auto"/>
              </w:rPr>
              <w:t>690,000</w:t>
            </w:r>
          </w:p>
        </w:tc>
      </w:tr>
      <w:tr>
        <w:trPr>
          <w:trHeight w:val="189"/>
        </w:trPr>
        <w:tc>
          <w:tcPr>
            <w:tcW w:w="1260" w:type="dxa"/>
            <w:vAlign w:val="bottom"/>
          </w:tcPr>
          <w:p>
            <w:pPr>
              <w:spacing w:after="0"/>
              <w:rPr>
                <w:sz w:val="16"/>
                <w:szCs w:val="16"/>
                <w:color w:val="auto"/>
              </w:rPr>
            </w:pPr>
          </w:p>
        </w:tc>
        <w:tc>
          <w:tcPr>
            <w:tcW w:w="1820" w:type="dxa"/>
            <w:vAlign w:val="bottom"/>
          </w:tcPr>
          <w:p>
            <w:pPr>
              <w:ind w:left="120"/>
              <w:spacing w:after="0"/>
              <w:rPr>
                <w:sz w:val="20"/>
                <w:szCs w:val="20"/>
                <w:color w:val="auto"/>
              </w:rPr>
            </w:pPr>
            <w:r>
              <w:rPr>
                <w:rFonts w:ascii="Arial" w:cs="Arial" w:eastAsia="Arial" w:hAnsi="Arial"/>
                <w:sz w:val="16"/>
                <w:szCs w:val="16"/>
                <w:color w:val="auto"/>
              </w:rPr>
              <w:t>Bonus</w:t>
            </w:r>
          </w:p>
        </w:tc>
        <w:tc>
          <w:tcPr>
            <w:tcW w:w="1200" w:type="dxa"/>
            <w:vAlign w:val="bottom"/>
          </w:tcPr>
          <w:p>
            <w:pPr>
              <w:spacing w:after="0"/>
              <w:rPr>
                <w:sz w:val="16"/>
                <w:szCs w:val="16"/>
                <w:color w:val="auto"/>
              </w:rPr>
            </w:pPr>
          </w:p>
        </w:tc>
        <w:tc>
          <w:tcPr>
            <w:tcW w:w="440" w:type="dxa"/>
            <w:vAlign w:val="bottom"/>
          </w:tcPr>
          <w:p>
            <w:pPr>
              <w:jc w:val="right"/>
              <w:ind w:right="219"/>
              <w:spacing w:after="0"/>
              <w:rPr>
                <w:sz w:val="20"/>
                <w:szCs w:val="20"/>
                <w:color w:val="auto"/>
              </w:rPr>
            </w:pPr>
            <w:r>
              <w:rPr>
                <w:rFonts w:ascii="Arial" w:cs="Arial" w:eastAsia="Arial" w:hAnsi="Arial"/>
                <w:sz w:val="16"/>
                <w:szCs w:val="16"/>
                <w:color w:val="auto"/>
              </w:rPr>
              <w:t>0</w:t>
            </w:r>
          </w:p>
        </w:tc>
        <w:tc>
          <w:tcPr>
            <w:tcW w:w="2140" w:type="dxa"/>
            <w:vAlign w:val="bottom"/>
          </w:tcPr>
          <w:p>
            <w:pPr>
              <w:jc w:val="right"/>
              <w:ind w:right="160"/>
              <w:spacing w:after="0"/>
              <w:rPr>
                <w:sz w:val="20"/>
                <w:szCs w:val="20"/>
                <w:color w:val="auto"/>
              </w:rPr>
            </w:pPr>
            <w:r>
              <w:rPr>
                <w:rFonts w:ascii="Arial" w:cs="Arial" w:eastAsia="Arial" w:hAnsi="Arial"/>
                <w:sz w:val="16"/>
                <w:szCs w:val="16"/>
                <w:color w:val="auto"/>
              </w:rPr>
              <w:t>322,000</w:t>
            </w:r>
          </w:p>
        </w:tc>
        <w:tc>
          <w:tcPr>
            <w:tcW w:w="1960" w:type="dxa"/>
            <w:vAlign w:val="bottom"/>
          </w:tcPr>
          <w:p>
            <w:pPr>
              <w:jc w:val="right"/>
              <w:ind w:right="220"/>
              <w:spacing w:after="0"/>
              <w:rPr>
                <w:sz w:val="20"/>
                <w:szCs w:val="20"/>
                <w:color w:val="auto"/>
              </w:rPr>
            </w:pPr>
            <w:r>
              <w:rPr>
                <w:rFonts w:ascii="Arial" w:cs="Arial" w:eastAsia="Arial" w:hAnsi="Arial"/>
                <w:sz w:val="16"/>
                <w:szCs w:val="16"/>
                <w:color w:val="auto"/>
              </w:rPr>
              <w:t>0</w:t>
            </w:r>
          </w:p>
        </w:tc>
        <w:tc>
          <w:tcPr>
            <w:tcW w:w="2200" w:type="dxa"/>
            <w:vAlign w:val="bottom"/>
          </w:tcPr>
          <w:p>
            <w:pPr>
              <w:jc w:val="right"/>
              <w:ind w:right="160"/>
              <w:spacing w:after="0"/>
              <w:rPr>
                <w:sz w:val="20"/>
                <w:szCs w:val="20"/>
                <w:color w:val="auto"/>
              </w:rPr>
            </w:pPr>
            <w:r>
              <w:rPr>
                <w:rFonts w:ascii="Arial" w:cs="Arial" w:eastAsia="Arial" w:hAnsi="Arial"/>
                <w:sz w:val="16"/>
                <w:szCs w:val="16"/>
                <w:color w:val="auto"/>
              </w:rPr>
              <w:t>483,000</w:t>
            </w:r>
          </w:p>
        </w:tc>
      </w:tr>
      <w:tr>
        <w:trPr>
          <w:trHeight w:val="189"/>
        </w:trPr>
        <w:tc>
          <w:tcPr>
            <w:tcW w:w="1260" w:type="dxa"/>
            <w:vAlign w:val="bottom"/>
          </w:tcPr>
          <w:p>
            <w:pPr>
              <w:spacing w:after="0"/>
              <w:rPr>
                <w:sz w:val="16"/>
                <w:szCs w:val="16"/>
                <w:color w:val="auto"/>
              </w:rPr>
            </w:pPr>
          </w:p>
        </w:tc>
        <w:tc>
          <w:tcPr>
            <w:tcW w:w="1820" w:type="dxa"/>
            <w:vAlign w:val="bottom"/>
          </w:tcPr>
          <w:p>
            <w:pPr>
              <w:ind w:left="120"/>
              <w:spacing w:after="0"/>
              <w:rPr>
                <w:sz w:val="20"/>
                <w:szCs w:val="20"/>
                <w:color w:val="auto"/>
              </w:rPr>
            </w:pPr>
            <w:r>
              <w:rPr>
                <w:rFonts w:ascii="Arial" w:cs="Arial" w:eastAsia="Arial" w:hAnsi="Arial"/>
                <w:sz w:val="16"/>
                <w:szCs w:val="16"/>
                <w:color w:val="auto"/>
              </w:rPr>
              <w:t>Pro rata bonus (1)</w:t>
            </w:r>
          </w:p>
        </w:tc>
        <w:tc>
          <w:tcPr>
            <w:tcW w:w="1200" w:type="dxa"/>
            <w:vAlign w:val="bottom"/>
          </w:tcPr>
          <w:p>
            <w:pPr>
              <w:spacing w:after="0"/>
              <w:rPr>
                <w:sz w:val="16"/>
                <w:szCs w:val="16"/>
                <w:color w:val="auto"/>
              </w:rPr>
            </w:pPr>
          </w:p>
        </w:tc>
        <w:tc>
          <w:tcPr>
            <w:tcW w:w="440" w:type="dxa"/>
            <w:vAlign w:val="bottom"/>
          </w:tcPr>
          <w:p>
            <w:pPr>
              <w:jc w:val="right"/>
              <w:ind w:right="219"/>
              <w:spacing w:after="0"/>
              <w:rPr>
                <w:sz w:val="20"/>
                <w:szCs w:val="20"/>
                <w:color w:val="auto"/>
              </w:rPr>
            </w:pPr>
            <w:r>
              <w:rPr>
                <w:rFonts w:ascii="Arial" w:cs="Arial" w:eastAsia="Arial" w:hAnsi="Arial"/>
                <w:sz w:val="16"/>
                <w:szCs w:val="16"/>
                <w:color w:val="auto"/>
              </w:rPr>
              <w:t>0</w:t>
            </w:r>
          </w:p>
        </w:tc>
        <w:tc>
          <w:tcPr>
            <w:tcW w:w="2140" w:type="dxa"/>
            <w:vAlign w:val="bottom"/>
          </w:tcPr>
          <w:p>
            <w:pPr>
              <w:jc w:val="right"/>
              <w:ind w:right="160"/>
              <w:spacing w:after="0"/>
              <w:rPr>
                <w:sz w:val="20"/>
                <w:szCs w:val="20"/>
                <w:color w:val="auto"/>
              </w:rPr>
            </w:pPr>
            <w:r>
              <w:rPr>
                <w:rFonts w:ascii="Arial" w:cs="Arial" w:eastAsia="Arial" w:hAnsi="Arial"/>
                <w:sz w:val="16"/>
                <w:szCs w:val="16"/>
                <w:color w:val="auto"/>
              </w:rPr>
              <w:t>418,149</w:t>
            </w:r>
          </w:p>
        </w:tc>
        <w:tc>
          <w:tcPr>
            <w:tcW w:w="1960" w:type="dxa"/>
            <w:vAlign w:val="bottom"/>
          </w:tcPr>
          <w:p>
            <w:pPr>
              <w:jc w:val="right"/>
              <w:ind w:right="220"/>
              <w:spacing w:after="0"/>
              <w:rPr>
                <w:sz w:val="20"/>
                <w:szCs w:val="20"/>
                <w:color w:val="auto"/>
              </w:rPr>
            </w:pPr>
            <w:r>
              <w:rPr>
                <w:rFonts w:ascii="Arial" w:cs="Arial" w:eastAsia="Arial" w:hAnsi="Arial"/>
                <w:sz w:val="16"/>
                <w:szCs w:val="16"/>
                <w:color w:val="auto"/>
              </w:rPr>
              <w:t>322,000</w:t>
            </w:r>
          </w:p>
        </w:tc>
        <w:tc>
          <w:tcPr>
            <w:tcW w:w="2200" w:type="dxa"/>
            <w:vAlign w:val="bottom"/>
          </w:tcPr>
          <w:p>
            <w:pPr>
              <w:jc w:val="right"/>
              <w:ind w:right="160"/>
              <w:spacing w:after="0"/>
              <w:rPr>
                <w:sz w:val="20"/>
                <w:szCs w:val="20"/>
                <w:color w:val="auto"/>
              </w:rPr>
            </w:pPr>
            <w:r>
              <w:rPr>
                <w:rFonts w:ascii="Arial" w:cs="Arial" w:eastAsia="Arial" w:hAnsi="Arial"/>
                <w:sz w:val="16"/>
                <w:szCs w:val="16"/>
                <w:color w:val="auto"/>
              </w:rPr>
              <w:t>418,149</w:t>
            </w:r>
          </w:p>
        </w:tc>
      </w:tr>
      <w:tr>
        <w:trPr>
          <w:trHeight w:val="189"/>
        </w:trPr>
        <w:tc>
          <w:tcPr>
            <w:tcW w:w="1260" w:type="dxa"/>
            <w:vAlign w:val="bottom"/>
          </w:tcPr>
          <w:p>
            <w:pPr>
              <w:spacing w:after="0"/>
              <w:rPr>
                <w:sz w:val="16"/>
                <w:szCs w:val="16"/>
                <w:color w:val="auto"/>
              </w:rPr>
            </w:pPr>
          </w:p>
        </w:tc>
        <w:tc>
          <w:tcPr>
            <w:tcW w:w="1820" w:type="dxa"/>
            <w:vAlign w:val="bottom"/>
          </w:tcPr>
          <w:p>
            <w:pPr>
              <w:ind w:left="120"/>
              <w:spacing w:after="0"/>
              <w:rPr>
                <w:sz w:val="20"/>
                <w:szCs w:val="20"/>
                <w:color w:val="auto"/>
              </w:rPr>
            </w:pPr>
            <w:r>
              <w:rPr>
                <w:rFonts w:ascii="Arial" w:cs="Arial" w:eastAsia="Arial" w:hAnsi="Arial"/>
                <w:sz w:val="16"/>
                <w:szCs w:val="16"/>
                <w:color w:val="auto"/>
              </w:rPr>
              <w:t>Equity acceleration</w:t>
            </w:r>
          </w:p>
        </w:tc>
        <w:tc>
          <w:tcPr>
            <w:tcW w:w="1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200" w:type="dxa"/>
            <w:vAlign w:val="bottom"/>
          </w:tcPr>
          <w:p>
            <w:pPr>
              <w:spacing w:after="0"/>
              <w:rPr>
                <w:sz w:val="16"/>
                <w:szCs w:val="16"/>
                <w:color w:val="auto"/>
              </w:rPr>
            </w:pPr>
          </w:p>
        </w:tc>
      </w:tr>
      <w:tr>
        <w:trPr>
          <w:trHeight w:val="189"/>
        </w:trPr>
        <w:tc>
          <w:tcPr>
            <w:tcW w:w="1260" w:type="dxa"/>
            <w:vAlign w:val="bottom"/>
          </w:tcPr>
          <w:p>
            <w:pPr>
              <w:spacing w:after="0"/>
              <w:rPr>
                <w:sz w:val="16"/>
                <w:szCs w:val="16"/>
                <w:color w:val="auto"/>
              </w:rPr>
            </w:pPr>
          </w:p>
        </w:tc>
        <w:tc>
          <w:tcPr>
            <w:tcW w:w="1820" w:type="dxa"/>
            <w:vAlign w:val="bottom"/>
          </w:tcPr>
          <w:p>
            <w:pPr>
              <w:ind w:left="120"/>
              <w:spacing w:after="0"/>
              <w:rPr>
                <w:sz w:val="20"/>
                <w:szCs w:val="20"/>
                <w:color w:val="auto"/>
              </w:rPr>
            </w:pPr>
            <w:r>
              <w:rPr>
                <w:rFonts w:ascii="Arial" w:cs="Arial" w:eastAsia="Arial" w:hAnsi="Arial"/>
                <w:sz w:val="16"/>
                <w:szCs w:val="16"/>
                <w:color w:val="auto"/>
              </w:rPr>
              <w:t>(2)</w:t>
            </w:r>
          </w:p>
        </w:tc>
        <w:tc>
          <w:tcPr>
            <w:tcW w:w="1200" w:type="dxa"/>
            <w:vAlign w:val="bottom"/>
          </w:tcPr>
          <w:p>
            <w:pPr>
              <w:spacing w:after="0"/>
              <w:rPr>
                <w:sz w:val="16"/>
                <w:szCs w:val="16"/>
                <w:color w:val="auto"/>
              </w:rPr>
            </w:pPr>
          </w:p>
        </w:tc>
        <w:tc>
          <w:tcPr>
            <w:tcW w:w="440" w:type="dxa"/>
            <w:vAlign w:val="bottom"/>
          </w:tcPr>
          <w:p>
            <w:pPr>
              <w:jc w:val="right"/>
              <w:ind w:right="219"/>
              <w:spacing w:after="0"/>
              <w:rPr>
                <w:sz w:val="20"/>
                <w:szCs w:val="20"/>
                <w:color w:val="auto"/>
              </w:rPr>
            </w:pPr>
            <w:r>
              <w:rPr>
                <w:rFonts w:ascii="Arial" w:cs="Arial" w:eastAsia="Arial" w:hAnsi="Arial"/>
                <w:sz w:val="16"/>
                <w:szCs w:val="16"/>
                <w:color w:val="auto"/>
              </w:rPr>
              <w:t>0</w:t>
            </w:r>
          </w:p>
        </w:tc>
        <w:tc>
          <w:tcPr>
            <w:tcW w:w="2140" w:type="dxa"/>
            <w:vAlign w:val="bottom"/>
          </w:tcPr>
          <w:p>
            <w:pPr>
              <w:jc w:val="right"/>
              <w:ind w:right="160"/>
              <w:spacing w:after="0"/>
              <w:rPr>
                <w:sz w:val="20"/>
                <w:szCs w:val="20"/>
                <w:color w:val="auto"/>
              </w:rPr>
            </w:pPr>
            <w:r>
              <w:rPr>
                <w:rFonts w:ascii="Arial" w:cs="Arial" w:eastAsia="Arial" w:hAnsi="Arial"/>
                <w:sz w:val="16"/>
                <w:szCs w:val="16"/>
                <w:color w:val="auto"/>
              </w:rPr>
              <w:t>0</w:t>
            </w:r>
          </w:p>
        </w:tc>
        <w:tc>
          <w:tcPr>
            <w:tcW w:w="1960" w:type="dxa"/>
            <w:vAlign w:val="bottom"/>
          </w:tcPr>
          <w:p>
            <w:pPr>
              <w:jc w:val="right"/>
              <w:ind w:right="220"/>
              <w:spacing w:after="0"/>
              <w:rPr>
                <w:sz w:val="20"/>
                <w:szCs w:val="20"/>
                <w:color w:val="auto"/>
              </w:rPr>
            </w:pPr>
            <w:r>
              <w:rPr>
                <w:rFonts w:ascii="Arial" w:cs="Arial" w:eastAsia="Arial" w:hAnsi="Arial"/>
                <w:sz w:val="16"/>
                <w:szCs w:val="16"/>
                <w:color w:val="auto"/>
              </w:rPr>
              <w:t>559,753</w:t>
            </w:r>
          </w:p>
        </w:tc>
        <w:tc>
          <w:tcPr>
            <w:tcW w:w="2200" w:type="dxa"/>
            <w:vAlign w:val="bottom"/>
          </w:tcPr>
          <w:p>
            <w:pPr>
              <w:jc w:val="right"/>
              <w:ind w:right="160"/>
              <w:spacing w:after="0"/>
              <w:rPr>
                <w:sz w:val="20"/>
                <w:szCs w:val="20"/>
                <w:color w:val="auto"/>
              </w:rPr>
            </w:pPr>
            <w:r>
              <w:rPr>
                <w:rFonts w:ascii="Arial" w:cs="Arial" w:eastAsia="Arial" w:hAnsi="Arial"/>
                <w:sz w:val="16"/>
                <w:szCs w:val="16"/>
                <w:color w:val="auto"/>
              </w:rPr>
              <w:t>1,907,284</w:t>
            </w:r>
          </w:p>
        </w:tc>
      </w:tr>
      <w:tr>
        <w:trPr>
          <w:trHeight w:val="189"/>
        </w:trPr>
        <w:tc>
          <w:tcPr>
            <w:tcW w:w="1260" w:type="dxa"/>
            <w:vAlign w:val="bottom"/>
          </w:tcPr>
          <w:p>
            <w:pPr>
              <w:spacing w:after="0"/>
              <w:rPr>
                <w:sz w:val="16"/>
                <w:szCs w:val="16"/>
                <w:color w:val="auto"/>
              </w:rPr>
            </w:pPr>
          </w:p>
        </w:tc>
        <w:tc>
          <w:tcPr>
            <w:tcW w:w="1820" w:type="dxa"/>
            <w:vAlign w:val="bottom"/>
          </w:tcPr>
          <w:p>
            <w:pPr>
              <w:ind w:left="120"/>
              <w:spacing w:after="0"/>
              <w:rPr>
                <w:sz w:val="20"/>
                <w:szCs w:val="20"/>
                <w:color w:val="auto"/>
              </w:rPr>
            </w:pPr>
            <w:r>
              <w:rPr>
                <w:rFonts w:ascii="Arial" w:cs="Arial" w:eastAsia="Arial" w:hAnsi="Arial"/>
                <w:sz w:val="16"/>
                <w:szCs w:val="16"/>
                <w:color w:val="auto"/>
              </w:rPr>
              <w:t>Benefits continuation</w:t>
            </w:r>
          </w:p>
        </w:tc>
        <w:tc>
          <w:tcPr>
            <w:tcW w:w="1200" w:type="dxa"/>
            <w:vAlign w:val="bottom"/>
          </w:tcPr>
          <w:p>
            <w:pPr>
              <w:spacing w:after="0"/>
              <w:rPr>
                <w:sz w:val="16"/>
                <w:szCs w:val="16"/>
                <w:color w:val="auto"/>
              </w:rPr>
            </w:pPr>
          </w:p>
        </w:tc>
        <w:tc>
          <w:tcPr>
            <w:tcW w:w="440" w:type="dxa"/>
            <w:vAlign w:val="bottom"/>
          </w:tcPr>
          <w:p>
            <w:pPr>
              <w:jc w:val="right"/>
              <w:ind w:right="219"/>
              <w:spacing w:after="0"/>
              <w:rPr>
                <w:sz w:val="20"/>
                <w:szCs w:val="20"/>
                <w:color w:val="auto"/>
              </w:rPr>
            </w:pPr>
            <w:r>
              <w:rPr>
                <w:rFonts w:ascii="Arial" w:cs="Arial" w:eastAsia="Arial" w:hAnsi="Arial"/>
                <w:sz w:val="16"/>
                <w:szCs w:val="16"/>
                <w:color w:val="auto"/>
              </w:rPr>
              <w:t>0</w:t>
            </w:r>
          </w:p>
        </w:tc>
        <w:tc>
          <w:tcPr>
            <w:tcW w:w="2140" w:type="dxa"/>
            <w:vAlign w:val="bottom"/>
          </w:tcPr>
          <w:p>
            <w:pPr>
              <w:jc w:val="right"/>
              <w:ind w:right="160"/>
              <w:spacing w:after="0"/>
              <w:rPr>
                <w:sz w:val="20"/>
                <w:szCs w:val="20"/>
                <w:color w:val="auto"/>
              </w:rPr>
            </w:pPr>
            <w:r>
              <w:rPr>
                <w:rFonts w:ascii="Arial" w:cs="Arial" w:eastAsia="Arial" w:hAnsi="Arial"/>
                <w:sz w:val="16"/>
                <w:szCs w:val="16"/>
                <w:color w:val="auto"/>
              </w:rPr>
              <w:t>14,291</w:t>
            </w:r>
          </w:p>
        </w:tc>
        <w:tc>
          <w:tcPr>
            <w:tcW w:w="1960" w:type="dxa"/>
            <w:vAlign w:val="bottom"/>
          </w:tcPr>
          <w:p>
            <w:pPr>
              <w:jc w:val="right"/>
              <w:ind w:right="220"/>
              <w:spacing w:after="0"/>
              <w:rPr>
                <w:sz w:val="20"/>
                <w:szCs w:val="20"/>
                <w:color w:val="auto"/>
              </w:rPr>
            </w:pPr>
            <w:r>
              <w:rPr>
                <w:rFonts w:ascii="Arial" w:cs="Arial" w:eastAsia="Arial" w:hAnsi="Arial"/>
                <w:sz w:val="16"/>
                <w:szCs w:val="16"/>
                <w:color w:val="auto"/>
              </w:rPr>
              <w:t>7,620</w:t>
            </w:r>
          </w:p>
        </w:tc>
        <w:tc>
          <w:tcPr>
            <w:tcW w:w="2200" w:type="dxa"/>
            <w:vAlign w:val="bottom"/>
          </w:tcPr>
          <w:p>
            <w:pPr>
              <w:jc w:val="right"/>
              <w:ind w:right="160"/>
              <w:spacing w:after="0"/>
              <w:rPr>
                <w:sz w:val="20"/>
                <w:szCs w:val="20"/>
                <w:color w:val="auto"/>
              </w:rPr>
            </w:pPr>
            <w:r>
              <w:rPr>
                <w:rFonts w:ascii="Arial" w:cs="Arial" w:eastAsia="Arial" w:hAnsi="Arial"/>
                <w:sz w:val="16"/>
                <w:szCs w:val="16"/>
                <w:color w:val="auto"/>
              </w:rPr>
              <w:t>21,437</w:t>
            </w:r>
          </w:p>
        </w:tc>
      </w:tr>
      <w:tr>
        <w:trPr>
          <w:trHeight w:val="187"/>
        </w:trPr>
        <w:tc>
          <w:tcPr>
            <w:tcW w:w="1260" w:type="dxa"/>
            <w:vAlign w:val="bottom"/>
            <w:tcBorders>
              <w:bottom w:val="single" w:sz="8" w:color="999999"/>
            </w:tcBorders>
          </w:tcPr>
          <w:p>
            <w:pPr>
              <w:spacing w:after="0"/>
              <w:rPr>
                <w:sz w:val="16"/>
                <w:szCs w:val="16"/>
                <w:color w:val="auto"/>
              </w:rPr>
            </w:pPr>
          </w:p>
        </w:tc>
        <w:tc>
          <w:tcPr>
            <w:tcW w:w="1820" w:type="dxa"/>
            <w:vAlign w:val="bottom"/>
            <w:tcBorders>
              <w:bottom w:val="single" w:sz="8" w:color="999999"/>
            </w:tcBorders>
          </w:tcPr>
          <w:p>
            <w:pPr>
              <w:ind w:left="120"/>
              <w:spacing w:after="0"/>
              <w:rPr>
                <w:sz w:val="20"/>
                <w:szCs w:val="20"/>
                <w:color w:val="auto"/>
              </w:rPr>
            </w:pPr>
            <w:r>
              <w:rPr>
                <w:rFonts w:ascii="Arial" w:cs="Arial" w:eastAsia="Arial" w:hAnsi="Arial"/>
                <w:sz w:val="16"/>
                <w:szCs w:val="16"/>
                <w:color w:val="auto"/>
              </w:rPr>
              <w:t>Cutback (3)</w:t>
            </w:r>
          </w:p>
        </w:tc>
        <w:tc>
          <w:tcPr>
            <w:tcW w:w="1200" w:type="dxa"/>
            <w:vAlign w:val="bottom"/>
            <w:tcBorders>
              <w:bottom w:val="single" w:sz="8" w:color="999999"/>
            </w:tcBorders>
          </w:tcPr>
          <w:p>
            <w:pPr>
              <w:spacing w:after="0"/>
              <w:rPr>
                <w:sz w:val="16"/>
                <w:szCs w:val="16"/>
                <w:color w:val="auto"/>
              </w:rPr>
            </w:pPr>
          </w:p>
        </w:tc>
        <w:tc>
          <w:tcPr>
            <w:tcW w:w="440" w:type="dxa"/>
            <w:vAlign w:val="bottom"/>
            <w:tcBorders>
              <w:bottom w:val="single" w:sz="8" w:color="999999"/>
            </w:tcBorders>
          </w:tcPr>
          <w:p>
            <w:pPr>
              <w:jc w:val="right"/>
              <w:ind w:right="219"/>
              <w:spacing w:after="0"/>
              <w:rPr>
                <w:sz w:val="20"/>
                <w:szCs w:val="20"/>
                <w:color w:val="auto"/>
              </w:rPr>
            </w:pPr>
            <w:r>
              <w:rPr>
                <w:rFonts w:ascii="Arial" w:cs="Arial" w:eastAsia="Arial" w:hAnsi="Arial"/>
                <w:sz w:val="16"/>
                <w:szCs w:val="16"/>
                <w:color w:val="auto"/>
              </w:rPr>
              <w:t>0</w:t>
            </w:r>
          </w:p>
        </w:tc>
        <w:tc>
          <w:tcPr>
            <w:tcW w:w="2140" w:type="dxa"/>
            <w:vAlign w:val="bottom"/>
            <w:tcBorders>
              <w:bottom w:val="single" w:sz="8" w:color="999999"/>
            </w:tcBorders>
          </w:tcPr>
          <w:p>
            <w:pPr>
              <w:jc w:val="right"/>
              <w:ind w:right="160"/>
              <w:spacing w:after="0"/>
              <w:rPr>
                <w:sz w:val="20"/>
                <w:szCs w:val="20"/>
                <w:color w:val="auto"/>
              </w:rPr>
            </w:pPr>
            <w:r>
              <w:rPr>
                <w:rFonts w:ascii="Arial" w:cs="Arial" w:eastAsia="Arial" w:hAnsi="Arial"/>
                <w:sz w:val="16"/>
                <w:szCs w:val="16"/>
                <w:color w:val="auto"/>
              </w:rPr>
              <w:t>0</w:t>
            </w:r>
          </w:p>
        </w:tc>
        <w:tc>
          <w:tcPr>
            <w:tcW w:w="1960" w:type="dxa"/>
            <w:vAlign w:val="bottom"/>
            <w:tcBorders>
              <w:bottom w:val="single" w:sz="8" w:color="999999"/>
            </w:tcBorders>
          </w:tcPr>
          <w:p>
            <w:pPr>
              <w:jc w:val="right"/>
              <w:ind w:right="220"/>
              <w:spacing w:after="0"/>
              <w:rPr>
                <w:sz w:val="20"/>
                <w:szCs w:val="20"/>
                <w:color w:val="auto"/>
              </w:rPr>
            </w:pPr>
            <w:r>
              <w:rPr>
                <w:rFonts w:ascii="Arial" w:cs="Arial" w:eastAsia="Arial" w:hAnsi="Arial"/>
                <w:sz w:val="16"/>
                <w:szCs w:val="16"/>
                <w:color w:val="auto"/>
              </w:rPr>
              <w:t>0</w:t>
            </w:r>
          </w:p>
        </w:tc>
        <w:tc>
          <w:tcPr>
            <w:tcW w:w="2200" w:type="dxa"/>
            <w:vAlign w:val="bottom"/>
            <w:tcBorders>
              <w:bottom w:val="single" w:sz="8" w:color="999999"/>
            </w:tcBorders>
          </w:tcPr>
          <w:p>
            <w:pPr>
              <w:jc w:val="right"/>
              <w:ind w:right="160"/>
              <w:spacing w:after="0"/>
              <w:rPr>
                <w:sz w:val="20"/>
                <w:szCs w:val="20"/>
                <w:color w:val="auto"/>
              </w:rPr>
            </w:pPr>
            <w:r>
              <w:rPr>
                <w:rFonts w:ascii="Arial" w:cs="Arial" w:eastAsia="Arial" w:hAnsi="Arial"/>
                <w:sz w:val="16"/>
                <w:szCs w:val="16"/>
                <w:color w:val="auto"/>
              </w:rPr>
              <w:t>-1,398,842</w:t>
            </w:r>
          </w:p>
        </w:tc>
      </w:tr>
      <w:tr>
        <w:trPr>
          <w:trHeight w:val="183"/>
        </w:trPr>
        <w:tc>
          <w:tcPr>
            <w:tcW w:w="1260" w:type="dxa"/>
            <w:vAlign w:val="bottom"/>
            <w:tcBorders>
              <w:bottom w:val="single" w:sz="8" w:color="999999"/>
            </w:tcBorders>
          </w:tcPr>
          <w:p>
            <w:pPr>
              <w:spacing w:after="0"/>
              <w:rPr>
                <w:sz w:val="15"/>
                <w:szCs w:val="15"/>
                <w:color w:val="auto"/>
              </w:rPr>
            </w:pPr>
          </w:p>
        </w:tc>
        <w:tc>
          <w:tcPr>
            <w:tcW w:w="1820" w:type="dxa"/>
            <w:vAlign w:val="bottom"/>
            <w:tcBorders>
              <w:bottom w:val="single" w:sz="8" w:color="999999"/>
            </w:tcBorders>
          </w:tcPr>
          <w:p>
            <w:pPr>
              <w:ind w:left="120"/>
              <w:spacing w:after="0" w:line="183" w:lineRule="exact"/>
              <w:rPr>
                <w:sz w:val="20"/>
                <w:szCs w:val="20"/>
                <w:color w:val="auto"/>
              </w:rPr>
            </w:pPr>
            <w:r>
              <w:rPr>
                <w:rFonts w:ascii="Arial" w:cs="Arial" w:eastAsia="Arial" w:hAnsi="Arial"/>
                <w:sz w:val="16"/>
                <w:szCs w:val="16"/>
                <w:b w:val="1"/>
                <w:bCs w:val="1"/>
                <w:color w:val="auto"/>
              </w:rPr>
              <w:t>Total Value</w:t>
            </w:r>
          </w:p>
        </w:tc>
        <w:tc>
          <w:tcPr>
            <w:tcW w:w="1200" w:type="dxa"/>
            <w:vAlign w:val="bottom"/>
            <w:tcBorders>
              <w:bottom w:val="single" w:sz="8" w:color="999999"/>
            </w:tcBorders>
          </w:tcPr>
          <w:p>
            <w:pPr>
              <w:spacing w:after="0"/>
              <w:rPr>
                <w:sz w:val="15"/>
                <w:szCs w:val="15"/>
                <w:color w:val="auto"/>
              </w:rPr>
            </w:pPr>
          </w:p>
        </w:tc>
        <w:tc>
          <w:tcPr>
            <w:tcW w:w="440" w:type="dxa"/>
            <w:vAlign w:val="bottom"/>
            <w:tcBorders>
              <w:bottom w:val="single" w:sz="8" w:color="999999"/>
            </w:tcBorders>
          </w:tcPr>
          <w:p>
            <w:pPr>
              <w:jc w:val="right"/>
              <w:ind w:right="219"/>
              <w:spacing w:after="0" w:line="183" w:lineRule="exact"/>
              <w:rPr>
                <w:sz w:val="20"/>
                <w:szCs w:val="20"/>
                <w:color w:val="auto"/>
              </w:rPr>
            </w:pPr>
            <w:r>
              <w:rPr>
                <w:rFonts w:ascii="Arial" w:cs="Arial" w:eastAsia="Arial" w:hAnsi="Arial"/>
                <w:sz w:val="16"/>
                <w:szCs w:val="16"/>
                <w:b w:val="1"/>
                <w:bCs w:val="1"/>
                <w:color w:val="auto"/>
              </w:rPr>
              <w:t>0</w:t>
            </w:r>
          </w:p>
        </w:tc>
        <w:tc>
          <w:tcPr>
            <w:tcW w:w="2140" w:type="dxa"/>
            <w:vAlign w:val="bottom"/>
            <w:tcBorders>
              <w:bottom w:val="single" w:sz="8" w:color="999999"/>
            </w:tcBorders>
          </w:tcPr>
          <w:p>
            <w:pPr>
              <w:jc w:val="right"/>
              <w:ind w:right="160"/>
              <w:spacing w:after="0" w:line="183" w:lineRule="exact"/>
              <w:rPr>
                <w:sz w:val="20"/>
                <w:szCs w:val="20"/>
                <w:color w:val="auto"/>
              </w:rPr>
            </w:pPr>
            <w:r>
              <w:rPr>
                <w:rFonts w:ascii="Arial" w:cs="Arial" w:eastAsia="Arial" w:hAnsi="Arial"/>
                <w:sz w:val="16"/>
                <w:szCs w:val="16"/>
                <w:b w:val="1"/>
                <w:bCs w:val="1"/>
                <w:color w:val="auto"/>
              </w:rPr>
              <w:t>1,214,440</w:t>
            </w:r>
          </w:p>
        </w:tc>
        <w:tc>
          <w:tcPr>
            <w:tcW w:w="1960" w:type="dxa"/>
            <w:vAlign w:val="bottom"/>
            <w:tcBorders>
              <w:bottom w:val="single" w:sz="8" w:color="999999"/>
            </w:tcBorders>
          </w:tcPr>
          <w:p>
            <w:pPr>
              <w:jc w:val="right"/>
              <w:ind w:right="220"/>
              <w:spacing w:after="0" w:line="183" w:lineRule="exact"/>
              <w:rPr>
                <w:sz w:val="20"/>
                <w:szCs w:val="20"/>
                <w:color w:val="auto"/>
              </w:rPr>
            </w:pPr>
            <w:r>
              <w:rPr>
                <w:rFonts w:ascii="Arial" w:cs="Arial" w:eastAsia="Arial" w:hAnsi="Arial"/>
                <w:sz w:val="16"/>
                <w:szCs w:val="16"/>
                <w:b w:val="1"/>
                <w:bCs w:val="1"/>
                <w:color w:val="auto"/>
              </w:rPr>
              <w:t>889,373</w:t>
            </w:r>
          </w:p>
        </w:tc>
        <w:tc>
          <w:tcPr>
            <w:tcW w:w="2200" w:type="dxa"/>
            <w:vAlign w:val="bottom"/>
            <w:tcBorders>
              <w:bottom w:val="single" w:sz="8" w:color="999999"/>
            </w:tcBorders>
          </w:tcPr>
          <w:p>
            <w:pPr>
              <w:jc w:val="right"/>
              <w:ind w:right="160"/>
              <w:spacing w:after="0" w:line="183" w:lineRule="exact"/>
              <w:rPr>
                <w:sz w:val="20"/>
                <w:szCs w:val="20"/>
                <w:color w:val="auto"/>
              </w:rPr>
            </w:pPr>
            <w:r>
              <w:rPr>
                <w:rFonts w:ascii="Arial" w:cs="Arial" w:eastAsia="Arial" w:hAnsi="Arial"/>
                <w:sz w:val="16"/>
                <w:szCs w:val="16"/>
                <w:b w:val="1"/>
                <w:bCs w:val="1"/>
                <w:color w:val="auto"/>
              </w:rPr>
              <w:t>2,121,028</w:t>
            </w:r>
          </w:p>
        </w:tc>
      </w:tr>
      <w:tr>
        <w:trPr>
          <w:trHeight w:val="184"/>
        </w:trPr>
        <w:tc>
          <w:tcPr>
            <w:tcW w:w="1260" w:type="dxa"/>
            <w:vAlign w:val="bottom"/>
          </w:tcPr>
          <w:p>
            <w:pPr>
              <w:spacing w:after="0"/>
              <w:rPr>
                <w:sz w:val="20"/>
                <w:szCs w:val="20"/>
                <w:color w:val="auto"/>
              </w:rPr>
            </w:pPr>
            <w:r>
              <w:rPr>
                <w:rFonts w:ascii="Arial" w:cs="Arial" w:eastAsia="Arial" w:hAnsi="Arial"/>
                <w:sz w:val="16"/>
                <w:szCs w:val="16"/>
                <w:color w:val="auto"/>
              </w:rPr>
              <w:t>Diane E.</w:t>
            </w:r>
          </w:p>
        </w:tc>
        <w:tc>
          <w:tcPr>
            <w:tcW w:w="18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200" w:type="dxa"/>
            <w:vAlign w:val="bottom"/>
          </w:tcPr>
          <w:p>
            <w:pPr>
              <w:spacing w:after="0"/>
              <w:rPr>
                <w:sz w:val="16"/>
                <w:szCs w:val="16"/>
                <w:color w:val="auto"/>
              </w:rPr>
            </w:pPr>
          </w:p>
        </w:tc>
      </w:tr>
      <w:tr>
        <w:trPr>
          <w:trHeight w:val="189"/>
        </w:trPr>
        <w:tc>
          <w:tcPr>
            <w:tcW w:w="1260" w:type="dxa"/>
            <w:vAlign w:val="bottom"/>
          </w:tcPr>
          <w:p>
            <w:pPr>
              <w:ind w:left="160"/>
              <w:spacing w:after="0"/>
              <w:rPr>
                <w:sz w:val="20"/>
                <w:szCs w:val="20"/>
                <w:color w:val="auto"/>
              </w:rPr>
            </w:pPr>
            <w:r>
              <w:rPr>
                <w:rFonts w:ascii="Arial" w:cs="Arial" w:eastAsia="Arial" w:hAnsi="Arial"/>
                <w:sz w:val="16"/>
                <w:szCs w:val="16"/>
                <w:color w:val="auto"/>
              </w:rPr>
              <w:t>Ratekin</w:t>
            </w:r>
          </w:p>
        </w:tc>
        <w:tc>
          <w:tcPr>
            <w:tcW w:w="1820" w:type="dxa"/>
            <w:vAlign w:val="bottom"/>
          </w:tcPr>
          <w:p>
            <w:pPr>
              <w:ind w:left="120"/>
              <w:spacing w:after="0"/>
              <w:rPr>
                <w:sz w:val="20"/>
                <w:szCs w:val="20"/>
                <w:color w:val="auto"/>
              </w:rPr>
            </w:pPr>
            <w:r>
              <w:rPr>
                <w:rFonts w:ascii="Arial" w:cs="Arial" w:eastAsia="Arial" w:hAnsi="Arial"/>
                <w:sz w:val="16"/>
                <w:szCs w:val="16"/>
                <w:color w:val="auto"/>
              </w:rPr>
              <w:t>Salary</w:t>
            </w:r>
          </w:p>
        </w:tc>
        <w:tc>
          <w:tcPr>
            <w:tcW w:w="1200" w:type="dxa"/>
            <w:vAlign w:val="bottom"/>
          </w:tcPr>
          <w:p>
            <w:pPr>
              <w:spacing w:after="0"/>
              <w:rPr>
                <w:sz w:val="16"/>
                <w:szCs w:val="16"/>
                <w:color w:val="auto"/>
              </w:rPr>
            </w:pPr>
          </w:p>
        </w:tc>
        <w:tc>
          <w:tcPr>
            <w:tcW w:w="440" w:type="dxa"/>
            <w:vAlign w:val="bottom"/>
          </w:tcPr>
          <w:p>
            <w:pPr>
              <w:jc w:val="right"/>
              <w:ind w:right="219"/>
              <w:spacing w:after="0"/>
              <w:rPr>
                <w:sz w:val="20"/>
                <w:szCs w:val="20"/>
                <w:color w:val="auto"/>
              </w:rPr>
            </w:pPr>
            <w:r>
              <w:rPr>
                <w:rFonts w:ascii="Arial" w:cs="Arial" w:eastAsia="Arial" w:hAnsi="Arial"/>
                <w:sz w:val="16"/>
                <w:szCs w:val="16"/>
                <w:color w:val="auto"/>
              </w:rPr>
              <w:t>0</w:t>
            </w:r>
          </w:p>
        </w:tc>
        <w:tc>
          <w:tcPr>
            <w:tcW w:w="2140" w:type="dxa"/>
            <w:vAlign w:val="bottom"/>
          </w:tcPr>
          <w:p>
            <w:pPr>
              <w:jc w:val="right"/>
              <w:ind w:right="160"/>
              <w:spacing w:after="0"/>
              <w:rPr>
                <w:sz w:val="20"/>
                <w:szCs w:val="20"/>
                <w:color w:val="auto"/>
              </w:rPr>
            </w:pPr>
            <w:r>
              <w:rPr>
                <w:rFonts w:ascii="Arial" w:cs="Arial" w:eastAsia="Arial" w:hAnsi="Arial"/>
                <w:sz w:val="16"/>
                <w:szCs w:val="16"/>
                <w:color w:val="auto"/>
              </w:rPr>
              <w:t>0</w:t>
            </w:r>
          </w:p>
        </w:tc>
        <w:tc>
          <w:tcPr>
            <w:tcW w:w="1960" w:type="dxa"/>
            <w:vAlign w:val="bottom"/>
          </w:tcPr>
          <w:p>
            <w:pPr>
              <w:jc w:val="right"/>
              <w:ind w:right="220"/>
              <w:spacing w:after="0"/>
              <w:rPr>
                <w:sz w:val="20"/>
                <w:szCs w:val="20"/>
                <w:color w:val="auto"/>
              </w:rPr>
            </w:pPr>
            <w:r>
              <w:rPr>
                <w:rFonts w:ascii="Arial" w:cs="Arial" w:eastAsia="Arial" w:hAnsi="Arial"/>
                <w:sz w:val="16"/>
                <w:szCs w:val="16"/>
                <w:color w:val="auto"/>
              </w:rPr>
              <w:t>0</w:t>
            </w:r>
          </w:p>
        </w:tc>
        <w:tc>
          <w:tcPr>
            <w:tcW w:w="2200" w:type="dxa"/>
            <w:vAlign w:val="bottom"/>
          </w:tcPr>
          <w:p>
            <w:pPr>
              <w:jc w:val="right"/>
              <w:ind w:right="160"/>
              <w:spacing w:after="0"/>
              <w:rPr>
                <w:sz w:val="20"/>
                <w:szCs w:val="20"/>
                <w:color w:val="auto"/>
              </w:rPr>
            </w:pPr>
            <w:r>
              <w:rPr>
                <w:rFonts w:ascii="Arial" w:cs="Arial" w:eastAsia="Arial" w:hAnsi="Arial"/>
                <w:sz w:val="16"/>
                <w:szCs w:val="16"/>
                <w:color w:val="auto"/>
              </w:rPr>
              <w:t>600,000</w:t>
            </w:r>
          </w:p>
        </w:tc>
      </w:tr>
      <w:tr>
        <w:trPr>
          <w:trHeight w:val="189"/>
        </w:trPr>
        <w:tc>
          <w:tcPr>
            <w:tcW w:w="1260" w:type="dxa"/>
            <w:vAlign w:val="bottom"/>
          </w:tcPr>
          <w:p>
            <w:pPr>
              <w:spacing w:after="0"/>
              <w:rPr>
                <w:sz w:val="16"/>
                <w:szCs w:val="16"/>
                <w:color w:val="auto"/>
              </w:rPr>
            </w:pPr>
          </w:p>
        </w:tc>
        <w:tc>
          <w:tcPr>
            <w:tcW w:w="1820" w:type="dxa"/>
            <w:vAlign w:val="bottom"/>
          </w:tcPr>
          <w:p>
            <w:pPr>
              <w:ind w:left="120"/>
              <w:spacing w:after="0"/>
              <w:rPr>
                <w:sz w:val="20"/>
                <w:szCs w:val="20"/>
                <w:color w:val="auto"/>
              </w:rPr>
            </w:pPr>
            <w:r>
              <w:rPr>
                <w:rFonts w:ascii="Arial" w:cs="Arial" w:eastAsia="Arial" w:hAnsi="Arial"/>
                <w:sz w:val="16"/>
                <w:szCs w:val="16"/>
                <w:color w:val="auto"/>
              </w:rPr>
              <w:t>Bonus</w:t>
            </w:r>
          </w:p>
        </w:tc>
        <w:tc>
          <w:tcPr>
            <w:tcW w:w="1200" w:type="dxa"/>
            <w:vAlign w:val="bottom"/>
          </w:tcPr>
          <w:p>
            <w:pPr>
              <w:spacing w:after="0"/>
              <w:rPr>
                <w:sz w:val="16"/>
                <w:szCs w:val="16"/>
                <w:color w:val="auto"/>
              </w:rPr>
            </w:pPr>
          </w:p>
        </w:tc>
        <w:tc>
          <w:tcPr>
            <w:tcW w:w="440" w:type="dxa"/>
            <w:vAlign w:val="bottom"/>
          </w:tcPr>
          <w:p>
            <w:pPr>
              <w:jc w:val="right"/>
              <w:ind w:right="219"/>
              <w:spacing w:after="0"/>
              <w:rPr>
                <w:sz w:val="20"/>
                <w:szCs w:val="20"/>
                <w:color w:val="auto"/>
              </w:rPr>
            </w:pPr>
            <w:r>
              <w:rPr>
                <w:rFonts w:ascii="Arial" w:cs="Arial" w:eastAsia="Arial" w:hAnsi="Arial"/>
                <w:sz w:val="16"/>
                <w:szCs w:val="16"/>
                <w:color w:val="auto"/>
              </w:rPr>
              <w:t>0</w:t>
            </w:r>
          </w:p>
        </w:tc>
        <w:tc>
          <w:tcPr>
            <w:tcW w:w="2140" w:type="dxa"/>
            <w:vAlign w:val="bottom"/>
          </w:tcPr>
          <w:p>
            <w:pPr>
              <w:jc w:val="right"/>
              <w:ind w:right="160"/>
              <w:spacing w:after="0"/>
              <w:rPr>
                <w:sz w:val="20"/>
                <w:szCs w:val="20"/>
                <w:color w:val="auto"/>
              </w:rPr>
            </w:pPr>
            <w:r>
              <w:rPr>
                <w:rFonts w:ascii="Arial" w:cs="Arial" w:eastAsia="Arial" w:hAnsi="Arial"/>
                <w:sz w:val="16"/>
                <w:szCs w:val="16"/>
                <w:color w:val="auto"/>
              </w:rPr>
              <w:t>0</w:t>
            </w:r>
          </w:p>
        </w:tc>
        <w:tc>
          <w:tcPr>
            <w:tcW w:w="1960" w:type="dxa"/>
            <w:vAlign w:val="bottom"/>
          </w:tcPr>
          <w:p>
            <w:pPr>
              <w:jc w:val="right"/>
              <w:ind w:right="220"/>
              <w:spacing w:after="0"/>
              <w:rPr>
                <w:sz w:val="20"/>
                <w:szCs w:val="20"/>
                <w:color w:val="auto"/>
              </w:rPr>
            </w:pPr>
            <w:r>
              <w:rPr>
                <w:rFonts w:ascii="Arial" w:cs="Arial" w:eastAsia="Arial" w:hAnsi="Arial"/>
                <w:sz w:val="16"/>
                <w:szCs w:val="16"/>
                <w:color w:val="auto"/>
              </w:rPr>
              <w:t>0</w:t>
            </w:r>
          </w:p>
        </w:tc>
        <w:tc>
          <w:tcPr>
            <w:tcW w:w="2200" w:type="dxa"/>
            <w:vAlign w:val="bottom"/>
          </w:tcPr>
          <w:p>
            <w:pPr>
              <w:jc w:val="right"/>
              <w:ind w:right="160"/>
              <w:spacing w:after="0"/>
              <w:rPr>
                <w:sz w:val="20"/>
                <w:szCs w:val="20"/>
                <w:color w:val="auto"/>
              </w:rPr>
            </w:pPr>
            <w:r>
              <w:rPr>
                <w:rFonts w:ascii="Arial" w:cs="Arial" w:eastAsia="Arial" w:hAnsi="Arial"/>
                <w:sz w:val="16"/>
                <w:szCs w:val="16"/>
                <w:color w:val="auto"/>
              </w:rPr>
              <w:t>300,000</w:t>
            </w:r>
          </w:p>
        </w:tc>
      </w:tr>
      <w:tr>
        <w:trPr>
          <w:trHeight w:val="189"/>
        </w:trPr>
        <w:tc>
          <w:tcPr>
            <w:tcW w:w="1260" w:type="dxa"/>
            <w:vAlign w:val="bottom"/>
          </w:tcPr>
          <w:p>
            <w:pPr>
              <w:spacing w:after="0"/>
              <w:rPr>
                <w:sz w:val="16"/>
                <w:szCs w:val="16"/>
                <w:color w:val="auto"/>
              </w:rPr>
            </w:pPr>
          </w:p>
        </w:tc>
        <w:tc>
          <w:tcPr>
            <w:tcW w:w="1820" w:type="dxa"/>
            <w:vAlign w:val="bottom"/>
          </w:tcPr>
          <w:p>
            <w:pPr>
              <w:ind w:left="120"/>
              <w:spacing w:after="0"/>
              <w:rPr>
                <w:sz w:val="20"/>
                <w:szCs w:val="20"/>
                <w:color w:val="auto"/>
              </w:rPr>
            </w:pPr>
            <w:r>
              <w:rPr>
                <w:rFonts w:ascii="Arial" w:cs="Arial" w:eastAsia="Arial" w:hAnsi="Arial"/>
                <w:sz w:val="16"/>
                <w:szCs w:val="16"/>
                <w:color w:val="auto"/>
              </w:rPr>
              <w:t>Pro rata bonus (1)</w:t>
            </w:r>
          </w:p>
        </w:tc>
        <w:tc>
          <w:tcPr>
            <w:tcW w:w="1200" w:type="dxa"/>
            <w:vAlign w:val="bottom"/>
          </w:tcPr>
          <w:p>
            <w:pPr>
              <w:spacing w:after="0"/>
              <w:rPr>
                <w:sz w:val="16"/>
                <w:szCs w:val="16"/>
                <w:color w:val="auto"/>
              </w:rPr>
            </w:pPr>
          </w:p>
        </w:tc>
        <w:tc>
          <w:tcPr>
            <w:tcW w:w="440" w:type="dxa"/>
            <w:vAlign w:val="bottom"/>
          </w:tcPr>
          <w:p>
            <w:pPr>
              <w:jc w:val="right"/>
              <w:ind w:right="219"/>
              <w:spacing w:after="0"/>
              <w:rPr>
                <w:sz w:val="20"/>
                <w:szCs w:val="20"/>
                <w:color w:val="auto"/>
              </w:rPr>
            </w:pPr>
            <w:r>
              <w:rPr>
                <w:rFonts w:ascii="Arial" w:cs="Arial" w:eastAsia="Arial" w:hAnsi="Arial"/>
                <w:sz w:val="16"/>
                <w:szCs w:val="16"/>
                <w:color w:val="auto"/>
              </w:rPr>
              <w:t>0</w:t>
            </w:r>
          </w:p>
        </w:tc>
        <w:tc>
          <w:tcPr>
            <w:tcW w:w="2140" w:type="dxa"/>
            <w:vAlign w:val="bottom"/>
          </w:tcPr>
          <w:p>
            <w:pPr>
              <w:jc w:val="right"/>
              <w:ind w:right="160"/>
              <w:spacing w:after="0"/>
              <w:rPr>
                <w:sz w:val="20"/>
                <w:szCs w:val="20"/>
                <w:color w:val="auto"/>
              </w:rPr>
            </w:pPr>
            <w:r>
              <w:rPr>
                <w:rFonts w:ascii="Arial" w:cs="Arial" w:eastAsia="Arial" w:hAnsi="Arial"/>
                <w:sz w:val="16"/>
                <w:szCs w:val="16"/>
                <w:color w:val="auto"/>
              </w:rPr>
              <w:t>0</w:t>
            </w:r>
          </w:p>
        </w:tc>
        <w:tc>
          <w:tcPr>
            <w:tcW w:w="1960" w:type="dxa"/>
            <w:vAlign w:val="bottom"/>
          </w:tcPr>
          <w:p>
            <w:pPr>
              <w:jc w:val="right"/>
              <w:ind w:right="220"/>
              <w:spacing w:after="0"/>
              <w:rPr>
                <w:sz w:val="20"/>
                <w:szCs w:val="20"/>
                <w:color w:val="auto"/>
              </w:rPr>
            </w:pPr>
            <w:r>
              <w:rPr>
                <w:rFonts w:ascii="Arial" w:cs="Arial" w:eastAsia="Arial" w:hAnsi="Arial"/>
                <w:sz w:val="16"/>
                <w:szCs w:val="16"/>
                <w:color w:val="auto"/>
              </w:rPr>
              <w:t>0</w:t>
            </w:r>
          </w:p>
        </w:tc>
        <w:tc>
          <w:tcPr>
            <w:tcW w:w="2200" w:type="dxa"/>
            <w:vAlign w:val="bottom"/>
          </w:tcPr>
          <w:p>
            <w:pPr>
              <w:jc w:val="right"/>
              <w:ind w:right="160"/>
              <w:spacing w:after="0"/>
              <w:rPr>
                <w:sz w:val="20"/>
                <w:szCs w:val="20"/>
                <w:color w:val="auto"/>
              </w:rPr>
            </w:pPr>
            <w:r>
              <w:rPr>
                <w:rFonts w:ascii="Arial" w:cs="Arial" w:eastAsia="Arial" w:hAnsi="Arial"/>
                <w:sz w:val="16"/>
                <w:szCs w:val="16"/>
                <w:color w:val="auto"/>
              </w:rPr>
              <w:t>259,720</w:t>
            </w:r>
          </w:p>
        </w:tc>
      </w:tr>
      <w:tr>
        <w:trPr>
          <w:trHeight w:val="189"/>
        </w:trPr>
        <w:tc>
          <w:tcPr>
            <w:tcW w:w="1260" w:type="dxa"/>
            <w:vAlign w:val="bottom"/>
          </w:tcPr>
          <w:p>
            <w:pPr>
              <w:spacing w:after="0"/>
              <w:rPr>
                <w:sz w:val="16"/>
                <w:szCs w:val="16"/>
                <w:color w:val="auto"/>
              </w:rPr>
            </w:pPr>
          </w:p>
        </w:tc>
        <w:tc>
          <w:tcPr>
            <w:tcW w:w="1820" w:type="dxa"/>
            <w:vAlign w:val="bottom"/>
          </w:tcPr>
          <w:p>
            <w:pPr>
              <w:ind w:left="120"/>
              <w:spacing w:after="0"/>
              <w:rPr>
                <w:sz w:val="20"/>
                <w:szCs w:val="20"/>
                <w:color w:val="auto"/>
              </w:rPr>
            </w:pPr>
            <w:r>
              <w:rPr>
                <w:rFonts w:ascii="Arial" w:cs="Arial" w:eastAsia="Arial" w:hAnsi="Arial"/>
                <w:sz w:val="16"/>
                <w:szCs w:val="16"/>
                <w:color w:val="auto"/>
              </w:rPr>
              <w:t>Equity acceleration</w:t>
            </w:r>
          </w:p>
        </w:tc>
        <w:tc>
          <w:tcPr>
            <w:tcW w:w="1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200" w:type="dxa"/>
            <w:vAlign w:val="bottom"/>
          </w:tcPr>
          <w:p>
            <w:pPr>
              <w:spacing w:after="0"/>
              <w:rPr>
                <w:sz w:val="16"/>
                <w:szCs w:val="16"/>
                <w:color w:val="auto"/>
              </w:rPr>
            </w:pPr>
          </w:p>
        </w:tc>
      </w:tr>
      <w:tr>
        <w:trPr>
          <w:trHeight w:val="189"/>
        </w:trPr>
        <w:tc>
          <w:tcPr>
            <w:tcW w:w="1260" w:type="dxa"/>
            <w:vAlign w:val="bottom"/>
          </w:tcPr>
          <w:p>
            <w:pPr>
              <w:spacing w:after="0"/>
              <w:rPr>
                <w:sz w:val="16"/>
                <w:szCs w:val="16"/>
                <w:color w:val="auto"/>
              </w:rPr>
            </w:pPr>
          </w:p>
        </w:tc>
        <w:tc>
          <w:tcPr>
            <w:tcW w:w="1820" w:type="dxa"/>
            <w:vAlign w:val="bottom"/>
          </w:tcPr>
          <w:p>
            <w:pPr>
              <w:ind w:left="120"/>
              <w:spacing w:after="0"/>
              <w:rPr>
                <w:sz w:val="20"/>
                <w:szCs w:val="20"/>
                <w:color w:val="auto"/>
              </w:rPr>
            </w:pPr>
            <w:r>
              <w:rPr>
                <w:rFonts w:ascii="Arial" w:cs="Arial" w:eastAsia="Arial" w:hAnsi="Arial"/>
                <w:sz w:val="16"/>
                <w:szCs w:val="16"/>
                <w:color w:val="auto"/>
              </w:rPr>
              <w:t>(2)</w:t>
            </w:r>
          </w:p>
        </w:tc>
        <w:tc>
          <w:tcPr>
            <w:tcW w:w="1200" w:type="dxa"/>
            <w:vAlign w:val="bottom"/>
          </w:tcPr>
          <w:p>
            <w:pPr>
              <w:spacing w:after="0"/>
              <w:rPr>
                <w:sz w:val="16"/>
                <w:szCs w:val="16"/>
                <w:color w:val="auto"/>
              </w:rPr>
            </w:pPr>
          </w:p>
        </w:tc>
        <w:tc>
          <w:tcPr>
            <w:tcW w:w="440" w:type="dxa"/>
            <w:vAlign w:val="bottom"/>
          </w:tcPr>
          <w:p>
            <w:pPr>
              <w:jc w:val="right"/>
              <w:ind w:right="219"/>
              <w:spacing w:after="0"/>
              <w:rPr>
                <w:sz w:val="20"/>
                <w:szCs w:val="20"/>
                <w:color w:val="auto"/>
              </w:rPr>
            </w:pPr>
            <w:r>
              <w:rPr>
                <w:rFonts w:ascii="Arial" w:cs="Arial" w:eastAsia="Arial" w:hAnsi="Arial"/>
                <w:sz w:val="16"/>
                <w:szCs w:val="16"/>
                <w:color w:val="auto"/>
              </w:rPr>
              <w:t>0</w:t>
            </w:r>
          </w:p>
        </w:tc>
        <w:tc>
          <w:tcPr>
            <w:tcW w:w="2140" w:type="dxa"/>
            <w:vAlign w:val="bottom"/>
          </w:tcPr>
          <w:p>
            <w:pPr>
              <w:jc w:val="right"/>
              <w:ind w:right="160"/>
              <w:spacing w:after="0"/>
              <w:rPr>
                <w:sz w:val="20"/>
                <w:szCs w:val="20"/>
                <w:color w:val="auto"/>
              </w:rPr>
            </w:pPr>
            <w:r>
              <w:rPr>
                <w:rFonts w:ascii="Arial" w:cs="Arial" w:eastAsia="Arial" w:hAnsi="Arial"/>
                <w:sz w:val="16"/>
                <w:szCs w:val="16"/>
                <w:color w:val="auto"/>
              </w:rPr>
              <w:t>0</w:t>
            </w:r>
          </w:p>
        </w:tc>
        <w:tc>
          <w:tcPr>
            <w:tcW w:w="1960" w:type="dxa"/>
            <w:vAlign w:val="bottom"/>
          </w:tcPr>
          <w:p>
            <w:pPr>
              <w:jc w:val="right"/>
              <w:ind w:right="220"/>
              <w:spacing w:after="0"/>
              <w:rPr>
                <w:sz w:val="20"/>
                <w:szCs w:val="20"/>
                <w:color w:val="auto"/>
              </w:rPr>
            </w:pPr>
            <w:r>
              <w:rPr>
                <w:rFonts w:ascii="Arial" w:cs="Arial" w:eastAsia="Arial" w:hAnsi="Arial"/>
                <w:sz w:val="16"/>
                <w:szCs w:val="16"/>
                <w:color w:val="auto"/>
              </w:rPr>
              <w:t>0</w:t>
            </w:r>
          </w:p>
        </w:tc>
        <w:tc>
          <w:tcPr>
            <w:tcW w:w="2200" w:type="dxa"/>
            <w:vAlign w:val="bottom"/>
          </w:tcPr>
          <w:p>
            <w:pPr>
              <w:jc w:val="right"/>
              <w:ind w:right="160"/>
              <w:spacing w:after="0"/>
              <w:rPr>
                <w:sz w:val="20"/>
                <w:szCs w:val="20"/>
                <w:color w:val="auto"/>
              </w:rPr>
            </w:pPr>
            <w:r>
              <w:rPr>
                <w:rFonts w:ascii="Arial" w:cs="Arial" w:eastAsia="Arial" w:hAnsi="Arial"/>
                <w:sz w:val="16"/>
                <w:szCs w:val="16"/>
                <w:color w:val="auto"/>
              </w:rPr>
              <w:t>1,581,035</w:t>
            </w:r>
          </w:p>
        </w:tc>
      </w:tr>
      <w:tr>
        <w:trPr>
          <w:trHeight w:val="189"/>
        </w:trPr>
        <w:tc>
          <w:tcPr>
            <w:tcW w:w="1260" w:type="dxa"/>
            <w:vAlign w:val="bottom"/>
          </w:tcPr>
          <w:p>
            <w:pPr>
              <w:spacing w:after="0"/>
              <w:rPr>
                <w:sz w:val="16"/>
                <w:szCs w:val="16"/>
                <w:color w:val="auto"/>
              </w:rPr>
            </w:pPr>
          </w:p>
        </w:tc>
        <w:tc>
          <w:tcPr>
            <w:tcW w:w="1820" w:type="dxa"/>
            <w:vAlign w:val="bottom"/>
          </w:tcPr>
          <w:p>
            <w:pPr>
              <w:ind w:left="120"/>
              <w:spacing w:after="0"/>
              <w:rPr>
                <w:sz w:val="20"/>
                <w:szCs w:val="20"/>
                <w:color w:val="auto"/>
              </w:rPr>
            </w:pPr>
            <w:r>
              <w:rPr>
                <w:rFonts w:ascii="Arial" w:cs="Arial" w:eastAsia="Arial" w:hAnsi="Arial"/>
                <w:sz w:val="16"/>
                <w:szCs w:val="16"/>
                <w:color w:val="auto"/>
              </w:rPr>
              <w:t>Benefits continuation</w:t>
            </w:r>
          </w:p>
        </w:tc>
        <w:tc>
          <w:tcPr>
            <w:tcW w:w="1200" w:type="dxa"/>
            <w:vAlign w:val="bottom"/>
          </w:tcPr>
          <w:p>
            <w:pPr>
              <w:spacing w:after="0"/>
              <w:rPr>
                <w:sz w:val="16"/>
                <w:szCs w:val="16"/>
                <w:color w:val="auto"/>
              </w:rPr>
            </w:pPr>
          </w:p>
        </w:tc>
        <w:tc>
          <w:tcPr>
            <w:tcW w:w="440" w:type="dxa"/>
            <w:vAlign w:val="bottom"/>
          </w:tcPr>
          <w:p>
            <w:pPr>
              <w:jc w:val="right"/>
              <w:ind w:right="219"/>
              <w:spacing w:after="0"/>
              <w:rPr>
                <w:sz w:val="20"/>
                <w:szCs w:val="20"/>
                <w:color w:val="auto"/>
              </w:rPr>
            </w:pPr>
            <w:r>
              <w:rPr>
                <w:rFonts w:ascii="Arial" w:cs="Arial" w:eastAsia="Arial" w:hAnsi="Arial"/>
                <w:sz w:val="16"/>
                <w:szCs w:val="16"/>
                <w:color w:val="auto"/>
              </w:rPr>
              <w:t>0</w:t>
            </w:r>
          </w:p>
        </w:tc>
        <w:tc>
          <w:tcPr>
            <w:tcW w:w="2140" w:type="dxa"/>
            <w:vAlign w:val="bottom"/>
          </w:tcPr>
          <w:p>
            <w:pPr>
              <w:jc w:val="right"/>
              <w:ind w:right="160"/>
              <w:spacing w:after="0"/>
              <w:rPr>
                <w:sz w:val="20"/>
                <w:szCs w:val="20"/>
                <w:color w:val="auto"/>
              </w:rPr>
            </w:pPr>
            <w:r>
              <w:rPr>
                <w:rFonts w:ascii="Arial" w:cs="Arial" w:eastAsia="Arial" w:hAnsi="Arial"/>
                <w:sz w:val="16"/>
                <w:szCs w:val="16"/>
                <w:color w:val="auto"/>
              </w:rPr>
              <w:t>0</w:t>
            </w:r>
          </w:p>
        </w:tc>
        <w:tc>
          <w:tcPr>
            <w:tcW w:w="1960" w:type="dxa"/>
            <w:vAlign w:val="bottom"/>
          </w:tcPr>
          <w:p>
            <w:pPr>
              <w:jc w:val="right"/>
              <w:ind w:right="220"/>
              <w:spacing w:after="0"/>
              <w:rPr>
                <w:sz w:val="20"/>
                <w:szCs w:val="20"/>
                <w:color w:val="auto"/>
              </w:rPr>
            </w:pPr>
            <w:r>
              <w:rPr>
                <w:rFonts w:ascii="Arial" w:cs="Arial" w:eastAsia="Arial" w:hAnsi="Arial"/>
                <w:sz w:val="16"/>
                <w:szCs w:val="16"/>
                <w:color w:val="auto"/>
              </w:rPr>
              <w:t>0</w:t>
            </w:r>
          </w:p>
        </w:tc>
        <w:tc>
          <w:tcPr>
            <w:tcW w:w="2200" w:type="dxa"/>
            <w:vAlign w:val="bottom"/>
          </w:tcPr>
          <w:p>
            <w:pPr>
              <w:jc w:val="right"/>
              <w:ind w:right="160"/>
              <w:spacing w:after="0"/>
              <w:rPr>
                <w:sz w:val="20"/>
                <w:szCs w:val="20"/>
                <w:color w:val="auto"/>
              </w:rPr>
            </w:pPr>
            <w:r>
              <w:rPr>
                <w:rFonts w:ascii="Arial" w:cs="Arial" w:eastAsia="Arial" w:hAnsi="Arial"/>
                <w:sz w:val="16"/>
                <w:szCs w:val="16"/>
                <w:color w:val="auto"/>
              </w:rPr>
              <w:t>21,437</w:t>
            </w:r>
          </w:p>
        </w:tc>
      </w:tr>
      <w:tr>
        <w:trPr>
          <w:trHeight w:val="187"/>
        </w:trPr>
        <w:tc>
          <w:tcPr>
            <w:tcW w:w="1260" w:type="dxa"/>
            <w:vAlign w:val="bottom"/>
            <w:tcBorders>
              <w:bottom w:val="single" w:sz="8" w:color="999999"/>
            </w:tcBorders>
          </w:tcPr>
          <w:p>
            <w:pPr>
              <w:spacing w:after="0"/>
              <w:rPr>
                <w:sz w:val="16"/>
                <w:szCs w:val="16"/>
                <w:color w:val="auto"/>
              </w:rPr>
            </w:pPr>
          </w:p>
        </w:tc>
        <w:tc>
          <w:tcPr>
            <w:tcW w:w="1820" w:type="dxa"/>
            <w:vAlign w:val="bottom"/>
            <w:tcBorders>
              <w:bottom w:val="single" w:sz="8" w:color="999999"/>
            </w:tcBorders>
          </w:tcPr>
          <w:p>
            <w:pPr>
              <w:ind w:left="120"/>
              <w:spacing w:after="0"/>
              <w:rPr>
                <w:sz w:val="20"/>
                <w:szCs w:val="20"/>
                <w:color w:val="auto"/>
              </w:rPr>
            </w:pPr>
            <w:r>
              <w:rPr>
                <w:rFonts w:ascii="Arial" w:cs="Arial" w:eastAsia="Arial" w:hAnsi="Arial"/>
                <w:sz w:val="16"/>
                <w:szCs w:val="16"/>
                <w:color w:val="auto"/>
              </w:rPr>
              <w:t>Cutback (3)</w:t>
            </w:r>
          </w:p>
        </w:tc>
        <w:tc>
          <w:tcPr>
            <w:tcW w:w="1200" w:type="dxa"/>
            <w:vAlign w:val="bottom"/>
            <w:tcBorders>
              <w:bottom w:val="single" w:sz="8" w:color="999999"/>
            </w:tcBorders>
          </w:tcPr>
          <w:p>
            <w:pPr>
              <w:spacing w:after="0"/>
              <w:rPr>
                <w:sz w:val="16"/>
                <w:szCs w:val="16"/>
                <w:color w:val="auto"/>
              </w:rPr>
            </w:pPr>
          </w:p>
        </w:tc>
        <w:tc>
          <w:tcPr>
            <w:tcW w:w="440" w:type="dxa"/>
            <w:vAlign w:val="bottom"/>
            <w:tcBorders>
              <w:bottom w:val="single" w:sz="8" w:color="999999"/>
            </w:tcBorders>
          </w:tcPr>
          <w:p>
            <w:pPr>
              <w:jc w:val="right"/>
              <w:ind w:right="219"/>
              <w:spacing w:after="0"/>
              <w:rPr>
                <w:sz w:val="20"/>
                <w:szCs w:val="20"/>
                <w:color w:val="auto"/>
              </w:rPr>
            </w:pPr>
            <w:r>
              <w:rPr>
                <w:rFonts w:ascii="Arial" w:cs="Arial" w:eastAsia="Arial" w:hAnsi="Arial"/>
                <w:sz w:val="16"/>
                <w:szCs w:val="16"/>
                <w:color w:val="auto"/>
              </w:rPr>
              <w:t>0</w:t>
            </w:r>
          </w:p>
        </w:tc>
        <w:tc>
          <w:tcPr>
            <w:tcW w:w="2140" w:type="dxa"/>
            <w:vAlign w:val="bottom"/>
            <w:tcBorders>
              <w:bottom w:val="single" w:sz="8" w:color="999999"/>
            </w:tcBorders>
          </w:tcPr>
          <w:p>
            <w:pPr>
              <w:jc w:val="right"/>
              <w:ind w:right="160"/>
              <w:spacing w:after="0"/>
              <w:rPr>
                <w:sz w:val="20"/>
                <w:szCs w:val="20"/>
                <w:color w:val="auto"/>
              </w:rPr>
            </w:pPr>
            <w:r>
              <w:rPr>
                <w:rFonts w:ascii="Arial" w:cs="Arial" w:eastAsia="Arial" w:hAnsi="Arial"/>
                <w:sz w:val="16"/>
                <w:szCs w:val="16"/>
                <w:color w:val="auto"/>
              </w:rPr>
              <w:t>0</w:t>
            </w:r>
          </w:p>
        </w:tc>
        <w:tc>
          <w:tcPr>
            <w:tcW w:w="1960" w:type="dxa"/>
            <w:vAlign w:val="bottom"/>
            <w:tcBorders>
              <w:bottom w:val="single" w:sz="8" w:color="999999"/>
            </w:tcBorders>
          </w:tcPr>
          <w:p>
            <w:pPr>
              <w:jc w:val="right"/>
              <w:ind w:right="220"/>
              <w:spacing w:after="0"/>
              <w:rPr>
                <w:sz w:val="20"/>
                <w:szCs w:val="20"/>
                <w:color w:val="auto"/>
              </w:rPr>
            </w:pPr>
            <w:r>
              <w:rPr>
                <w:rFonts w:ascii="Arial" w:cs="Arial" w:eastAsia="Arial" w:hAnsi="Arial"/>
                <w:sz w:val="16"/>
                <w:szCs w:val="16"/>
                <w:color w:val="auto"/>
              </w:rPr>
              <w:t>0</w:t>
            </w:r>
          </w:p>
        </w:tc>
        <w:tc>
          <w:tcPr>
            <w:tcW w:w="2200" w:type="dxa"/>
            <w:vAlign w:val="bottom"/>
            <w:tcBorders>
              <w:bottom w:val="single" w:sz="8" w:color="999999"/>
            </w:tcBorders>
          </w:tcPr>
          <w:p>
            <w:pPr>
              <w:jc w:val="right"/>
              <w:ind w:right="160"/>
              <w:spacing w:after="0"/>
              <w:rPr>
                <w:sz w:val="20"/>
                <w:szCs w:val="20"/>
                <w:color w:val="auto"/>
              </w:rPr>
            </w:pPr>
            <w:r>
              <w:rPr>
                <w:rFonts w:ascii="Arial" w:cs="Arial" w:eastAsia="Arial" w:hAnsi="Arial"/>
                <w:sz w:val="16"/>
                <w:szCs w:val="16"/>
                <w:color w:val="auto"/>
              </w:rPr>
              <w:t>0</w:t>
            </w:r>
          </w:p>
        </w:tc>
      </w:tr>
      <w:tr>
        <w:trPr>
          <w:trHeight w:val="183"/>
        </w:trPr>
        <w:tc>
          <w:tcPr>
            <w:tcW w:w="1260" w:type="dxa"/>
            <w:vAlign w:val="bottom"/>
            <w:tcBorders>
              <w:bottom w:val="single" w:sz="8" w:color="00548B"/>
            </w:tcBorders>
          </w:tcPr>
          <w:p>
            <w:pPr>
              <w:spacing w:after="0"/>
              <w:rPr>
                <w:sz w:val="15"/>
                <w:szCs w:val="15"/>
                <w:color w:val="auto"/>
              </w:rPr>
            </w:pPr>
          </w:p>
        </w:tc>
        <w:tc>
          <w:tcPr>
            <w:tcW w:w="1820" w:type="dxa"/>
            <w:vAlign w:val="bottom"/>
            <w:tcBorders>
              <w:bottom w:val="single" w:sz="8" w:color="00548B"/>
            </w:tcBorders>
          </w:tcPr>
          <w:p>
            <w:pPr>
              <w:ind w:left="120"/>
              <w:spacing w:after="0" w:line="183" w:lineRule="exact"/>
              <w:rPr>
                <w:sz w:val="20"/>
                <w:szCs w:val="20"/>
                <w:color w:val="auto"/>
              </w:rPr>
            </w:pPr>
            <w:r>
              <w:rPr>
                <w:rFonts w:ascii="Arial" w:cs="Arial" w:eastAsia="Arial" w:hAnsi="Arial"/>
                <w:sz w:val="16"/>
                <w:szCs w:val="16"/>
                <w:b w:val="1"/>
                <w:bCs w:val="1"/>
                <w:color w:val="auto"/>
              </w:rPr>
              <w:t>Total Value</w:t>
            </w:r>
          </w:p>
        </w:tc>
        <w:tc>
          <w:tcPr>
            <w:tcW w:w="1200" w:type="dxa"/>
            <w:vAlign w:val="bottom"/>
            <w:tcBorders>
              <w:bottom w:val="single" w:sz="8" w:color="00548B"/>
            </w:tcBorders>
          </w:tcPr>
          <w:p>
            <w:pPr>
              <w:spacing w:after="0"/>
              <w:rPr>
                <w:sz w:val="15"/>
                <w:szCs w:val="15"/>
                <w:color w:val="auto"/>
              </w:rPr>
            </w:pPr>
          </w:p>
        </w:tc>
        <w:tc>
          <w:tcPr>
            <w:tcW w:w="440" w:type="dxa"/>
            <w:vAlign w:val="bottom"/>
            <w:tcBorders>
              <w:bottom w:val="single" w:sz="8" w:color="00548B"/>
            </w:tcBorders>
          </w:tcPr>
          <w:p>
            <w:pPr>
              <w:jc w:val="right"/>
              <w:ind w:right="219"/>
              <w:spacing w:after="0" w:line="183" w:lineRule="exact"/>
              <w:rPr>
                <w:sz w:val="20"/>
                <w:szCs w:val="20"/>
                <w:color w:val="auto"/>
              </w:rPr>
            </w:pPr>
            <w:r>
              <w:rPr>
                <w:rFonts w:ascii="Arial" w:cs="Arial" w:eastAsia="Arial" w:hAnsi="Arial"/>
                <w:sz w:val="16"/>
                <w:szCs w:val="16"/>
                <w:b w:val="1"/>
                <w:bCs w:val="1"/>
                <w:color w:val="auto"/>
              </w:rPr>
              <w:t>0</w:t>
            </w:r>
          </w:p>
        </w:tc>
        <w:tc>
          <w:tcPr>
            <w:tcW w:w="2140" w:type="dxa"/>
            <w:vAlign w:val="bottom"/>
            <w:tcBorders>
              <w:bottom w:val="single" w:sz="8" w:color="00548B"/>
            </w:tcBorders>
          </w:tcPr>
          <w:p>
            <w:pPr>
              <w:jc w:val="right"/>
              <w:ind w:right="160"/>
              <w:spacing w:after="0" w:line="183" w:lineRule="exact"/>
              <w:rPr>
                <w:sz w:val="20"/>
                <w:szCs w:val="20"/>
                <w:color w:val="auto"/>
              </w:rPr>
            </w:pPr>
            <w:r>
              <w:rPr>
                <w:rFonts w:ascii="Arial" w:cs="Arial" w:eastAsia="Arial" w:hAnsi="Arial"/>
                <w:sz w:val="16"/>
                <w:szCs w:val="16"/>
                <w:b w:val="1"/>
                <w:bCs w:val="1"/>
                <w:color w:val="auto"/>
              </w:rPr>
              <w:t>0</w:t>
            </w:r>
          </w:p>
        </w:tc>
        <w:tc>
          <w:tcPr>
            <w:tcW w:w="1960" w:type="dxa"/>
            <w:vAlign w:val="bottom"/>
            <w:tcBorders>
              <w:bottom w:val="single" w:sz="8" w:color="00548B"/>
            </w:tcBorders>
          </w:tcPr>
          <w:p>
            <w:pPr>
              <w:jc w:val="right"/>
              <w:ind w:right="220"/>
              <w:spacing w:after="0" w:line="183" w:lineRule="exact"/>
              <w:rPr>
                <w:sz w:val="20"/>
                <w:szCs w:val="20"/>
                <w:color w:val="auto"/>
              </w:rPr>
            </w:pPr>
            <w:r>
              <w:rPr>
                <w:rFonts w:ascii="Arial" w:cs="Arial" w:eastAsia="Arial" w:hAnsi="Arial"/>
                <w:sz w:val="16"/>
                <w:szCs w:val="16"/>
                <w:b w:val="1"/>
                <w:bCs w:val="1"/>
                <w:color w:val="auto"/>
              </w:rPr>
              <w:t>0</w:t>
            </w:r>
          </w:p>
        </w:tc>
        <w:tc>
          <w:tcPr>
            <w:tcW w:w="2200" w:type="dxa"/>
            <w:vAlign w:val="bottom"/>
            <w:tcBorders>
              <w:bottom w:val="single" w:sz="8" w:color="00548B"/>
            </w:tcBorders>
          </w:tcPr>
          <w:p>
            <w:pPr>
              <w:jc w:val="right"/>
              <w:ind w:right="160"/>
              <w:spacing w:after="0" w:line="183" w:lineRule="exact"/>
              <w:rPr>
                <w:sz w:val="20"/>
                <w:szCs w:val="20"/>
                <w:color w:val="auto"/>
              </w:rPr>
            </w:pPr>
            <w:r>
              <w:rPr>
                <w:rFonts w:ascii="Arial" w:cs="Arial" w:eastAsia="Arial" w:hAnsi="Arial"/>
                <w:sz w:val="16"/>
                <w:szCs w:val="16"/>
                <w:b w:val="1"/>
                <w:bCs w:val="1"/>
                <w:color w:val="auto"/>
              </w:rPr>
              <w:t>2,762,192</w:t>
            </w:r>
          </w:p>
        </w:tc>
      </w:tr>
    </w:tbl>
    <w:p>
      <w:pPr>
        <w:spacing w:after="0" w:line="218" w:lineRule="exact"/>
        <w:rPr>
          <w:sz w:val="20"/>
          <w:szCs w:val="20"/>
          <w:color w:val="auto"/>
        </w:rPr>
      </w:pPr>
    </w:p>
    <w:p>
      <w:pPr>
        <w:jc w:val="both"/>
        <w:ind w:left="660" w:right="20" w:hanging="544"/>
        <w:spacing w:after="0" w:line="246" w:lineRule="auto"/>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Pro rata bonus for termination without Cause or resignation for Good Reason is based on actual performance from 2019. For retirement eligible individuals, executive would receive the full bonus earned payable at the originally scheduled payout date consistent with other executives and thus is not included in the table. (As of 12/31/19, Mr. Roth satisfied the age and service retirement criteria for these programs and Ms. Ratekin satisfied the criteria as of 12/31/18.) See CD&amp;A for disclosure regarding amount earned.</w:t>
      </w:r>
    </w:p>
    <w:p>
      <w:pPr>
        <w:spacing w:after="0" w:line="1" w:lineRule="exact"/>
        <w:rPr>
          <w:rFonts w:ascii="Arial" w:cs="Arial" w:eastAsia="Arial" w:hAnsi="Arial"/>
          <w:sz w:val="16"/>
          <w:szCs w:val="16"/>
          <w:color w:val="auto"/>
        </w:rPr>
      </w:pPr>
    </w:p>
    <w:p>
      <w:pPr>
        <w:jc w:val="both"/>
        <w:ind w:left="660" w:right="20" w:hanging="544"/>
        <w:spacing w:after="0" w:line="253" w:lineRule="auto"/>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acceleration of equity varies by grant and type of termination as outlined in the preceding sections. The value shown is equal to the number of accelerated shares times the closing price on the last day of the fiscal year. These amounts do not include the value of stock that continues to vest per the original schedule post termination, including:</w:t>
      </w:r>
    </w:p>
    <w:p>
      <w:pPr>
        <w:spacing w:after="0" w:line="66" w:lineRule="exact"/>
        <w:rPr>
          <w:rFonts w:ascii="Arial" w:cs="Arial" w:eastAsia="Arial" w:hAnsi="Arial"/>
          <w:sz w:val="16"/>
          <w:szCs w:val="16"/>
          <w:color w:val="auto"/>
        </w:rPr>
      </w:pPr>
    </w:p>
    <w:p>
      <w:pPr>
        <w:jc w:val="both"/>
        <w:ind w:left="1420" w:right="20" w:hanging="427"/>
        <w:spacing w:after="0" w:line="246" w:lineRule="auto"/>
        <w:tabs>
          <w:tab w:leader="none" w:pos="1420" w:val="left"/>
        </w:tabs>
        <w:numPr>
          <w:ilvl w:val="1"/>
          <w:numId w:val="49"/>
        </w:numPr>
        <w:rPr>
          <w:rFonts w:ascii="Arial" w:cs="Arial" w:eastAsia="Arial" w:hAnsi="Arial"/>
          <w:sz w:val="16"/>
          <w:szCs w:val="16"/>
          <w:color w:val="auto"/>
        </w:rPr>
      </w:pPr>
      <w:r>
        <w:rPr>
          <w:rFonts w:ascii="Arial" w:cs="Arial" w:eastAsia="Arial" w:hAnsi="Arial"/>
          <w:sz w:val="16"/>
          <w:szCs w:val="16"/>
          <w:color w:val="auto"/>
        </w:rPr>
        <w:t>A portion of the 2019 performance units would continue to vest for each of the named executive officers with the number of shares determined based on actual performance through December 31, 2021 and prorated for the number of days that the executive was employed during the performance period.</w:t>
      </w:r>
    </w:p>
    <w:p>
      <w:pPr>
        <w:spacing w:after="0" w:line="1" w:lineRule="exact"/>
        <w:rPr>
          <w:rFonts w:ascii="Arial" w:cs="Arial" w:eastAsia="Arial" w:hAnsi="Arial"/>
          <w:sz w:val="16"/>
          <w:szCs w:val="16"/>
          <w:color w:val="auto"/>
        </w:rPr>
      </w:pPr>
    </w:p>
    <w:p>
      <w:pPr>
        <w:jc w:val="both"/>
        <w:ind w:left="1420" w:right="20" w:hanging="427"/>
        <w:spacing w:after="0" w:line="253" w:lineRule="auto"/>
        <w:tabs>
          <w:tab w:leader="none" w:pos="1420" w:val="left"/>
        </w:tabs>
        <w:numPr>
          <w:ilvl w:val="1"/>
          <w:numId w:val="49"/>
        </w:numPr>
        <w:rPr>
          <w:rFonts w:ascii="Arial" w:cs="Arial" w:eastAsia="Arial" w:hAnsi="Arial"/>
          <w:sz w:val="16"/>
          <w:szCs w:val="16"/>
          <w:color w:val="auto"/>
        </w:rPr>
      </w:pPr>
      <w:r>
        <w:rPr>
          <w:rFonts w:ascii="Arial" w:cs="Arial" w:eastAsia="Arial" w:hAnsi="Arial"/>
          <w:sz w:val="16"/>
          <w:szCs w:val="16"/>
          <w:color w:val="auto"/>
        </w:rPr>
        <w:t>A portion of the 2018 performance units would continue to vest for each of the named executive officers with the number of shares determined based on actual performance through December 31, 2020 and prorated for the number of days that the executive was employed during the performance period.</w:t>
      </w:r>
    </w:p>
    <w:p>
      <w:pPr>
        <w:spacing w:after="0" w:line="13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00548B"/>
        </w:rPr>
        <w:t>46</w:t>
      </w:r>
    </w:p>
    <w:p>
      <w:pPr>
        <w:sectPr>
          <w:pgSz w:w="11900" w:h="16838" w:orient="portrait"/>
          <w:cols w:equalWidth="0" w:num="1">
            <w:col w:w="11140"/>
          </w:cols>
          <w:pgMar w:left="32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both"/>
        <w:ind w:left="1420" w:hanging="427"/>
        <w:spacing w:after="0" w:line="246" w:lineRule="auto"/>
        <w:tabs>
          <w:tab w:leader="none" w:pos="1420" w:val="left"/>
        </w:tabs>
        <w:numPr>
          <w:ilvl w:val="1"/>
          <w:numId w:val="50"/>
        </w:numPr>
        <w:rPr>
          <w:rFonts w:ascii="Arial" w:cs="Arial" w:eastAsia="Arial" w:hAnsi="Arial"/>
          <w:sz w:val="16"/>
          <w:szCs w:val="16"/>
          <w:color w:val="auto"/>
        </w:rPr>
      </w:pPr>
      <w:r>
        <w:rPr>
          <w:rFonts w:ascii="Arial" w:cs="Arial" w:eastAsia="Arial" w:hAnsi="Arial"/>
          <w:sz w:val="16"/>
          <w:szCs w:val="16"/>
          <w:color w:val="auto"/>
        </w:rPr>
        <w:t>Additionally, in the event an executive qualifies for an approved retirement, they would receive continued vesting of their stock per the schedule as outlined in the grant agreements. (As of 12/31/19, Mr. Roth satisfied the age and service retirement criteria for these programs and Ms. Ratekin satisfied the criteria as of 12/31/18.)</w:t>
      </w:r>
    </w:p>
    <w:p>
      <w:pPr>
        <w:spacing w:after="0" w:line="1" w:lineRule="exact"/>
        <w:rPr>
          <w:rFonts w:ascii="Arial" w:cs="Arial" w:eastAsia="Arial" w:hAnsi="Arial"/>
          <w:sz w:val="16"/>
          <w:szCs w:val="16"/>
          <w:color w:val="auto"/>
        </w:rPr>
      </w:pPr>
    </w:p>
    <w:p>
      <w:pPr>
        <w:ind w:left="1420" w:hanging="427"/>
        <w:spacing w:after="0"/>
        <w:tabs>
          <w:tab w:leader="none" w:pos="1420" w:val="left"/>
        </w:tabs>
        <w:numPr>
          <w:ilvl w:val="1"/>
          <w:numId w:val="50"/>
        </w:numPr>
        <w:rPr>
          <w:rFonts w:ascii="Arial" w:cs="Arial" w:eastAsia="Arial" w:hAnsi="Arial"/>
          <w:sz w:val="16"/>
          <w:szCs w:val="16"/>
          <w:color w:val="auto"/>
        </w:rPr>
      </w:pPr>
      <w:r>
        <w:rPr>
          <w:rFonts w:ascii="Arial" w:cs="Arial" w:eastAsia="Arial" w:hAnsi="Arial"/>
          <w:sz w:val="16"/>
          <w:szCs w:val="16"/>
          <w:color w:val="auto"/>
        </w:rPr>
        <w:t>Time-based restricted stock awards are forfeited in the event of a Termination without Cause or Resignation for Good Reason.</w:t>
      </w:r>
    </w:p>
    <w:p>
      <w:pPr>
        <w:spacing w:after="0" w:line="86" w:lineRule="exact"/>
        <w:rPr>
          <w:rFonts w:ascii="Arial" w:cs="Arial" w:eastAsia="Arial" w:hAnsi="Arial"/>
          <w:sz w:val="16"/>
          <w:szCs w:val="16"/>
          <w:color w:val="auto"/>
        </w:rPr>
      </w:pPr>
    </w:p>
    <w:p>
      <w:pPr>
        <w:ind w:left="660" w:right="20" w:hanging="544"/>
        <w:spacing w:after="0" w:line="246" w:lineRule="auto"/>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 the event the total COC severance exceeds the IRC 280G safe harbor amount, then the executive’s total severance is reduced to the maximum safe harbor threshold amount as to not trigger any excise tax.</w:t>
      </w:r>
    </w:p>
    <w:p>
      <w:pPr>
        <w:jc w:val="both"/>
        <w:ind w:left="660" w:hanging="544"/>
        <w:spacing w:after="0" w:line="253" w:lineRule="auto"/>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Ms. Ratekin’s termination benefits are covered under the Transitional Retirement Agreement signed on September 12, 2019. The table above reflects benefits accelerated on the date of termination. These amounts do not include salary, bonus, and/or welfare benefits that would continue to be paid through the retirement date and do not include the value of stock that would continue to vest after termination.</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48B"/>
        </w:rPr>
        <w:t>C</w:t>
      </w:r>
      <w:r>
        <w:rPr>
          <w:rFonts w:ascii="Arial" w:cs="Arial" w:eastAsia="Arial" w:hAnsi="Arial"/>
          <w:sz w:val="14"/>
          <w:szCs w:val="14"/>
          <w:b w:val="1"/>
          <w:bCs w:val="1"/>
          <w:color w:val="00548B"/>
        </w:rPr>
        <w:t>OMPENSATION</w:t>
      </w:r>
      <w:r>
        <w:rPr>
          <w:rFonts w:ascii="Arial" w:cs="Arial" w:eastAsia="Arial" w:hAnsi="Arial"/>
          <w:sz w:val="18"/>
          <w:szCs w:val="18"/>
          <w:b w:val="1"/>
          <w:bCs w:val="1"/>
          <w:color w:val="00548B"/>
        </w:rPr>
        <w:t xml:space="preserve"> C</w:t>
      </w:r>
      <w:r>
        <w:rPr>
          <w:rFonts w:ascii="Arial" w:cs="Arial" w:eastAsia="Arial" w:hAnsi="Arial"/>
          <w:sz w:val="14"/>
          <w:szCs w:val="14"/>
          <w:b w:val="1"/>
          <w:bCs w:val="1"/>
          <w:color w:val="00548B"/>
        </w:rPr>
        <w:t>OMMITTEE</w:t>
      </w:r>
      <w:r>
        <w:rPr>
          <w:rFonts w:ascii="Arial" w:cs="Arial" w:eastAsia="Arial" w:hAnsi="Arial"/>
          <w:sz w:val="18"/>
          <w:szCs w:val="18"/>
          <w:b w:val="1"/>
          <w:bCs w:val="1"/>
          <w:color w:val="00548B"/>
        </w:rPr>
        <w:t xml:space="preserve"> I</w:t>
      </w:r>
      <w:r>
        <w:rPr>
          <w:rFonts w:ascii="Arial" w:cs="Arial" w:eastAsia="Arial" w:hAnsi="Arial"/>
          <w:sz w:val="14"/>
          <w:szCs w:val="14"/>
          <w:b w:val="1"/>
          <w:bCs w:val="1"/>
          <w:color w:val="00548B"/>
        </w:rPr>
        <w:t>NTERLOCKS AND</w:t>
      </w:r>
      <w:r>
        <w:rPr>
          <w:rFonts w:ascii="Arial" w:cs="Arial" w:eastAsia="Arial" w:hAnsi="Arial"/>
          <w:sz w:val="18"/>
          <w:szCs w:val="18"/>
          <w:b w:val="1"/>
          <w:bCs w:val="1"/>
          <w:color w:val="00548B"/>
        </w:rPr>
        <w:t xml:space="preserve"> I</w:t>
      </w:r>
      <w:r>
        <w:rPr>
          <w:rFonts w:ascii="Arial" w:cs="Arial" w:eastAsia="Arial" w:hAnsi="Arial"/>
          <w:sz w:val="14"/>
          <w:szCs w:val="14"/>
          <w:b w:val="1"/>
          <w:bCs w:val="1"/>
          <w:color w:val="00548B"/>
        </w:rPr>
        <w:t>NSIDER</w:t>
      </w:r>
      <w:r>
        <w:rPr>
          <w:rFonts w:ascii="Arial" w:cs="Arial" w:eastAsia="Arial" w:hAnsi="Arial"/>
          <w:sz w:val="18"/>
          <w:szCs w:val="18"/>
          <w:b w:val="1"/>
          <w:bCs w:val="1"/>
          <w:color w:val="00548B"/>
        </w:rPr>
        <w:t xml:space="preserve"> P</w:t>
      </w:r>
      <w:r>
        <w:rPr>
          <w:rFonts w:ascii="Arial" w:cs="Arial" w:eastAsia="Arial" w:hAnsi="Arial"/>
          <w:sz w:val="14"/>
          <w:szCs w:val="14"/>
          <w:b w:val="1"/>
          <w:bCs w:val="1"/>
          <w:color w:val="00548B"/>
        </w:rPr>
        <w:t>ARTICIPATION</w:t>
      </w:r>
    </w:p>
    <w:p>
      <w:pPr>
        <w:spacing w:after="0" w:line="20" w:lineRule="exact"/>
        <w:rPr>
          <w:sz w:val="20"/>
          <w:szCs w:val="20"/>
          <w:color w:val="auto"/>
        </w:rPr>
      </w:pPr>
    </w:p>
    <w:p>
      <w:pPr>
        <w:jc w:val="both"/>
        <w:ind w:left="120" w:right="20"/>
        <w:spacing w:after="0" w:line="260" w:lineRule="auto"/>
        <w:rPr>
          <w:sz w:val="20"/>
          <w:szCs w:val="20"/>
          <w:color w:val="auto"/>
        </w:rPr>
      </w:pPr>
      <w:r>
        <w:rPr>
          <w:rFonts w:ascii="Arial" w:cs="Arial" w:eastAsia="Arial" w:hAnsi="Arial"/>
          <w:sz w:val="16"/>
          <w:szCs w:val="16"/>
          <w:color w:val="auto"/>
        </w:rPr>
        <w:t>During 2019, there were no Compensation Committee interlocks and no insider participation in Compensation Committee decisions that were required to be reported under the rules and regulations of the 1934 Act.</w:t>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48B"/>
        </w:rPr>
        <w:t>C</w:t>
      </w:r>
      <w:r>
        <w:rPr>
          <w:rFonts w:ascii="Arial" w:cs="Arial" w:eastAsia="Arial" w:hAnsi="Arial"/>
          <w:sz w:val="14"/>
          <w:szCs w:val="14"/>
          <w:b w:val="1"/>
          <w:bCs w:val="1"/>
          <w:color w:val="00548B"/>
        </w:rPr>
        <w:t>ERTAIN</w:t>
      </w:r>
      <w:r>
        <w:rPr>
          <w:rFonts w:ascii="Arial" w:cs="Arial" w:eastAsia="Arial" w:hAnsi="Arial"/>
          <w:sz w:val="18"/>
          <w:szCs w:val="18"/>
          <w:b w:val="1"/>
          <w:bCs w:val="1"/>
          <w:color w:val="00548B"/>
        </w:rPr>
        <w:t xml:space="preserve"> R</w:t>
      </w:r>
      <w:r>
        <w:rPr>
          <w:rFonts w:ascii="Arial" w:cs="Arial" w:eastAsia="Arial" w:hAnsi="Arial"/>
          <w:sz w:val="14"/>
          <w:szCs w:val="14"/>
          <w:b w:val="1"/>
          <w:bCs w:val="1"/>
          <w:color w:val="00548B"/>
        </w:rPr>
        <w:t>ELATIONSHIPS AND</w:t>
      </w:r>
      <w:r>
        <w:rPr>
          <w:rFonts w:ascii="Arial" w:cs="Arial" w:eastAsia="Arial" w:hAnsi="Arial"/>
          <w:sz w:val="18"/>
          <w:szCs w:val="18"/>
          <w:b w:val="1"/>
          <w:bCs w:val="1"/>
          <w:color w:val="00548B"/>
        </w:rPr>
        <w:t xml:space="preserve"> R</w:t>
      </w:r>
      <w:r>
        <w:rPr>
          <w:rFonts w:ascii="Arial" w:cs="Arial" w:eastAsia="Arial" w:hAnsi="Arial"/>
          <w:sz w:val="14"/>
          <w:szCs w:val="14"/>
          <w:b w:val="1"/>
          <w:bCs w:val="1"/>
          <w:color w:val="00548B"/>
        </w:rPr>
        <w:t>ELATED</w:t>
      </w:r>
      <w:r>
        <w:rPr>
          <w:rFonts w:ascii="Arial" w:cs="Arial" w:eastAsia="Arial" w:hAnsi="Arial"/>
          <w:sz w:val="18"/>
          <w:szCs w:val="18"/>
          <w:b w:val="1"/>
          <w:bCs w:val="1"/>
          <w:color w:val="00548B"/>
        </w:rPr>
        <w:t xml:space="preserve"> T</w:t>
      </w:r>
      <w:r>
        <w:rPr>
          <w:rFonts w:ascii="Arial" w:cs="Arial" w:eastAsia="Arial" w:hAnsi="Arial"/>
          <w:sz w:val="14"/>
          <w:szCs w:val="14"/>
          <w:b w:val="1"/>
          <w:bCs w:val="1"/>
          <w:color w:val="00548B"/>
        </w:rPr>
        <w:t>RANSACTIONS</w:t>
      </w:r>
    </w:p>
    <w:p>
      <w:pPr>
        <w:spacing w:after="0" w:line="20" w:lineRule="exact"/>
        <w:rPr>
          <w:sz w:val="20"/>
          <w:szCs w:val="20"/>
          <w:color w:val="auto"/>
        </w:rPr>
      </w:pPr>
    </w:p>
    <w:p>
      <w:pPr>
        <w:jc w:val="both"/>
        <w:ind w:left="120"/>
        <w:spacing w:after="0" w:line="250" w:lineRule="auto"/>
        <w:rPr>
          <w:sz w:val="20"/>
          <w:szCs w:val="20"/>
          <w:color w:val="auto"/>
        </w:rPr>
      </w:pPr>
      <w:r>
        <w:rPr>
          <w:rFonts w:ascii="Arial" w:cs="Arial" w:eastAsia="Arial" w:hAnsi="Arial"/>
          <w:sz w:val="16"/>
          <w:szCs w:val="16"/>
          <w:color w:val="auto"/>
        </w:rPr>
        <w:t>It is the responsibility of the Audit Committee to review and approve, ratify or disapprove proposed transactions or courses of dealings with respect to which executive officers or directors or members of their immediate families have an interest (including all transactions required to be disclosed pursuant to the SEC’s related person disclosure requirements). In addition, it is the policy of management and board members to discuss at a meeting of the board of directors, or the appropriate board committee, those transactions requiring disclosure pursuant to the SEC’s related person disclosure requirements between Huron and a board member or a principal stockholder and members of their immediate families.</w:t>
      </w:r>
    </w:p>
    <w:p>
      <w:pPr>
        <w:spacing w:after="0" w:line="162" w:lineRule="exact"/>
        <w:rPr>
          <w:sz w:val="20"/>
          <w:szCs w:val="20"/>
          <w:color w:val="auto"/>
        </w:rPr>
      </w:pPr>
    </w:p>
    <w:p>
      <w:pPr>
        <w:jc w:val="both"/>
        <w:ind w:left="120"/>
        <w:spacing w:after="0" w:line="248" w:lineRule="auto"/>
        <w:rPr>
          <w:sz w:val="20"/>
          <w:szCs w:val="20"/>
          <w:color w:val="auto"/>
        </w:rPr>
      </w:pPr>
      <w:r>
        <w:rPr>
          <w:rFonts w:ascii="Arial" w:cs="Arial" w:eastAsia="Arial" w:hAnsi="Arial"/>
          <w:sz w:val="16"/>
          <w:szCs w:val="16"/>
          <w:color w:val="auto"/>
        </w:rPr>
        <w:t>In addition, Huron has a Code of Business Conduct and Ethics (the “Code of Conduct”), a copy of which is posted on our web site at www.huronconsultinggroup.com, that applies to directors and employees and their family members. The Code of Conduct, among other things, has a policy governing conflicts of interest generally and, in particular, prohibiting certain business arrangements with the Company and clients of the Company, entering into relationships that may be perceived as impairing the ability of the individual or Huron from performing his or its duties, as the case may be, in an impartial manner, and use of corporate property for improper personal gain. Any exceptions require disclosure and approval by the Chief Compliance Officer and, in the case of officers and directors, by the Audit Committee of the board of directors. The Code of Conduct also prohibits Huron from making any personal loans or guaranteeing any personal obligations of board members and executive officers.</w:t>
      </w:r>
    </w:p>
    <w:p>
      <w:pPr>
        <w:spacing w:after="0" w:line="13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00548B"/>
        </w:rPr>
        <w:t>47</w:t>
      </w:r>
    </w:p>
    <w:p>
      <w:pPr>
        <w:sectPr>
          <w:pgSz w:w="11900" w:h="16838" w:orient="portrait"/>
          <w:cols w:equalWidth="0" w:num="1">
            <w:col w:w="11140"/>
          </w:cols>
          <w:pgMar w:left="32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0548B"/>
        </w:rPr>
        <w:t>PROPOSAL 2</w:t>
      </w:r>
    </w:p>
    <w:p>
      <w:pPr>
        <w:spacing w:after="0" w:line="8" w:lineRule="exact"/>
        <w:rPr>
          <w:sz w:val="20"/>
          <w:szCs w:val="20"/>
          <w:color w:val="auto"/>
        </w:rPr>
      </w:pPr>
    </w:p>
    <w:p>
      <w:pPr>
        <w:ind w:left="120" w:right="1080"/>
        <w:spacing w:after="0" w:line="238" w:lineRule="auto"/>
        <w:rPr>
          <w:sz w:val="20"/>
          <w:szCs w:val="20"/>
          <w:color w:val="auto"/>
        </w:rPr>
      </w:pPr>
      <w:r>
        <w:rPr>
          <w:rFonts w:ascii="Arial" w:cs="Arial" w:eastAsia="Arial" w:hAnsi="Arial"/>
          <w:sz w:val="22"/>
          <w:szCs w:val="22"/>
          <w:b w:val="1"/>
          <w:bCs w:val="1"/>
          <w:color w:val="00548B"/>
        </w:rPr>
        <w:t>TO APPROVE AN AMENDMENT TO THE COMPANY’S AMENDED AND RESTATED 2012 OMNIBUS INCENTIVE PLAN</w:t>
      </w:r>
    </w:p>
    <w:p>
      <w:pPr>
        <w:spacing w:after="0" w:line="33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48B"/>
        </w:rPr>
        <w:t>Background and Reasons for Amending the Plan</w:t>
      </w:r>
    </w:p>
    <w:p>
      <w:pPr>
        <w:spacing w:after="0" w:line="20" w:lineRule="exact"/>
        <w:rPr>
          <w:sz w:val="20"/>
          <w:szCs w:val="20"/>
          <w:color w:val="auto"/>
        </w:rPr>
      </w:pPr>
    </w:p>
    <w:p>
      <w:pPr>
        <w:jc w:val="both"/>
        <w:ind w:left="120" w:right="20"/>
        <w:spacing w:after="0" w:line="248" w:lineRule="auto"/>
        <w:rPr>
          <w:sz w:val="20"/>
          <w:szCs w:val="20"/>
          <w:color w:val="auto"/>
        </w:rPr>
      </w:pPr>
      <w:r>
        <w:rPr>
          <w:rFonts w:ascii="Arial" w:cs="Arial" w:eastAsia="Arial" w:hAnsi="Arial"/>
          <w:sz w:val="16"/>
          <w:szCs w:val="16"/>
          <w:color w:val="auto"/>
        </w:rPr>
        <w:t>The board of directors believes that the continued growth and profitability of the Company depend on our ability to attract and retain highly qualified employees. As of March 11, 2020, we had issued 2,036,096 shares of common stock under the Plan that are no longer subject to outstanding awards, 1,160,358 shares of common stock that are subject to unexercised options or unvested restricted stock awards and up to 392,696 shares that may be issued pursuant to outstanding performance share awards, leaving 657,308 shares of common stock available for grant. In addition, we have 54,608 shares of common stock that are subject to unexercised options under the 2004 Omnibus Stock Plan. The weighted average exercise price and remaining contractual life of the 86,393 total stock options outstanding from all plans were $34.68 and 2.02 years, respectively. The total number of unvested restricted stock awards and performance share awards outstanding from all plans was 1,466,661. See the summary table below.</w:t>
      </w:r>
    </w:p>
    <w:p>
      <w:pPr>
        <w:spacing w:after="0" w:line="205" w:lineRule="exact"/>
        <w:rPr>
          <w:sz w:val="20"/>
          <w:szCs w:val="20"/>
          <w:color w:val="auto"/>
        </w:rPr>
      </w:pPr>
    </w:p>
    <w:tbl>
      <w:tblPr>
        <w:tblLayout w:type="fixed"/>
        <w:tblInd w:w="130" w:type="dxa"/>
        <w:tblCellMar>
          <w:top w:w="0" w:type="dxa"/>
          <w:left w:w="0" w:type="dxa"/>
          <w:bottom w:w="0" w:type="dxa"/>
          <w:right w:w="0" w:type="dxa"/>
        </w:tblCellMar>
      </w:tblPr>
      <w:tr>
        <w:trPr>
          <w:trHeight w:val="149"/>
        </w:trPr>
        <w:tc>
          <w:tcPr>
            <w:tcW w:w="9580" w:type="dxa"/>
            <w:vAlign w:val="bottom"/>
            <w:tcBorders>
              <w:left w:val="single" w:sz="8" w:color="00548B"/>
              <w:right w:val="single" w:sz="8" w:color="00548B"/>
            </w:tcBorders>
            <w:shd w:val="clear" w:color="auto" w:fill="00548B"/>
          </w:tcPr>
          <w:p>
            <w:pPr>
              <w:ind w:left="160"/>
              <w:spacing w:after="0"/>
              <w:rPr>
                <w:sz w:val="20"/>
                <w:szCs w:val="20"/>
                <w:color w:val="auto"/>
              </w:rPr>
            </w:pPr>
            <w:r>
              <w:rPr>
                <w:rFonts w:ascii="Arial" w:cs="Arial" w:eastAsia="Arial" w:hAnsi="Arial"/>
                <w:sz w:val="13"/>
                <w:szCs w:val="13"/>
                <w:b w:val="1"/>
                <w:bCs w:val="1"/>
                <w:color w:val="D8D8D8"/>
              </w:rPr>
              <w:t>As of March 11, 2020:</w:t>
            </w:r>
          </w:p>
        </w:tc>
        <w:tc>
          <w:tcPr>
            <w:tcW w:w="1460" w:type="dxa"/>
            <w:vAlign w:val="bottom"/>
            <w:tcBorders>
              <w:right w:val="single" w:sz="8" w:color="00548B"/>
            </w:tcBorders>
            <w:shd w:val="clear" w:color="auto" w:fill="00548B"/>
          </w:tcPr>
          <w:p>
            <w:pPr>
              <w:spacing w:after="0"/>
              <w:rPr>
                <w:sz w:val="13"/>
                <w:szCs w:val="13"/>
                <w:color w:val="auto"/>
              </w:rPr>
            </w:pPr>
          </w:p>
        </w:tc>
      </w:tr>
      <w:tr>
        <w:trPr>
          <w:trHeight w:val="189"/>
        </w:trPr>
        <w:tc>
          <w:tcPr>
            <w:tcW w:w="9580" w:type="dxa"/>
            <w:vAlign w:val="bottom"/>
            <w:tcBorders>
              <w:left w:val="single" w:sz="8" w:color="00548B"/>
              <w:bottom w:val="single" w:sz="8" w:color="999999"/>
              <w:right w:val="single" w:sz="8" w:color="999999"/>
            </w:tcBorders>
          </w:tcPr>
          <w:p>
            <w:pPr>
              <w:ind w:left="160"/>
              <w:spacing w:after="0"/>
              <w:rPr>
                <w:sz w:val="20"/>
                <w:szCs w:val="20"/>
                <w:color w:val="auto"/>
              </w:rPr>
            </w:pPr>
            <w:r>
              <w:rPr>
                <w:rFonts w:ascii="Arial" w:cs="Arial" w:eastAsia="Arial" w:hAnsi="Arial"/>
                <w:sz w:val="16"/>
                <w:szCs w:val="16"/>
                <w:color w:val="auto"/>
              </w:rPr>
              <w:t>Stock options outstanding</w:t>
            </w:r>
          </w:p>
        </w:tc>
        <w:tc>
          <w:tcPr>
            <w:tcW w:w="1460" w:type="dxa"/>
            <w:vAlign w:val="bottom"/>
            <w:tcBorders>
              <w:bottom w:val="single" w:sz="8" w:color="999999"/>
              <w:right w:val="single" w:sz="8" w:color="00548B"/>
            </w:tcBorders>
          </w:tcPr>
          <w:p>
            <w:pPr>
              <w:ind w:left="200"/>
              <w:spacing w:after="0"/>
              <w:rPr>
                <w:sz w:val="20"/>
                <w:szCs w:val="20"/>
                <w:color w:val="auto"/>
              </w:rPr>
            </w:pPr>
            <w:r>
              <w:rPr>
                <w:rFonts w:ascii="Arial" w:cs="Arial" w:eastAsia="Arial" w:hAnsi="Arial"/>
                <w:sz w:val="16"/>
                <w:szCs w:val="16"/>
                <w:color w:val="auto"/>
              </w:rPr>
              <w:t>86,393</w:t>
            </w:r>
          </w:p>
        </w:tc>
      </w:tr>
      <w:tr>
        <w:trPr>
          <w:trHeight w:val="183"/>
        </w:trPr>
        <w:tc>
          <w:tcPr>
            <w:tcW w:w="9580" w:type="dxa"/>
            <w:vAlign w:val="bottom"/>
            <w:tcBorders>
              <w:left w:val="single" w:sz="8" w:color="00548B"/>
              <w:bottom w:val="single" w:sz="8" w:color="999999"/>
              <w:right w:val="single" w:sz="8" w:color="999999"/>
            </w:tcBorders>
          </w:tcPr>
          <w:p>
            <w:pPr>
              <w:ind w:left="160"/>
              <w:spacing w:after="0" w:line="183" w:lineRule="exact"/>
              <w:rPr>
                <w:sz w:val="20"/>
                <w:szCs w:val="20"/>
                <w:color w:val="auto"/>
              </w:rPr>
            </w:pPr>
            <w:r>
              <w:rPr>
                <w:rFonts w:ascii="Arial" w:cs="Arial" w:eastAsia="Arial" w:hAnsi="Arial"/>
                <w:sz w:val="16"/>
                <w:szCs w:val="16"/>
                <w:color w:val="auto"/>
              </w:rPr>
              <w:t>Weighted average exercise price of stock options outstanding</w:t>
            </w:r>
          </w:p>
        </w:tc>
        <w:tc>
          <w:tcPr>
            <w:tcW w:w="1460" w:type="dxa"/>
            <w:vAlign w:val="bottom"/>
            <w:tcBorders>
              <w:bottom w:val="single" w:sz="8" w:color="999999"/>
              <w:right w:val="single" w:sz="8" w:color="00548B"/>
            </w:tcBorders>
          </w:tcPr>
          <w:p>
            <w:pPr>
              <w:ind w:left="200"/>
              <w:spacing w:after="0" w:line="183" w:lineRule="exact"/>
              <w:rPr>
                <w:sz w:val="20"/>
                <w:szCs w:val="20"/>
                <w:color w:val="auto"/>
              </w:rPr>
            </w:pPr>
            <w:r>
              <w:rPr>
                <w:rFonts w:ascii="Arial" w:cs="Arial" w:eastAsia="Arial" w:hAnsi="Arial"/>
                <w:sz w:val="16"/>
                <w:szCs w:val="16"/>
                <w:color w:val="auto"/>
              </w:rPr>
              <w:t>$34.68</w:t>
            </w:r>
          </w:p>
        </w:tc>
      </w:tr>
      <w:tr>
        <w:trPr>
          <w:trHeight w:val="183"/>
        </w:trPr>
        <w:tc>
          <w:tcPr>
            <w:tcW w:w="9580" w:type="dxa"/>
            <w:vAlign w:val="bottom"/>
            <w:tcBorders>
              <w:left w:val="single" w:sz="8" w:color="00548B"/>
              <w:bottom w:val="single" w:sz="8" w:color="999999"/>
              <w:right w:val="single" w:sz="8" w:color="999999"/>
            </w:tcBorders>
          </w:tcPr>
          <w:p>
            <w:pPr>
              <w:ind w:left="160"/>
              <w:spacing w:after="0" w:line="183" w:lineRule="exact"/>
              <w:rPr>
                <w:sz w:val="20"/>
                <w:szCs w:val="20"/>
                <w:color w:val="auto"/>
              </w:rPr>
            </w:pPr>
            <w:r>
              <w:rPr>
                <w:rFonts w:ascii="Arial" w:cs="Arial" w:eastAsia="Arial" w:hAnsi="Arial"/>
                <w:sz w:val="16"/>
                <w:szCs w:val="16"/>
                <w:color w:val="auto"/>
              </w:rPr>
              <w:t>Weighted average remaining contractual life of stock options outstanding</w:t>
            </w:r>
          </w:p>
        </w:tc>
        <w:tc>
          <w:tcPr>
            <w:tcW w:w="1460" w:type="dxa"/>
            <w:vAlign w:val="bottom"/>
            <w:tcBorders>
              <w:bottom w:val="single" w:sz="8" w:color="999999"/>
              <w:right w:val="single" w:sz="8" w:color="00548B"/>
            </w:tcBorders>
          </w:tcPr>
          <w:p>
            <w:pPr>
              <w:ind w:left="200"/>
              <w:spacing w:after="0" w:line="183" w:lineRule="exact"/>
              <w:rPr>
                <w:sz w:val="20"/>
                <w:szCs w:val="20"/>
                <w:color w:val="auto"/>
              </w:rPr>
            </w:pPr>
            <w:r>
              <w:rPr>
                <w:rFonts w:ascii="Arial" w:cs="Arial" w:eastAsia="Arial" w:hAnsi="Arial"/>
                <w:sz w:val="16"/>
                <w:szCs w:val="16"/>
                <w:color w:val="auto"/>
              </w:rPr>
              <w:t>2.02 years</w:t>
            </w:r>
          </w:p>
        </w:tc>
      </w:tr>
      <w:tr>
        <w:trPr>
          <w:trHeight w:val="183"/>
        </w:trPr>
        <w:tc>
          <w:tcPr>
            <w:tcW w:w="9580" w:type="dxa"/>
            <w:vAlign w:val="bottom"/>
            <w:tcBorders>
              <w:left w:val="single" w:sz="8" w:color="00548B"/>
              <w:bottom w:val="single" w:sz="8" w:color="999999"/>
              <w:right w:val="single" w:sz="8" w:color="999999"/>
            </w:tcBorders>
          </w:tcPr>
          <w:p>
            <w:pPr>
              <w:ind w:left="160"/>
              <w:spacing w:after="0" w:line="183" w:lineRule="exact"/>
              <w:rPr>
                <w:sz w:val="20"/>
                <w:szCs w:val="20"/>
                <w:color w:val="auto"/>
              </w:rPr>
            </w:pPr>
            <w:r>
              <w:rPr>
                <w:rFonts w:ascii="Arial" w:cs="Arial" w:eastAsia="Arial" w:hAnsi="Arial"/>
                <w:sz w:val="16"/>
                <w:szCs w:val="16"/>
                <w:color w:val="auto"/>
              </w:rPr>
              <w:t>Shares subject to outstanding restricted stock and other full value awards (unvested and unearned)</w:t>
            </w:r>
          </w:p>
        </w:tc>
        <w:tc>
          <w:tcPr>
            <w:tcW w:w="1460" w:type="dxa"/>
            <w:vAlign w:val="bottom"/>
            <w:tcBorders>
              <w:bottom w:val="single" w:sz="8" w:color="999999"/>
              <w:right w:val="single" w:sz="8" w:color="00548B"/>
            </w:tcBorders>
          </w:tcPr>
          <w:p>
            <w:pPr>
              <w:ind w:left="200"/>
              <w:spacing w:after="0" w:line="183" w:lineRule="exact"/>
              <w:rPr>
                <w:sz w:val="20"/>
                <w:szCs w:val="20"/>
                <w:color w:val="auto"/>
              </w:rPr>
            </w:pPr>
            <w:r>
              <w:rPr>
                <w:rFonts w:ascii="Arial" w:cs="Arial" w:eastAsia="Arial" w:hAnsi="Arial"/>
                <w:sz w:val="16"/>
                <w:szCs w:val="16"/>
                <w:color w:val="auto"/>
              </w:rPr>
              <w:t>1,466,661</w:t>
            </w:r>
          </w:p>
        </w:tc>
      </w:tr>
      <w:tr>
        <w:trPr>
          <w:trHeight w:val="183"/>
        </w:trPr>
        <w:tc>
          <w:tcPr>
            <w:tcW w:w="9580" w:type="dxa"/>
            <w:vAlign w:val="bottom"/>
            <w:tcBorders>
              <w:left w:val="single" w:sz="8" w:color="00548B"/>
              <w:bottom w:val="single" w:sz="8" w:color="999999"/>
              <w:right w:val="single" w:sz="8" w:color="999999"/>
            </w:tcBorders>
          </w:tcPr>
          <w:p>
            <w:pPr>
              <w:ind w:left="160"/>
              <w:spacing w:after="0" w:line="183" w:lineRule="exact"/>
              <w:rPr>
                <w:sz w:val="20"/>
                <w:szCs w:val="20"/>
                <w:color w:val="auto"/>
              </w:rPr>
            </w:pPr>
            <w:r>
              <w:rPr>
                <w:rFonts w:ascii="Arial" w:cs="Arial" w:eastAsia="Arial" w:hAnsi="Arial"/>
                <w:sz w:val="16"/>
                <w:szCs w:val="16"/>
                <w:color w:val="auto"/>
              </w:rPr>
              <w:t>Shares remaining for grant under the existing Amended and Restated 2012 Omnibus Incentive Plan</w:t>
            </w:r>
          </w:p>
        </w:tc>
        <w:tc>
          <w:tcPr>
            <w:tcW w:w="1460" w:type="dxa"/>
            <w:vAlign w:val="bottom"/>
            <w:tcBorders>
              <w:bottom w:val="single" w:sz="8" w:color="999999"/>
              <w:right w:val="single" w:sz="8" w:color="00548B"/>
            </w:tcBorders>
          </w:tcPr>
          <w:p>
            <w:pPr>
              <w:ind w:left="200"/>
              <w:spacing w:after="0" w:line="183" w:lineRule="exact"/>
              <w:rPr>
                <w:sz w:val="20"/>
                <w:szCs w:val="20"/>
                <w:color w:val="auto"/>
              </w:rPr>
            </w:pPr>
            <w:r>
              <w:rPr>
                <w:rFonts w:ascii="Arial" w:cs="Arial" w:eastAsia="Arial" w:hAnsi="Arial"/>
                <w:sz w:val="16"/>
                <w:szCs w:val="16"/>
                <w:color w:val="auto"/>
              </w:rPr>
              <w:t>657,308</w:t>
            </w:r>
          </w:p>
        </w:tc>
      </w:tr>
      <w:tr>
        <w:trPr>
          <w:trHeight w:val="183"/>
        </w:trPr>
        <w:tc>
          <w:tcPr>
            <w:tcW w:w="9580" w:type="dxa"/>
            <w:vAlign w:val="bottom"/>
            <w:tcBorders>
              <w:left w:val="single" w:sz="8" w:color="00548B"/>
              <w:bottom w:val="single" w:sz="8" w:color="00548B"/>
              <w:right w:val="single" w:sz="8" w:color="999999"/>
            </w:tcBorders>
          </w:tcPr>
          <w:p>
            <w:pPr>
              <w:ind w:left="160"/>
              <w:spacing w:after="0" w:line="183" w:lineRule="exact"/>
              <w:rPr>
                <w:sz w:val="20"/>
                <w:szCs w:val="20"/>
                <w:color w:val="auto"/>
              </w:rPr>
            </w:pPr>
            <w:r>
              <w:rPr>
                <w:rFonts w:ascii="Arial" w:cs="Arial" w:eastAsia="Arial" w:hAnsi="Arial"/>
                <w:sz w:val="16"/>
                <w:szCs w:val="16"/>
                <w:color w:val="auto"/>
              </w:rPr>
              <w:t>Common shares issued and outstanding</w:t>
            </w:r>
          </w:p>
        </w:tc>
        <w:tc>
          <w:tcPr>
            <w:tcW w:w="1460" w:type="dxa"/>
            <w:vAlign w:val="bottom"/>
            <w:tcBorders>
              <w:bottom w:val="single" w:sz="8" w:color="00548B"/>
              <w:right w:val="single" w:sz="8" w:color="00548B"/>
            </w:tcBorders>
          </w:tcPr>
          <w:p>
            <w:pPr>
              <w:ind w:left="200"/>
              <w:spacing w:after="0" w:line="183" w:lineRule="exact"/>
              <w:rPr>
                <w:sz w:val="20"/>
                <w:szCs w:val="20"/>
                <w:color w:val="auto"/>
              </w:rPr>
            </w:pPr>
            <w:r>
              <w:rPr>
                <w:rFonts w:ascii="Arial" w:cs="Arial" w:eastAsia="Arial" w:hAnsi="Arial"/>
                <w:sz w:val="16"/>
                <w:szCs w:val="16"/>
                <w:color w:val="auto"/>
              </w:rPr>
              <w:t>22,852,312</w:t>
            </w:r>
          </w:p>
        </w:tc>
      </w:tr>
    </w:tbl>
    <w:p>
      <w:pPr>
        <w:spacing w:after="0" w:line="177" w:lineRule="exact"/>
        <w:rPr>
          <w:sz w:val="20"/>
          <w:szCs w:val="20"/>
          <w:color w:val="auto"/>
        </w:rPr>
      </w:pPr>
    </w:p>
    <w:p>
      <w:pPr>
        <w:jc w:val="both"/>
        <w:ind w:left="120"/>
        <w:spacing w:after="0" w:line="247" w:lineRule="auto"/>
        <w:rPr>
          <w:sz w:val="20"/>
          <w:szCs w:val="20"/>
          <w:color w:val="auto"/>
        </w:rPr>
      </w:pPr>
      <w:r>
        <w:rPr>
          <w:rFonts w:ascii="Arial" w:cs="Arial" w:eastAsia="Arial" w:hAnsi="Arial"/>
          <w:sz w:val="16"/>
          <w:szCs w:val="16"/>
          <w:color w:val="auto"/>
        </w:rPr>
        <w:t>In order to increase the number of shares of common stock available as equity compensation to our employees, non-employee directors, and independent contractors and those of our subsidiaries, our board of directors has approved an amendment to the Plan to increase the number of shares available for grant thereunder by 270,000 shares of common stock, subject to stockholder approval. We believe the additional shares authorized under the Plan will enable us to offer competitive compensation packages that reward performance while also creating a compelling reason to remain at Huron and deliver results that benefit all constituents. We annually grant a sizable portion of equity to our managing directors. An average of 78% of total equity granted in the last three years was awarded to our managing directors; by contrast, approximately 18% of total equity granted in the last three years was awarded to our NEOs with the remaining 4% awarded to our directors and other employees. As a professional services firm, we recognize that our managing directors are key to growing our business, generating revenue, enhancing our market reputation, and developing our people. As such, they are critical to the overall success of Huron. We use stock as both a retention tool and an incentive to encourage behaviors that will benefit our shareholders and the Company. Approximately 50% of the annual bonus compensation of our Practice Leaders and client-facing managing directors consists of restricted stock that vests over four years and is awarded based on prior year performance. We believe the amount of equity provided below the NEO level aligns the interests of our individual practices with the Company as a whole and significantly differentiates Huron’s compensation program from the programs of our competitors. Our ability to offer equity as a long-term component of compensation also helps us recruit talent that is critical for Huron’s continued growth. We believe that our ability to offer long-term equity incentives encourages a balanced focus on short-term goals, long-term goals and performance that cannot be as effectively achieved with cash awards alone.</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548B"/>
        </w:rPr>
        <w:t>Approval Required</w:t>
      </w:r>
    </w:p>
    <w:p>
      <w:pPr>
        <w:spacing w:after="0" w:line="25" w:lineRule="exact"/>
        <w:rPr>
          <w:sz w:val="20"/>
          <w:szCs w:val="20"/>
          <w:color w:val="auto"/>
        </w:rPr>
      </w:pPr>
    </w:p>
    <w:p>
      <w:pPr>
        <w:jc w:val="both"/>
        <w:ind w:left="120"/>
        <w:spacing w:after="0" w:line="250" w:lineRule="auto"/>
        <w:rPr>
          <w:sz w:val="20"/>
          <w:szCs w:val="20"/>
          <w:color w:val="auto"/>
        </w:rPr>
      </w:pPr>
      <w:r>
        <w:rPr>
          <w:rFonts w:ascii="Arial" w:cs="Arial" w:eastAsia="Arial" w:hAnsi="Arial"/>
          <w:sz w:val="16"/>
          <w:szCs w:val="16"/>
          <w:color w:val="auto"/>
        </w:rPr>
        <w:t>The approval of the amendment to the Plan requires the affirmative vote of the holders of a majority of the total shares of common stock present in person, or represented by proxy, and entitled to vote on the proposal, provided that a quorum is represented at the meeting. Abstentions will have the same effect as a vote against the proposal. Broker non-votes will not be considered shares entitled to vote with respect to approval of the proposal and will not be counted as votes for or against the proposal and will therefore have no effect on the outcome of the proposal. Executed proxies will be voted “FOR” the approval of the proposal, unless specified otherwise.</w:t>
      </w:r>
    </w:p>
    <w:p>
      <w:pPr>
        <w:spacing w:after="0" w:line="13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00548B"/>
        </w:rPr>
        <w:t>48</w:t>
      </w:r>
    </w:p>
    <w:p>
      <w:pPr>
        <w:sectPr>
          <w:pgSz w:w="11900" w:h="16838" w:orient="portrait"/>
          <w:cols w:equalWidth="0" w:num="1">
            <w:col w:w="11140"/>
          </w:cols>
          <w:pgMar w:left="32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 xml:space="preserve">THE BOARD OF DIRECTORS RECOMMENDS THAT STOCKHOLDERS VOTE </w:t>
      </w:r>
      <w:r>
        <w:rPr>
          <w:rFonts w:ascii="Arial" w:cs="Arial" w:eastAsia="Arial" w:hAnsi="Arial"/>
          <w:sz w:val="16"/>
          <w:szCs w:val="16"/>
          <w:b w:val="1"/>
          <w:bCs w:val="1"/>
          <w:color w:val="auto"/>
        </w:rPr>
        <w:t>“FOR”</w:t>
      </w:r>
      <w:r>
        <w:rPr>
          <w:rFonts w:ascii="Arial" w:cs="Arial" w:eastAsia="Arial" w:hAnsi="Arial"/>
          <w:sz w:val="16"/>
          <w:szCs w:val="16"/>
          <w:color w:val="auto"/>
        </w:rPr>
        <w:t xml:space="preserve"> APPROVAL OF THE AMENDMENT TO THE COMPANY’S AMENDED AND RESTATED 2012 OMNIBUS INCENTIVE PLAN.</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548B"/>
        </w:rPr>
        <w:t>Description of the Plan</w:t>
      </w:r>
    </w:p>
    <w:p>
      <w:pPr>
        <w:spacing w:after="0" w:line="25" w:lineRule="exact"/>
        <w:rPr>
          <w:sz w:val="20"/>
          <w:szCs w:val="20"/>
          <w:color w:val="auto"/>
        </w:rPr>
      </w:pPr>
    </w:p>
    <w:p>
      <w:pPr>
        <w:jc w:val="both"/>
        <w:ind w:left="120"/>
        <w:spacing w:after="0" w:line="260" w:lineRule="auto"/>
        <w:rPr>
          <w:sz w:val="20"/>
          <w:szCs w:val="20"/>
          <w:color w:val="auto"/>
        </w:rPr>
      </w:pPr>
      <w:r>
        <w:rPr>
          <w:rFonts w:ascii="Arial" w:cs="Arial" w:eastAsia="Arial" w:hAnsi="Arial"/>
          <w:sz w:val="16"/>
          <w:szCs w:val="16"/>
          <w:color w:val="auto"/>
        </w:rPr>
        <w:t>The summary of the material features of the Plan set forth below is qualified in its entirety by the full text of the Plan attached as Exhibit 10.34 to the Company’s Form 10-K filed with the SEC on February 26, 2020. A copy of the amendment to the Plan is attached as Appendix A to this Proxy Statement.</w:t>
      </w:r>
    </w:p>
    <w:p>
      <w:pPr>
        <w:spacing w:after="0" w:line="15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There are several types of awards that may be granted under the Plan:</w:t>
      </w:r>
    </w:p>
    <w:p>
      <w:pPr>
        <w:spacing w:after="0" w:line="221" w:lineRule="exact"/>
        <w:rPr>
          <w:sz w:val="20"/>
          <w:szCs w:val="20"/>
          <w:color w:val="auto"/>
        </w:rPr>
      </w:pPr>
    </w:p>
    <w:p>
      <w:pPr>
        <w:ind w:left="980" w:right="20" w:hanging="432"/>
        <w:spacing w:after="0" w:line="246" w:lineRule="auto"/>
        <w:tabs>
          <w:tab w:leader="none" w:pos="980" w:val="left"/>
        </w:tabs>
        <w:numPr>
          <w:ilvl w:val="0"/>
          <w:numId w:val="52"/>
        </w:numPr>
        <w:rPr>
          <w:rFonts w:ascii="Arial" w:cs="Arial" w:eastAsia="Arial" w:hAnsi="Arial"/>
          <w:sz w:val="16"/>
          <w:szCs w:val="16"/>
          <w:color w:val="00548B"/>
        </w:rPr>
      </w:pPr>
      <w:r>
        <w:rPr>
          <w:rFonts w:ascii="Arial" w:cs="Arial" w:eastAsia="Arial" w:hAnsi="Arial"/>
          <w:sz w:val="16"/>
          <w:szCs w:val="16"/>
          <w:color w:val="auto"/>
        </w:rPr>
        <w:t>stock options (including both incentive stock options (“ISOs”), within the meaning of Section 422 of the Code and nonqualified options (“NQSOs”), which are options that do not qualify as ISOs);</w:t>
      </w:r>
    </w:p>
    <w:p>
      <w:pPr>
        <w:ind w:left="980" w:hanging="432"/>
        <w:spacing w:after="0"/>
        <w:tabs>
          <w:tab w:leader="none" w:pos="980" w:val="left"/>
        </w:tabs>
        <w:numPr>
          <w:ilvl w:val="0"/>
          <w:numId w:val="52"/>
        </w:numPr>
        <w:rPr>
          <w:rFonts w:ascii="Arial" w:cs="Arial" w:eastAsia="Arial" w:hAnsi="Arial"/>
          <w:sz w:val="16"/>
          <w:szCs w:val="16"/>
          <w:color w:val="00548B"/>
        </w:rPr>
      </w:pPr>
      <w:r>
        <w:rPr>
          <w:rFonts w:ascii="Arial" w:cs="Arial" w:eastAsia="Arial" w:hAnsi="Arial"/>
          <w:sz w:val="16"/>
          <w:szCs w:val="16"/>
          <w:color w:val="auto"/>
        </w:rPr>
        <w:t>stock appreciate rights (SARs);</w:t>
      </w:r>
    </w:p>
    <w:p>
      <w:pPr>
        <w:spacing w:after="0" w:line="5" w:lineRule="exact"/>
        <w:rPr>
          <w:rFonts w:ascii="Arial" w:cs="Arial" w:eastAsia="Arial" w:hAnsi="Arial"/>
          <w:sz w:val="16"/>
          <w:szCs w:val="16"/>
          <w:color w:val="00548B"/>
        </w:rPr>
      </w:pPr>
    </w:p>
    <w:p>
      <w:pPr>
        <w:ind w:left="980" w:right="20" w:hanging="432"/>
        <w:spacing w:after="0" w:line="246" w:lineRule="auto"/>
        <w:tabs>
          <w:tab w:leader="none" w:pos="980" w:val="left"/>
        </w:tabs>
        <w:numPr>
          <w:ilvl w:val="0"/>
          <w:numId w:val="52"/>
        </w:numPr>
        <w:rPr>
          <w:rFonts w:ascii="Arial" w:cs="Arial" w:eastAsia="Arial" w:hAnsi="Arial"/>
          <w:sz w:val="16"/>
          <w:szCs w:val="16"/>
          <w:color w:val="00548B"/>
        </w:rPr>
      </w:pPr>
      <w:r>
        <w:rPr>
          <w:rFonts w:ascii="Arial" w:cs="Arial" w:eastAsia="Arial" w:hAnsi="Arial"/>
          <w:sz w:val="16"/>
          <w:szCs w:val="16"/>
          <w:color w:val="auto"/>
        </w:rPr>
        <w:t>full value awards, which means a grant of one or more shares of common stock or a right to receive one or more shares of common stock, subject to one or more of the conditions, restrictions and contingencies determined at the time of the award; and</w:t>
      </w:r>
    </w:p>
    <w:p>
      <w:pPr>
        <w:ind w:left="980" w:hanging="432"/>
        <w:spacing w:after="0"/>
        <w:tabs>
          <w:tab w:leader="none" w:pos="980" w:val="left"/>
        </w:tabs>
        <w:numPr>
          <w:ilvl w:val="0"/>
          <w:numId w:val="52"/>
        </w:numPr>
        <w:rPr>
          <w:rFonts w:ascii="Arial" w:cs="Arial" w:eastAsia="Arial" w:hAnsi="Arial"/>
          <w:sz w:val="16"/>
          <w:szCs w:val="16"/>
          <w:color w:val="00548B"/>
        </w:rPr>
      </w:pPr>
      <w:r>
        <w:rPr>
          <w:rFonts w:ascii="Arial" w:cs="Arial" w:eastAsia="Arial" w:hAnsi="Arial"/>
          <w:sz w:val="16"/>
          <w:szCs w:val="16"/>
          <w:color w:val="auto"/>
        </w:rPr>
        <w:t>cash incentive awards.</w:t>
      </w:r>
    </w:p>
    <w:p>
      <w:pPr>
        <w:spacing w:after="0" w:line="181"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6"/>
          <w:szCs w:val="16"/>
          <w:color w:val="auto"/>
        </w:rPr>
        <w:t>Based on the 657,308 shares of common stock available for grant as of March 11, 2020, if this proposal is approved by stockholders, there would be approximately 927,308 shares available for issuance under the Plan as of May 8, 2020.</w:t>
      </w:r>
      <w:r>
        <w:rPr>
          <w:rFonts w:ascii="Arial" w:cs="Arial" w:eastAsia="Arial" w:hAnsi="Arial"/>
          <w:sz w:val="27"/>
          <w:szCs w:val="27"/>
          <w:color w:val="auto"/>
          <w:vertAlign w:val="superscript"/>
        </w:rPr>
        <w:t>12</w:t>
      </w:r>
    </w:p>
    <w:p>
      <w:pPr>
        <w:spacing w:after="0" w:line="9" w:lineRule="exact"/>
        <w:rPr>
          <w:sz w:val="20"/>
          <w:szCs w:val="20"/>
          <w:color w:val="auto"/>
        </w:rPr>
      </w:pPr>
    </w:p>
    <w:p>
      <w:pPr>
        <w:jc w:val="both"/>
        <w:ind w:left="120" w:right="20"/>
        <w:spacing w:after="0" w:line="248" w:lineRule="auto"/>
        <w:rPr>
          <w:sz w:val="20"/>
          <w:szCs w:val="20"/>
          <w:color w:val="auto"/>
        </w:rPr>
      </w:pPr>
      <w:r>
        <w:rPr>
          <w:rFonts w:ascii="Arial" w:cs="Arial" w:eastAsia="Arial" w:hAnsi="Arial"/>
          <w:sz w:val="16"/>
          <w:szCs w:val="16"/>
          <w:color w:val="auto"/>
        </w:rPr>
        <w:t>Shares subject to an award under the Plan that remain unissued upon the cancellation, surrender, exchange, forfeiture or termination of the award without having been exercised or settled will again become available for award under the Plan. In addition, to the extent an award under the Plan is paid or settled in cash, the number of shares of common stock with respect to which such payment or settlement is made shall again be available for grants of awards pursuant to the Plan. Any shares subject to an award under the Plan that are retained by us as payment of the exercise price of an option or to satisfy (A) all tax withholding obligations with respect to a stock option or stock appreciation right, or (B) tax withholding obligations in excess of the minimum required withholding amount with respect to a full value award, and any shares purchased by us using stock option exercise proceeds, will not again be made available for future grants under the Plan. Further, for stock-settled stock appreciation rights (to the extent they are utilized in the future), the shares subject to the award shall be counted against the plan reserve, regardless of the number of shares issued.</w:t>
      </w:r>
    </w:p>
    <w:p>
      <w:pPr>
        <w:spacing w:after="0" w:line="167"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6"/>
          <w:szCs w:val="16"/>
          <w:color w:val="auto"/>
        </w:rPr>
        <w:t>The Plan requires dividends and dividend equivalents (if any) on unvested awards to be held until the underlying award is vested. The Plan adds a minimum one-year vesting requirement to all equity awards with a limited carve out of 5% of the total pool to allow for exceptions, as necessary. The Plan provides a limit on awards to non-employee directors for any calendar year (along with cash retainer and meeting fees).</w:t>
      </w:r>
    </w:p>
    <w:p>
      <w:pPr>
        <w:spacing w:after="0" w:line="161" w:lineRule="exact"/>
        <w:rPr>
          <w:sz w:val="20"/>
          <w:szCs w:val="20"/>
          <w:color w:val="auto"/>
        </w:rPr>
      </w:pPr>
    </w:p>
    <w:p>
      <w:pPr>
        <w:jc w:val="both"/>
        <w:ind w:left="120" w:right="20"/>
        <w:spacing w:after="0" w:line="248" w:lineRule="auto"/>
        <w:rPr>
          <w:sz w:val="20"/>
          <w:szCs w:val="20"/>
          <w:color w:val="auto"/>
        </w:rPr>
      </w:pPr>
      <w:r>
        <w:rPr>
          <w:rFonts w:ascii="Arial" w:cs="Arial" w:eastAsia="Arial" w:hAnsi="Arial"/>
          <w:sz w:val="16"/>
          <w:szCs w:val="16"/>
          <w:color w:val="auto"/>
        </w:rPr>
        <w:t>In addition, if a corporation acquired by (or combined with) Huron or any subsidiary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will not reduce the shares authorized for grant under the Plan. Any such awards may not, however, be made after the date awards or grants could have been made under the terms of the pre-existing plan, absent the acquisition or combination, and may only be made to individuals who were not employees or directors of Huron or any subsidiary prior to such acquisition or combination. Notwithstanding the foregoing, such shares may not increase the number of shares available for awards of incentive stock options unless such additional share limit is approved by the shareholders in accordance with Section 422 of the Code.</w:t>
      </w:r>
    </w:p>
    <w:p>
      <w:pPr>
        <w:spacing w:after="0" w:line="179" w:lineRule="exact"/>
        <w:rPr>
          <w:sz w:val="20"/>
          <w:szCs w:val="20"/>
          <w:color w:val="auto"/>
        </w:rPr>
      </w:pPr>
    </w:p>
    <w:p>
      <w:pPr>
        <w:jc w:val="both"/>
        <w:ind w:left="120" w:right="20"/>
        <w:spacing w:after="0" w:line="260" w:lineRule="auto"/>
        <w:rPr>
          <w:sz w:val="20"/>
          <w:szCs w:val="20"/>
          <w:color w:val="auto"/>
        </w:rPr>
      </w:pPr>
      <w:r>
        <w:rPr>
          <w:rFonts w:ascii="Arial" w:cs="Arial" w:eastAsia="Arial" w:hAnsi="Arial"/>
          <w:sz w:val="16"/>
          <w:szCs w:val="16"/>
          <w:color w:val="auto"/>
        </w:rPr>
        <w:t>The Plan will be administered by the Compensation Committee. Our executive officers and Huron’s other officers, full-time employees numbering approximately 3,800 in total, and outside directors as of March 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71120</wp:posOffset>
            </wp:positionV>
            <wp:extent cx="11226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122680" cy="8890"/>
                    </a:xfrm>
                    <a:prstGeom prst="rect">
                      <a:avLst/>
                    </a:prstGeom>
                    <a:noFill/>
                  </pic:spPr>
                </pic:pic>
              </a:graphicData>
            </a:graphic>
          </wp:anchor>
        </w:drawing>
      </w:r>
    </w:p>
    <w:p>
      <w:pPr>
        <w:spacing w:after="0" w:line="123" w:lineRule="exact"/>
        <w:rPr>
          <w:sz w:val="20"/>
          <w:szCs w:val="20"/>
          <w:color w:val="auto"/>
        </w:rPr>
      </w:pPr>
    </w:p>
    <w:p>
      <w:pPr>
        <w:ind w:left="120"/>
        <w:spacing w:after="0"/>
        <w:rPr>
          <w:sz w:val="20"/>
          <w:szCs w:val="20"/>
          <w:color w:val="auto"/>
        </w:rPr>
      </w:pPr>
      <w:r>
        <w:rPr>
          <w:rFonts w:ascii="Arial" w:cs="Arial" w:eastAsia="Arial" w:hAnsi="Arial"/>
          <w:sz w:val="12"/>
          <w:szCs w:val="12"/>
          <w:i w:val="1"/>
          <w:iCs w:val="1"/>
          <w:color w:val="auto"/>
        </w:rPr>
        <w:t>12  May 8, 2020 Annual Meeting of Stockholders.</w:t>
      </w:r>
    </w:p>
    <w:p>
      <w:pPr>
        <w:spacing w:after="0" w:line="15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00548B"/>
        </w:rPr>
        <w:t>49</w:t>
      </w:r>
    </w:p>
    <w:p>
      <w:pPr>
        <w:sectPr>
          <w:pgSz w:w="11900" w:h="16838" w:orient="portrait"/>
          <w:cols w:equalWidth="0" w:num="1">
            <w:col w:w="11140"/>
          </w:cols>
          <w:pgMar w:left="32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6"/>
          <w:szCs w:val="16"/>
          <w:color w:val="auto"/>
        </w:rPr>
        <w:t>will be eligible to receive awards under the Plan at the discretion of the Compensation Committee. The Compensation Committee has the authority to administer the Plan and to exercise all of the powers and authorities specifically granted to it under the Plan as necessary or advisable in the administration of the Plan, including the authority to:</w:t>
      </w:r>
    </w:p>
    <w:p>
      <w:pPr>
        <w:spacing w:after="0" w:line="201" w:lineRule="exact"/>
        <w:rPr>
          <w:sz w:val="20"/>
          <w:szCs w:val="20"/>
          <w:color w:val="auto"/>
        </w:rPr>
      </w:pPr>
    </w:p>
    <w:p>
      <w:pPr>
        <w:ind w:left="980" w:hanging="432"/>
        <w:spacing w:after="0"/>
        <w:tabs>
          <w:tab w:leader="none" w:pos="980" w:val="left"/>
        </w:tabs>
        <w:numPr>
          <w:ilvl w:val="0"/>
          <w:numId w:val="53"/>
        </w:numPr>
        <w:rPr>
          <w:rFonts w:ascii="Arial" w:cs="Arial" w:eastAsia="Arial" w:hAnsi="Arial"/>
          <w:sz w:val="16"/>
          <w:szCs w:val="16"/>
          <w:color w:val="00548B"/>
        </w:rPr>
      </w:pPr>
      <w:r>
        <w:rPr>
          <w:rFonts w:ascii="Arial" w:cs="Arial" w:eastAsia="Arial" w:hAnsi="Arial"/>
          <w:sz w:val="16"/>
          <w:szCs w:val="16"/>
          <w:color w:val="auto"/>
        </w:rPr>
        <w:t>grant awards;</w:t>
      </w:r>
    </w:p>
    <w:p>
      <w:pPr>
        <w:spacing w:after="0" w:line="5" w:lineRule="exact"/>
        <w:rPr>
          <w:rFonts w:ascii="Arial" w:cs="Arial" w:eastAsia="Arial" w:hAnsi="Arial"/>
          <w:sz w:val="16"/>
          <w:szCs w:val="16"/>
          <w:color w:val="00548B"/>
        </w:rPr>
      </w:pPr>
    </w:p>
    <w:p>
      <w:pPr>
        <w:ind w:left="980" w:hanging="432"/>
        <w:spacing w:after="0"/>
        <w:tabs>
          <w:tab w:leader="none" w:pos="980" w:val="left"/>
        </w:tabs>
        <w:numPr>
          <w:ilvl w:val="0"/>
          <w:numId w:val="53"/>
        </w:numPr>
        <w:rPr>
          <w:rFonts w:ascii="Arial" w:cs="Arial" w:eastAsia="Arial" w:hAnsi="Arial"/>
          <w:sz w:val="16"/>
          <w:szCs w:val="16"/>
          <w:color w:val="00548B"/>
        </w:rPr>
      </w:pPr>
      <w:r>
        <w:rPr>
          <w:rFonts w:ascii="Arial" w:cs="Arial" w:eastAsia="Arial" w:hAnsi="Arial"/>
          <w:sz w:val="16"/>
          <w:szCs w:val="16"/>
          <w:color w:val="auto"/>
        </w:rPr>
        <w:t>determine the individuals to whom, and the time or times at which, awards will be granted;</w:t>
      </w:r>
    </w:p>
    <w:p>
      <w:pPr>
        <w:spacing w:after="0" w:line="5" w:lineRule="exact"/>
        <w:rPr>
          <w:rFonts w:ascii="Arial" w:cs="Arial" w:eastAsia="Arial" w:hAnsi="Arial"/>
          <w:sz w:val="16"/>
          <w:szCs w:val="16"/>
          <w:color w:val="00548B"/>
        </w:rPr>
      </w:pPr>
    </w:p>
    <w:p>
      <w:pPr>
        <w:ind w:left="980" w:right="20" w:hanging="432"/>
        <w:spacing w:after="0" w:line="246" w:lineRule="auto"/>
        <w:tabs>
          <w:tab w:leader="none" w:pos="980" w:val="left"/>
        </w:tabs>
        <w:numPr>
          <w:ilvl w:val="0"/>
          <w:numId w:val="53"/>
        </w:numPr>
        <w:rPr>
          <w:rFonts w:ascii="Arial" w:cs="Arial" w:eastAsia="Arial" w:hAnsi="Arial"/>
          <w:sz w:val="16"/>
          <w:szCs w:val="16"/>
          <w:color w:val="00548B"/>
        </w:rPr>
      </w:pPr>
      <w:r>
        <w:rPr>
          <w:rFonts w:ascii="Arial" w:cs="Arial" w:eastAsia="Arial" w:hAnsi="Arial"/>
          <w:sz w:val="16"/>
          <w:szCs w:val="16"/>
          <w:color w:val="auto"/>
        </w:rPr>
        <w:t>determine the type and number of awards to be granted, the number of shares of common stock or cash or other property to which an award may relate and the terms, conditions, restrictions and performance criteria relating to any award;</w:t>
      </w:r>
    </w:p>
    <w:p>
      <w:pPr>
        <w:ind w:left="980" w:hanging="432"/>
        <w:spacing w:after="0"/>
        <w:tabs>
          <w:tab w:leader="none" w:pos="980" w:val="left"/>
        </w:tabs>
        <w:numPr>
          <w:ilvl w:val="0"/>
          <w:numId w:val="53"/>
        </w:numPr>
        <w:rPr>
          <w:rFonts w:ascii="Arial" w:cs="Arial" w:eastAsia="Arial" w:hAnsi="Arial"/>
          <w:sz w:val="16"/>
          <w:szCs w:val="16"/>
          <w:color w:val="00548B"/>
        </w:rPr>
      </w:pPr>
      <w:r>
        <w:rPr>
          <w:rFonts w:ascii="Arial" w:cs="Arial" w:eastAsia="Arial" w:hAnsi="Arial"/>
          <w:sz w:val="16"/>
          <w:szCs w:val="16"/>
          <w:color w:val="auto"/>
        </w:rPr>
        <w:t>determine whether, to what extent and under what circumstances an award may be settled, cancelled, forfeited, exchanged or surrendered;</w:t>
      </w:r>
    </w:p>
    <w:p>
      <w:pPr>
        <w:spacing w:after="0" w:line="5" w:lineRule="exact"/>
        <w:rPr>
          <w:rFonts w:ascii="Arial" w:cs="Arial" w:eastAsia="Arial" w:hAnsi="Arial"/>
          <w:sz w:val="16"/>
          <w:szCs w:val="16"/>
          <w:color w:val="00548B"/>
        </w:rPr>
      </w:pPr>
    </w:p>
    <w:p>
      <w:pPr>
        <w:ind w:left="980" w:hanging="432"/>
        <w:spacing w:after="0"/>
        <w:tabs>
          <w:tab w:leader="none" w:pos="980" w:val="left"/>
        </w:tabs>
        <w:numPr>
          <w:ilvl w:val="0"/>
          <w:numId w:val="53"/>
        </w:numPr>
        <w:rPr>
          <w:rFonts w:ascii="Arial" w:cs="Arial" w:eastAsia="Arial" w:hAnsi="Arial"/>
          <w:sz w:val="16"/>
          <w:szCs w:val="16"/>
          <w:color w:val="00548B"/>
        </w:rPr>
      </w:pPr>
      <w:r>
        <w:rPr>
          <w:rFonts w:ascii="Arial" w:cs="Arial" w:eastAsia="Arial" w:hAnsi="Arial"/>
          <w:sz w:val="16"/>
          <w:szCs w:val="16"/>
          <w:color w:val="auto"/>
        </w:rPr>
        <w:t>conclusively interpret the Plan and all awards;</w:t>
      </w:r>
    </w:p>
    <w:p>
      <w:pPr>
        <w:spacing w:after="0" w:line="5" w:lineRule="exact"/>
        <w:rPr>
          <w:rFonts w:ascii="Arial" w:cs="Arial" w:eastAsia="Arial" w:hAnsi="Arial"/>
          <w:sz w:val="16"/>
          <w:szCs w:val="16"/>
          <w:color w:val="00548B"/>
        </w:rPr>
      </w:pPr>
    </w:p>
    <w:p>
      <w:pPr>
        <w:ind w:left="980" w:hanging="432"/>
        <w:spacing w:after="0"/>
        <w:tabs>
          <w:tab w:leader="none" w:pos="980" w:val="left"/>
        </w:tabs>
        <w:numPr>
          <w:ilvl w:val="0"/>
          <w:numId w:val="53"/>
        </w:numPr>
        <w:rPr>
          <w:rFonts w:ascii="Arial" w:cs="Arial" w:eastAsia="Arial" w:hAnsi="Arial"/>
          <w:sz w:val="16"/>
          <w:szCs w:val="16"/>
          <w:color w:val="00548B"/>
        </w:rPr>
      </w:pPr>
      <w:r>
        <w:rPr>
          <w:rFonts w:ascii="Arial" w:cs="Arial" w:eastAsia="Arial" w:hAnsi="Arial"/>
          <w:sz w:val="16"/>
          <w:szCs w:val="16"/>
          <w:color w:val="auto"/>
        </w:rPr>
        <w:t>prescribe, amend and rescind rules and regulations relating to the Plan;</w:t>
      </w:r>
    </w:p>
    <w:p>
      <w:pPr>
        <w:spacing w:after="0" w:line="5" w:lineRule="exact"/>
        <w:rPr>
          <w:rFonts w:ascii="Arial" w:cs="Arial" w:eastAsia="Arial" w:hAnsi="Arial"/>
          <w:sz w:val="16"/>
          <w:szCs w:val="16"/>
          <w:color w:val="00548B"/>
        </w:rPr>
      </w:pPr>
    </w:p>
    <w:p>
      <w:pPr>
        <w:ind w:left="980" w:hanging="432"/>
        <w:spacing w:after="0"/>
        <w:tabs>
          <w:tab w:leader="none" w:pos="980" w:val="left"/>
        </w:tabs>
        <w:numPr>
          <w:ilvl w:val="0"/>
          <w:numId w:val="53"/>
        </w:numPr>
        <w:rPr>
          <w:rFonts w:ascii="Arial" w:cs="Arial" w:eastAsia="Arial" w:hAnsi="Arial"/>
          <w:sz w:val="16"/>
          <w:szCs w:val="16"/>
          <w:color w:val="00548B"/>
        </w:rPr>
      </w:pPr>
      <w:r>
        <w:rPr>
          <w:rFonts w:ascii="Arial" w:cs="Arial" w:eastAsia="Arial" w:hAnsi="Arial"/>
          <w:sz w:val="16"/>
          <w:szCs w:val="16"/>
          <w:color w:val="auto"/>
        </w:rPr>
        <w:t>determine the terms and provisions of any award agreements; and</w:t>
      </w:r>
    </w:p>
    <w:p>
      <w:pPr>
        <w:spacing w:after="0" w:line="5" w:lineRule="exact"/>
        <w:rPr>
          <w:rFonts w:ascii="Arial" w:cs="Arial" w:eastAsia="Arial" w:hAnsi="Arial"/>
          <w:sz w:val="16"/>
          <w:szCs w:val="16"/>
          <w:color w:val="00548B"/>
        </w:rPr>
      </w:pPr>
    </w:p>
    <w:p>
      <w:pPr>
        <w:ind w:left="980" w:hanging="432"/>
        <w:spacing w:after="0"/>
        <w:tabs>
          <w:tab w:leader="none" w:pos="980" w:val="left"/>
        </w:tabs>
        <w:numPr>
          <w:ilvl w:val="0"/>
          <w:numId w:val="53"/>
        </w:numPr>
        <w:rPr>
          <w:rFonts w:ascii="Arial" w:cs="Arial" w:eastAsia="Arial" w:hAnsi="Arial"/>
          <w:sz w:val="16"/>
          <w:szCs w:val="16"/>
          <w:color w:val="00548B"/>
        </w:rPr>
      </w:pPr>
      <w:r>
        <w:rPr>
          <w:rFonts w:ascii="Arial" w:cs="Arial" w:eastAsia="Arial" w:hAnsi="Arial"/>
          <w:sz w:val="16"/>
          <w:szCs w:val="16"/>
          <w:color w:val="auto"/>
        </w:rPr>
        <w:t>make all other determinations deemed necessary or advisable for the operation and administration of the Plan.</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Subject to the provisions of the Plan, the Compensation Committee may:</w:t>
      </w:r>
    </w:p>
    <w:p>
      <w:pPr>
        <w:spacing w:after="0" w:line="221" w:lineRule="exact"/>
        <w:rPr>
          <w:sz w:val="20"/>
          <w:szCs w:val="20"/>
          <w:color w:val="auto"/>
        </w:rPr>
      </w:pPr>
    </w:p>
    <w:p>
      <w:pPr>
        <w:ind w:left="980" w:hanging="432"/>
        <w:spacing w:after="0"/>
        <w:tabs>
          <w:tab w:leader="none" w:pos="980" w:val="left"/>
        </w:tabs>
        <w:numPr>
          <w:ilvl w:val="0"/>
          <w:numId w:val="54"/>
        </w:numPr>
        <w:rPr>
          <w:rFonts w:ascii="Arial" w:cs="Arial" w:eastAsia="Arial" w:hAnsi="Arial"/>
          <w:sz w:val="16"/>
          <w:szCs w:val="16"/>
          <w:color w:val="00548B"/>
        </w:rPr>
      </w:pPr>
      <w:r>
        <w:rPr>
          <w:rFonts w:ascii="Arial" w:cs="Arial" w:eastAsia="Arial" w:hAnsi="Arial"/>
          <w:sz w:val="16"/>
          <w:szCs w:val="16"/>
          <w:color w:val="auto"/>
        </w:rPr>
        <w:t>accelerate the date on which any ISO, NQSO or SAR becomes exercisable;</w:t>
      </w:r>
    </w:p>
    <w:p>
      <w:pPr>
        <w:spacing w:after="0" w:line="5" w:lineRule="exact"/>
        <w:rPr>
          <w:rFonts w:ascii="Arial" w:cs="Arial" w:eastAsia="Arial" w:hAnsi="Arial"/>
          <w:sz w:val="16"/>
          <w:szCs w:val="16"/>
          <w:color w:val="00548B"/>
        </w:rPr>
      </w:pPr>
    </w:p>
    <w:p>
      <w:pPr>
        <w:ind w:left="980" w:right="20" w:hanging="432"/>
        <w:spacing w:after="0" w:line="246" w:lineRule="auto"/>
        <w:tabs>
          <w:tab w:leader="none" w:pos="980" w:val="left"/>
        </w:tabs>
        <w:numPr>
          <w:ilvl w:val="0"/>
          <w:numId w:val="54"/>
        </w:numPr>
        <w:rPr>
          <w:rFonts w:ascii="Arial" w:cs="Arial" w:eastAsia="Arial" w:hAnsi="Arial"/>
          <w:sz w:val="16"/>
          <w:szCs w:val="16"/>
          <w:color w:val="00548B"/>
        </w:rPr>
      </w:pPr>
      <w:r>
        <w:rPr>
          <w:rFonts w:ascii="Arial" w:cs="Arial" w:eastAsia="Arial" w:hAnsi="Arial"/>
          <w:sz w:val="16"/>
          <w:szCs w:val="16"/>
          <w:color w:val="auto"/>
        </w:rPr>
        <w:t>waive or amend the operation of the Plan provisions respecting exercise of an option or a SAR after termination of employment to a period no longer than 10 years from the date of grant of the award;</w:t>
      </w:r>
    </w:p>
    <w:p>
      <w:pPr>
        <w:ind w:left="980" w:hanging="432"/>
        <w:spacing w:after="0"/>
        <w:tabs>
          <w:tab w:leader="none" w:pos="980" w:val="left"/>
        </w:tabs>
        <w:numPr>
          <w:ilvl w:val="0"/>
          <w:numId w:val="54"/>
        </w:numPr>
        <w:rPr>
          <w:rFonts w:ascii="Arial" w:cs="Arial" w:eastAsia="Arial" w:hAnsi="Arial"/>
          <w:sz w:val="16"/>
          <w:szCs w:val="16"/>
          <w:color w:val="00548B"/>
        </w:rPr>
      </w:pPr>
      <w:r>
        <w:rPr>
          <w:rFonts w:ascii="Arial" w:cs="Arial" w:eastAsia="Arial" w:hAnsi="Arial"/>
          <w:sz w:val="16"/>
          <w:szCs w:val="16"/>
          <w:color w:val="auto"/>
        </w:rPr>
        <w:t>accelerate the vesting date, or waive any condition imposed by the Plan, with respect to any full value award; and</w:t>
      </w:r>
    </w:p>
    <w:p>
      <w:pPr>
        <w:spacing w:after="0" w:line="5" w:lineRule="exact"/>
        <w:rPr>
          <w:rFonts w:ascii="Arial" w:cs="Arial" w:eastAsia="Arial" w:hAnsi="Arial"/>
          <w:sz w:val="16"/>
          <w:szCs w:val="16"/>
          <w:color w:val="00548B"/>
        </w:rPr>
      </w:pPr>
    </w:p>
    <w:p>
      <w:pPr>
        <w:ind w:left="980" w:hanging="432"/>
        <w:spacing w:after="0"/>
        <w:tabs>
          <w:tab w:leader="none" w:pos="980" w:val="left"/>
        </w:tabs>
        <w:numPr>
          <w:ilvl w:val="0"/>
          <w:numId w:val="54"/>
        </w:numPr>
        <w:rPr>
          <w:rFonts w:ascii="Arial" w:cs="Arial" w:eastAsia="Arial" w:hAnsi="Arial"/>
          <w:sz w:val="16"/>
          <w:szCs w:val="16"/>
          <w:color w:val="00548B"/>
        </w:rPr>
      </w:pPr>
      <w:r>
        <w:rPr>
          <w:rFonts w:ascii="Arial" w:cs="Arial" w:eastAsia="Arial" w:hAnsi="Arial"/>
          <w:sz w:val="16"/>
          <w:szCs w:val="16"/>
          <w:color w:val="auto"/>
        </w:rPr>
        <w:t>otherwise adjust any of the terms applicable to any award in a manner consistent with the terms of the Plan.</w:t>
      </w:r>
    </w:p>
    <w:p>
      <w:pPr>
        <w:spacing w:after="0" w:line="181"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6"/>
          <w:szCs w:val="16"/>
          <w:color w:val="auto"/>
        </w:rPr>
        <w:t>The Compensation Committee may delegate some of its authority under the Plan to one or more of our officers, to act on behalf of the Compensation Committee with respect to any matter that is the responsibility of the Compensation Committee, as described above, and to approve awards for certain other employees.</w:t>
      </w:r>
    </w:p>
    <w:p>
      <w:pPr>
        <w:spacing w:after="0" w:line="161" w:lineRule="exact"/>
        <w:rPr>
          <w:sz w:val="20"/>
          <w:szCs w:val="20"/>
          <w:color w:val="auto"/>
        </w:rPr>
      </w:pPr>
    </w:p>
    <w:p>
      <w:pPr>
        <w:jc w:val="both"/>
        <w:ind w:left="120" w:right="20"/>
        <w:spacing w:after="0" w:line="260" w:lineRule="auto"/>
        <w:rPr>
          <w:sz w:val="20"/>
          <w:szCs w:val="20"/>
          <w:color w:val="auto"/>
        </w:rPr>
      </w:pPr>
      <w:r>
        <w:rPr>
          <w:rFonts w:ascii="Arial" w:cs="Arial" w:eastAsia="Arial" w:hAnsi="Arial"/>
          <w:sz w:val="16"/>
          <w:szCs w:val="16"/>
          <w:color w:val="auto"/>
        </w:rPr>
        <w:t>Our board of directors may suspend or terminate the Plan or revise or amend it in any respect, subject to stockholder approval where required to satisfy legal or applicable stock exchange requirements. No amendment may be made without the approval of our stockholders if such amendment would:</w:t>
      </w:r>
    </w:p>
    <w:p>
      <w:pPr>
        <w:spacing w:after="0" w:line="195" w:lineRule="exact"/>
        <w:rPr>
          <w:sz w:val="20"/>
          <w:szCs w:val="20"/>
          <w:color w:val="auto"/>
        </w:rPr>
      </w:pPr>
    </w:p>
    <w:p>
      <w:pPr>
        <w:ind w:left="980" w:hanging="432"/>
        <w:spacing w:after="0"/>
        <w:tabs>
          <w:tab w:leader="none" w:pos="980" w:val="left"/>
        </w:tabs>
        <w:numPr>
          <w:ilvl w:val="0"/>
          <w:numId w:val="55"/>
        </w:numPr>
        <w:rPr>
          <w:rFonts w:ascii="Arial" w:cs="Arial" w:eastAsia="Arial" w:hAnsi="Arial"/>
          <w:sz w:val="16"/>
          <w:szCs w:val="16"/>
          <w:color w:val="00548B"/>
        </w:rPr>
      </w:pPr>
      <w:r>
        <w:rPr>
          <w:rFonts w:ascii="Arial" w:cs="Arial" w:eastAsia="Arial" w:hAnsi="Arial"/>
          <w:sz w:val="16"/>
          <w:szCs w:val="16"/>
          <w:color w:val="auto"/>
        </w:rPr>
        <w:t>materially increase the benefits accruing to a participant under the Plan;</w:t>
      </w:r>
    </w:p>
    <w:p>
      <w:pPr>
        <w:spacing w:after="0" w:line="5" w:lineRule="exact"/>
        <w:rPr>
          <w:rFonts w:ascii="Arial" w:cs="Arial" w:eastAsia="Arial" w:hAnsi="Arial"/>
          <w:sz w:val="16"/>
          <w:szCs w:val="16"/>
          <w:color w:val="00548B"/>
        </w:rPr>
      </w:pPr>
    </w:p>
    <w:p>
      <w:pPr>
        <w:ind w:left="980" w:hanging="432"/>
        <w:spacing w:after="0"/>
        <w:tabs>
          <w:tab w:leader="none" w:pos="980" w:val="left"/>
        </w:tabs>
        <w:numPr>
          <w:ilvl w:val="0"/>
          <w:numId w:val="55"/>
        </w:numPr>
        <w:rPr>
          <w:rFonts w:ascii="Arial" w:cs="Arial" w:eastAsia="Arial" w:hAnsi="Arial"/>
          <w:sz w:val="16"/>
          <w:szCs w:val="16"/>
          <w:color w:val="00548B"/>
        </w:rPr>
      </w:pPr>
      <w:r>
        <w:rPr>
          <w:rFonts w:ascii="Arial" w:cs="Arial" w:eastAsia="Arial" w:hAnsi="Arial"/>
          <w:sz w:val="16"/>
          <w:szCs w:val="16"/>
          <w:color w:val="auto"/>
        </w:rPr>
        <w:t>increase the aggregate number of shares of common stock that may be issued under the Plan;</w:t>
      </w:r>
    </w:p>
    <w:p>
      <w:pPr>
        <w:spacing w:after="0" w:line="5" w:lineRule="exact"/>
        <w:rPr>
          <w:rFonts w:ascii="Arial" w:cs="Arial" w:eastAsia="Arial" w:hAnsi="Arial"/>
          <w:sz w:val="16"/>
          <w:szCs w:val="16"/>
          <w:color w:val="00548B"/>
        </w:rPr>
      </w:pPr>
    </w:p>
    <w:p>
      <w:pPr>
        <w:ind w:left="980" w:hanging="432"/>
        <w:spacing w:after="0"/>
        <w:tabs>
          <w:tab w:leader="none" w:pos="980" w:val="left"/>
        </w:tabs>
        <w:numPr>
          <w:ilvl w:val="0"/>
          <w:numId w:val="55"/>
        </w:numPr>
        <w:rPr>
          <w:rFonts w:ascii="Arial" w:cs="Arial" w:eastAsia="Arial" w:hAnsi="Arial"/>
          <w:sz w:val="16"/>
          <w:szCs w:val="16"/>
          <w:color w:val="00548B"/>
        </w:rPr>
      </w:pPr>
      <w:r>
        <w:rPr>
          <w:rFonts w:ascii="Arial" w:cs="Arial" w:eastAsia="Arial" w:hAnsi="Arial"/>
          <w:sz w:val="16"/>
          <w:szCs w:val="16"/>
          <w:color w:val="auto"/>
        </w:rPr>
        <w:t>modify the requirements as to eligibility to participate in the Plan; or</w:t>
      </w:r>
    </w:p>
    <w:p>
      <w:pPr>
        <w:spacing w:after="0" w:line="5" w:lineRule="exact"/>
        <w:rPr>
          <w:rFonts w:ascii="Arial" w:cs="Arial" w:eastAsia="Arial" w:hAnsi="Arial"/>
          <w:sz w:val="16"/>
          <w:szCs w:val="16"/>
          <w:color w:val="00548B"/>
        </w:rPr>
      </w:pPr>
    </w:p>
    <w:p>
      <w:pPr>
        <w:ind w:left="980" w:right="20" w:hanging="432"/>
        <w:spacing w:after="0" w:line="260" w:lineRule="auto"/>
        <w:tabs>
          <w:tab w:leader="none" w:pos="980" w:val="left"/>
        </w:tabs>
        <w:numPr>
          <w:ilvl w:val="0"/>
          <w:numId w:val="55"/>
        </w:numPr>
        <w:rPr>
          <w:rFonts w:ascii="Arial" w:cs="Arial" w:eastAsia="Arial" w:hAnsi="Arial"/>
          <w:sz w:val="16"/>
          <w:szCs w:val="16"/>
          <w:color w:val="00548B"/>
        </w:rPr>
      </w:pPr>
      <w:r>
        <w:rPr>
          <w:rFonts w:ascii="Arial" w:cs="Arial" w:eastAsia="Arial" w:hAnsi="Arial"/>
          <w:sz w:val="16"/>
          <w:szCs w:val="16"/>
          <w:color w:val="auto"/>
        </w:rPr>
        <w:t>result in the repricing or buy-back of options where the exercise price of the option is greater than the then current fair market value of a share of common stock (that is, if it is “underwater”).</w:t>
      </w:r>
    </w:p>
    <w:p>
      <w:pPr>
        <w:spacing w:after="0" w:line="168" w:lineRule="exact"/>
        <w:rPr>
          <w:sz w:val="20"/>
          <w:szCs w:val="20"/>
          <w:color w:val="auto"/>
        </w:rPr>
      </w:pPr>
    </w:p>
    <w:p>
      <w:pPr>
        <w:jc w:val="both"/>
        <w:ind w:left="120" w:right="20"/>
        <w:spacing w:after="0" w:line="260" w:lineRule="auto"/>
        <w:rPr>
          <w:sz w:val="20"/>
          <w:szCs w:val="20"/>
          <w:color w:val="auto"/>
        </w:rPr>
      </w:pPr>
      <w:r>
        <w:rPr>
          <w:rFonts w:ascii="Arial" w:cs="Arial" w:eastAsia="Arial" w:hAnsi="Arial"/>
          <w:sz w:val="16"/>
          <w:szCs w:val="16"/>
          <w:color w:val="auto"/>
        </w:rPr>
        <w:t>The Plan will terminate no later than February 13, 2030. Awards granted before the termination of the Plan may extend beyond that date in accordance with their terms.</w:t>
      </w:r>
    </w:p>
    <w:p>
      <w:pPr>
        <w:spacing w:after="0" w:line="155" w:lineRule="exact"/>
        <w:rPr>
          <w:sz w:val="20"/>
          <w:szCs w:val="20"/>
          <w:color w:val="auto"/>
        </w:rPr>
      </w:pPr>
    </w:p>
    <w:p>
      <w:pPr>
        <w:jc w:val="both"/>
        <w:ind w:left="120"/>
        <w:spacing w:after="0" w:line="248" w:lineRule="auto"/>
        <w:rPr>
          <w:sz w:val="20"/>
          <w:szCs w:val="20"/>
          <w:color w:val="auto"/>
        </w:rPr>
      </w:pPr>
      <w:r>
        <w:rPr>
          <w:rFonts w:ascii="Arial" w:cs="Arial" w:eastAsia="Arial" w:hAnsi="Arial"/>
          <w:sz w:val="16"/>
          <w:szCs w:val="16"/>
          <w:color w:val="auto"/>
        </w:rPr>
        <w:t>Notwithstanding the provisions of the Plan, the Compensation Committee may grant awards to persons who are foreign nationals on such terms and conditions different from those specified in the Plan as may be necessary or desirable to foster and promote achievement of the purposes of the Plan, subject in any specific case to applicable requirements, such as stockholder approval. Specifically, the Compensation Committee may make such modifications, amendments, procedures and subplans as may be necessary or advisable to comply with provisions of laws in other countries or jurisdictions in which Huron operates or has employees. Except for adjustments pursuant to the Plan or reductions of the exercise price approved by stockholders, the exercise price of any outstanding option or SAR may not be decreased after the date of grant, nor may an outstanding option or SAR granted under the Plan be surrendered to the Company as consideration for the grant of a replacement option or SAR with a lower exercise price. Except as approved by the Company’s stockholders, in no event may any option or SAR be surrendered to the Company in consideration for a cash payment if, at the time of the surrender, the option or SAR is underwater. Finally, no repricing of an option may be made without the approval of the Company’s stockholders if approval is required under the rules of any stock exchange on which the Company’s common stock is listed.</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00548B"/>
        </w:rPr>
        <w:t>50</w:t>
      </w:r>
    </w:p>
    <w:p>
      <w:pPr>
        <w:sectPr>
          <w:pgSz w:w="11900" w:h="16838" w:orient="portrait"/>
          <w:cols w:equalWidth="0" w:num="1">
            <w:col w:w="11140"/>
          </w:cols>
          <w:pgMar w:left="32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both"/>
        <w:ind w:left="120"/>
        <w:spacing w:after="0" w:line="248" w:lineRule="auto"/>
        <w:rPr>
          <w:sz w:val="20"/>
          <w:szCs w:val="20"/>
          <w:color w:val="auto"/>
        </w:rPr>
      </w:pPr>
      <w:r>
        <w:rPr>
          <w:rFonts w:ascii="Arial" w:cs="Arial" w:eastAsia="Arial" w:hAnsi="Arial"/>
          <w:sz w:val="16"/>
          <w:szCs w:val="16"/>
          <w:color w:val="auto"/>
        </w:rPr>
        <w:t>Vesting terms of any award will be specified at the time an award is made, although vesting of an award will be accelerated if a participant’s employment is terminated by Huron or its successor for reasons other than cause within 12 months of a change of control or if the Plan is terminated within 12 months of a change of control without provision for the continuation of outstanding awards. Unless otherwise determined by the Compensation Committee, if a participant is terminated for cause, all of that person’s outstanding unexercised awards will expire on the date prior to the termination. Except for awards that do not exceed 5% of the total number of shares reserved for issuance under the Plan, in no event will the required period of service for full vesting be less than one year (subject, to the extent provided by the Compensation Committee, to acceleration of vesting in the event of a participant’s death, disability, or change of control).</w:t>
      </w:r>
    </w:p>
    <w:p>
      <w:pPr>
        <w:spacing w:after="0" w:line="181" w:lineRule="exact"/>
        <w:rPr>
          <w:sz w:val="20"/>
          <w:szCs w:val="20"/>
          <w:color w:val="auto"/>
        </w:rPr>
      </w:pPr>
    </w:p>
    <w:p>
      <w:pPr>
        <w:jc w:val="both"/>
        <w:ind w:left="120" w:right="20"/>
        <w:spacing w:after="0" w:line="248" w:lineRule="auto"/>
        <w:rPr>
          <w:sz w:val="20"/>
          <w:szCs w:val="20"/>
          <w:color w:val="auto"/>
        </w:rPr>
      </w:pPr>
      <w:r>
        <w:rPr>
          <w:rFonts w:ascii="Arial" w:cs="Arial" w:eastAsia="Arial" w:hAnsi="Arial"/>
          <w:sz w:val="16"/>
          <w:szCs w:val="16"/>
          <w:color w:val="auto"/>
        </w:rPr>
        <w:t>Under the Plan, the maximum number of shares of stock that may be granted to any participant during any calendar year period with respect to full value awards that are intended to be performance-based compensation shall not exceed 500,000 shares in the aggregate (subject to equitable adjustment as provided). The maximum number of shares of stock to which ISOs relate that may be granted to any participant under the Plan is 325,000 (subject to equitable adjustment as provided). In addition, the maximum amount payable to any person for any 12-month performance period with respect to a cash incentive award that is intended to be performance-based compensation, which we discuss in further detail in the next subsection, is $10,000,000. Finally, for any participant who is an outside director, the aggregate grant date fair value of awards granted to such individual during any calendar year, along with any regular cash retainer or meeting fees paid to such participant during such calendar year, will not exceed $1,500,000.</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548B"/>
        </w:rPr>
        <w:t>Performance Criteria</w:t>
      </w:r>
    </w:p>
    <w:p>
      <w:pPr>
        <w:spacing w:after="0" w:line="25" w:lineRule="exact"/>
        <w:rPr>
          <w:sz w:val="20"/>
          <w:szCs w:val="20"/>
          <w:color w:val="auto"/>
        </w:rPr>
      </w:pPr>
    </w:p>
    <w:p>
      <w:pPr>
        <w:jc w:val="both"/>
        <w:ind w:left="120" w:right="20"/>
        <w:spacing w:after="0" w:line="250" w:lineRule="auto"/>
        <w:rPr>
          <w:sz w:val="20"/>
          <w:szCs w:val="20"/>
          <w:color w:val="auto"/>
        </w:rPr>
      </w:pPr>
      <w:r>
        <w:rPr>
          <w:rFonts w:ascii="Arial" w:cs="Arial" w:eastAsia="Arial" w:hAnsi="Arial"/>
          <w:sz w:val="16"/>
          <w:szCs w:val="16"/>
          <w:color w:val="auto"/>
        </w:rPr>
        <w:t>The exercisability or payment of awards may be based upon one or more of the following business criteria as established by the Compensation Committee:</w:t>
      </w:r>
    </w:p>
    <w:p>
      <w:pPr>
        <w:spacing w:after="0" w:line="200" w:lineRule="exact"/>
        <w:rPr>
          <w:sz w:val="20"/>
          <w:szCs w:val="20"/>
          <w:color w:val="auto"/>
        </w:rPr>
      </w:pPr>
    </w:p>
    <w:p>
      <w:pPr>
        <w:spacing w:after="0" w:line="202" w:lineRule="exact"/>
        <w:rPr>
          <w:sz w:val="20"/>
          <w:szCs w:val="20"/>
          <w:color w:val="auto"/>
        </w:rPr>
      </w:pPr>
    </w:p>
    <w:p>
      <w:pPr>
        <w:ind w:left="980" w:hanging="432"/>
        <w:spacing w:after="0"/>
        <w:tabs>
          <w:tab w:leader="none" w:pos="980" w:val="left"/>
        </w:tabs>
        <w:numPr>
          <w:ilvl w:val="0"/>
          <w:numId w:val="56"/>
        </w:numPr>
        <w:rPr>
          <w:rFonts w:ascii="Arial" w:cs="Arial" w:eastAsia="Arial" w:hAnsi="Arial"/>
          <w:sz w:val="16"/>
          <w:szCs w:val="16"/>
          <w:color w:val="00548B"/>
        </w:rPr>
      </w:pPr>
      <w:r>
        <w:rPr>
          <w:rFonts w:ascii="Arial" w:cs="Arial" w:eastAsia="Arial" w:hAnsi="Arial"/>
          <w:sz w:val="16"/>
          <w:szCs w:val="16"/>
          <w:color w:val="auto"/>
        </w:rPr>
        <w:t>return on total stockholder equity;</w:t>
      </w:r>
    </w:p>
    <w:p>
      <w:pPr>
        <w:spacing w:after="0" w:line="5" w:lineRule="exact"/>
        <w:rPr>
          <w:rFonts w:ascii="Arial" w:cs="Arial" w:eastAsia="Arial" w:hAnsi="Arial"/>
          <w:sz w:val="16"/>
          <w:szCs w:val="16"/>
          <w:color w:val="00548B"/>
        </w:rPr>
      </w:pPr>
    </w:p>
    <w:p>
      <w:pPr>
        <w:ind w:left="980" w:hanging="432"/>
        <w:spacing w:after="0"/>
        <w:tabs>
          <w:tab w:leader="none" w:pos="980" w:val="left"/>
        </w:tabs>
        <w:numPr>
          <w:ilvl w:val="0"/>
          <w:numId w:val="56"/>
        </w:numPr>
        <w:rPr>
          <w:rFonts w:ascii="Arial" w:cs="Arial" w:eastAsia="Arial" w:hAnsi="Arial"/>
          <w:sz w:val="16"/>
          <w:szCs w:val="16"/>
          <w:color w:val="00548B"/>
        </w:rPr>
      </w:pPr>
      <w:r>
        <w:rPr>
          <w:rFonts w:ascii="Arial" w:cs="Arial" w:eastAsia="Arial" w:hAnsi="Arial"/>
          <w:sz w:val="16"/>
          <w:szCs w:val="16"/>
          <w:color w:val="auto"/>
        </w:rPr>
        <w:t>earnings or book value per share of Company common stock (“EPS”);</w:t>
      </w:r>
    </w:p>
    <w:p>
      <w:pPr>
        <w:spacing w:after="0" w:line="5" w:lineRule="exact"/>
        <w:rPr>
          <w:rFonts w:ascii="Arial" w:cs="Arial" w:eastAsia="Arial" w:hAnsi="Arial"/>
          <w:sz w:val="16"/>
          <w:szCs w:val="16"/>
          <w:color w:val="00548B"/>
        </w:rPr>
      </w:pPr>
    </w:p>
    <w:p>
      <w:pPr>
        <w:ind w:left="980" w:hanging="432"/>
        <w:spacing w:after="0"/>
        <w:tabs>
          <w:tab w:leader="none" w:pos="980" w:val="left"/>
        </w:tabs>
        <w:numPr>
          <w:ilvl w:val="0"/>
          <w:numId w:val="56"/>
        </w:numPr>
        <w:rPr>
          <w:rFonts w:ascii="Arial" w:cs="Arial" w:eastAsia="Arial" w:hAnsi="Arial"/>
          <w:sz w:val="16"/>
          <w:szCs w:val="16"/>
          <w:color w:val="00548B"/>
        </w:rPr>
      </w:pPr>
      <w:r>
        <w:rPr>
          <w:rFonts w:ascii="Arial" w:cs="Arial" w:eastAsia="Arial" w:hAnsi="Arial"/>
          <w:sz w:val="16"/>
          <w:szCs w:val="16"/>
          <w:color w:val="auto"/>
        </w:rPr>
        <w:t>adjusted EPS;</w:t>
      </w:r>
    </w:p>
    <w:p>
      <w:pPr>
        <w:spacing w:after="0" w:line="5" w:lineRule="exact"/>
        <w:rPr>
          <w:rFonts w:ascii="Arial" w:cs="Arial" w:eastAsia="Arial" w:hAnsi="Arial"/>
          <w:sz w:val="16"/>
          <w:szCs w:val="16"/>
          <w:color w:val="00548B"/>
        </w:rPr>
      </w:pPr>
    </w:p>
    <w:p>
      <w:pPr>
        <w:ind w:left="980" w:hanging="432"/>
        <w:spacing w:after="0"/>
        <w:tabs>
          <w:tab w:leader="none" w:pos="980" w:val="left"/>
        </w:tabs>
        <w:numPr>
          <w:ilvl w:val="0"/>
          <w:numId w:val="56"/>
        </w:numPr>
        <w:rPr>
          <w:rFonts w:ascii="Arial" w:cs="Arial" w:eastAsia="Arial" w:hAnsi="Arial"/>
          <w:sz w:val="16"/>
          <w:szCs w:val="16"/>
          <w:color w:val="00548B"/>
        </w:rPr>
      </w:pPr>
      <w:r>
        <w:rPr>
          <w:rFonts w:ascii="Arial" w:cs="Arial" w:eastAsia="Arial" w:hAnsi="Arial"/>
          <w:sz w:val="16"/>
          <w:szCs w:val="16"/>
          <w:color w:val="auto"/>
        </w:rPr>
        <w:t>net income (before or after taxes);</w:t>
      </w:r>
    </w:p>
    <w:p>
      <w:pPr>
        <w:spacing w:after="0" w:line="5" w:lineRule="exact"/>
        <w:rPr>
          <w:rFonts w:ascii="Arial" w:cs="Arial" w:eastAsia="Arial" w:hAnsi="Arial"/>
          <w:sz w:val="16"/>
          <w:szCs w:val="16"/>
          <w:color w:val="00548B"/>
        </w:rPr>
      </w:pPr>
    </w:p>
    <w:p>
      <w:pPr>
        <w:ind w:left="980" w:right="20" w:hanging="432"/>
        <w:spacing w:after="0" w:line="246" w:lineRule="auto"/>
        <w:tabs>
          <w:tab w:leader="none" w:pos="980" w:val="left"/>
        </w:tabs>
        <w:numPr>
          <w:ilvl w:val="0"/>
          <w:numId w:val="56"/>
        </w:numPr>
        <w:rPr>
          <w:rFonts w:ascii="Arial" w:cs="Arial" w:eastAsia="Arial" w:hAnsi="Arial"/>
          <w:sz w:val="16"/>
          <w:szCs w:val="16"/>
          <w:color w:val="00548B"/>
        </w:rPr>
      </w:pPr>
      <w:r>
        <w:rPr>
          <w:rFonts w:ascii="Arial" w:cs="Arial" w:eastAsia="Arial" w:hAnsi="Arial"/>
          <w:sz w:val="16"/>
          <w:szCs w:val="16"/>
          <w:color w:val="auto"/>
        </w:rPr>
        <w:t>earnings before all or any interest, taxes, depreciation and/or amortization (“EBIT,” “EBITA” or “EBITDA”) measured as a dollar amount or a percentage of revenue;</w:t>
      </w:r>
    </w:p>
    <w:p>
      <w:pPr>
        <w:ind w:left="980" w:hanging="432"/>
        <w:spacing w:after="0"/>
        <w:tabs>
          <w:tab w:leader="none" w:pos="980" w:val="left"/>
        </w:tabs>
        <w:numPr>
          <w:ilvl w:val="0"/>
          <w:numId w:val="56"/>
        </w:numPr>
        <w:rPr>
          <w:rFonts w:ascii="Arial" w:cs="Arial" w:eastAsia="Arial" w:hAnsi="Arial"/>
          <w:sz w:val="16"/>
          <w:szCs w:val="16"/>
          <w:color w:val="00548B"/>
        </w:rPr>
      </w:pPr>
      <w:r>
        <w:rPr>
          <w:rFonts w:ascii="Arial" w:cs="Arial" w:eastAsia="Arial" w:hAnsi="Arial"/>
          <w:sz w:val="16"/>
          <w:szCs w:val="16"/>
          <w:color w:val="auto"/>
        </w:rPr>
        <w:t>adjusted EBITDA;</w:t>
      </w:r>
    </w:p>
    <w:p>
      <w:pPr>
        <w:spacing w:after="0" w:line="5" w:lineRule="exact"/>
        <w:rPr>
          <w:rFonts w:ascii="Arial" w:cs="Arial" w:eastAsia="Arial" w:hAnsi="Arial"/>
          <w:sz w:val="16"/>
          <w:szCs w:val="16"/>
          <w:color w:val="00548B"/>
        </w:rPr>
      </w:pPr>
    </w:p>
    <w:p>
      <w:pPr>
        <w:ind w:left="980" w:hanging="432"/>
        <w:spacing w:after="0"/>
        <w:tabs>
          <w:tab w:leader="none" w:pos="980" w:val="left"/>
        </w:tabs>
        <w:numPr>
          <w:ilvl w:val="0"/>
          <w:numId w:val="56"/>
        </w:numPr>
        <w:rPr>
          <w:rFonts w:ascii="Arial" w:cs="Arial" w:eastAsia="Arial" w:hAnsi="Arial"/>
          <w:sz w:val="16"/>
          <w:szCs w:val="16"/>
          <w:color w:val="00548B"/>
        </w:rPr>
      </w:pPr>
      <w:r>
        <w:rPr>
          <w:rFonts w:ascii="Arial" w:cs="Arial" w:eastAsia="Arial" w:hAnsi="Arial"/>
          <w:sz w:val="16"/>
          <w:szCs w:val="16"/>
          <w:color w:val="auto"/>
        </w:rPr>
        <w:t>return on assets, capital or investment;</w:t>
      </w:r>
    </w:p>
    <w:p>
      <w:pPr>
        <w:spacing w:after="0" w:line="5" w:lineRule="exact"/>
        <w:rPr>
          <w:rFonts w:ascii="Arial" w:cs="Arial" w:eastAsia="Arial" w:hAnsi="Arial"/>
          <w:sz w:val="16"/>
          <w:szCs w:val="16"/>
          <w:color w:val="00548B"/>
        </w:rPr>
      </w:pPr>
    </w:p>
    <w:p>
      <w:pPr>
        <w:ind w:left="980" w:hanging="432"/>
        <w:spacing w:after="0"/>
        <w:tabs>
          <w:tab w:leader="none" w:pos="980" w:val="left"/>
        </w:tabs>
        <w:numPr>
          <w:ilvl w:val="0"/>
          <w:numId w:val="56"/>
        </w:numPr>
        <w:rPr>
          <w:rFonts w:ascii="Arial" w:cs="Arial" w:eastAsia="Arial" w:hAnsi="Arial"/>
          <w:sz w:val="16"/>
          <w:szCs w:val="16"/>
          <w:color w:val="00548B"/>
        </w:rPr>
      </w:pPr>
      <w:r>
        <w:rPr>
          <w:rFonts w:ascii="Arial" w:cs="Arial" w:eastAsia="Arial" w:hAnsi="Arial"/>
          <w:sz w:val="16"/>
          <w:szCs w:val="16"/>
          <w:color w:val="auto"/>
        </w:rPr>
        <w:t>market share;</w:t>
      </w:r>
    </w:p>
    <w:p>
      <w:pPr>
        <w:spacing w:after="0" w:line="5" w:lineRule="exact"/>
        <w:rPr>
          <w:rFonts w:ascii="Arial" w:cs="Arial" w:eastAsia="Arial" w:hAnsi="Arial"/>
          <w:sz w:val="16"/>
          <w:szCs w:val="16"/>
          <w:color w:val="00548B"/>
        </w:rPr>
      </w:pPr>
    </w:p>
    <w:p>
      <w:pPr>
        <w:ind w:left="980" w:hanging="432"/>
        <w:spacing w:after="0"/>
        <w:tabs>
          <w:tab w:leader="none" w:pos="980" w:val="left"/>
        </w:tabs>
        <w:numPr>
          <w:ilvl w:val="0"/>
          <w:numId w:val="56"/>
        </w:numPr>
        <w:rPr>
          <w:rFonts w:ascii="Arial" w:cs="Arial" w:eastAsia="Arial" w:hAnsi="Arial"/>
          <w:sz w:val="16"/>
          <w:szCs w:val="16"/>
          <w:color w:val="00548B"/>
        </w:rPr>
      </w:pPr>
      <w:r>
        <w:rPr>
          <w:rFonts w:ascii="Arial" w:cs="Arial" w:eastAsia="Arial" w:hAnsi="Arial"/>
          <w:sz w:val="16"/>
          <w:szCs w:val="16"/>
          <w:color w:val="auto"/>
        </w:rPr>
        <w:t>market capitalization;</w:t>
      </w:r>
    </w:p>
    <w:p>
      <w:pPr>
        <w:spacing w:after="0" w:line="5" w:lineRule="exact"/>
        <w:rPr>
          <w:rFonts w:ascii="Arial" w:cs="Arial" w:eastAsia="Arial" w:hAnsi="Arial"/>
          <w:sz w:val="16"/>
          <w:szCs w:val="16"/>
          <w:color w:val="00548B"/>
        </w:rPr>
      </w:pPr>
    </w:p>
    <w:p>
      <w:pPr>
        <w:ind w:left="980" w:hanging="432"/>
        <w:spacing w:after="0"/>
        <w:tabs>
          <w:tab w:leader="none" w:pos="980" w:val="left"/>
        </w:tabs>
        <w:numPr>
          <w:ilvl w:val="0"/>
          <w:numId w:val="56"/>
        </w:numPr>
        <w:rPr>
          <w:rFonts w:ascii="Arial" w:cs="Arial" w:eastAsia="Arial" w:hAnsi="Arial"/>
          <w:sz w:val="16"/>
          <w:szCs w:val="16"/>
          <w:color w:val="00548B"/>
        </w:rPr>
      </w:pPr>
      <w:r>
        <w:rPr>
          <w:rFonts w:ascii="Arial" w:cs="Arial" w:eastAsia="Arial" w:hAnsi="Arial"/>
          <w:sz w:val="16"/>
          <w:szCs w:val="16"/>
          <w:color w:val="auto"/>
        </w:rPr>
        <w:t>cost reduction goals;</w:t>
      </w:r>
    </w:p>
    <w:p>
      <w:pPr>
        <w:spacing w:after="0" w:line="5" w:lineRule="exact"/>
        <w:rPr>
          <w:rFonts w:ascii="Arial" w:cs="Arial" w:eastAsia="Arial" w:hAnsi="Arial"/>
          <w:sz w:val="16"/>
          <w:szCs w:val="16"/>
          <w:color w:val="00548B"/>
        </w:rPr>
      </w:pPr>
    </w:p>
    <w:p>
      <w:pPr>
        <w:ind w:left="980" w:hanging="432"/>
        <w:spacing w:after="0"/>
        <w:tabs>
          <w:tab w:leader="none" w:pos="980" w:val="left"/>
        </w:tabs>
        <w:numPr>
          <w:ilvl w:val="0"/>
          <w:numId w:val="56"/>
        </w:numPr>
        <w:rPr>
          <w:rFonts w:ascii="Arial" w:cs="Arial" w:eastAsia="Arial" w:hAnsi="Arial"/>
          <w:sz w:val="16"/>
          <w:szCs w:val="16"/>
          <w:color w:val="00548B"/>
        </w:rPr>
      </w:pPr>
      <w:r>
        <w:rPr>
          <w:rFonts w:ascii="Arial" w:cs="Arial" w:eastAsia="Arial" w:hAnsi="Arial"/>
          <w:sz w:val="16"/>
          <w:szCs w:val="16"/>
          <w:color w:val="auto"/>
        </w:rPr>
        <w:t>levels of expense, costs or liabilities;</w:t>
      </w:r>
    </w:p>
    <w:p>
      <w:pPr>
        <w:spacing w:after="0" w:line="5" w:lineRule="exact"/>
        <w:rPr>
          <w:rFonts w:ascii="Arial" w:cs="Arial" w:eastAsia="Arial" w:hAnsi="Arial"/>
          <w:sz w:val="16"/>
          <w:szCs w:val="16"/>
          <w:color w:val="00548B"/>
        </w:rPr>
      </w:pPr>
    </w:p>
    <w:p>
      <w:pPr>
        <w:ind w:left="980" w:hanging="432"/>
        <w:spacing w:after="0"/>
        <w:tabs>
          <w:tab w:leader="none" w:pos="980" w:val="left"/>
        </w:tabs>
        <w:numPr>
          <w:ilvl w:val="0"/>
          <w:numId w:val="56"/>
        </w:numPr>
        <w:rPr>
          <w:rFonts w:ascii="Arial" w:cs="Arial" w:eastAsia="Arial" w:hAnsi="Arial"/>
          <w:sz w:val="16"/>
          <w:szCs w:val="16"/>
          <w:color w:val="00548B"/>
        </w:rPr>
      </w:pPr>
      <w:r>
        <w:rPr>
          <w:rFonts w:ascii="Arial" w:cs="Arial" w:eastAsia="Arial" w:hAnsi="Arial"/>
          <w:sz w:val="16"/>
          <w:szCs w:val="16"/>
          <w:color w:val="auto"/>
        </w:rPr>
        <w:t>department, division or business unit level performance;</w:t>
      </w:r>
    </w:p>
    <w:p>
      <w:pPr>
        <w:spacing w:after="0" w:line="5" w:lineRule="exact"/>
        <w:rPr>
          <w:rFonts w:ascii="Arial" w:cs="Arial" w:eastAsia="Arial" w:hAnsi="Arial"/>
          <w:sz w:val="16"/>
          <w:szCs w:val="16"/>
          <w:color w:val="00548B"/>
        </w:rPr>
      </w:pPr>
    </w:p>
    <w:p>
      <w:pPr>
        <w:ind w:left="980" w:hanging="432"/>
        <w:spacing w:after="0"/>
        <w:tabs>
          <w:tab w:leader="none" w:pos="980" w:val="left"/>
        </w:tabs>
        <w:numPr>
          <w:ilvl w:val="0"/>
          <w:numId w:val="56"/>
        </w:numPr>
        <w:rPr>
          <w:rFonts w:ascii="Arial" w:cs="Arial" w:eastAsia="Arial" w:hAnsi="Arial"/>
          <w:sz w:val="16"/>
          <w:szCs w:val="16"/>
          <w:color w:val="00548B"/>
        </w:rPr>
      </w:pPr>
      <w:r>
        <w:rPr>
          <w:rFonts w:ascii="Arial" w:cs="Arial" w:eastAsia="Arial" w:hAnsi="Arial"/>
          <w:sz w:val="16"/>
          <w:szCs w:val="16"/>
          <w:color w:val="auto"/>
        </w:rPr>
        <w:t>operating income;</w:t>
      </w:r>
    </w:p>
    <w:p>
      <w:pPr>
        <w:spacing w:after="0" w:line="5" w:lineRule="exact"/>
        <w:rPr>
          <w:rFonts w:ascii="Arial" w:cs="Arial" w:eastAsia="Arial" w:hAnsi="Arial"/>
          <w:sz w:val="16"/>
          <w:szCs w:val="16"/>
          <w:color w:val="00548B"/>
        </w:rPr>
      </w:pPr>
    </w:p>
    <w:p>
      <w:pPr>
        <w:ind w:left="980" w:hanging="432"/>
        <w:spacing w:after="0"/>
        <w:tabs>
          <w:tab w:leader="none" w:pos="980" w:val="left"/>
        </w:tabs>
        <w:numPr>
          <w:ilvl w:val="0"/>
          <w:numId w:val="56"/>
        </w:numPr>
        <w:rPr>
          <w:rFonts w:ascii="Arial" w:cs="Arial" w:eastAsia="Arial" w:hAnsi="Arial"/>
          <w:sz w:val="16"/>
          <w:szCs w:val="16"/>
          <w:color w:val="00548B"/>
        </w:rPr>
      </w:pPr>
      <w:r>
        <w:rPr>
          <w:rFonts w:ascii="Arial" w:cs="Arial" w:eastAsia="Arial" w:hAnsi="Arial"/>
          <w:sz w:val="16"/>
          <w:szCs w:val="16"/>
          <w:color w:val="auto"/>
        </w:rPr>
        <w:t>sales or revenues;</w:t>
      </w:r>
    </w:p>
    <w:p>
      <w:pPr>
        <w:spacing w:after="0" w:line="5" w:lineRule="exact"/>
        <w:rPr>
          <w:rFonts w:ascii="Arial" w:cs="Arial" w:eastAsia="Arial" w:hAnsi="Arial"/>
          <w:sz w:val="16"/>
          <w:szCs w:val="16"/>
          <w:color w:val="00548B"/>
        </w:rPr>
      </w:pPr>
    </w:p>
    <w:p>
      <w:pPr>
        <w:ind w:left="980" w:hanging="432"/>
        <w:spacing w:after="0"/>
        <w:tabs>
          <w:tab w:leader="none" w:pos="980" w:val="left"/>
        </w:tabs>
        <w:numPr>
          <w:ilvl w:val="0"/>
          <w:numId w:val="56"/>
        </w:numPr>
        <w:rPr>
          <w:rFonts w:ascii="Arial" w:cs="Arial" w:eastAsia="Arial" w:hAnsi="Arial"/>
          <w:sz w:val="16"/>
          <w:szCs w:val="16"/>
          <w:color w:val="00548B"/>
        </w:rPr>
      </w:pPr>
      <w:r>
        <w:rPr>
          <w:rFonts w:ascii="Arial" w:cs="Arial" w:eastAsia="Arial" w:hAnsi="Arial"/>
          <w:sz w:val="16"/>
          <w:szCs w:val="16"/>
          <w:color w:val="auto"/>
        </w:rPr>
        <w:t>stock price appreciation;</w:t>
      </w:r>
    </w:p>
    <w:p>
      <w:pPr>
        <w:spacing w:after="0" w:line="5" w:lineRule="exact"/>
        <w:rPr>
          <w:rFonts w:ascii="Arial" w:cs="Arial" w:eastAsia="Arial" w:hAnsi="Arial"/>
          <w:sz w:val="16"/>
          <w:szCs w:val="16"/>
          <w:color w:val="00548B"/>
        </w:rPr>
      </w:pPr>
    </w:p>
    <w:p>
      <w:pPr>
        <w:ind w:left="980" w:hanging="432"/>
        <w:spacing w:after="0"/>
        <w:tabs>
          <w:tab w:leader="none" w:pos="980" w:val="left"/>
        </w:tabs>
        <w:numPr>
          <w:ilvl w:val="0"/>
          <w:numId w:val="56"/>
        </w:numPr>
        <w:rPr>
          <w:rFonts w:ascii="Arial" w:cs="Arial" w:eastAsia="Arial" w:hAnsi="Arial"/>
          <w:sz w:val="16"/>
          <w:szCs w:val="16"/>
          <w:color w:val="00548B"/>
        </w:rPr>
      </w:pPr>
      <w:r>
        <w:rPr>
          <w:rFonts w:ascii="Arial" w:cs="Arial" w:eastAsia="Arial" w:hAnsi="Arial"/>
          <w:sz w:val="16"/>
          <w:szCs w:val="16"/>
          <w:color w:val="auto"/>
        </w:rPr>
        <w:t>total stockholder return (TSR);</w:t>
      </w:r>
    </w:p>
    <w:p>
      <w:pPr>
        <w:spacing w:after="0" w:line="5" w:lineRule="exact"/>
        <w:rPr>
          <w:rFonts w:ascii="Arial" w:cs="Arial" w:eastAsia="Arial" w:hAnsi="Arial"/>
          <w:sz w:val="16"/>
          <w:szCs w:val="16"/>
          <w:color w:val="00548B"/>
        </w:rPr>
      </w:pPr>
    </w:p>
    <w:p>
      <w:pPr>
        <w:ind w:left="980" w:hanging="432"/>
        <w:spacing w:after="0"/>
        <w:tabs>
          <w:tab w:leader="none" w:pos="980" w:val="left"/>
        </w:tabs>
        <w:numPr>
          <w:ilvl w:val="0"/>
          <w:numId w:val="56"/>
        </w:numPr>
        <w:rPr>
          <w:rFonts w:ascii="Arial" w:cs="Arial" w:eastAsia="Arial" w:hAnsi="Arial"/>
          <w:sz w:val="16"/>
          <w:szCs w:val="16"/>
          <w:color w:val="00548B"/>
        </w:rPr>
      </w:pPr>
      <w:r>
        <w:rPr>
          <w:rFonts w:ascii="Arial" w:cs="Arial" w:eastAsia="Arial" w:hAnsi="Arial"/>
          <w:sz w:val="16"/>
          <w:szCs w:val="16"/>
          <w:color w:val="auto"/>
        </w:rPr>
        <w:t>implementation or completion of critical projects or processes;</w:t>
      </w:r>
    </w:p>
    <w:p>
      <w:pPr>
        <w:spacing w:after="0" w:line="5" w:lineRule="exact"/>
        <w:rPr>
          <w:rFonts w:ascii="Arial" w:cs="Arial" w:eastAsia="Arial" w:hAnsi="Arial"/>
          <w:sz w:val="16"/>
          <w:szCs w:val="16"/>
          <w:color w:val="00548B"/>
        </w:rPr>
      </w:pPr>
    </w:p>
    <w:p>
      <w:pPr>
        <w:ind w:left="980" w:hanging="432"/>
        <w:spacing w:after="0"/>
        <w:tabs>
          <w:tab w:leader="none" w:pos="980" w:val="left"/>
        </w:tabs>
        <w:numPr>
          <w:ilvl w:val="0"/>
          <w:numId w:val="56"/>
        </w:numPr>
        <w:rPr>
          <w:rFonts w:ascii="Arial" w:cs="Arial" w:eastAsia="Arial" w:hAnsi="Arial"/>
          <w:sz w:val="16"/>
          <w:szCs w:val="16"/>
          <w:color w:val="00548B"/>
        </w:rPr>
      </w:pPr>
      <w:r>
        <w:rPr>
          <w:rFonts w:ascii="Arial" w:cs="Arial" w:eastAsia="Arial" w:hAnsi="Arial"/>
          <w:sz w:val="16"/>
          <w:szCs w:val="16"/>
          <w:color w:val="auto"/>
        </w:rPr>
        <w:t>days sales outstanding (DSO);</w:t>
      </w:r>
    </w:p>
    <w:p>
      <w:pPr>
        <w:spacing w:after="0" w:line="5" w:lineRule="exact"/>
        <w:rPr>
          <w:rFonts w:ascii="Arial" w:cs="Arial" w:eastAsia="Arial" w:hAnsi="Arial"/>
          <w:sz w:val="16"/>
          <w:szCs w:val="16"/>
          <w:color w:val="00548B"/>
        </w:rPr>
      </w:pPr>
    </w:p>
    <w:p>
      <w:pPr>
        <w:ind w:left="980" w:hanging="432"/>
        <w:spacing w:after="0"/>
        <w:tabs>
          <w:tab w:leader="none" w:pos="980" w:val="left"/>
        </w:tabs>
        <w:numPr>
          <w:ilvl w:val="0"/>
          <w:numId w:val="56"/>
        </w:numPr>
        <w:rPr>
          <w:rFonts w:ascii="Arial" w:cs="Arial" w:eastAsia="Arial" w:hAnsi="Arial"/>
          <w:sz w:val="16"/>
          <w:szCs w:val="16"/>
          <w:color w:val="00548B"/>
        </w:rPr>
      </w:pPr>
      <w:r>
        <w:rPr>
          <w:rFonts w:ascii="Arial" w:cs="Arial" w:eastAsia="Arial" w:hAnsi="Arial"/>
          <w:sz w:val="16"/>
          <w:szCs w:val="16"/>
          <w:color w:val="auto"/>
        </w:rPr>
        <w:t>financial coverage ratios;</w:t>
      </w:r>
    </w:p>
    <w:p>
      <w:pPr>
        <w:spacing w:after="0" w:line="5" w:lineRule="exact"/>
        <w:rPr>
          <w:rFonts w:ascii="Arial" w:cs="Arial" w:eastAsia="Arial" w:hAnsi="Arial"/>
          <w:sz w:val="16"/>
          <w:szCs w:val="16"/>
          <w:color w:val="00548B"/>
        </w:rPr>
      </w:pPr>
    </w:p>
    <w:p>
      <w:pPr>
        <w:ind w:left="980" w:hanging="432"/>
        <w:spacing w:after="0"/>
        <w:tabs>
          <w:tab w:leader="none" w:pos="980" w:val="left"/>
        </w:tabs>
        <w:numPr>
          <w:ilvl w:val="0"/>
          <w:numId w:val="56"/>
        </w:numPr>
        <w:rPr>
          <w:rFonts w:ascii="Arial" w:cs="Arial" w:eastAsia="Arial" w:hAnsi="Arial"/>
          <w:sz w:val="16"/>
          <w:szCs w:val="16"/>
          <w:color w:val="00548B"/>
        </w:rPr>
      </w:pPr>
      <w:r>
        <w:rPr>
          <w:rFonts w:ascii="Arial" w:cs="Arial" w:eastAsia="Arial" w:hAnsi="Arial"/>
          <w:sz w:val="16"/>
          <w:szCs w:val="16"/>
          <w:color w:val="auto"/>
        </w:rPr>
        <w:t>other non-GAAP financial measures; and</w:t>
      </w:r>
    </w:p>
    <w:p>
      <w:pPr>
        <w:spacing w:after="0" w:line="5" w:lineRule="exact"/>
        <w:rPr>
          <w:rFonts w:ascii="Arial" w:cs="Arial" w:eastAsia="Arial" w:hAnsi="Arial"/>
          <w:sz w:val="16"/>
          <w:szCs w:val="16"/>
          <w:color w:val="00548B"/>
        </w:rPr>
      </w:pPr>
    </w:p>
    <w:p>
      <w:pPr>
        <w:ind w:left="980" w:hanging="432"/>
        <w:spacing w:after="0"/>
        <w:tabs>
          <w:tab w:leader="none" w:pos="980" w:val="left"/>
        </w:tabs>
        <w:numPr>
          <w:ilvl w:val="0"/>
          <w:numId w:val="56"/>
        </w:numPr>
        <w:rPr>
          <w:rFonts w:ascii="Arial" w:cs="Arial" w:eastAsia="Arial" w:hAnsi="Arial"/>
          <w:sz w:val="16"/>
          <w:szCs w:val="16"/>
          <w:color w:val="00548B"/>
        </w:rPr>
      </w:pPr>
      <w:r>
        <w:rPr>
          <w:rFonts w:ascii="Arial" w:cs="Arial" w:eastAsia="Arial" w:hAnsi="Arial"/>
          <w:sz w:val="16"/>
          <w:szCs w:val="16"/>
          <w:color w:val="auto"/>
        </w:rPr>
        <w:t>any combination of the foregoing.</w:t>
      </w:r>
    </w:p>
    <w:p>
      <w:pPr>
        <w:spacing w:after="0" w:line="181" w:lineRule="exact"/>
        <w:rPr>
          <w:sz w:val="20"/>
          <w:szCs w:val="20"/>
          <w:color w:val="auto"/>
        </w:rPr>
      </w:pPr>
    </w:p>
    <w:p>
      <w:pPr>
        <w:jc w:val="both"/>
        <w:ind w:left="120"/>
        <w:spacing w:after="0" w:line="250" w:lineRule="auto"/>
        <w:rPr>
          <w:sz w:val="20"/>
          <w:szCs w:val="20"/>
          <w:color w:val="auto"/>
        </w:rPr>
      </w:pPr>
      <w:r>
        <w:rPr>
          <w:rFonts w:ascii="Arial" w:cs="Arial" w:eastAsia="Arial" w:hAnsi="Arial"/>
          <w:sz w:val="16"/>
          <w:szCs w:val="16"/>
          <w:color w:val="auto"/>
        </w:rPr>
        <w:t>These business criteria may be applied to results including or excluding discontinued operations, expressed in terms of attaining a specified level of the particular criteria or the attainment of a percentage increase or decrease in the particular criteria, and may be applied to one or more of the Company, an affiliate of the Company, or a department, division or strategic business unit of the Company and/or one or more affiliates of the Company. The business criteria also may be applied to the performance of the Company and/or one or more affiliates of the Company relative to a market index, a group of other companies or a combination thereof, as determined by the Compensation Committee. The business criteria may be subject to:</w:t>
      </w:r>
    </w:p>
    <w:p>
      <w:pPr>
        <w:spacing w:after="0" w:line="203" w:lineRule="exact"/>
        <w:rPr>
          <w:sz w:val="20"/>
          <w:szCs w:val="20"/>
          <w:color w:val="auto"/>
        </w:rPr>
      </w:pPr>
    </w:p>
    <w:p>
      <w:pPr>
        <w:ind w:left="980" w:hanging="432"/>
        <w:spacing w:after="0"/>
        <w:tabs>
          <w:tab w:leader="none" w:pos="980" w:val="left"/>
        </w:tabs>
        <w:numPr>
          <w:ilvl w:val="0"/>
          <w:numId w:val="57"/>
        </w:numPr>
        <w:rPr>
          <w:rFonts w:ascii="Arial" w:cs="Arial" w:eastAsia="Arial" w:hAnsi="Arial"/>
          <w:sz w:val="16"/>
          <w:szCs w:val="16"/>
          <w:color w:val="00548B"/>
        </w:rPr>
      </w:pPr>
      <w:r>
        <w:rPr>
          <w:rFonts w:ascii="Arial" w:cs="Arial" w:eastAsia="Arial" w:hAnsi="Arial"/>
          <w:sz w:val="16"/>
          <w:szCs w:val="16"/>
          <w:color w:val="auto"/>
        </w:rPr>
        <w:t>a threshold level of performance below which no payment will be made (or no vesting will occur);</w:t>
      </w:r>
    </w:p>
    <w:p>
      <w:pPr>
        <w:spacing w:after="0" w:line="150" w:lineRule="exact"/>
        <w:rPr>
          <w:rFonts w:ascii="Arial" w:cs="Arial" w:eastAsia="Arial" w:hAnsi="Arial"/>
          <w:sz w:val="16"/>
          <w:szCs w:val="16"/>
          <w:color w:val="00548B"/>
        </w:rPr>
      </w:pPr>
    </w:p>
    <w:p>
      <w:pPr>
        <w:ind w:left="5520"/>
        <w:spacing w:after="0"/>
        <w:rPr>
          <w:rFonts w:ascii="Arial" w:cs="Arial" w:eastAsia="Arial" w:hAnsi="Arial"/>
          <w:sz w:val="16"/>
          <w:szCs w:val="16"/>
          <w:color w:val="00548B"/>
        </w:rPr>
      </w:pPr>
      <w:r>
        <w:rPr>
          <w:rFonts w:ascii="Arial" w:cs="Arial" w:eastAsia="Arial" w:hAnsi="Arial"/>
          <w:sz w:val="18"/>
          <w:szCs w:val="18"/>
          <w:color w:val="00548B"/>
        </w:rPr>
        <w:t>51</w:t>
      </w:r>
    </w:p>
    <w:p>
      <w:pPr>
        <w:sectPr>
          <w:pgSz w:w="11900" w:h="16838" w:orient="portrait"/>
          <w:cols w:equalWidth="0" w:num="1">
            <w:col w:w="11140"/>
          </w:cols>
          <w:pgMar w:left="32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980" w:hanging="432"/>
        <w:spacing w:after="0"/>
        <w:tabs>
          <w:tab w:leader="none" w:pos="980" w:val="left"/>
        </w:tabs>
        <w:numPr>
          <w:ilvl w:val="0"/>
          <w:numId w:val="58"/>
        </w:numPr>
        <w:rPr>
          <w:rFonts w:ascii="Arial" w:cs="Arial" w:eastAsia="Arial" w:hAnsi="Arial"/>
          <w:sz w:val="16"/>
          <w:szCs w:val="16"/>
          <w:color w:val="00548B"/>
        </w:rPr>
      </w:pPr>
      <w:r>
        <w:rPr>
          <w:rFonts w:ascii="Arial" w:cs="Arial" w:eastAsia="Arial" w:hAnsi="Arial"/>
          <w:sz w:val="16"/>
          <w:szCs w:val="16"/>
          <w:color w:val="auto"/>
        </w:rPr>
        <w:t>levels of performance at which specified payments will be made (or specified vesting will occur); and</w:t>
      </w:r>
    </w:p>
    <w:p>
      <w:pPr>
        <w:spacing w:after="0" w:line="5" w:lineRule="exact"/>
        <w:rPr>
          <w:rFonts w:ascii="Arial" w:cs="Arial" w:eastAsia="Arial" w:hAnsi="Arial"/>
          <w:sz w:val="16"/>
          <w:szCs w:val="16"/>
          <w:color w:val="00548B"/>
        </w:rPr>
      </w:pPr>
    </w:p>
    <w:p>
      <w:pPr>
        <w:ind w:left="980" w:hanging="432"/>
        <w:spacing w:after="0"/>
        <w:tabs>
          <w:tab w:leader="none" w:pos="980" w:val="left"/>
        </w:tabs>
        <w:numPr>
          <w:ilvl w:val="0"/>
          <w:numId w:val="58"/>
        </w:numPr>
        <w:rPr>
          <w:rFonts w:ascii="Arial" w:cs="Arial" w:eastAsia="Arial" w:hAnsi="Arial"/>
          <w:sz w:val="16"/>
          <w:szCs w:val="16"/>
          <w:color w:val="00548B"/>
        </w:rPr>
      </w:pPr>
      <w:r>
        <w:rPr>
          <w:rFonts w:ascii="Arial" w:cs="Arial" w:eastAsia="Arial" w:hAnsi="Arial"/>
          <w:sz w:val="16"/>
          <w:szCs w:val="16"/>
          <w:color w:val="auto"/>
        </w:rPr>
        <w:t>a maximum level of performance above which no additional payment will be made (or at which full vesting will occur).</w:t>
      </w:r>
    </w:p>
    <w:p>
      <w:pPr>
        <w:spacing w:after="0" w:line="194"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6"/>
          <w:szCs w:val="16"/>
          <w:color w:val="auto"/>
        </w:rPr>
        <w:t>Each of the business criteria will be determined, where applicable, in accordance with generally accepted accounting principles and will be subject to certification by the Compensation Committee. The Compensation Committee has the authority to make equitable adjustments to the business criteria in recognition of:</w:t>
      </w:r>
    </w:p>
    <w:p>
      <w:pPr>
        <w:spacing w:after="0" w:line="201" w:lineRule="exact"/>
        <w:rPr>
          <w:sz w:val="20"/>
          <w:szCs w:val="20"/>
          <w:color w:val="auto"/>
        </w:rPr>
      </w:pPr>
    </w:p>
    <w:p>
      <w:pPr>
        <w:ind w:left="980" w:hanging="432"/>
        <w:spacing w:after="0" w:line="246" w:lineRule="auto"/>
        <w:tabs>
          <w:tab w:leader="none" w:pos="980" w:val="left"/>
        </w:tabs>
        <w:numPr>
          <w:ilvl w:val="0"/>
          <w:numId w:val="59"/>
        </w:numPr>
        <w:rPr>
          <w:rFonts w:ascii="Arial" w:cs="Arial" w:eastAsia="Arial" w:hAnsi="Arial"/>
          <w:sz w:val="16"/>
          <w:szCs w:val="16"/>
          <w:color w:val="00548B"/>
        </w:rPr>
      </w:pPr>
      <w:r>
        <w:rPr>
          <w:rFonts w:ascii="Arial" w:cs="Arial" w:eastAsia="Arial" w:hAnsi="Arial"/>
          <w:sz w:val="16"/>
          <w:szCs w:val="16"/>
          <w:color w:val="auto"/>
        </w:rPr>
        <w:t>special, unusual or non-recurring events affecting the Company or any of its affiliates or the financial statements of the Company or any of its affiliates;</w:t>
      </w:r>
    </w:p>
    <w:p>
      <w:pPr>
        <w:ind w:left="980" w:hanging="432"/>
        <w:spacing w:after="0"/>
        <w:tabs>
          <w:tab w:leader="none" w:pos="980" w:val="left"/>
        </w:tabs>
        <w:numPr>
          <w:ilvl w:val="0"/>
          <w:numId w:val="59"/>
        </w:numPr>
        <w:rPr>
          <w:rFonts w:ascii="Arial" w:cs="Arial" w:eastAsia="Arial" w:hAnsi="Arial"/>
          <w:sz w:val="16"/>
          <w:szCs w:val="16"/>
          <w:color w:val="00548B"/>
        </w:rPr>
      </w:pPr>
      <w:r>
        <w:rPr>
          <w:rFonts w:ascii="Arial" w:cs="Arial" w:eastAsia="Arial" w:hAnsi="Arial"/>
          <w:sz w:val="16"/>
          <w:szCs w:val="16"/>
          <w:color w:val="auto"/>
        </w:rPr>
        <w:t>changes in applicable laws or regulations;</w:t>
      </w:r>
    </w:p>
    <w:p>
      <w:pPr>
        <w:spacing w:after="0" w:line="5" w:lineRule="exact"/>
        <w:rPr>
          <w:rFonts w:ascii="Arial" w:cs="Arial" w:eastAsia="Arial" w:hAnsi="Arial"/>
          <w:sz w:val="16"/>
          <w:szCs w:val="16"/>
          <w:color w:val="00548B"/>
        </w:rPr>
      </w:pPr>
    </w:p>
    <w:p>
      <w:pPr>
        <w:ind w:left="980" w:right="20" w:hanging="432"/>
        <w:spacing w:after="0" w:line="246" w:lineRule="auto"/>
        <w:tabs>
          <w:tab w:leader="none" w:pos="980" w:val="left"/>
        </w:tabs>
        <w:numPr>
          <w:ilvl w:val="0"/>
          <w:numId w:val="59"/>
        </w:numPr>
        <w:rPr>
          <w:rFonts w:ascii="Arial" w:cs="Arial" w:eastAsia="Arial" w:hAnsi="Arial"/>
          <w:sz w:val="16"/>
          <w:szCs w:val="16"/>
          <w:color w:val="00548B"/>
        </w:rPr>
      </w:pPr>
      <w:r>
        <w:rPr>
          <w:rFonts w:ascii="Arial" w:cs="Arial" w:eastAsia="Arial" w:hAnsi="Arial"/>
          <w:sz w:val="16"/>
          <w:szCs w:val="16"/>
          <w:color w:val="auto"/>
        </w:rPr>
        <w:t>gains, losses or expenses determined to be extraordinary or unusual in nature or infrequent in occurrence or related to the disposal of a segment of a business or related to a change in accounting principles;</w:t>
      </w:r>
    </w:p>
    <w:p>
      <w:pPr>
        <w:ind w:left="980" w:hanging="432"/>
        <w:spacing w:after="0"/>
        <w:tabs>
          <w:tab w:leader="none" w:pos="980" w:val="left"/>
        </w:tabs>
        <w:numPr>
          <w:ilvl w:val="0"/>
          <w:numId w:val="59"/>
        </w:numPr>
        <w:rPr>
          <w:rFonts w:ascii="Arial" w:cs="Arial" w:eastAsia="Arial" w:hAnsi="Arial"/>
          <w:sz w:val="16"/>
          <w:szCs w:val="16"/>
          <w:color w:val="00548B"/>
        </w:rPr>
      </w:pPr>
      <w:r>
        <w:rPr>
          <w:rFonts w:ascii="Arial" w:cs="Arial" w:eastAsia="Arial" w:hAnsi="Arial"/>
          <w:sz w:val="16"/>
          <w:szCs w:val="16"/>
          <w:color w:val="auto"/>
        </w:rPr>
        <w:t>asset write-downs;</w:t>
      </w:r>
    </w:p>
    <w:p>
      <w:pPr>
        <w:spacing w:after="0" w:line="5" w:lineRule="exact"/>
        <w:rPr>
          <w:rFonts w:ascii="Arial" w:cs="Arial" w:eastAsia="Arial" w:hAnsi="Arial"/>
          <w:sz w:val="16"/>
          <w:szCs w:val="16"/>
          <w:color w:val="00548B"/>
        </w:rPr>
      </w:pPr>
    </w:p>
    <w:p>
      <w:pPr>
        <w:ind w:left="980" w:hanging="432"/>
        <w:spacing w:after="0"/>
        <w:tabs>
          <w:tab w:leader="none" w:pos="980" w:val="left"/>
        </w:tabs>
        <w:numPr>
          <w:ilvl w:val="0"/>
          <w:numId w:val="59"/>
        </w:numPr>
        <w:rPr>
          <w:rFonts w:ascii="Arial" w:cs="Arial" w:eastAsia="Arial" w:hAnsi="Arial"/>
          <w:sz w:val="16"/>
          <w:szCs w:val="16"/>
          <w:color w:val="00548B"/>
        </w:rPr>
      </w:pPr>
      <w:r>
        <w:rPr>
          <w:rFonts w:ascii="Arial" w:cs="Arial" w:eastAsia="Arial" w:hAnsi="Arial"/>
          <w:sz w:val="16"/>
          <w:szCs w:val="16"/>
          <w:color w:val="auto"/>
        </w:rPr>
        <w:t>litigation, claim judgments, settlements or restatement related expenses;</w:t>
      </w:r>
    </w:p>
    <w:p>
      <w:pPr>
        <w:spacing w:after="0" w:line="5" w:lineRule="exact"/>
        <w:rPr>
          <w:rFonts w:ascii="Arial" w:cs="Arial" w:eastAsia="Arial" w:hAnsi="Arial"/>
          <w:sz w:val="16"/>
          <w:szCs w:val="16"/>
          <w:color w:val="00548B"/>
        </w:rPr>
      </w:pPr>
    </w:p>
    <w:p>
      <w:pPr>
        <w:ind w:left="980" w:hanging="432"/>
        <w:spacing w:after="0"/>
        <w:tabs>
          <w:tab w:leader="none" w:pos="980" w:val="left"/>
        </w:tabs>
        <w:numPr>
          <w:ilvl w:val="0"/>
          <w:numId w:val="59"/>
        </w:numPr>
        <w:rPr>
          <w:rFonts w:ascii="Arial" w:cs="Arial" w:eastAsia="Arial" w:hAnsi="Arial"/>
          <w:sz w:val="16"/>
          <w:szCs w:val="16"/>
          <w:color w:val="00548B"/>
        </w:rPr>
      </w:pPr>
      <w:r>
        <w:rPr>
          <w:rFonts w:ascii="Arial" w:cs="Arial" w:eastAsia="Arial" w:hAnsi="Arial"/>
          <w:sz w:val="16"/>
          <w:szCs w:val="16"/>
          <w:color w:val="auto"/>
        </w:rPr>
        <w:t>accruals for reorganization and restructuring programs;</w:t>
      </w:r>
    </w:p>
    <w:p>
      <w:pPr>
        <w:spacing w:after="0" w:line="5" w:lineRule="exact"/>
        <w:rPr>
          <w:rFonts w:ascii="Arial" w:cs="Arial" w:eastAsia="Arial" w:hAnsi="Arial"/>
          <w:sz w:val="16"/>
          <w:szCs w:val="16"/>
          <w:color w:val="00548B"/>
        </w:rPr>
      </w:pPr>
    </w:p>
    <w:p>
      <w:pPr>
        <w:ind w:left="980" w:hanging="432"/>
        <w:spacing w:after="0"/>
        <w:tabs>
          <w:tab w:leader="none" w:pos="980" w:val="left"/>
        </w:tabs>
        <w:numPr>
          <w:ilvl w:val="0"/>
          <w:numId w:val="59"/>
        </w:numPr>
        <w:rPr>
          <w:rFonts w:ascii="Arial" w:cs="Arial" w:eastAsia="Arial" w:hAnsi="Arial"/>
          <w:sz w:val="16"/>
          <w:szCs w:val="16"/>
          <w:color w:val="00548B"/>
        </w:rPr>
      </w:pPr>
      <w:r>
        <w:rPr>
          <w:rFonts w:ascii="Arial" w:cs="Arial" w:eastAsia="Arial" w:hAnsi="Arial"/>
          <w:sz w:val="16"/>
          <w:szCs w:val="16"/>
          <w:color w:val="auto"/>
        </w:rPr>
        <w:t>acquisitions or divestitures (including expenses related thereto);</w:t>
      </w:r>
    </w:p>
    <w:p>
      <w:pPr>
        <w:spacing w:after="0" w:line="5" w:lineRule="exact"/>
        <w:rPr>
          <w:rFonts w:ascii="Arial" w:cs="Arial" w:eastAsia="Arial" w:hAnsi="Arial"/>
          <w:sz w:val="16"/>
          <w:szCs w:val="16"/>
          <w:color w:val="00548B"/>
        </w:rPr>
      </w:pPr>
    </w:p>
    <w:p>
      <w:pPr>
        <w:ind w:left="980" w:hanging="432"/>
        <w:spacing w:after="0"/>
        <w:tabs>
          <w:tab w:leader="none" w:pos="980" w:val="left"/>
        </w:tabs>
        <w:numPr>
          <w:ilvl w:val="0"/>
          <w:numId w:val="59"/>
        </w:numPr>
        <w:rPr>
          <w:rFonts w:ascii="Arial" w:cs="Arial" w:eastAsia="Arial" w:hAnsi="Arial"/>
          <w:sz w:val="16"/>
          <w:szCs w:val="16"/>
          <w:color w:val="00548B"/>
        </w:rPr>
      </w:pPr>
      <w:r>
        <w:rPr>
          <w:rFonts w:ascii="Arial" w:cs="Arial" w:eastAsia="Arial" w:hAnsi="Arial"/>
          <w:sz w:val="16"/>
          <w:szCs w:val="16"/>
          <w:color w:val="auto"/>
        </w:rPr>
        <w:t>foreign exchange gains and losses;</w:t>
      </w:r>
    </w:p>
    <w:p>
      <w:pPr>
        <w:spacing w:after="0" w:line="5" w:lineRule="exact"/>
        <w:rPr>
          <w:rFonts w:ascii="Arial" w:cs="Arial" w:eastAsia="Arial" w:hAnsi="Arial"/>
          <w:sz w:val="16"/>
          <w:szCs w:val="16"/>
          <w:color w:val="00548B"/>
        </w:rPr>
      </w:pPr>
    </w:p>
    <w:p>
      <w:pPr>
        <w:ind w:left="980" w:hanging="432"/>
        <w:spacing w:after="0"/>
        <w:tabs>
          <w:tab w:leader="none" w:pos="980" w:val="left"/>
        </w:tabs>
        <w:numPr>
          <w:ilvl w:val="0"/>
          <w:numId w:val="59"/>
        </w:numPr>
        <w:rPr>
          <w:rFonts w:ascii="Arial" w:cs="Arial" w:eastAsia="Arial" w:hAnsi="Arial"/>
          <w:sz w:val="16"/>
          <w:szCs w:val="16"/>
          <w:color w:val="00548B"/>
        </w:rPr>
      </w:pPr>
      <w:r>
        <w:rPr>
          <w:rFonts w:ascii="Arial" w:cs="Arial" w:eastAsia="Arial" w:hAnsi="Arial"/>
          <w:sz w:val="16"/>
          <w:szCs w:val="16"/>
          <w:color w:val="auto"/>
        </w:rPr>
        <w:t>non-cash interest; and</w:t>
      </w:r>
    </w:p>
    <w:p>
      <w:pPr>
        <w:spacing w:after="0" w:line="5" w:lineRule="exact"/>
        <w:rPr>
          <w:rFonts w:ascii="Arial" w:cs="Arial" w:eastAsia="Arial" w:hAnsi="Arial"/>
          <w:sz w:val="16"/>
          <w:szCs w:val="16"/>
          <w:color w:val="00548B"/>
        </w:rPr>
      </w:pPr>
    </w:p>
    <w:p>
      <w:pPr>
        <w:ind w:left="980" w:hanging="432"/>
        <w:spacing w:after="0"/>
        <w:tabs>
          <w:tab w:leader="none" w:pos="980" w:val="left"/>
        </w:tabs>
        <w:numPr>
          <w:ilvl w:val="0"/>
          <w:numId w:val="59"/>
        </w:numPr>
        <w:rPr>
          <w:rFonts w:ascii="Arial" w:cs="Arial" w:eastAsia="Arial" w:hAnsi="Arial"/>
          <w:sz w:val="16"/>
          <w:szCs w:val="16"/>
          <w:color w:val="00548B"/>
        </w:rPr>
      </w:pPr>
      <w:r>
        <w:rPr>
          <w:rFonts w:ascii="Arial" w:cs="Arial" w:eastAsia="Arial" w:hAnsi="Arial"/>
          <w:sz w:val="16"/>
          <w:szCs w:val="16"/>
          <w:color w:val="auto"/>
        </w:rPr>
        <w:t>an event either not directly related to the operations of the Company or not within reasonable control of the Company’s management.</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548B"/>
        </w:rPr>
        <w:t>Tax Consequences</w:t>
      </w:r>
    </w:p>
    <w:p>
      <w:pPr>
        <w:spacing w:after="0" w:line="25" w:lineRule="exact"/>
        <w:rPr>
          <w:sz w:val="20"/>
          <w:szCs w:val="20"/>
          <w:color w:val="auto"/>
        </w:rPr>
      </w:pPr>
    </w:p>
    <w:p>
      <w:pPr>
        <w:jc w:val="both"/>
        <w:ind w:left="120" w:right="20"/>
        <w:spacing w:after="0" w:line="249" w:lineRule="auto"/>
        <w:rPr>
          <w:sz w:val="20"/>
          <w:szCs w:val="20"/>
          <w:color w:val="auto"/>
        </w:rPr>
      </w:pPr>
      <w:r>
        <w:rPr>
          <w:rFonts w:ascii="Arial" w:cs="Arial" w:eastAsia="Arial" w:hAnsi="Arial"/>
          <w:sz w:val="16"/>
          <w:szCs w:val="16"/>
          <w:color w:val="auto"/>
        </w:rPr>
        <w:t>The following provides only a general description of the application of U.S. federal income tax laws to certain awards under the Plan. This discussion is intended for the information of our stockholders considering how to vote at the Annual Meeting and not as tax guidance to participants in the Plan, as the consequences may vary with the types of awards made, the identity of the recipients and the method of payment or settlement. Different tax rules may apply, including in the case of variations in transactions that are permitted under the Plan (such as payment of the exercise price of an option by surrender of previously acquired shares of common stock). This summary does not address in any detail the effects of other federal taxes (including possible “golden parachute” excise taxes) or taxes imposed under state, local or foreign tax laws.</w:t>
      </w:r>
    </w:p>
    <w:p>
      <w:pPr>
        <w:spacing w:after="0" w:line="164" w:lineRule="exact"/>
        <w:rPr>
          <w:sz w:val="20"/>
          <w:szCs w:val="20"/>
          <w:color w:val="auto"/>
        </w:rPr>
      </w:pPr>
    </w:p>
    <w:p>
      <w:pPr>
        <w:jc w:val="both"/>
        <w:ind w:left="120"/>
        <w:spacing w:after="0" w:line="253" w:lineRule="auto"/>
        <w:rPr>
          <w:sz w:val="20"/>
          <w:szCs w:val="20"/>
          <w:color w:val="auto"/>
        </w:rPr>
      </w:pPr>
      <w:r>
        <w:rPr>
          <w:rFonts w:ascii="Arial" w:cs="Arial" w:eastAsia="Arial" w:hAnsi="Arial"/>
          <w:sz w:val="16"/>
          <w:szCs w:val="16"/>
          <w:color w:val="auto"/>
        </w:rPr>
        <w:t>We generally will be entitled to withhold any required taxes in connection with the exercise or payment of any award, and may require the participant to pay such taxes as a condition to the exercise or payment of an award. ISOs may only be granted to our employees and employees of certain of our subsidiaries.</w:t>
      </w:r>
    </w:p>
    <w:p>
      <w:pPr>
        <w:spacing w:after="0" w:line="154"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6"/>
          <w:szCs w:val="16"/>
          <w:b w:val="1"/>
          <w:bCs w:val="1"/>
          <w:i w:val="1"/>
          <w:iCs w:val="1"/>
          <w:color w:val="00548B"/>
        </w:rPr>
        <w:t xml:space="preserve">Stock Options. </w:t>
      </w:r>
      <w:r>
        <w:rPr>
          <w:rFonts w:ascii="Arial" w:cs="Arial" w:eastAsia="Arial" w:hAnsi="Arial"/>
          <w:sz w:val="16"/>
          <w:szCs w:val="16"/>
          <w:color w:val="000000"/>
        </w:rPr>
        <w:t>ISOs and NQSOs are treated differently for federal income tax purposes. ISOs are intended to satisfy the requirements of Section 422 of</w:t>
      </w:r>
      <w:r>
        <w:rPr>
          <w:rFonts w:ascii="Arial" w:cs="Arial" w:eastAsia="Arial" w:hAnsi="Arial"/>
          <w:sz w:val="16"/>
          <w:szCs w:val="16"/>
          <w:b w:val="1"/>
          <w:bCs w:val="1"/>
          <w:i w:val="1"/>
          <w:iCs w:val="1"/>
          <w:color w:val="00548B"/>
        </w:rPr>
        <w:t xml:space="preserve"> </w:t>
      </w:r>
      <w:r>
        <w:rPr>
          <w:rFonts w:ascii="Arial" w:cs="Arial" w:eastAsia="Arial" w:hAnsi="Arial"/>
          <w:sz w:val="16"/>
          <w:szCs w:val="16"/>
          <w:color w:val="000000"/>
        </w:rPr>
        <w:t>the Code. NQSOs need not satisfy such requirements.</w:t>
      </w:r>
    </w:p>
    <w:p>
      <w:pPr>
        <w:spacing w:after="0" w:line="135" w:lineRule="exact"/>
        <w:rPr>
          <w:sz w:val="20"/>
          <w:szCs w:val="20"/>
          <w:color w:val="auto"/>
        </w:rPr>
      </w:pPr>
    </w:p>
    <w:p>
      <w:pPr>
        <w:jc w:val="both"/>
        <w:ind w:left="120"/>
        <w:spacing w:after="0" w:line="248" w:lineRule="auto"/>
        <w:rPr>
          <w:sz w:val="20"/>
          <w:szCs w:val="20"/>
          <w:color w:val="auto"/>
        </w:rPr>
      </w:pPr>
      <w:r>
        <w:rPr>
          <w:rFonts w:ascii="Arial" w:cs="Arial" w:eastAsia="Arial" w:hAnsi="Arial"/>
          <w:sz w:val="16"/>
          <w:szCs w:val="16"/>
          <w:color w:val="auto"/>
        </w:rPr>
        <w:t>Generally, a participant is not taxed on the grant of an ISO and is not taxed on the exercise of an ISO, except as described in the next sentence and provided that the participant has been an employee of the Company and its subsidiaries (determined in accordance with Internal Revenue Code rules) from the date the ISO was granted until three months before the date of exercise. The difference between the exercise price and the fair market value of the shares on the exercise date, however, will be a preference item for purposes of the alternative minimum tax, and thus a participant could be subject to the alternative minimum tax as a result of the exercise of an ISO. If a participant holds the shares acquired upon exercise of an ISO for at least two years following the ISO grant date and at least one year following exercise, the participant recognizes capital gain (or loss, as applicable), if any, upon a subsequent disposition of such shares. The measure of the gain is the difference between the proceeds received on disposition and the participant’s basis in the shares (which generally equals the exercise price).</w:t>
      </w:r>
    </w:p>
    <w:p>
      <w:pPr>
        <w:spacing w:after="0" w:line="167" w:lineRule="exact"/>
        <w:rPr>
          <w:sz w:val="20"/>
          <w:szCs w:val="20"/>
          <w:color w:val="auto"/>
        </w:rPr>
      </w:pPr>
    </w:p>
    <w:p>
      <w:pPr>
        <w:jc w:val="both"/>
        <w:ind w:left="120"/>
        <w:spacing w:after="0" w:line="251" w:lineRule="auto"/>
        <w:rPr>
          <w:sz w:val="20"/>
          <w:szCs w:val="20"/>
          <w:color w:val="auto"/>
        </w:rPr>
      </w:pPr>
      <w:r>
        <w:rPr>
          <w:rFonts w:ascii="Arial" w:cs="Arial" w:eastAsia="Arial" w:hAnsi="Arial"/>
          <w:sz w:val="16"/>
          <w:szCs w:val="16"/>
          <w:color w:val="auto"/>
        </w:rPr>
        <w:t>If a participant disposes of shares acquired pursuant to exercise of an ISO before satisfying the one-year and two-year holding periods described above, then: (i) if the proceeds received exceed the exercise price of the ISO, the participant will recognize long-term or short-term capital gain (as applicable) equal to the excess, if any, of the proceeds received over the fair market value of the shares on the date of exercise, and will recognize ordinary income equal to the excess, if any, of the lesser of the proceeds received or the fair market value of the</w:t>
      </w:r>
    </w:p>
    <w:p>
      <w:pPr>
        <w:spacing w:after="0" w:line="13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00548B"/>
        </w:rPr>
        <w:t>52</w:t>
      </w:r>
    </w:p>
    <w:p>
      <w:pPr>
        <w:sectPr>
          <w:pgSz w:w="11900" w:h="16838" w:orient="portrait"/>
          <w:cols w:equalWidth="0" w:num="1">
            <w:col w:w="11140"/>
          </w:cols>
          <w:pgMar w:left="32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both"/>
        <w:ind w:left="120" w:right="20"/>
        <w:spacing w:after="0" w:line="260" w:lineRule="auto"/>
        <w:rPr>
          <w:sz w:val="20"/>
          <w:szCs w:val="20"/>
          <w:color w:val="auto"/>
        </w:rPr>
      </w:pPr>
      <w:r>
        <w:rPr>
          <w:rFonts w:ascii="Arial" w:cs="Arial" w:eastAsia="Arial" w:hAnsi="Arial"/>
          <w:sz w:val="16"/>
          <w:szCs w:val="16"/>
          <w:color w:val="auto"/>
        </w:rPr>
        <w:t>shares on the date of exercise over the exercise price of an ISO; or (ii) if the proceeds received are less than the exercise price of the ISO, the participant will recognize a capital loss equal to the excess of the exercise price of the ISO over the proceeds received.</w:t>
      </w:r>
    </w:p>
    <w:p>
      <w:pPr>
        <w:spacing w:after="0" w:line="168" w:lineRule="exact"/>
        <w:rPr>
          <w:sz w:val="20"/>
          <w:szCs w:val="20"/>
          <w:color w:val="auto"/>
        </w:rPr>
      </w:pPr>
    </w:p>
    <w:p>
      <w:pPr>
        <w:jc w:val="both"/>
        <w:ind w:left="120"/>
        <w:spacing w:after="0" w:line="252" w:lineRule="auto"/>
        <w:rPr>
          <w:sz w:val="20"/>
          <w:szCs w:val="20"/>
          <w:color w:val="auto"/>
        </w:rPr>
      </w:pPr>
      <w:r>
        <w:rPr>
          <w:rFonts w:ascii="Arial" w:cs="Arial" w:eastAsia="Arial" w:hAnsi="Arial"/>
          <w:sz w:val="16"/>
          <w:szCs w:val="16"/>
          <w:color w:val="auto"/>
        </w:rPr>
        <w:t>We are not entitled to an income tax deduction on the grant or exercise of an ISO or on the participant’s disposition of the shares after satisfying the holding period requirements described above. If the holding periods are not satisfied, we will be entitled to a deduction (subject to the limit under Section 162(m) of the Code discussed below) in the year the participant disposes of the shares in an amount equal to the ordinary income recognized by the participant.</w:t>
      </w:r>
    </w:p>
    <w:p>
      <w:pPr>
        <w:spacing w:after="0" w:line="352" w:lineRule="exact"/>
        <w:rPr>
          <w:sz w:val="20"/>
          <w:szCs w:val="20"/>
          <w:color w:val="auto"/>
        </w:rPr>
      </w:pPr>
    </w:p>
    <w:p>
      <w:pPr>
        <w:jc w:val="both"/>
        <w:ind w:left="120"/>
        <w:spacing w:after="0" w:line="249" w:lineRule="auto"/>
        <w:rPr>
          <w:sz w:val="20"/>
          <w:szCs w:val="20"/>
          <w:color w:val="auto"/>
        </w:rPr>
      </w:pPr>
      <w:r>
        <w:rPr>
          <w:rFonts w:ascii="Arial" w:cs="Arial" w:eastAsia="Arial" w:hAnsi="Arial"/>
          <w:sz w:val="16"/>
          <w:szCs w:val="16"/>
          <w:color w:val="auto"/>
        </w:rPr>
        <w:t>A recipient generally will not realize any taxable income upon the grant of an NQSO. Upon exercise of an NQSO, the participant will realize ordinary income in an amount generally measured by the excess, if any, of the fair market value of the shares on the date of exercise over the stock option exercise price. We will generally be entitled to a deduction (subject to the limit under Section 162(m) of the Code) in the same amount as the ordinary income realized by the participant. Upon the sale of shares acquired upon exercise of an NQSO, the participant will realize short-term or long-term capital gain or loss, depending upon the length of time the shares are held. Such gain or loss will be measured by the difference between the sale price of the shares and the fair market value on the date of exercise.</w:t>
      </w:r>
    </w:p>
    <w:p>
      <w:pPr>
        <w:spacing w:after="0" w:line="144" w:lineRule="exact"/>
        <w:rPr>
          <w:sz w:val="20"/>
          <w:szCs w:val="20"/>
          <w:color w:val="auto"/>
        </w:rPr>
      </w:pPr>
    </w:p>
    <w:p>
      <w:pPr>
        <w:jc w:val="both"/>
        <w:ind w:left="120"/>
        <w:spacing w:after="0" w:line="259" w:lineRule="auto"/>
        <w:rPr>
          <w:sz w:val="20"/>
          <w:szCs w:val="20"/>
          <w:color w:val="auto"/>
        </w:rPr>
      </w:pPr>
      <w:r>
        <w:rPr>
          <w:rFonts w:ascii="Arial" w:cs="Arial" w:eastAsia="Arial" w:hAnsi="Arial"/>
          <w:sz w:val="16"/>
          <w:szCs w:val="16"/>
          <w:b w:val="1"/>
          <w:bCs w:val="1"/>
          <w:i w:val="1"/>
          <w:iCs w:val="1"/>
          <w:color w:val="00548B"/>
        </w:rPr>
        <w:t xml:space="preserve">SARs. </w:t>
      </w:r>
      <w:r>
        <w:rPr>
          <w:rFonts w:ascii="Arial" w:cs="Arial" w:eastAsia="Arial" w:hAnsi="Arial"/>
          <w:sz w:val="16"/>
          <w:szCs w:val="16"/>
          <w:color w:val="000000"/>
        </w:rPr>
        <w:t>A participant generally will not realize any taxable income upon the grant of a SAR. Upon the exercise of such right, the participant will recognize</w:t>
      </w:r>
      <w:r>
        <w:rPr>
          <w:rFonts w:ascii="Arial" w:cs="Arial" w:eastAsia="Arial" w:hAnsi="Arial"/>
          <w:sz w:val="16"/>
          <w:szCs w:val="16"/>
          <w:b w:val="1"/>
          <w:bCs w:val="1"/>
          <w:i w:val="1"/>
          <w:iCs w:val="1"/>
          <w:color w:val="00548B"/>
        </w:rPr>
        <w:t xml:space="preserve"> </w:t>
      </w:r>
      <w:r>
        <w:rPr>
          <w:rFonts w:ascii="Arial" w:cs="Arial" w:eastAsia="Arial" w:hAnsi="Arial"/>
          <w:sz w:val="16"/>
          <w:szCs w:val="16"/>
          <w:color w:val="000000"/>
        </w:rPr>
        <w:t>ordinary income in an amount equal to the amount of cash and/or the fair market value, at the date of such exercise, of the shares received by the participant as a result of such exercise. We will generally be entitled to a deduction (subject to the limit under Section 162(m) of the Code) in the same amount as the ordinary income realized by the participant.</w:t>
      </w:r>
    </w:p>
    <w:p>
      <w:pPr>
        <w:spacing w:after="0" w:line="151"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6"/>
          <w:szCs w:val="16"/>
          <w:b w:val="1"/>
          <w:bCs w:val="1"/>
          <w:i w:val="1"/>
          <w:iCs w:val="1"/>
          <w:color w:val="00548B"/>
        </w:rPr>
        <w:t xml:space="preserve">Full Value Awards. </w:t>
      </w:r>
      <w:r>
        <w:rPr>
          <w:rFonts w:ascii="Arial" w:cs="Arial" w:eastAsia="Arial" w:hAnsi="Arial"/>
          <w:sz w:val="16"/>
          <w:szCs w:val="16"/>
          <w:color w:val="000000"/>
        </w:rPr>
        <w:t>If a restriction on transferability and substantial risk of forfeiture applies to shares of common stock or other property actually</w:t>
      </w:r>
      <w:r>
        <w:rPr>
          <w:rFonts w:ascii="Arial" w:cs="Arial" w:eastAsia="Arial" w:hAnsi="Arial"/>
          <w:sz w:val="16"/>
          <w:szCs w:val="16"/>
          <w:b w:val="1"/>
          <w:bCs w:val="1"/>
          <w:i w:val="1"/>
          <w:iCs w:val="1"/>
          <w:color w:val="00548B"/>
        </w:rPr>
        <w:t xml:space="preserve"> </w:t>
      </w:r>
      <w:r>
        <w:rPr>
          <w:rFonts w:ascii="Arial" w:cs="Arial" w:eastAsia="Arial" w:hAnsi="Arial"/>
          <w:sz w:val="16"/>
          <w:szCs w:val="16"/>
          <w:color w:val="000000"/>
        </w:rPr>
        <w:t>distributed to a participant under an award (such as, for example, a grant of restricted stock), the participant generally must recognize ordinary income equal to the fair market value of the transferred amounts at the earliest time either the transferability restriction or risk of forfeiture lapses. In the usual case, we can claim a tax deduction (subject to the limit under Section 162(m) of the Code) in an amount equal to the ordinary income recognized by the participant, except as discussed below. A participant may elect to be taxed at the time of grant of restricted stock or other property rather than upon lapse of restrictions on transferability or the risk of forfeiture, but if the participant subsequently forfeits such shares of common stock or property he or she would not be entitled to any tax deduction, including as a capital loss, for the value of shares of common stock on which he or she previously paid tax.</w:t>
      </w:r>
    </w:p>
    <w:p>
      <w:pPr>
        <w:spacing w:after="0" w:line="161" w:lineRule="exact"/>
        <w:rPr>
          <w:sz w:val="20"/>
          <w:szCs w:val="20"/>
          <w:color w:val="auto"/>
        </w:rPr>
      </w:pPr>
    </w:p>
    <w:p>
      <w:pPr>
        <w:jc w:val="both"/>
        <w:ind w:left="120" w:right="20"/>
        <w:spacing w:after="0" w:line="260" w:lineRule="auto"/>
        <w:rPr>
          <w:sz w:val="20"/>
          <w:szCs w:val="20"/>
          <w:color w:val="auto"/>
        </w:rPr>
      </w:pPr>
      <w:r>
        <w:rPr>
          <w:rFonts w:ascii="Arial" w:cs="Arial" w:eastAsia="Arial" w:hAnsi="Arial"/>
          <w:sz w:val="16"/>
          <w:szCs w:val="16"/>
          <w:color w:val="auto"/>
        </w:rPr>
        <w:t>If no substantial risk of forfeiture applies to property distributed to a participant, the participant generally must recognize ordinary income equal to the fair market value of shares of common stock actually received.</w:t>
      </w:r>
    </w:p>
    <w:p>
      <w:pPr>
        <w:spacing w:after="0" w:line="155"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6"/>
          <w:szCs w:val="16"/>
          <w:color w:val="auto"/>
        </w:rPr>
        <w:t>If an award does not consist of property (such as stock units), the participant generally must recognize ordinary income for U.S. income tax purposes when the award is paid in an amount equal to the amount payable or, if the award is settled in shares of common stock, the fair market value on the date of distribution, and we would normally be entitled to a corresponding deduction (subject to the limit under Section 162(m) of the Code).</w:t>
      </w:r>
    </w:p>
    <w:p>
      <w:pPr>
        <w:spacing w:after="0" w:line="174" w:lineRule="exact"/>
        <w:rPr>
          <w:sz w:val="20"/>
          <w:szCs w:val="20"/>
          <w:color w:val="auto"/>
        </w:rPr>
      </w:pPr>
    </w:p>
    <w:p>
      <w:pPr>
        <w:jc w:val="both"/>
        <w:ind w:left="120"/>
        <w:spacing w:after="0" w:line="248" w:lineRule="auto"/>
        <w:rPr>
          <w:sz w:val="20"/>
          <w:szCs w:val="20"/>
          <w:color w:val="auto"/>
        </w:rPr>
      </w:pPr>
      <w:r>
        <w:rPr>
          <w:rFonts w:ascii="Arial" w:cs="Arial" w:eastAsia="Arial" w:hAnsi="Arial"/>
          <w:sz w:val="16"/>
          <w:szCs w:val="16"/>
          <w:color w:val="auto"/>
        </w:rPr>
        <w:t>In general, under Section 162(m) of the Code, income tax deductions of publicly held corporations may be limited to the extent total compensation (including base salary, annual bonus, stock option exercises and nonqualified benefits) for certain executive officers exceeds $1.0 million (less the amount of any “excess parachute payments” as defined in Section 280G of the Code) in any taxable year of the corporation. The exception for qualified “performance-based” compensation was eliminated by the Tax Cuts and Jobs Act of 2017 for tax years beginning on or after January 1, 2018. As a result, any new equity awards under the Plan will be subject to the $1 million deduction limitation. Under the Tax Cuts and Jobs Act, the term “covered employee” now includes any individual who served as the chief executive officer or chief financial officer at any time during the taxable year and the three other most highly compensated officers for the taxable year. Once an individual becomes a covered employee, that individual will remain a covered employee for all future years, including after termination or death.</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00548B"/>
        </w:rPr>
        <w:t>53</w:t>
      </w:r>
    </w:p>
    <w:p>
      <w:pPr>
        <w:sectPr>
          <w:pgSz w:w="11900" w:h="16838" w:orient="portrait"/>
          <w:cols w:equalWidth="0" w:num="1">
            <w:col w:w="11140"/>
          </w:cols>
          <w:pgMar w:left="32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0548B"/>
        </w:rPr>
        <w:t>PROPOSAL 3</w:t>
      </w:r>
    </w:p>
    <w:p>
      <w:pPr>
        <w:spacing w:after="0" w:line="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548B"/>
        </w:rPr>
        <w:t>TO APPROVE AN AMENDMENT TO THE COMPANY’S STOCK OWNERSHIP PARTICIPATION PROGRAM</w:t>
      </w:r>
    </w:p>
    <w:p>
      <w:pPr>
        <w:spacing w:after="0" w:line="33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48B"/>
        </w:rPr>
        <w:t>Background and Reasons for Amending the Plan</w:t>
      </w:r>
    </w:p>
    <w:p>
      <w:pPr>
        <w:spacing w:after="0" w:line="20" w:lineRule="exact"/>
        <w:rPr>
          <w:sz w:val="20"/>
          <w:szCs w:val="20"/>
          <w:color w:val="auto"/>
        </w:rPr>
      </w:pPr>
    </w:p>
    <w:p>
      <w:pPr>
        <w:jc w:val="both"/>
        <w:ind w:left="120"/>
        <w:spacing w:after="0" w:line="251" w:lineRule="auto"/>
        <w:rPr>
          <w:sz w:val="20"/>
          <w:szCs w:val="20"/>
          <w:color w:val="auto"/>
        </w:rPr>
      </w:pPr>
      <w:r>
        <w:rPr>
          <w:rFonts w:ascii="Arial" w:cs="Arial" w:eastAsia="Arial" w:hAnsi="Arial"/>
          <w:sz w:val="16"/>
          <w:szCs w:val="16"/>
          <w:color w:val="auto"/>
        </w:rPr>
        <w:t>The Company’s Stock Ownership Participation Program (the “SOPP” or “Plan”) was approved by shareholder vote in 2015, and is designed to incent and retain Huron’s employees below the managing director level who do not receive equity-based awards as part of their normal compensation plan, which includes approximately 3,750 employees. The Plan has been designed specifically with features that support share ownership. The SOPP provides eligible employees with a convenient mechanism to purchase Huron common stock.</w:t>
      </w:r>
    </w:p>
    <w:p>
      <w:pPr>
        <w:spacing w:after="0" w:line="162" w:lineRule="exact"/>
        <w:rPr>
          <w:sz w:val="20"/>
          <w:szCs w:val="20"/>
          <w:color w:val="auto"/>
        </w:rPr>
      </w:pPr>
    </w:p>
    <w:p>
      <w:pPr>
        <w:jc w:val="both"/>
        <w:ind w:left="120"/>
        <w:spacing w:after="0" w:line="251" w:lineRule="auto"/>
        <w:rPr>
          <w:sz w:val="20"/>
          <w:szCs w:val="20"/>
          <w:color w:val="auto"/>
        </w:rPr>
      </w:pPr>
      <w:r>
        <w:rPr>
          <w:rFonts w:ascii="Arial" w:cs="Arial" w:eastAsia="Arial" w:hAnsi="Arial"/>
          <w:sz w:val="16"/>
          <w:szCs w:val="16"/>
          <w:color w:val="auto"/>
        </w:rPr>
        <w:t>Subject to the limitations set forth in the Plan, eligible employees may elect to have after tax payroll deductions made during an offering period equal to between 1% and 25% of their base salary and between 1% and 30% of their annual bonus. An eligible employee may also make cash contributions. The aggregate maximum contribution amount from payroll deductions and cash contributions for each employee is $20,000 per calendar year. Accumulated payroll deductions and cash contributions are used to purchase shares of the Company’s common stock on certain designated purchase dates.</w:t>
      </w:r>
    </w:p>
    <w:p>
      <w:pPr>
        <w:spacing w:after="0" w:line="175" w:lineRule="exact"/>
        <w:rPr>
          <w:sz w:val="20"/>
          <w:szCs w:val="20"/>
          <w:color w:val="auto"/>
        </w:rPr>
      </w:pPr>
    </w:p>
    <w:p>
      <w:pPr>
        <w:jc w:val="both"/>
        <w:ind w:left="120"/>
        <w:spacing w:after="0" w:line="249" w:lineRule="auto"/>
        <w:rPr>
          <w:sz w:val="20"/>
          <w:szCs w:val="20"/>
          <w:color w:val="auto"/>
        </w:rPr>
      </w:pPr>
      <w:r>
        <w:rPr>
          <w:rFonts w:ascii="Arial" w:cs="Arial" w:eastAsia="Arial" w:hAnsi="Arial"/>
          <w:sz w:val="16"/>
          <w:szCs w:val="16"/>
          <w:color w:val="auto"/>
        </w:rPr>
        <w:t>Those that purchase stock under the Plan receive a 25% restricted stock match provided by the Company. Vesting of the restricted stock is subject to both a time-based vesting schedule and requirement that the purchased shares be held for a specified holding period. The terms of the matched shares, including the number of shares granted and the vesting requirements, will be set forth in a separate restricted share grant agreement. We have chosen to offer a restricted stock match instead of a more traditional discount in order to encourage participation by employees who are prepared to own Huron stock for the required holding period. We also believe that ownership of Company stock among all of Huron’s employees helps us recruit and retain the talented individuals that are so crucial to Huron’s success.</w:t>
      </w:r>
    </w:p>
    <w:p>
      <w:pPr>
        <w:spacing w:after="0" w:line="164" w:lineRule="exact"/>
        <w:rPr>
          <w:sz w:val="20"/>
          <w:szCs w:val="20"/>
          <w:color w:val="auto"/>
        </w:rPr>
      </w:pPr>
    </w:p>
    <w:p>
      <w:pPr>
        <w:jc w:val="both"/>
        <w:ind w:left="120" w:right="20"/>
        <w:spacing w:after="0" w:line="260" w:lineRule="auto"/>
        <w:rPr>
          <w:sz w:val="20"/>
          <w:szCs w:val="20"/>
          <w:color w:val="auto"/>
        </w:rPr>
      </w:pPr>
      <w:r>
        <w:rPr>
          <w:rFonts w:ascii="Arial" w:cs="Arial" w:eastAsia="Arial" w:hAnsi="Arial"/>
          <w:sz w:val="16"/>
          <w:szCs w:val="16"/>
          <w:color w:val="auto"/>
        </w:rPr>
        <w:t>Shares subject to restricted stock awards under the SOPP that do not vest will again become available for award under the SOPP, as will any shares that are retained by us as payment of tax withholding obligations with respect to the vesting of an award.</w:t>
      </w:r>
    </w:p>
    <w:p>
      <w:pPr>
        <w:spacing w:after="0" w:line="155" w:lineRule="exact"/>
        <w:rPr>
          <w:sz w:val="20"/>
          <w:szCs w:val="20"/>
          <w:color w:val="auto"/>
        </w:rPr>
      </w:pPr>
    </w:p>
    <w:p>
      <w:pPr>
        <w:jc w:val="both"/>
        <w:ind w:left="120" w:right="20"/>
        <w:spacing w:after="0" w:line="260" w:lineRule="auto"/>
        <w:rPr>
          <w:sz w:val="20"/>
          <w:szCs w:val="20"/>
          <w:color w:val="auto"/>
        </w:rPr>
      </w:pPr>
      <w:r>
        <w:rPr>
          <w:rFonts w:ascii="Arial" w:cs="Arial" w:eastAsia="Arial" w:hAnsi="Arial"/>
          <w:sz w:val="16"/>
          <w:szCs w:val="16"/>
          <w:color w:val="auto"/>
        </w:rPr>
        <w:t>The summary of the SOPP set forth above is qualified in its entirety by the full text of the SOPP plan document. A copy of the amendment to the SOPP is attached as Appendix B to this Proxy Statement.</w:t>
      </w:r>
    </w:p>
    <w:p>
      <w:pPr>
        <w:spacing w:after="0" w:line="168" w:lineRule="exact"/>
        <w:rPr>
          <w:sz w:val="20"/>
          <w:szCs w:val="20"/>
          <w:color w:val="auto"/>
        </w:rPr>
      </w:pPr>
    </w:p>
    <w:p>
      <w:pPr>
        <w:jc w:val="both"/>
        <w:ind w:left="120"/>
        <w:spacing w:after="0" w:line="253" w:lineRule="auto"/>
        <w:rPr>
          <w:sz w:val="20"/>
          <w:szCs w:val="20"/>
          <w:color w:val="auto"/>
        </w:rPr>
      </w:pPr>
      <w:r>
        <w:rPr>
          <w:rFonts w:ascii="Arial" w:cs="Arial" w:eastAsia="Arial" w:hAnsi="Arial"/>
          <w:sz w:val="16"/>
          <w:szCs w:val="16"/>
          <w:color w:val="auto"/>
        </w:rPr>
        <w:t>In order to increase the number of shares of common stock available for the employee purchases pursuant to the SOPP’s established mechanism and the matching restricted stock awards under the SOPP, our board of directors has approved an amendment to the Plan to increase the number of shares available for grant thereunder by 400,000 shares of common stock, subject to stockholder approval.</w:t>
      </w:r>
    </w:p>
    <w:p>
      <w:pPr>
        <w:spacing w:after="0" w:line="161" w:lineRule="exact"/>
        <w:rPr>
          <w:sz w:val="20"/>
          <w:szCs w:val="20"/>
          <w:color w:val="auto"/>
        </w:rPr>
      </w:pPr>
    </w:p>
    <w:p>
      <w:pPr>
        <w:jc w:val="both"/>
        <w:ind w:left="120"/>
        <w:spacing w:after="0" w:line="260" w:lineRule="auto"/>
        <w:rPr>
          <w:sz w:val="20"/>
          <w:szCs w:val="20"/>
          <w:color w:val="auto"/>
        </w:rPr>
      </w:pPr>
      <w:r>
        <w:rPr>
          <w:rFonts w:ascii="Arial" w:cs="Arial" w:eastAsia="Arial" w:hAnsi="Arial"/>
          <w:sz w:val="16"/>
          <w:szCs w:val="16"/>
          <w:color w:val="auto"/>
        </w:rPr>
        <w:t>For the reasons discussed above, it is our belief that it is in the best interests of the Company, its stockholders and Huron’s employees to approve the amendment to the SOPP. Accordingly, the board of directors has adopted the amendment to the SOPP, subject to stockholder approval.</w:t>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48B"/>
        </w:rPr>
        <w:t>Approval Required</w:t>
      </w:r>
    </w:p>
    <w:p>
      <w:pPr>
        <w:spacing w:after="0" w:line="20" w:lineRule="exact"/>
        <w:rPr>
          <w:sz w:val="20"/>
          <w:szCs w:val="20"/>
          <w:color w:val="auto"/>
        </w:rPr>
      </w:pPr>
    </w:p>
    <w:p>
      <w:pPr>
        <w:jc w:val="both"/>
        <w:ind w:left="120"/>
        <w:spacing w:after="0" w:line="250" w:lineRule="auto"/>
        <w:rPr>
          <w:sz w:val="20"/>
          <w:szCs w:val="20"/>
          <w:color w:val="auto"/>
        </w:rPr>
      </w:pPr>
      <w:r>
        <w:rPr>
          <w:rFonts w:ascii="Arial" w:cs="Arial" w:eastAsia="Arial" w:hAnsi="Arial"/>
          <w:sz w:val="16"/>
          <w:szCs w:val="16"/>
          <w:color w:val="auto"/>
        </w:rPr>
        <w:t>The approval of the amendment to the SOPP requires the affirmative vote of the holders of a majority of the total shares of common stock present in person, or represented by proxy, and entitled to vote on the proposal, provided that a quorum is represented at the meeting. Abstentions will have the same effect as a vote against the proposal. Broker non-votes will not be considered shares entitled to vote with respect to approval of the proposal and will not be counted as votes for or against the proposal and will therefore have no effect on the outcome of the proposal. Executed proxies will be voted “FOR” the approval of the proposal, unless specified otherwise.</w:t>
      </w:r>
    </w:p>
    <w:p>
      <w:pPr>
        <w:spacing w:after="0" w:line="156"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6"/>
          <w:szCs w:val="16"/>
          <w:color w:val="auto"/>
        </w:rPr>
        <w:t xml:space="preserve">THE BOARD OF DIRECTORS RECOMMENDS THAT STOCKHOLDERS VOTE </w:t>
      </w:r>
      <w:r>
        <w:rPr>
          <w:rFonts w:ascii="Arial" w:cs="Arial" w:eastAsia="Arial" w:hAnsi="Arial"/>
          <w:sz w:val="16"/>
          <w:szCs w:val="16"/>
          <w:b w:val="1"/>
          <w:bCs w:val="1"/>
          <w:color w:val="auto"/>
        </w:rPr>
        <w:t>“FOR”</w:t>
      </w:r>
      <w:r>
        <w:rPr>
          <w:rFonts w:ascii="Arial" w:cs="Arial" w:eastAsia="Arial" w:hAnsi="Arial"/>
          <w:sz w:val="16"/>
          <w:szCs w:val="16"/>
          <w:color w:val="auto"/>
        </w:rPr>
        <w:t xml:space="preserve"> APPROVAL OF THE AMENDMENT TO THE COMPANY’S STOCK OWNERSHIP PARTICIPATION PROGRAM.</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00548B"/>
        </w:rPr>
        <w:t>54</w:t>
      </w:r>
    </w:p>
    <w:p>
      <w:pPr>
        <w:sectPr>
          <w:pgSz w:w="11900" w:h="16838" w:orient="portrait"/>
          <w:cols w:equalWidth="0" w:num="1">
            <w:col w:w="11140"/>
          </w:cols>
          <w:pgMar w:left="32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48B"/>
        </w:rPr>
        <w:t>Tax Consequences</w:t>
      </w:r>
    </w:p>
    <w:p>
      <w:pPr>
        <w:spacing w:after="0" w:line="20"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6"/>
          <w:szCs w:val="16"/>
          <w:color w:val="auto"/>
        </w:rPr>
        <w:t>The following provides only a general description of the application of U.S. federal income tax laws to awards under the SOPP. This discussion is intended for the information of our stockholders considering how to vote at the Annual Meeting and not as tax guidance to participants in the SOPP. This summary does not address in any detail the effects of taxes imposed under state, local or foreign tax laws.</w:t>
      </w:r>
    </w:p>
    <w:p>
      <w:pPr>
        <w:spacing w:after="0" w:line="154" w:lineRule="exact"/>
        <w:rPr>
          <w:sz w:val="20"/>
          <w:szCs w:val="20"/>
          <w:color w:val="auto"/>
        </w:rPr>
      </w:pPr>
    </w:p>
    <w:p>
      <w:pPr>
        <w:jc w:val="both"/>
        <w:ind w:left="120" w:right="20"/>
        <w:spacing w:after="0" w:line="266" w:lineRule="auto"/>
        <w:rPr>
          <w:sz w:val="20"/>
          <w:szCs w:val="20"/>
          <w:color w:val="auto"/>
        </w:rPr>
      </w:pPr>
      <w:r>
        <w:rPr>
          <w:rFonts w:ascii="Arial" w:cs="Arial" w:eastAsia="Arial" w:hAnsi="Arial"/>
          <w:sz w:val="16"/>
          <w:szCs w:val="16"/>
          <w:b w:val="1"/>
          <w:bCs w:val="1"/>
          <w:i w:val="1"/>
          <w:iCs w:val="1"/>
          <w:color w:val="00548B"/>
        </w:rPr>
        <w:t>Purchase of Stock</w:t>
      </w:r>
      <w:r>
        <w:rPr>
          <w:rFonts w:ascii="Arial" w:cs="Arial" w:eastAsia="Arial" w:hAnsi="Arial"/>
          <w:sz w:val="16"/>
          <w:szCs w:val="16"/>
          <w:color w:val="000000"/>
        </w:rPr>
        <w:t>. The purchase of common stock pursuant to the SOPP is not a taxable event to the participant. A participant’s basis in the common</w:t>
      </w:r>
      <w:r>
        <w:rPr>
          <w:rFonts w:ascii="Arial" w:cs="Arial" w:eastAsia="Arial" w:hAnsi="Arial"/>
          <w:sz w:val="16"/>
          <w:szCs w:val="16"/>
          <w:b w:val="1"/>
          <w:bCs w:val="1"/>
          <w:i w:val="1"/>
          <w:iCs w:val="1"/>
          <w:color w:val="00548B"/>
        </w:rPr>
        <w:t xml:space="preserve"> </w:t>
      </w:r>
      <w:r>
        <w:rPr>
          <w:rFonts w:ascii="Arial" w:cs="Arial" w:eastAsia="Arial" w:hAnsi="Arial"/>
          <w:sz w:val="16"/>
          <w:szCs w:val="16"/>
          <w:color w:val="000000"/>
        </w:rPr>
        <w:t>stock purchased is equal to the participant’s purchase price on the date it is acquired. The Company is not entitled to an income tax deduction in connection with a participant’s purchase of common stock pursuant to the SOPP.</w:t>
      </w:r>
    </w:p>
    <w:p>
      <w:pPr>
        <w:spacing w:after="0" w:line="131" w:lineRule="exact"/>
        <w:rPr>
          <w:sz w:val="20"/>
          <w:szCs w:val="20"/>
          <w:color w:val="auto"/>
        </w:rPr>
      </w:pPr>
    </w:p>
    <w:p>
      <w:pPr>
        <w:jc w:val="both"/>
        <w:ind w:left="120"/>
        <w:spacing w:after="0" w:line="253" w:lineRule="auto"/>
        <w:rPr>
          <w:sz w:val="20"/>
          <w:szCs w:val="20"/>
          <w:color w:val="auto"/>
        </w:rPr>
      </w:pPr>
      <w:r>
        <w:rPr>
          <w:rFonts w:ascii="Arial" w:cs="Arial" w:eastAsia="Arial" w:hAnsi="Arial"/>
          <w:sz w:val="16"/>
          <w:szCs w:val="16"/>
          <w:b w:val="1"/>
          <w:bCs w:val="1"/>
          <w:i w:val="1"/>
          <w:iCs w:val="1"/>
          <w:color w:val="00548B"/>
        </w:rPr>
        <w:t>Restricted Stock</w:t>
      </w:r>
      <w:r>
        <w:rPr>
          <w:rFonts w:ascii="Arial" w:cs="Arial" w:eastAsia="Arial" w:hAnsi="Arial"/>
          <w:sz w:val="16"/>
          <w:szCs w:val="16"/>
          <w:color w:val="000000"/>
        </w:rPr>
        <w:t>. The recognition of income from an award of restricted stock for federal income tax purposes depends on the restrictions imposed on</w:t>
      </w:r>
      <w:r>
        <w:rPr>
          <w:rFonts w:ascii="Arial" w:cs="Arial" w:eastAsia="Arial" w:hAnsi="Arial"/>
          <w:sz w:val="16"/>
          <w:szCs w:val="16"/>
          <w:b w:val="1"/>
          <w:bCs w:val="1"/>
          <w:i w:val="1"/>
          <w:iCs w:val="1"/>
          <w:color w:val="00548B"/>
        </w:rPr>
        <w:t xml:space="preserve"> </w:t>
      </w:r>
      <w:r>
        <w:rPr>
          <w:rFonts w:ascii="Arial" w:cs="Arial" w:eastAsia="Arial" w:hAnsi="Arial"/>
          <w:sz w:val="16"/>
          <w:szCs w:val="16"/>
          <w:color w:val="000000"/>
        </w:rPr>
        <w:t>the shares. Generally, taxation will be deferred until the date on which the shares are no longer subject to substantial risk of forfeiture. Continued service is generally considered a substantial risk of forfeiture. At the time the restrictions lapse, the participant will recognize ordinary income equal to the then fair market value of the stock. A participant may elect to be taxed at the time of grant of restricted stock rather than upon lapse of restrictions on transferability or the risk of forfeiture, but, if the participant subsequently forfeits such shares of common stock, he or she would not be entitled to any tax deduction, including as a capital loss, for the value of shares of common stock on which he or she previously paid tax. The Company can claim an income tax deduction in an amount equal to the ordinary income recognized by the participant.</w:t>
      </w:r>
    </w:p>
    <w:p>
      <w:pPr>
        <w:spacing w:after="0" w:line="13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00548B"/>
        </w:rPr>
        <w:t>55</w:t>
      </w:r>
    </w:p>
    <w:p>
      <w:pPr>
        <w:sectPr>
          <w:pgSz w:w="11900" w:h="16838" w:orient="portrait"/>
          <w:cols w:equalWidth="0" w:num="1">
            <w:col w:w="11140"/>
          </w:cols>
          <w:pgMar w:left="32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0548B"/>
        </w:rPr>
        <w:t>PROPOSAL 4</w:t>
      </w:r>
    </w:p>
    <w:p>
      <w:pPr>
        <w:spacing w:after="0" w:line="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548B"/>
        </w:rPr>
        <w:t>ADVISORY VOTE TO APPROVE THE COMPANY’S EXECUTIVE COMPENSATION</w:t>
      </w:r>
    </w:p>
    <w:p>
      <w:pPr>
        <w:spacing w:after="0" w:line="363" w:lineRule="exact"/>
        <w:rPr>
          <w:sz w:val="20"/>
          <w:szCs w:val="20"/>
          <w:color w:val="auto"/>
        </w:rPr>
      </w:pPr>
    </w:p>
    <w:p>
      <w:pPr>
        <w:jc w:val="both"/>
        <w:ind w:left="120"/>
        <w:spacing w:after="0" w:line="251" w:lineRule="auto"/>
        <w:rPr>
          <w:sz w:val="20"/>
          <w:szCs w:val="20"/>
          <w:color w:val="auto"/>
        </w:rPr>
      </w:pPr>
      <w:r>
        <w:rPr>
          <w:rFonts w:ascii="Arial" w:cs="Arial" w:eastAsia="Arial" w:hAnsi="Arial"/>
          <w:sz w:val="16"/>
          <w:szCs w:val="16"/>
          <w:color w:val="auto"/>
        </w:rPr>
        <w:t>As required by the Dodd-Frank Wall Street Reform and Consumer Protection Act of 2010 (the “Dodd-Frank Act”) and the SEC, Huron annually is asking its stockholders to indicate their support for our named executive officer compensation, which includes the compensation discussion and analysis, the compensation tables and the related narrative disclosures, all as described in the section entitled “EXECUTIVE COMPENSATION—Compensation Discussion and Analysis.”</w:t>
      </w:r>
    </w:p>
    <w:p>
      <w:pPr>
        <w:spacing w:after="0" w:line="162" w:lineRule="exact"/>
        <w:rPr>
          <w:sz w:val="20"/>
          <w:szCs w:val="20"/>
          <w:color w:val="auto"/>
        </w:rPr>
      </w:pPr>
    </w:p>
    <w:p>
      <w:pPr>
        <w:jc w:val="both"/>
        <w:ind w:left="120" w:right="20"/>
        <w:spacing w:after="0" w:line="251" w:lineRule="auto"/>
        <w:rPr>
          <w:sz w:val="20"/>
          <w:szCs w:val="20"/>
          <w:color w:val="auto"/>
        </w:rPr>
      </w:pPr>
      <w:r>
        <w:rPr>
          <w:rFonts w:ascii="Arial" w:cs="Arial" w:eastAsia="Arial" w:hAnsi="Arial"/>
          <w:sz w:val="16"/>
          <w:szCs w:val="16"/>
          <w:color w:val="auto"/>
        </w:rPr>
        <w:t>The vote solicited by this proposal, commonly known as “Say on Pay,” is advisory in nature and will not be binding on the board of directors, the Compensation Committee or Huron. However, the board of directors and the Compensation Committee value the opinions of our stockholders, will review the voting results and, to the extent determined appropriate, take into account the outcome of the vote during future deliberations on executive compensation arrangements.</w:t>
      </w:r>
    </w:p>
    <w:p>
      <w:pPr>
        <w:spacing w:after="0" w:line="175"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6"/>
          <w:szCs w:val="16"/>
          <w:color w:val="auto"/>
        </w:rPr>
        <w:t>Huron believes that its executive compensation program is structured to support Huron and its business objectives. This vote is not intended to address any one specific item of compensation, but rather the overall compensation of our named executive officers and the philosophy, policies and practices described in this Proxy Statement.</w:t>
      </w:r>
    </w:p>
    <w:p>
      <w:pPr>
        <w:spacing w:after="0" w:line="161" w:lineRule="exact"/>
        <w:rPr>
          <w:sz w:val="20"/>
          <w:szCs w:val="20"/>
          <w:color w:val="auto"/>
        </w:rPr>
      </w:pPr>
    </w:p>
    <w:p>
      <w:pPr>
        <w:jc w:val="both"/>
        <w:ind w:left="120"/>
        <w:spacing w:after="0" w:line="250" w:lineRule="auto"/>
        <w:rPr>
          <w:sz w:val="20"/>
          <w:szCs w:val="20"/>
          <w:color w:val="auto"/>
        </w:rPr>
      </w:pPr>
      <w:r>
        <w:rPr>
          <w:rFonts w:ascii="Arial" w:cs="Arial" w:eastAsia="Arial" w:hAnsi="Arial"/>
          <w:sz w:val="16"/>
          <w:szCs w:val="16"/>
          <w:color w:val="auto"/>
        </w:rPr>
        <w:t>The affirmative vote of the holders of a majority of the total shares of common stock, present in person or represented by proxy and entitled to vote on the proposal, is required to approve the advisory vote on the compensation arrangements of our named executive officers. Abstentions will have the same effect as a vote against the proposal. Broker non-votes will not be considered shares entitled to vote with respect to the proposal and will not be counted as votes for or against the proposal and will therefore have no effect on the outcome of the proposal. Proxies submitted pursuant to this solicitation will be voted “FOR” the approval of the advisory vote on the compensation arrangements of our named executive officers, unless specified otherwise.</w:t>
      </w:r>
    </w:p>
    <w:p>
      <w:pPr>
        <w:spacing w:after="0" w:line="142" w:lineRule="exact"/>
        <w:rPr>
          <w:sz w:val="20"/>
          <w:szCs w:val="20"/>
          <w:color w:val="auto"/>
        </w:rPr>
      </w:pPr>
    </w:p>
    <w:p>
      <w:pPr>
        <w:jc w:val="both"/>
        <w:ind w:left="120" w:right="20"/>
        <w:spacing w:after="0" w:line="266" w:lineRule="auto"/>
        <w:rPr>
          <w:sz w:val="20"/>
          <w:szCs w:val="20"/>
          <w:color w:val="auto"/>
        </w:rPr>
      </w:pPr>
      <w:r>
        <w:rPr>
          <w:rFonts w:ascii="Arial" w:cs="Arial" w:eastAsia="Arial" w:hAnsi="Arial"/>
          <w:sz w:val="16"/>
          <w:szCs w:val="16"/>
          <w:color w:val="auto"/>
        </w:rPr>
        <w:t>THE BOARD OF DIRECTORS RECOMMENDS THAT STOCKHOLDERS VOTE “</w:t>
      </w:r>
      <w:r>
        <w:rPr>
          <w:rFonts w:ascii="Arial" w:cs="Arial" w:eastAsia="Arial" w:hAnsi="Arial"/>
          <w:sz w:val="16"/>
          <w:szCs w:val="16"/>
          <w:b w:val="1"/>
          <w:bCs w:val="1"/>
          <w:color w:val="auto"/>
        </w:rPr>
        <w:t>FOR</w:t>
      </w:r>
      <w:r>
        <w:rPr>
          <w:rFonts w:ascii="Arial" w:cs="Arial" w:eastAsia="Arial" w:hAnsi="Arial"/>
          <w:sz w:val="16"/>
          <w:szCs w:val="16"/>
          <w:color w:val="auto"/>
        </w:rPr>
        <w:t>” THE COMPENSATION OF OUR NAMED EXECUTIVE OFFICERS AS DISCLOSED IN THE COMPENSATION DISCUSSION AND ANALYSIS SECTION AND THE ACCOMPANYING COMPENSATION TABLES AND NARRATIVE DISCUSSION IN THIS PROXY STATEMENT.</w:t>
      </w:r>
    </w:p>
    <w:p>
      <w:pPr>
        <w:spacing w:after="0" w:line="1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00548B"/>
        </w:rPr>
        <w:t>56</w:t>
      </w:r>
    </w:p>
    <w:p>
      <w:pPr>
        <w:sectPr>
          <w:pgSz w:w="11900" w:h="16838" w:orient="portrait"/>
          <w:cols w:equalWidth="0" w:num="1">
            <w:col w:w="11140"/>
          </w:cols>
          <w:pgMar w:left="32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0548B"/>
        </w:rPr>
        <w:t>PROPOSAL 5</w:t>
      </w:r>
    </w:p>
    <w:p>
      <w:pPr>
        <w:spacing w:after="0" w:line="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548B"/>
        </w:rPr>
        <w:t>RATIFICATION OF APPOINTMENT OF INDEPENDENT REGISTERED PUBLIC ACCOUNTING FIRM</w:t>
      </w:r>
    </w:p>
    <w:p>
      <w:pPr>
        <w:spacing w:after="0" w:line="363" w:lineRule="exact"/>
        <w:rPr>
          <w:sz w:val="20"/>
          <w:szCs w:val="20"/>
          <w:color w:val="auto"/>
        </w:rPr>
      </w:pPr>
    </w:p>
    <w:p>
      <w:pPr>
        <w:jc w:val="both"/>
        <w:ind w:left="120"/>
        <w:spacing w:after="0" w:line="248" w:lineRule="auto"/>
        <w:rPr>
          <w:sz w:val="20"/>
          <w:szCs w:val="20"/>
          <w:color w:val="auto"/>
        </w:rPr>
      </w:pPr>
      <w:r>
        <w:rPr>
          <w:rFonts w:ascii="Arial" w:cs="Arial" w:eastAsia="Arial" w:hAnsi="Arial"/>
          <w:sz w:val="16"/>
          <w:szCs w:val="16"/>
          <w:color w:val="auto"/>
        </w:rPr>
        <w:t>PricewaterhouseCoopers LLP (“PwC”), which has been the independent registered public accounting firm for the Company since its inception, has been appointed by the Audit Committee as the independent registered public accounting firm for the Company and its subsidiaries for the fiscal year ending December 31, 2020. This appointment is being presented to the stockholders for ratification. The ratification of the appointment of PwC as the independent registered public accounting firm requires the affirmative vote of the holders of a majority of the total shares of common stock present in person or represented by proxy and entitled to vote on the proposal, provided that a quorum is represented at the meeting. Abstentions will have the same effect as a vote against ratification. Broker non-votes will not be considered shares entitled to vote with respect to ratification of the appointment and will not be counted as votes for or against the ratification and will therefore have no effect on the outcome of this proposal. Proxies submitted pursuant to this solicitation will be voted “FOR” the ratification of PwC as the Company’s independent registered public accounting firm for the fiscal year ending December 31, 2020, unless specified otherwise.</w:t>
      </w:r>
    </w:p>
    <w:p>
      <w:pPr>
        <w:spacing w:after="0" w:line="145" w:lineRule="exact"/>
        <w:rPr>
          <w:sz w:val="20"/>
          <w:szCs w:val="20"/>
          <w:color w:val="auto"/>
        </w:rPr>
      </w:pPr>
    </w:p>
    <w:p>
      <w:pPr>
        <w:jc w:val="both"/>
        <w:ind w:left="120"/>
        <w:spacing w:after="0" w:line="266" w:lineRule="auto"/>
        <w:rPr>
          <w:sz w:val="20"/>
          <w:szCs w:val="20"/>
          <w:color w:val="auto"/>
        </w:rPr>
      </w:pPr>
      <w:r>
        <w:rPr>
          <w:rFonts w:ascii="Arial" w:cs="Arial" w:eastAsia="Arial" w:hAnsi="Arial"/>
          <w:sz w:val="16"/>
          <w:szCs w:val="16"/>
          <w:color w:val="auto"/>
        </w:rPr>
        <w:t>THE BOARD OF DIRECTORS RECOMMENDS THAT STOCKHOLDERS VOTE “</w:t>
      </w:r>
      <w:r>
        <w:rPr>
          <w:rFonts w:ascii="Arial" w:cs="Arial" w:eastAsia="Arial" w:hAnsi="Arial"/>
          <w:sz w:val="16"/>
          <w:szCs w:val="16"/>
          <w:b w:val="1"/>
          <w:bCs w:val="1"/>
          <w:color w:val="auto"/>
        </w:rPr>
        <w:t>FOR</w:t>
      </w:r>
      <w:r>
        <w:rPr>
          <w:rFonts w:ascii="Arial" w:cs="Arial" w:eastAsia="Arial" w:hAnsi="Arial"/>
          <w:sz w:val="16"/>
          <w:szCs w:val="16"/>
          <w:color w:val="auto"/>
        </w:rPr>
        <w:t>” THE RATIFICATION OF THE APPOINTMENT OF PRICEWATERHOUSECOOPERS LLP AS THE COMPANY’S INDEPENDENT REGISTERED PUBLIC ACCOUNTING FIRM FOR THE FISCAL YEAR ENDING DECEMBER 31, 2020.</w:t>
      </w:r>
    </w:p>
    <w:p>
      <w:pPr>
        <w:spacing w:after="0" w:line="164" w:lineRule="exact"/>
        <w:rPr>
          <w:sz w:val="20"/>
          <w:szCs w:val="20"/>
          <w:color w:val="auto"/>
        </w:rPr>
      </w:pPr>
    </w:p>
    <w:p>
      <w:pPr>
        <w:jc w:val="both"/>
        <w:ind w:left="120" w:right="20"/>
        <w:spacing w:after="0" w:line="260" w:lineRule="auto"/>
        <w:rPr>
          <w:sz w:val="20"/>
          <w:szCs w:val="20"/>
          <w:color w:val="auto"/>
        </w:rPr>
      </w:pPr>
      <w:r>
        <w:rPr>
          <w:rFonts w:ascii="Arial" w:cs="Arial" w:eastAsia="Arial" w:hAnsi="Arial"/>
          <w:sz w:val="16"/>
          <w:szCs w:val="16"/>
          <w:color w:val="auto"/>
        </w:rPr>
        <w:t>Representatives of PwC are expected to be present at the Annual Meeting and will be provided an opportunity to make a statement and to respond to appropriate inquiries from stockholders.</w:t>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48B"/>
        </w:rPr>
        <w:t>A</w:t>
      </w:r>
      <w:r>
        <w:rPr>
          <w:rFonts w:ascii="Arial" w:cs="Arial" w:eastAsia="Arial" w:hAnsi="Arial"/>
          <w:sz w:val="14"/>
          <w:szCs w:val="14"/>
          <w:b w:val="1"/>
          <w:bCs w:val="1"/>
          <w:color w:val="00548B"/>
        </w:rPr>
        <w:t>UDIT AND</w:t>
      </w:r>
      <w:r>
        <w:rPr>
          <w:rFonts w:ascii="Arial" w:cs="Arial" w:eastAsia="Arial" w:hAnsi="Arial"/>
          <w:sz w:val="18"/>
          <w:szCs w:val="18"/>
          <w:b w:val="1"/>
          <w:bCs w:val="1"/>
          <w:color w:val="00548B"/>
        </w:rPr>
        <w:t xml:space="preserve"> N</w:t>
      </w:r>
      <w:r>
        <w:rPr>
          <w:rFonts w:ascii="Arial" w:cs="Arial" w:eastAsia="Arial" w:hAnsi="Arial"/>
          <w:sz w:val="14"/>
          <w:szCs w:val="14"/>
          <w:b w:val="1"/>
          <w:bCs w:val="1"/>
          <w:color w:val="00548B"/>
        </w:rPr>
        <w:t>ON</w:t>
      </w:r>
      <w:r>
        <w:rPr>
          <w:rFonts w:ascii="Arial" w:cs="Arial" w:eastAsia="Arial" w:hAnsi="Arial"/>
          <w:sz w:val="18"/>
          <w:szCs w:val="18"/>
          <w:b w:val="1"/>
          <w:bCs w:val="1"/>
          <w:color w:val="00548B"/>
        </w:rPr>
        <w:t>-A</w:t>
      </w:r>
      <w:r>
        <w:rPr>
          <w:rFonts w:ascii="Arial" w:cs="Arial" w:eastAsia="Arial" w:hAnsi="Arial"/>
          <w:sz w:val="14"/>
          <w:szCs w:val="14"/>
          <w:b w:val="1"/>
          <w:bCs w:val="1"/>
          <w:color w:val="00548B"/>
        </w:rPr>
        <w:t>UDIT</w:t>
      </w:r>
      <w:r>
        <w:rPr>
          <w:rFonts w:ascii="Arial" w:cs="Arial" w:eastAsia="Arial" w:hAnsi="Arial"/>
          <w:sz w:val="18"/>
          <w:szCs w:val="18"/>
          <w:b w:val="1"/>
          <w:bCs w:val="1"/>
          <w:color w:val="00548B"/>
        </w:rPr>
        <w:t xml:space="preserve"> F</w:t>
      </w:r>
      <w:r>
        <w:rPr>
          <w:rFonts w:ascii="Arial" w:cs="Arial" w:eastAsia="Arial" w:hAnsi="Arial"/>
          <w:sz w:val="14"/>
          <w:szCs w:val="14"/>
          <w:b w:val="1"/>
          <w:bCs w:val="1"/>
          <w:color w:val="00548B"/>
        </w:rPr>
        <w:t>EES</w:t>
      </w:r>
    </w:p>
    <w:p>
      <w:pPr>
        <w:spacing w:after="0" w:line="20" w:lineRule="exact"/>
        <w:rPr>
          <w:sz w:val="20"/>
          <w:szCs w:val="20"/>
          <w:color w:val="auto"/>
        </w:rPr>
      </w:pPr>
    </w:p>
    <w:p>
      <w:pPr>
        <w:jc w:val="both"/>
        <w:ind w:left="120" w:right="20"/>
        <w:spacing w:after="0" w:line="260" w:lineRule="auto"/>
        <w:rPr>
          <w:sz w:val="20"/>
          <w:szCs w:val="20"/>
          <w:color w:val="auto"/>
        </w:rPr>
      </w:pPr>
      <w:r>
        <w:rPr>
          <w:rFonts w:ascii="Arial" w:cs="Arial" w:eastAsia="Arial" w:hAnsi="Arial"/>
          <w:sz w:val="16"/>
          <w:szCs w:val="16"/>
          <w:color w:val="auto"/>
        </w:rPr>
        <w:t>The following table presents fees for professional audit services rendered by PwC for the audit of the Company’s annual financial statements for the years ended December 31, 2019 and December 31, 2018, and fees for other services rendered by PwC during those periods:</w:t>
      </w:r>
    </w:p>
    <w:p>
      <w:pPr>
        <w:spacing w:after="0" w:line="193" w:lineRule="exact"/>
        <w:rPr>
          <w:sz w:val="20"/>
          <w:szCs w:val="20"/>
          <w:color w:val="auto"/>
        </w:rPr>
      </w:pPr>
    </w:p>
    <w:tbl>
      <w:tblPr>
        <w:tblLayout w:type="fixed"/>
        <w:tblInd w:w="560" w:type="dxa"/>
        <w:tblCellMar>
          <w:top w:w="0" w:type="dxa"/>
          <w:left w:w="0" w:type="dxa"/>
          <w:bottom w:w="0" w:type="dxa"/>
          <w:right w:w="0" w:type="dxa"/>
        </w:tblCellMar>
      </w:tblPr>
      <w:tr>
        <w:trPr>
          <w:trHeight w:val="169"/>
        </w:trPr>
        <w:tc>
          <w:tcPr>
            <w:tcW w:w="7100" w:type="dxa"/>
            <w:vAlign w:val="bottom"/>
            <w:shd w:val="clear" w:color="auto" w:fill="00548B"/>
          </w:tcPr>
          <w:p>
            <w:pPr>
              <w:spacing w:after="0"/>
              <w:rPr>
                <w:sz w:val="14"/>
                <w:szCs w:val="14"/>
                <w:color w:val="auto"/>
              </w:rPr>
            </w:pPr>
          </w:p>
        </w:tc>
        <w:tc>
          <w:tcPr>
            <w:tcW w:w="300" w:type="dxa"/>
            <w:vAlign w:val="bottom"/>
            <w:shd w:val="clear" w:color="auto" w:fill="00548B"/>
          </w:tcPr>
          <w:p>
            <w:pPr>
              <w:spacing w:after="0"/>
              <w:rPr>
                <w:sz w:val="14"/>
                <w:szCs w:val="14"/>
                <w:color w:val="auto"/>
              </w:rPr>
            </w:pPr>
          </w:p>
        </w:tc>
        <w:tc>
          <w:tcPr>
            <w:tcW w:w="740" w:type="dxa"/>
            <w:vAlign w:val="bottom"/>
            <w:shd w:val="clear" w:color="auto" w:fill="00548B"/>
          </w:tcPr>
          <w:p>
            <w:pPr>
              <w:jc w:val="right"/>
              <w:ind w:right="221"/>
              <w:spacing w:after="0"/>
              <w:rPr>
                <w:sz w:val="20"/>
                <w:szCs w:val="20"/>
                <w:color w:val="auto"/>
              </w:rPr>
            </w:pPr>
            <w:r>
              <w:rPr>
                <w:rFonts w:ascii="Arial" w:cs="Arial" w:eastAsia="Arial" w:hAnsi="Arial"/>
                <w:sz w:val="14"/>
                <w:szCs w:val="14"/>
                <w:b w:val="1"/>
                <w:bCs w:val="1"/>
                <w:color w:val="D8D8D8"/>
              </w:rPr>
              <w:t>2019</w:t>
            </w:r>
          </w:p>
        </w:tc>
        <w:tc>
          <w:tcPr>
            <w:tcW w:w="1040" w:type="dxa"/>
            <w:vAlign w:val="bottom"/>
            <w:shd w:val="clear" w:color="auto" w:fill="00548B"/>
          </w:tcPr>
          <w:p>
            <w:pPr>
              <w:spacing w:after="0"/>
              <w:rPr>
                <w:sz w:val="14"/>
                <w:szCs w:val="14"/>
                <w:color w:val="auto"/>
              </w:rPr>
            </w:pPr>
          </w:p>
        </w:tc>
        <w:tc>
          <w:tcPr>
            <w:tcW w:w="940" w:type="dxa"/>
            <w:vAlign w:val="bottom"/>
            <w:shd w:val="clear" w:color="auto" w:fill="00548B"/>
          </w:tcPr>
          <w:p>
            <w:pPr>
              <w:jc w:val="right"/>
              <w:ind w:right="421"/>
              <w:spacing w:after="0"/>
              <w:rPr>
                <w:sz w:val="20"/>
                <w:szCs w:val="20"/>
                <w:color w:val="auto"/>
              </w:rPr>
            </w:pPr>
            <w:r>
              <w:rPr>
                <w:rFonts w:ascii="Arial" w:cs="Arial" w:eastAsia="Arial" w:hAnsi="Arial"/>
                <w:sz w:val="14"/>
                <w:szCs w:val="14"/>
                <w:b w:val="1"/>
                <w:bCs w:val="1"/>
                <w:color w:val="D8D8D8"/>
              </w:rPr>
              <w:t>2018</w:t>
            </w:r>
          </w:p>
        </w:tc>
      </w:tr>
      <w:tr>
        <w:trPr>
          <w:trHeight w:val="142"/>
        </w:trPr>
        <w:tc>
          <w:tcPr>
            <w:tcW w:w="7100" w:type="dxa"/>
            <w:vAlign w:val="bottom"/>
            <w:shd w:val="clear" w:color="auto" w:fill="00548B"/>
          </w:tcPr>
          <w:p>
            <w:pPr>
              <w:spacing w:after="0"/>
              <w:rPr>
                <w:sz w:val="12"/>
                <w:szCs w:val="12"/>
                <w:color w:val="auto"/>
              </w:rPr>
            </w:pPr>
          </w:p>
        </w:tc>
        <w:tc>
          <w:tcPr>
            <w:tcW w:w="300" w:type="dxa"/>
            <w:vAlign w:val="bottom"/>
            <w:shd w:val="clear" w:color="auto" w:fill="00548B"/>
          </w:tcPr>
          <w:p>
            <w:pPr>
              <w:spacing w:after="0"/>
              <w:rPr>
                <w:sz w:val="12"/>
                <w:szCs w:val="12"/>
                <w:color w:val="auto"/>
              </w:rPr>
            </w:pPr>
          </w:p>
        </w:tc>
        <w:tc>
          <w:tcPr>
            <w:tcW w:w="740" w:type="dxa"/>
            <w:vAlign w:val="bottom"/>
            <w:shd w:val="clear" w:color="auto" w:fill="00548B"/>
          </w:tcPr>
          <w:p>
            <w:pPr>
              <w:spacing w:after="0"/>
              <w:rPr>
                <w:sz w:val="12"/>
                <w:szCs w:val="12"/>
                <w:color w:val="auto"/>
              </w:rPr>
            </w:pPr>
          </w:p>
        </w:tc>
        <w:tc>
          <w:tcPr>
            <w:tcW w:w="1040" w:type="dxa"/>
            <w:vAlign w:val="bottom"/>
            <w:shd w:val="clear" w:color="auto" w:fill="00548B"/>
          </w:tcPr>
          <w:p>
            <w:pPr>
              <w:jc w:val="right"/>
              <w:ind w:right="102"/>
              <w:spacing w:after="0" w:line="142" w:lineRule="exact"/>
              <w:rPr>
                <w:sz w:val="20"/>
                <w:szCs w:val="20"/>
                <w:color w:val="auto"/>
              </w:rPr>
            </w:pPr>
            <w:r>
              <w:rPr>
                <w:rFonts w:ascii="Arial" w:cs="Arial" w:eastAsia="Arial" w:hAnsi="Arial"/>
                <w:sz w:val="13"/>
                <w:szCs w:val="13"/>
                <w:b w:val="1"/>
                <w:bCs w:val="1"/>
                <w:color w:val="E5E5E5"/>
                <w:w w:val="93"/>
              </w:rPr>
              <w:t>(in thousands)</w:t>
            </w:r>
          </w:p>
        </w:tc>
        <w:tc>
          <w:tcPr>
            <w:tcW w:w="940" w:type="dxa"/>
            <w:vAlign w:val="bottom"/>
            <w:shd w:val="clear" w:color="auto" w:fill="00548B"/>
          </w:tcPr>
          <w:p>
            <w:pPr>
              <w:spacing w:after="0"/>
              <w:rPr>
                <w:sz w:val="12"/>
                <w:szCs w:val="12"/>
                <w:color w:val="auto"/>
              </w:rPr>
            </w:pPr>
          </w:p>
        </w:tc>
      </w:tr>
      <w:tr>
        <w:trPr>
          <w:trHeight w:val="189"/>
        </w:trPr>
        <w:tc>
          <w:tcPr>
            <w:tcW w:w="7100" w:type="dxa"/>
            <w:vAlign w:val="bottom"/>
            <w:tcBorders>
              <w:bottom w:val="single" w:sz="8" w:color="999999"/>
            </w:tcBorders>
          </w:tcPr>
          <w:p>
            <w:pPr>
              <w:spacing w:after="0"/>
              <w:rPr>
                <w:sz w:val="20"/>
                <w:szCs w:val="20"/>
                <w:color w:val="auto"/>
              </w:rPr>
            </w:pPr>
            <w:r>
              <w:rPr>
                <w:rFonts w:ascii="Arial" w:cs="Arial" w:eastAsia="Arial" w:hAnsi="Arial"/>
                <w:sz w:val="16"/>
                <w:szCs w:val="16"/>
                <w:color w:val="auto"/>
              </w:rPr>
              <w:t>Audit Fees</w:t>
            </w:r>
          </w:p>
        </w:tc>
        <w:tc>
          <w:tcPr>
            <w:tcW w:w="300" w:type="dxa"/>
            <w:vAlign w:val="bottom"/>
            <w:tcBorders>
              <w:bottom w:val="single" w:sz="8" w:color="999999"/>
            </w:tcBorders>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1,585</w:t>
            </w:r>
          </w:p>
        </w:tc>
        <w:tc>
          <w:tcPr>
            <w:tcW w:w="1040" w:type="dxa"/>
            <w:vAlign w:val="bottom"/>
            <w:tcBorders>
              <w:bottom w:val="single" w:sz="8" w:color="999999"/>
            </w:tcBorders>
          </w:tcPr>
          <w:p>
            <w:pPr>
              <w:jc w:val="right"/>
              <w:ind w:right="42"/>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999999"/>
            </w:tcBorders>
          </w:tcPr>
          <w:p>
            <w:pPr>
              <w:jc w:val="right"/>
              <w:ind w:right="141"/>
              <w:spacing w:after="0"/>
              <w:rPr>
                <w:sz w:val="20"/>
                <w:szCs w:val="20"/>
                <w:color w:val="auto"/>
              </w:rPr>
            </w:pPr>
            <w:r>
              <w:rPr>
                <w:rFonts w:ascii="Arial" w:cs="Arial" w:eastAsia="Arial" w:hAnsi="Arial"/>
                <w:sz w:val="16"/>
                <w:szCs w:val="16"/>
                <w:color w:val="auto"/>
              </w:rPr>
              <w:t>1,411</w:t>
            </w:r>
          </w:p>
        </w:tc>
      </w:tr>
      <w:tr>
        <w:trPr>
          <w:trHeight w:val="183"/>
        </w:trPr>
        <w:tc>
          <w:tcPr>
            <w:tcW w:w="7100" w:type="dxa"/>
            <w:vAlign w:val="bottom"/>
            <w:tcBorders>
              <w:bottom w:val="single" w:sz="8" w:color="999999"/>
            </w:tcBorders>
          </w:tcPr>
          <w:p>
            <w:pPr>
              <w:spacing w:after="0" w:line="183" w:lineRule="exact"/>
              <w:rPr>
                <w:sz w:val="20"/>
                <w:szCs w:val="20"/>
                <w:color w:val="auto"/>
              </w:rPr>
            </w:pPr>
            <w:r>
              <w:rPr>
                <w:rFonts w:ascii="Arial" w:cs="Arial" w:eastAsia="Arial" w:hAnsi="Arial"/>
                <w:sz w:val="16"/>
                <w:szCs w:val="16"/>
                <w:color w:val="auto"/>
              </w:rPr>
              <w:t>Audit-Related Fees</w:t>
            </w:r>
          </w:p>
        </w:tc>
        <w:tc>
          <w:tcPr>
            <w:tcW w:w="300" w:type="dxa"/>
            <w:vAlign w:val="bottom"/>
            <w:tcBorders>
              <w:bottom w:val="single" w:sz="8" w:color="999999"/>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740" w:type="dxa"/>
            <w:vAlign w:val="bottom"/>
            <w:tcBorders>
              <w:bottom w:val="single" w:sz="8" w:color="999999"/>
            </w:tcBorders>
          </w:tcPr>
          <w:p>
            <w:pPr>
              <w:jc w:val="right"/>
              <w:spacing w:after="0" w:line="183" w:lineRule="exact"/>
              <w:rPr>
                <w:sz w:val="20"/>
                <w:szCs w:val="20"/>
                <w:color w:val="auto"/>
              </w:rPr>
            </w:pPr>
            <w:r>
              <w:rPr>
                <w:rFonts w:ascii="Arial" w:cs="Arial" w:eastAsia="Arial" w:hAnsi="Arial"/>
                <w:sz w:val="16"/>
                <w:szCs w:val="16"/>
                <w:color w:val="auto"/>
              </w:rPr>
              <w:t>10</w:t>
            </w:r>
          </w:p>
        </w:tc>
        <w:tc>
          <w:tcPr>
            <w:tcW w:w="1040" w:type="dxa"/>
            <w:vAlign w:val="bottom"/>
            <w:tcBorders>
              <w:bottom w:val="single" w:sz="8" w:color="999999"/>
            </w:tcBorders>
          </w:tcPr>
          <w:p>
            <w:pPr>
              <w:jc w:val="right"/>
              <w:ind w:right="42"/>
              <w:spacing w:after="0" w:line="183"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999999"/>
            </w:tcBorders>
          </w:tcPr>
          <w:p>
            <w:pPr>
              <w:jc w:val="right"/>
              <w:ind w:right="141"/>
              <w:spacing w:after="0" w:line="183" w:lineRule="exact"/>
              <w:rPr>
                <w:sz w:val="20"/>
                <w:szCs w:val="20"/>
                <w:color w:val="auto"/>
              </w:rPr>
            </w:pPr>
            <w:r>
              <w:rPr>
                <w:rFonts w:ascii="Arial" w:cs="Arial" w:eastAsia="Arial" w:hAnsi="Arial"/>
                <w:sz w:val="16"/>
                <w:szCs w:val="16"/>
                <w:color w:val="auto"/>
              </w:rPr>
              <w:t>44</w:t>
            </w:r>
          </w:p>
        </w:tc>
      </w:tr>
      <w:tr>
        <w:trPr>
          <w:trHeight w:val="182"/>
        </w:trPr>
        <w:tc>
          <w:tcPr>
            <w:tcW w:w="7100" w:type="dxa"/>
            <w:vAlign w:val="bottom"/>
            <w:tcBorders>
              <w:bottom w:val="single" w:sz="8" w:color="999999"/>
            </w:tcBorders>
          </w:tcPr>
          <w:p>
            <w:pPr>
              <w:spacing w:after="0" w:line="183" w:lineRule="exact"/>
              <w:rPr>
                <w:sz w:val="20"/>
                <w:szCs w:val="20"/>
                <w:color w:val="auto"/>
              </w:rPr>
            </w:pPr>
            <w:r>
              <w:rPr>
                <w:rFonts w:ascii="Arial" w:cs="Arial" w:eastAsia="Arial" w:hAnsi="Arial"/>
                <w:sz w:val="16"/>
                <w:szCs w:val="16"/>
                <w:color w:val="auto"/>
              </w:rPr>
              <w:t>Tax Fees</w:t>
            </w:r>
          </w:p>
        </w:tc>
        <w:tc>
          <w:tcPr>
            <w:tcW w:w="300" w:type="dxa"/>
            <w:vAlign w:val="bottom"/>
            <w:tcBorders>
              <w:bottom w:val="single" w:sz="8" w:color="999999"/>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740" w:type="dxa"/>
            <w:vAlign w:val="bottom"/>
            <w:tcBorders>
              <w:bottom w:val="single" w:sz="8" w:color="999999"/>
            </w:tcBorders>
          </w:tcPr>
          <w:p>
            <w:pPr>
              <w:jc w:val="right"/>
              <w:spacing w:after="0" w:line="183" w:lineRule="exact"/>
              <w:rPr>
                <w:sz w:val="20"/>
                <w:szCs w:val="20"/>
                <w:color w:val="auto"/>
              </w:rPr>
            </w:pPr>
            <w:r>
              <w:rPr>
                <w:rFonts w:ascii="Arial" w:cs="Arial" w:eastAsia="Arial" w:hAnsi="Arial"/>
                <w:sz w:val="16"/>
                <w:szCs w:val="16"/>
                <w:color w:val="auto"/>
              </w:rPr>
              <w:t>215</w:t>
            </w:r>
          </w:p>
        </w:tc>
        <w:tc>
          <w:tcPr>
            <w:tcW w:w="1040" w:type="dxa"/>
            <w:vAlign w:val="bottom"/>
            <w:tcBorders>
              <w:bottom w:val="single" w:sz="8" w:color="999999"/>
            </w:tcBorders>
          </w:tcPr>
          <w:p>
            <w:pPr>
              <w:jc w:val="right"/>
              <w:ind w:right="42"/>
              <w:spacing w:after="0" w:line="183"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999999"/>
            </w:tcBorders>
          </w:tcPr>
          <w:p>
            <w:pPr>
              <w:jc w:val="right"/>
              <w:ind w:right="141"/>
              <w:spacing w:after="0" w:line="183" w:lineRule="exact"/>
              <w:rPr>
                <w:sz w:val="20"/>
                <w:szCs w:val="20"/>
                <w:color w:val="auto"/>
              </w:rPr>
            </w:pPr>
            <w:r>
              <w:rPr>
                <w:rFonts w:ascii="Arial" w:cs="Arial" w:eastAsia="Arial" w:hAnsi="Arial"/>
                <w:sz w:val="16"/>
                <w:szCs w:val="16"/>
                <w:color w:val="auto"/>
              </w:rPr>
              <w:t>140</w:t>
            </w:r>
          </w:p>
        </w:tc>
      </w:tr>
      <w:tr>
        <w:trPr>
          <w:trHeight w:val="183"/>
        </w:trPr>
        <w:tc>
          <w:tcPr>
            <w:tcW w:w="7100" w:type="dxa"/>
            <w:vAlign w:val="bottom"/>
            <w:tcBorders>
              <w:bottom w:val="single" w:sz="8" w:color="999999"/>
            </w:tcBorders>
          </w:tcPr>
          <w:p>
            <w:pPr>
              <w:spacing w:after="0" w:line="183" w:lineRule="exact"/>
              <w:rPr>
                <w:sz w:val="20"/>
                <w:szCs w:val="20"/>
                <w:color w:val="auto"/>
              </w:rPr>
            </w:pPr>
            <w:r>
              <w:rPr>
                <w:rFonts w:ascii="Arial" w:cs="Arial" w:eastAsia="Arial" w:hAnsi="Arial"/>
                <w:sz w:val="16"/>
                <w:szCs w:val="16"/>
                <w:color w:val="auto"/>
              </w:rPr>
              <w:t>All Other Fees</w:t>
            </w:r>
          </w:p>
        </w:tc>
        <w:tc>
          <w:tcPr>
            <w:tcW w:w="300" w:type="dxa"/>
            <w:vAlign w:val="bottom"/>
            <w:tcBorders>
              <w:bottom w:val="single" w:sz="8" w:color="999999"/>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740" w:type="dxa"/>
            <w:vAlign w:val="bottom"/>
            <w:tcBorders>
              <w:bottom w:val="single" w:sz="8" w:color="999999"/>
            </w:tcBorders>
          </w:tcPr>
          <w:p>
            <w:pPr>
              <w:jc w:val="right"/>
              <w:spacing w:after="0" w:line="183" w:lineRule="exact"/>
              <w:rPr>
                <w:sz w:val="20"/>
                <w:szCs w:val="20"/>
                <w:color w:val="auto"/>
              </w:rPr>
            </w:pPr>
            <w:r>
              <w:rPr>
                <w:rFonts w:ascii="Arial" w:cs="Arial" w:eastAsia="Arial" w:hAnsi="Arial"/>
                <w:sz w:val="16"/>
                <w:szCs w:val="16"/>
                <w:color w:val="auto"/>
              </w:rPr>
              <w:t>3</w:t>
            </w:r>
          </w:p>
        </w:tc>
        <w:tc>
          <w:tcPr>
            <w:tcW w:w="1040" w:type="dxa"/>
            <w:vAlign w:val="bottom"/>
            <w:tcBorders>
              <w:bottom w:val="single" w:sz="8" w:color="999999"/>
            </w:tcBorders>
          </w:tcPr>
          <w:p>
            <w:pPr>
              <w:jc w:val="right"/>
              <w:ind w:right="42"/>
              <w:spacing w:after="0" w:line="183"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999999"/>
            </w:tcBorders>
          </w:tcPr>
          <w:p>
            <w:pPr>
              <w:jc w:val="right"/>
              <w:ind w:right="141"/>
              <w:spacing w:after="0" w:line="183" w:lineRule="exact"/>
              <w:rPr>
                <w:sz w:val="20"/>
                <w:szCs w:val="20"/>
                <w:color w:val="auto"/>
              </w:rPr>
            </w:pPr>
            <w:r>
              <w:rPr>
                <w:rFonts w:ascii="Arial" w:cs="Arial" w:eastAsia="Arial" w:hAnsi="Arial"/>
                <w:sz w:val="16"/>
                <w:szCs w:val="16"/>
                <w:color w:val="auto"/>
              </w:rPr>
              <w:t>3</w:t>
            </w:r>
          </w:p>
        </w:tc>
      </w:tr>
      <w:tr>
        <w:trPr>
          <w:trHeight w:val="183"/>
        </w:trPr>
        <w:tc>
          <w:tcPr>
            <w:tcW w:w="7100" w:type="dxa"/>
            <w:vAlign w:val="bottom"/>
            <w:tcBorders>
              <w:bottom w:val="single" w:sz="8" w:color="00548B"/>
            </w:tcBorders>
          </w:tcPr>
          <w:p>
            <w:pPr>
              <w:spacing w:after="0" w:line="183" w:lineRule="exact"/>
              <w:rPr>
                <w:sz w:val="20"/>
                <w:szCs w:val="20"/>
                <w:color w:val="auto"/>
              </w:rPr>
            </w:pPr>
            <w:r>
              <w:rPr>
                <w:rFonts w:ascii="Arial" w:cs="Arial" w:eastAsia="Arial" w:hAnsi="Arial"/>
                <w:sz w:val="16"/>
                <w:szCs w:val="16"/>
                <w:b w:val="1"/>
                <w:bCs w:val="1"/>
                <w:color w:val="auto"/>
              </w:rPr>
              <w:t>Total</w:t>
            </w:r>
          </w:p>
        </w:tc>
        <w:tc>
          <w:tcPr>
            <w:tcW w:w="300" w:type="dxa"/>
            <w:vAlign w:val="bottom"/>
            <w:tcBorders>
              <w:bottom w:val="single" w:sz="8" w:color="00548B"/>
            </w:tcBorders>
          </w:tcPr>
          <w:p>
            <w:pPr>
              <w:jc w:val="right"/>
              <w:ind w:right="39"/>
              <w:spacing w:after="0" w:line="183" w:lineRule="exact"/>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00548B"/>
            </w:tcBorders>
          </w:tcPr>
          <w:p>
            <w:pPr>
              <w:jc w:val="right"/>
              <w:spacing w:after="0" w:line="183" w:lineRule="exact"/>
              <w:rPr>
                <w:sz w:val="20"/>
                <w:szCs w:val="20"/>
                <w:color w:val="auto"/>
              </w:rPr>
            </w:pPr>
            <w:r>
              <w:rPr>
                <w:rFonts w:ascii="Arial" w:cs="Arial" w:eastAsia="Arial" w:hAnsi="Arial"/>
                <w:sz w:val="16"/>
                <w:szCs w:val="16"/>
                <w:b w:val="1"/>
                <w:bCs w:val="1"/>
                <w:color w:val="auto"/>
              </w:rPr>
              <w:t>1,813</w:t>
            </w:r>
          </w:p>
        </w:tc>
        <w:tc>
          <w:tcPr>
            <w:tcW w:w="1040" w:type="dxa"/>
            <w:vAlign w:val="bottom"/>
            <w:tcBorders>
              <w:bottom w:val="single" w:sz="8" w:color="00548B"/>
            </w:tcBorders>
          </w:tcPr>
          <w:p>
            <w:pPr>
              <w:jc w:val="right"/>
              <w:ind w:right="42"/>
              <w:spacing w:after="0" w:line="183" w:lineRule="exact"/>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00548B"/>
            </w:tcBorders>
          </w:tcPr>
          <w:p>
            <w:pPr>
              <w:jc w:val="right"/>
              <w:ind w:right="141"/>
              <w:spacing w:after="0" w:line="183" w:lineRule="exact"/>
              <w:rPr>
                <w:sz w:val="20"/>
                <w:szCs w:val="20"/>
                <w:color w:val="auto"/>
              </w:rPr>
            </w:pPr>
            <w:r>
              <w:rPr>
                <w:rFonts w:ascii="Arial" w:cs="Arial" w:eastAsia="Arial" w:hAnsi="Arial"/>
                <w:sz w:val="16"/>
                <w:szCs w:val="16"/>
                <w:b w:val="1"/>
                <w:bCs w:val="1"/>
                <w:color w:val="auto"/>
              </w:rPr>
              <w:t>1,598</w:t>
            </w:r>
          </w:p>
        </w:tc>
      </w:tr>
    </w:tbl>
    <w:p>
      <w:pPr>
        <w:spacing w:after="0" w:line="177" w:lineRule="exact"/>
        <w:rPr>
          <w:sz w:val="20"/>
          <w:szCs w:val="20"/>
          <w:color w:val="auto"/>
        </w:rPr>
      </w:pPr>
    </w:p>
    <w:p>
      <w:pPr>
        <w:jc w:val="both"/>
        <w:ind w:left="120" w:right="20"/>
        <w:spacing w:after="0" w:line="260" w:lineRule="auto"/>
        <w:rPr>
          <w:sz w:val="20"/>
          <w:szCs w:val="20"/>
          <w:color w:val="auto"/>
        </w:rPr>
      </w:pPr>
      <w:r>
        <w:rPr>
          <w:rFonts w:ascii="Arial" w:cs="Arial" w:eastAsia="Arial" w:hAnsi="Arial"/>
          <w:sz w:val="16"/>
          <w:szCs w:val="16"/>
          <w:color w:val="auto"/>
        </w:rPr>
        <w:t>For fiscal year 2019, 100% of All Other Fees were approved by the Audit Committee pursuant to the de minimis exception to the preapproval requirements under 17 CFR 210.2-01(c)(7)(i)(C).</w:t>
      </w:r>
    </w:p>
    <w:p>
      <w:pPr>
        <w:spacing w:after="0" w:line="152"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6"/>
          <w:szCs w:val="16"/>
          <w:i w:val="1"/>
          <w:iCs w:val="1"/>
          <w:color w:val="auto"/>
        </w:rPr>
        <w:t>Audit Fees</w:t>
      </w:r>
      <w:r>
        <w:rPr>
          <w:rFonts w:ascii="Arial" w:cs="Arial" w:eastAsia="Arial" w:hAnsi="Arial"/>
          <w:sz w:val="16"/>
          <w:szCs w:val="16"/>
          <w:color w:val="auto"/>
        </w:rPr>
        <w:t>—all services, including tax services and accounting consultation, necessary to perform an audit of the consolidated financial statements of</w:t>
      </w:r>
      <w:r>
        <w:rPr>
          <w:rFonts w:ascii="Arial" w:cs="Arial" w:eastAsia="Arial" w:hAnsi="Arial"/>
          <w:sz w:val="16"/>
          <w:szCs w:val="16"/>
          <w:i w:val="1"/>
          <w:iCs w:val="1"/>
          <w:color w:val="auto"/>
        </w:rPr>
        <w:t xml:space="preserve"> </w:t>
      </w:r>
      <w:r>
        <w:rPr>
          <w:rFonts w:ascii="Arial" w:cs="Arial" w:eastAsia="Arial" w:hAnsi="Arial"/>
          <w:sz w:val="16"/>
          <w:szCs w:val="16"/>
          <w:color w:val="auto"/>
        </w:rPr>
        <w:t>Huron; services in connection with statutory and regulatory filings or engagements, comfort letters, statutory audits, attest services and consents; and assistance with and review of documents filed with the SEC.</w:t>
      </w:r>
    </w:p>
    <w:p>
      <w:pPr>
        <w:spacing w:after="0" w:line="138" w:lineRule="exact"/>
        <w:rPr>
          <w:sz w:val="20"/>
          <w:szCs w:val="20"/>
          <w:color w:val="auto"/>
        </w:rPr>
      </w:pPr>
    </w:p>
    <w:p>
      <w:pPr>
        <w:jc w:val="both"/>
        <w:ind w:left="120" w:right="20"/>
        <w:spacing w:after="0" w:line="281" w:lineRule="auto"/>
        <w:rPr>
          <w:sz w:val="20"/>
          <w:szCs w:val="20"/>
          <w:color w:val="auto"/>
        </w:rPr>
      </w:pPr>
      <w:r>
        <w:rPr>
          <w:rFonts w:ascii="Arial" w:cs="Arial" w:eastAsia="Arial" w:hAnsi="Arial"/>
          <w:sz w:val="16"/>
          <w:szCs w:val="16"/>
          <w:i w:val="1"/>
          <w:iCs w:val="1"/>
          <w:color w:val="auto"/>
        </w:rPr>
        <w:t>Audit-Related Fees</w:t>
      </w:r>
      <w:r>
        <w:rPr>
          <w:rFonts w:ascii="Arial" w:cs="Arial" w:eastAsia="Arial" w:hAnsi="Arial"/>
          <w:sz w:val="16"/>
          <w:szCs w:val="16"/>
          <w:color w:val="auto"/>
        </w:rPr>
        <w:t>—consultation and procedures performed concerning new financial accounting and reporting standards and attest services that are</w:t>
      </w:r>
      <w:r>
        <w:rPr>
          <w:rFonts w:ascii="Arial" w:cs="Arial" w:eastAsia="Arial" w:hAnsi="Arial"/>
          <w:sz w:val="16"/>
          <w:szCs w:val="16"/>
          <w:i w:val="1"/>
          <w:iCs w:val="1"/>
          <w:color w:val="auto"/>
        </w:rPr>
        <w:t xml:space="preserve"> </w:t>
      </w:r>
      <w:r>
        <w:rPr>
          <w:rFonts w:ascii="Arial" w:cs="Arial" w:eastAsia="Arial" w:hAnsi="Arial"/>
          <w:sz w:val="16"/>
          <w:szCs w:val="16"/>
          <w:color w:val="auto"/>
        </w:rPr>
        <w:t>not required by statute or regulations.</w:t>
      </w:r>
    </w:p>
    <w:p>
      <w:pPr>
        <w:spacing w:after="0" w:line="123"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6"/>
          <w:szCs w:val="16"/>
          <w:i w:val="1"/>
          <w:iCs w:val="1"/>
          <w:color w:val="auto"/>
        </w:rPr>
        <w:t>Tax Fees</w:t>
      </w:r>
      <w:r>
        <w:rPr>
          <w:rFonts w:ascii="Arial" w:cs="Arial" w:eastAsia="Arial" w:hAnsi="Arial"/>
          <w:sz w:val="16"/>
          <w:szCs w:val="16"/>
          <w:color w:val="auto"/>
        </w:rPr>
        <w:t>—tax compliance (review of original and amended tax returns, claims for refund and tax payment-planning services); tax planning; and other tax</w:t>
      </w:r>
      <w:r>
        <w:rPr>
          <w:rFonts w:ascii="Arial" w:cs="Arial" w:eastAsia="Arial" w:hAnsi="Arial"/>
          <w:sz w:val="16"/>
          <w:szCs w:val="16"/>
          <w:i w:val="1"/>
          <w:iCs w:val="1"/>
          <w:color w:val="auto"/>
        </w:rPr>
        <w:t xml:space="preserve"> </w:t>
      </w:r>
      <w:r>
        <w:rPr>
          <w:rFonts w:ascii="Arial" w:cs="Arial" w:eastAsia="Arial" w:hAnsi="Arial"/>
          <w:sz w:val="16"/>
          <w:szCs w:val="16"/>
          <w:color w:val="auto"/>
        </w:rPr>
        <w:t>advice (assistance with tax audits and appeals, tax advice related to structural matters, and requests for rulings or technical advice from taxing authorities).</w:t>
      </w:r>
    </w:p>
    <w:p>
      <w:pPr>
        <w:spacing w:after="0" w:line="340"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All Other Fees</w:t>
      </w:r>
      <w:r>
        <w:rPr>
          <w:rFonts w:ascii="Arial" w:cs="Arial" w:eastAsia="Arial" w:hAnsi="Arial"/>
          <w:sz w:val="16"/>
          <w:szCs w:val="16"/>
          <w:color w:val="auto"/>
        </w:rPr>
        <w:t>—any other work that is not audit, audit-related or a tax service.</w:t>
      </w:r>
    </w:p>
    <w:p>
      <w:pPr>
        <w:spacing w:after="0" w:line="16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00548B"/>
        </w:rPr>
        <w:t>57</w:t>
      </w:r>
    </w:p>
    <w:p>
      <w:pPr>
        <w:sectPr>
          <w:pgSz w:w="11900" w:h="16838" w:orient="portrait"/>
          <w:cols w:equalWidth="0" w:num="1">
            <w:col w:w="11140"/>
          </w:cols>
          <w:pgMar w:left="32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both"/>
        <w:ind w:left="120" w:right="20"/>
        <w:spacing w:after="0" w:line="260" w:lineRule="auto"/>
        <w:rPr>
          <w:sz w:val="20"/>
          <w:szCs w:val="20"/>
          <w:color w:val="auto"/>
        </w:rPr>
      </w:pPr>
      <w:r>
        <w:rPr>
          <w:rFonts w:ascii="Arial" w:cs="Arial" w:eastAsia="Arial" w:hAnsi="Arial"/>
          <w:sz w:val="16"/>
          <w:szCs w:val="16"/>
          <w:color w:val="auto"/>
        </w:rPr>
        <w:t>The Audit Committee considers whether the provision of these services is compatible with maintaining the independence of the independent registered public accounting firm and has determined such services for fiscal 2019 and 2018 were compatible.</w:t>
      </w:r>
    </w:p>
    <w:p>
      <w:pPr>
        <w:spacing w:after="0" w:line="144" w:lineRule="exact"/>
        <w:rPr>
          <w:sz w:val="20"/>
          <w:szCs w:val="20"/>
          <w:color w:val="auto"/>
        </w:rPr>
      </w:pPr>
    </w:p>
    <w:p>
      <w:pPr>
        <w:jc w:val="both"/>
        <w:ind w:left="120" w:right="20"/>
        <w:spacing w:after="0" w:line="249" w:lineRule="auto"/>
        <w:rPr>
          <w:sz w:val="20"/>
          <w:szCs w:val="20"/>
          <w:color w:val="auto"/>
        </w:rPr>
      </w:pPr>
      <w:r>
        <w:rPr>
          <w:rFonts w:ascii="Arial" w:cs="Arial" w:eastAsia="Arial" w:hAnsi="Arial"/>
          <w:sz w:val="18"/>
          <w:szCs w:val="18"/>
          <w:b w:val="1"/>
          <w:bCs w:val="1"/>
          <w:color w:val="00548B"/>
        </w:rPr>
        <w:t>P</w:t>
      </w:r>
      <w:r>
        <w:rPr>
          <w:rFonts w:ascii="Arial" w:cs="Arial" w:eastAsia="Arial" w:hAnsi="Arial"/>
          <w:sz w:val="14"/>
          <w:szCs w:val="14"/>
          <w:b w:val="1"/>
          <w:bCs w:val="1"/>
          <w:color w:val="00548B"/>
        </w:rPr>
        <w:t>OLICY ON</w:t>
      </w:r>
      <w:r>
        <w:rPr>
          <w:rFonts w:ascii="Arial" w:cs="Arial" w:eastAsia="Arial" w:hAnsi="Arial"/>
          <w:sz w:val="18"/>
          <w:szCs w:val="18"/>
          <w:b w:val="1"/>
          <w:bCs w:val="1"/>
          <w:color w:val="00548B"/>
        </w:rPr>
        <w:t xml:space="preserve"> A</w:t>
      </w:r>
      <w:r>
        <w:rPr>
          <w:rFonts w:ascii="Arial" w:cs="Arial" w:eastAsia="Arial" w:hAnsi="Arial"/>
          <w:sz w:val="14"/>
          <w:szCs w:val="14"/>
          <w:b w:val="1"/>
          <w:bCs w:val="1"/>
          <w:color w:val="00548B"/>
        </w:rPr>
        <w:t>UDIT</w:t>
      </w:r>
      <w:r>
        <w:rPr>
          <w:rFonts w:ascii="Arial" w:cs="Arial" w:eastAsia="Arial" w:hAnsi="Arial"/>
          <w:sz w:val="18"/>
          <w:szCs w:val="18"/>
          <w:b w:val="1"/>
          <w:bCs w:val="1"/>
          <w:color w:val="00548B"/>
        </w:rPr>
        <w:t xml:space="preserve"> C</w:t>
      </w:r>
      <w:r>
        <w:rPr>
          <w:rFonts w:ascii="Arial" w:cs="Arial" w:eastAsia="Arial" w:hAnsi="Arial"/>
          <w:sz w:val="14"/>
          <w:szCs w:val="14"/>
          <w:b w:val="1"/>
          <w:bCs w:val="1"/>
          <w:color w:val="00548B"/>
        </w:rPr>
        <w:t>OMMITTEE</w:t>
      </w:r>
      <w:r>
        <w:rPr>
          <w:rFonts w:ascii="Arial" w:cs="Arial" w:eastAsia="Arial" w:hAnsi="Arial"/>
          <w:sz w:val="18"/>
          <w:szCs w:val="18"/>
          <w:b w:val="1"/>
          <w:bCs w:val="1"/>
          <w:color w:val="00548B"/>
        </w:rPr>
        <w:t xml:space="preserve"> P</w:t>
      </w:r>
      <w:r>
        <w:rPr>
          <w:rFonts w:ascii="Arial" w:cs="Arial" w:eastAsia="Arial" w:hAnsi="Arial"/>
          <w:sz w:val="14"/>
          <w:szCs w:val="14"/>
          <w:b w:val="1"/>
          <w:bCs w:val="1"/>
          <w:color w:val="00548B"/>
        </w:rPr>
        <w:t>REAPPROVAL OF</w:t>
      </w:r>
      <w:r>
        <w:rPr>
          <w:rFonts w:ascii="Arial" w:cs="Arial" w:eastAsia="Arial" w:hAnsi="Arial"/>
          <w:sz w:val="18"/>
          <w:szCs w:val="18"/>
          <w:b w:val="1"/>
          <w:bCs w:val="1"/>
          <w:color w:val="00548B"/>
        </w:rPr>
        <w:t xml:space="preserve"> A</w:t>
      </w:r>
      <w:r>
        <w:rPr>
          <w:rFonts w:ascii="Arial" w:cs="Arial" w:eastAsia="Arial" w:hAnsi="Arial"/>
          <w:sz w:val="14"/>
          <w:szCs w:val="14"/>
          <w:b w:val="1"/>
          <w:bCs w:val="1"/>
          <w:color w:val="00548B"/>
        </w:rPr>
        <w:t>UDIT AND</w:t>
      </w:r>
      <w:r>
        <w:rPr>
          <w:rFonts w:ascii="Arial" w:cs="Arial" w:eastAsia="Arial" w:hAnsi="Arial"/>
          <w:sz w:val="18"/>
          <w:szCs w:val="18"/>
          <w:b w:val="1"/>
          <w:bCs w:val="1"/>
          <w:color w:val="00548B"/>
        </w:rPr>
        <w:t xml:space="preserve"> N</w:t>
      </w:r>
      <w:r>
        <w:rPr>
          <w:rFonts w:ascii="Arial" w:cs="Arial" w:eastAsia="Arial" w:hAnsi="Arial"/>
          <w:sz w:val="14"/>
          <w:szCs w:val="14"/>
          <w:b w:val="1"/>
          <w:bCs w:val="1"/>
          <w:color w:val="00548B"/>
        </w:rPr>
        <w:t>ON</w:t>
      </w:r>
      <w:r>
        <w:rPr>
          <w:rFonts w:ascii="Arial" w:cs="Arial" w:eastAsia="Arial" w:hAnsi="Arial"/>
          <w:sz w:val="18"/>
          <w:szCs w:val="18"/>
          <w:b w:val="1"/>
          <w:bCs w:val="1"/>
          <w:color w:val="00548B"/>
        </w:rPr>
        <w:t>-A</w:t>
      </w:r>
      <w:r>
        <w:rPr>
          <w:rFonts w:ascii="Arial" w:cs="Arial" w:eastAsia="Arial" w:hAnsi="Arial"/>
          <w:sz w:val="14"/>
          <w:szCs w:val="14"/>
          <w:b w:val="1"/>
          <w:bCs w:val="1"/>
          <w:color w:val="00548B"/>
        </w:rPr>
        <w:t>UDIT</w:t>
      </w:r>
      <w:r>
        <w:rPr>
          <w:rFonts w:ascii="Arial" w:cs="Arial" w:eastAsia="Arial" w:hAnsi="Arial"/>
          <w:sz w:val="18"/>
          <w:szCs w:val="18"/>
          <w:b w:val="1"/>
          <w:bCs w:val="1"/>
          <w:color w:val="00548B"/>
        </w:rPr>
        <w:t xml:space="preserve"> S</w:t>
      </w:r>
      <w:r>
        <w:rPr>
          <w:rFonts w:ascii="Arial" w:cs="Arial" w:eastAsia="Arial" w:hAnsi="Arial"/>
          <w:sz w:val="14"/>
          <w:szCs w:val="14"/>
          <w:b w:val="1"/>
          <w:bCs w:val="1"/>
          <w:color w:val="00548B"/>
        </w:rPr>
        <w:t>ERVICES OF</w:t>
      </w:r>
      <w:r>
        <w:rPr>
          <w:rFonts w:ascii="Arial" w:cs="Arial" w:eastAsia="Arial" w:hAnsi="Arial"/>
          <w:sz w:val="18"/>
          <w:szCs w:val="18"/>
          <w:b w:val="1"/>
          <w:bCs w:val="1"/>
          <w:color w:val="00548B"/>
        </w:rPr>
        <w:t xml:space="preserve"> I</w:t>
      </w:r>
      <w:r>
        <w:rPr>
          <w:rFonts w:ascii="Arial" w:cs="Arial" w:eastAsia="Arial" w:hAnsi="Arial"/>
          <w:sz w:val="14"/>
          <w:szCs w:val="14"/>
          <w:b w:val="1"/>
          <w:bCs w:val="1"/>
          <w:color w:val="00548B"/>
        </w:rPr>
        <w:t>NDEPENDENT</w:t>
      </w:r>
      <w:r>
        <w:rPr>
          <w:rFonts w:ascii="Arial" w:cs="Arial" w:eastAsia="Arial" w:hAnsi="Arial"/>
          <w:sz w:val="18"/>
          <w:szCs w:val="18"/>
          <w:b w:val="1"/>
          <w:bCs w:val="1"/>
          <w:color w:val="00548B"/>
        </w:rPr>
        <w:t xml:space="preserve"> R</w:t>
      </w:r>
      <w:r>
        <w:rPr>
          <w:rFonts w:ascii="Arial" w:cs="Arial" w:eastAsia="Arial" w:hAnsi="Arial"/>
          <w:sz w:val="14"/>
          <w:szCs w:val="14"/>
          <w:b w:val="1"/>
          <w:bCs w:val="1"/>
          <w:color w:val="00548B"/>
        </w:rPr>
        <w:t>EGISTERED</w:t>
      </w:r>
      <w:r>
        <w:rPr>
          <w:rFonts w:ascii="Arial" w:cs="Arial" w:eastAsia="Arial" w:hAnsi="Arial"/>
          <w:sz w:val="18"/>
          <w:szCs w:val="18"/>
          <w:b w:val="1"/>
          <w:bCs w:val="1"/>
          <w:color w:val="00548B"/>
        </w:rPr>
        <w:t xml:space="preserve"> P</w:t>
      </w:r>
      <w:r>
        <w:rPr>
          <w:rFonts w:ascii="Arial" w:cs="Arial" w:eastAsia="Arial" w:hAnsi="Arial"/>
          <w:sz w:val="14"/>
          <w:szCs w:val="14"/>
          <w:b w:val="1"/>
          <w:bCs w:val="1"/>
          <w:color w:val="00548B"/>
        </w:rPr>
        <w:t>UBLIC</w:t>
      </w:r>
      <w:r>
        <w:rPr>
          <w:rFonts w:ascii="Arial" w:cs="Arial" w:eastAsia="Arial" w:hAnsi="Arial"/>
          <w:sz w:val="18"/>
          <w:szCs w:val="18"/>
          <w:b w:val="1"/>
          <w:bCs w:val="1"/>
          <w:color w:val="00548B"/>
        </w:rPr>
        <w:t xml:space="preserve"> A</w:t>
      </w:r>
      <w:r>
        <w:rPr>
          <w:rFonts w:ascii="Arial" w:cs="Arial" w:eastAsia="Arial" w:hAnsi="Arial"/>
          <w:sz w:val="14"/>
          <w:szCs w:val="14"/>
          <w:b w:val="1"/>
          <w:bCs w:val="1"/>
          <w:color w:val="00548B"/>
        </w:rPr>
        <w:t>CCOUNTING</w:t>
      </w:r>
      <w:r>
        <w:rPr>
          <w:rFonts w:ascii="Arial" w:cs="Arial" w:eastAsia="Arial" w:hAnsi="Arial"/>
          <w:sz w:val="18"/>
          <w:szCs w:val="18"/>
          <w:b w:val="1"/>
          <w:bCs w:val="1"/>
          <w:color w:val="00548B"/>
        </w:rPr>
        <w:t xml:space="preserve"> F</w:t>
      </w:r>
      <w:r>
        <w:rPr>
          <w:rFonts w:ascii="Arial" w:cs="Arial" w:eastAsia="Arial" w:hAnsi="Arial"/>
          <w:sz w:val="14"/>
          <w:szCs w:val="14"/>
          <w:b w:val="1"/>
          <w:bCs w:val="1"/>
          <w:color w:val="00548B"/>
        </w:rPr>
        <w:t>IRM</w:t>
      </w:r>
    </w:p>
    <w:p>
      <w:pPr>
        <w:spacing w:after="0" w:line="215"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6"/>
          <w:szCs w:val="16"/>
          <w:color w:val="auto"/>
        </w:rPr>
        <w:t>The Audit Committee is responsible for appointing, setting compensation and overseeing the work of the independent registered public accounting firm. The Audit Committee has established a policy regarding preapproval of all audit and non-audit services provided by the independent registered public accounting firm.</w:t>
      </w:r>
    </w:p>
    <w:p>
      <w:pPr>
        <w:spacing w:after="0" w:line="161" w:lineRule="exact"/>
        <w:rPr>
          <w:sz w:val="20"/>
          <w:szCs w:val="20"/>
          <w:color w:val="auto"/>
        </w:rPr>
      </w:pPr>
    </w:p>
    <w:p>
      <w:pPr>
        <w:jc w:val="both"/>
        <w:ind w:left="120" w:right="20"/>
        <w:spacing w:after="0" w:line="248" w:lineRule="auto"/>
        <w:rPr>
          <w:sz w:val="20"/>
          <w:szCs w:val="20"/>
          <w:color w:val="auto"/>
        </w:rPr>
      </w:pPr>
      <w:r>
        <w:rPr>
          <w:rFonts w:ascii="Arial" w:cs="Arial" w:eastAsia="Arial" w:hAnsi="Arial"/>
          <w:sz w:val="16"/>
          <w:szCs w:val="16"/>
          <w:color w:val="auto"/>
        </w:rPr>
        <w:t>The Audit Committee, on a periodic basis, determines certain services that have the general preapproval of the Committee. The Audit Committee must separately preapprove any services not receiving such general preapproval. Requests for such approval must be submitted by both the independent registered public accounting firm and the CFO and must include a joint statement as to whether, in their view, the request is consistent with the SEC’s rules on auditor independence. Except for those non-audit services discussed above, in 2019 no services were undertaken that were not preapproved. The Audit Committee will establish preapproved fee levels for all services to be provided by the independent registered public accounting firm. On a periodic basis, the CFO and the independent registered public accounting firm report to the Audit Committee regarding the actual spending for such projects and services compared to the approved amounts.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48B"/>
        </w:rPr>
        <w:t>R</w:t>
      </w:r>
      <w:r>
        <w:rPr>
          <w:rFonts w:ascii="Arial" w:cs="Arial" w:eastAsia="Arial" w:hAnsi="Arial"/>
          <w:sz w:val="14"/>
          <w:szCs w:val="14"/>
          <w:b w:val="1"/>
          <w:bCs w:val="1"/>
          <w:color w:val="00548B"/>
        </w:rPr>
        <w:t>EPORT OF THE</w:t>
      </w:r>
      <w:r>
        <w:rPr>
          <w:rFonts w:ascii="Arial" w:cs="Arial" w:eastAsia="Arial" w:hAnsi="Arial"/>
          <w:sz w:val="18"/>
          <w:szCs w:val="18"/>
          <w:b w:val="1"/>
          <w:bCs w:val="1"/>
          <w:color w:val="00548B"/>
        </w:rPr>
        <w:t xml:space="preserve"> A</w:t>
      </w:r>
      <w:r>
        <w:rPr>
          <w:rFonts w:ascii="Arial" w:cs="Arial" w:eastAsia="Arial" w:hAnsi="Arial"/>
          <w:sz w:val="14"/>
          <w:szCs w:val="14"/>
          <w:b w:val="1"/>
          <w:bCs w:val="1"/>
          <w:color w:val="00548B"/>
        </w:rPr>
        <w:t>UDIT</w:t>
      </w:r>
      <w:r>
        <w:rPr>
          <w:rFonts w:ascii="Arial" w:cs="Arial" w:eastAsia="Arial" w:hAnsi="Arial"/>
          <w:sz w:val="18"/>
          <w:szCs w:val="18"/>
          <w:b w:val="1"/>
          <w:bCs w:val="1"/>
          <w:color w:val="00548B"/>
        </w:rPr>
        <w:t xml:space="preserve"> C</w:t>
      </w:r>
      <w:r>
        <w:rPr>
          <w:rFonts w:ascii="Arial" w:cs="Arial" w:eastAsia="Arial" w:hAnsi="Arial"/>
          <w:sz w:val="14"/>
          <w:szCs w:val="14"/>
          <w:b w:val="1"/>
          <w:bCs w:val="1"/>
          <w:color w:val="00548B"/>
        </w:rPr>
        <w:t>OMMITTEE</w:t>
      </w:r>
    </w:p>
    <w:p>
      <w:pPr>
        <w:spacing w:after="0" w:line="20"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6"/>
          <w:szCs w:val="16"/>
          <w:color w:val="auto"/>
        </w:rPr>
        <w:t>The primary purpose of the Audit Committee is to assist the board of directors in its general oversight of the Company’s financial reporting process. The Audit Committee conducted its oversight activities for Huron Consulting Group Inc. and subsidiaries (“Huron”) in accordance with the duties and responsibilities outlined in the Audit Committee charter.</w:t>
      </w:r>
    </w:p>
    <w:p>
      <w:pPr>
        <w:spacing w:after="0" w:line="174" w:lineRule="exact"/>
        <w:rPr>
          <w:sz w:val="20"/>
          <w:szCs w:val="20"/>
          <w:color w:val="auto"/>
        </w:rPr>
      </w:pPr>
    </w:p>
    <w:p>
      <w:pPr>
        <w:jc w:val="both"/>
        <w:ind w:left="120" w:right="20"/>
        <w:spacing w:after="0" w:line="251" w:lineRule="auto"/>
        <w:rPr>
          <w:sz w:val="20"/>
          <w:szCs w:val="20"/>
          <w:color w:val="auto"/>
        </w:rPr>
      </w:pPr>
      <w:r>
        <w:rPr>
          <w:rFonts w:ascii="Arial" w:cs="Arial" w:eastAsia="Arial" w:hAnsi="Arial"/>
          <w:sz w:val="16"/>
          <w:szCs w:val="16"/>
          <w:color w:val="auto"/>
        </w:rPr>
        <w:t>Huron’s management is responsible for the preparation, consistency, integrity and fair presentation of the financial statements, accounting and financial reporting principles, systems of internal control and procedures designed to ensure compliance with accounting standards, applicable laws and regulations. Huron’s independent registered public accounting firm, PwC, is responsible for performing an independent audit of Huron’s financial statements and the effectiveness of internal control over financial reporting.</w:t>
      </w:r>
    </w:p>
    <w:p>
      <w:pPr>
        <w:spacing w:after="0" w:line="162" w:lineRule="exact"/>
        <w:rPr>
          <w:sz w:val="20"/>
          <w:szCs w:val="20"/>
          <w:color w:val="auto"/>
        </w:rPr>
      </w:pPr>
    </w:p>
    <w:p>
      <w:pPr>
        <w:jc w:val="both"/>
        <w:ind w:left="120"/>
        <w:spacing w:after="0" w:line="253" w:lineRule="auto"/>
        <w:rPr>
          <w:sz w:val="20"/>
          <w:szCs w:val="20"/>
          <w:color w:val="auto"/>
        </w:rPr>
      </w:pPr>
      <w:r>
        <w:rPr>
          <w:rFonts w:ascii="Arial" w:cs="Arial" w:eastAsia="Arial" w:hAnsi="Arial"/>
          <w:sz w:val="16"/>
          <w:szCs w:val="16"/>
          <w:color w:val="auto"/>
        </w:rPr>
        <w:t>The Audit Committee, with the assistance and support of Huron’s management and its finance and accounting team, has fulfilled its objectives, duties and responsibilities as stipulated in the Audit Committee charter and has provided adequate and appropriate independent oversight and monitoring of Huron’s systems of internal control for the fiscal year ended December 31, 2019.</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These activities included, but were not limited to, the following for the fiscal year ended December 31, 2019:</w:t>
      </w:r>
    </w:p>
    <w:p>
      <w:pPr>
        <w:spacing w:after="0" w:line="221" w:lineRule="exact"/>
        <w:rPr>
          <w:sz w:val="20"/>
          <w:szCs w:val="20"/>
          <w:color w:val="auto"/>
        </w:rPr>
      </w:pPr>
    </w:p>
    <w:p>
      <w:pPr>
        <w:ind w:left="980" w:hanging="432"/>
        <w:spacing w:after="0"/>
        <w:tabs>
          <w:tab w:leader="none" w:pos="980" w:val="left"/>
        </w:tabs>
        <w:numPr>
          <w:ilvl w:val="0"/>
          <w:numId w:val="60"/>
        </w:numPr>
        <w:rPr>
          <w:rFonts w:ascii="Arial" w:cs="Arial" w:eastAsia="Arial" w:hAnsi="Arial"/>
          <w:sz w:val="16"/>
          <w:szCs w:val="16"/>
          <w:color w:val="00548B"/>
        </w:rPr>
      </w:pPr>
      <w:r>
        <w:rPr>
          <w:rFonts w:ascii="Arial" w:cs="Arial" w:eastAsia="Arial" w:hAnsi="Arial"/>
          <w:sz w:val="16"/>
          <w:szCs w:val="16"/>
          <w:color w:val="auto"/>
        </w:rPr>
        <w:t>Discussed with Huron’s internal auditors their continuing work in support of examination of internal controls and financial compliance controls.</w:t>
      </w:r>
    </w:p>
    <w:p>
      <w:pPr>
        <w:spacing w:after="0" w:line="5" w:lineRule="exact"/>
        <w:rPr>
          <w:rFonts w:ascii="Arial" w:cs="Arial" w:eastAsia="Arial" w:hAnsi="Arial"/>
          <w:sz w:val="16"/>
          <w:szCs w:val="16"/>
          <w:color w:val="00548B"/>
        </w:rPr>
      </w:pPr>
    </w:p>
    <w:p>
      <w:pPr>
        <w:ind w:left="980" w:right="20" w:hanging="432"/>
        <w:spacing w:after="0" w:line="246" w:lineRule="auto"/>
        <w:tabs>
          <w:tab w:leader="none" w:pos="980" w:val="left"/>
        </w:tabs>
        <w:numPr>
          <w:ilvl w:val="0"/>
          <w:numId w:val="60"/>
        </w:numPr>
        <w:rPr>
          <w:rFonts w:ascii="Arial" w:cs="Arial" w:eastAsia="Arial" w:hAnsi="Arial"/>
          <w:sz w:val="16"/>
          <w:szCs w:val="16"/>
          <w:color w:val="00548B"/>
        </w:rPr>
      </w:pPr>
      <w:r>
        <w:rPr>
          <w:rFonts w:ascii="Arial" w:cs="Arial" w:eastAsia="Arial" w:hAnsi="Arial"/>
          <w:sz w:val="16"/>
          <w:szCs w:val="16"/>
          <w:color w:val="auto"/>
        </w:rPr>
        <w:t>Reviewed and discussed with management and PwC the audited financial statements and the quarterly financial statements for the year ended December 31, 2019. Management has the primary responsibility for such financial statements.</w:t>
      </w:r>
    </w:p>
    <w:p>
      <w:pPr>
        <w:ind w:left="980" w:hanging="432"/>
        <w:spacing w:after="0"/>
        <w:tabs>
          <w:tab w:leader="none" w:pos="980" w:val="left"/>
        </w:tabs>
        <w:numPr>
          <w:ilvl w:val="0"/>
          <w:numId w:val="60"/>
        </w:numPr>
        <w:rPr>
          <w:rFonts w:ascii="Arial" w:cs="Arial" w:eastAsia="Arial" w:hAnsi="Arial"/>
          <w:sz w:val="16"/>
          <w:szCs w:val="16"/>
          <w:color w:val="00548B"/>
        </w:rPr>
      </w:pPr>
      <w:r>
        <w:rPr>
          <w:rFonts w:ascii="Arial" w:cs="Arial" w:eastAsia="Arial" w:hAnsi="Arial"/>
          <w:sz w:val="16"/>
          <w:szCs w:val="16"/>
          <w:color w:val="auto"/>
        </w:rPr>
        <w:t>Discussed with PwC the matters requiring discussion under current auditing standards.</w:t>
      </w:r>
    </w:p>
    <w:p>
      <w:pPr>
        <w:spacing w:after="0" w:line="5" w:lineRule="exact"/>
        <w:rPr>
          <w:rFonts w:ascii="Arial" w:cs="Arial" w:eastAsia="Arial" w:hAnsi="Arial"/>
          <w:sz w:val="16"/>
          <w:szCs w:val="16"/>
          <w:color w:val="00548B"/>
        </w:rPr>
      </w:pPr>
    </w:p>
    <w:p>
      <w:pPr>
        <w:ind w:left="980" w:right="20" w:hanging="432"/>
        <w:spacing w:after="0" w:line="260" w:lineRule="auto"/>
        <w:tabs>
          <w:tab w:leader="none" w:pos="980" w:val="left"/>
        </w:tabs>
        <w:numPr>
          <w:ilvl w:val="0"/>
          <w:numId w:val="60"/>
        </w:numPr>
        <w:rPr>
          <w:rFonts w:ascii="Arial" w:cs="Arial" w:eastAsia="Arial" w:hAnsi="Arial"/>
          <w:sz w:val="16"/>
          <w:szCs w:val="16"/>
          <w:color w:val="00548B"/>
        </w:rPr>
      </w:pPr>
      <w:r>
        <w:rPr>
          <w:rFonts w:ascii="Arial" w:cs="Arial" w:eastAsia="Arial" w:hAnsi="Arial"/>
          <w:sz w:val="16"/>
          <w:szCs w:val="16"/>
          <w:color w:val="auto"/>
        </w:rPr>
        <w:t>Received the written disclosures and the letter from PwC in accordance with the applicable requirements of the Public Company Accounting Oversight Board regarding PwC’s communications with the Audit Committee concerning independence.</w:t>
      </w:r>
    </w:p>
    <w:p>
      <w:pPr>
        <w:spacing w:after="0" w:line="168" w:lineRule="exact"/>
        <w:rPr>
          <w:sz w:val="20"/>
          <w:szCs w:val="20"/>
          <w:color w:val="auto"/>
        </w:rPr>
      </w:pPr>
    </w:p>
    <w:p>
      <w:pPr>
        <w:jc w:val="both"/>
        <w:ind w:left="120"/>
        <w:spacing w:after="0" w:line="253" w:lineRule="auto"/>
        <w:rPr>
          <w:sz w:val="20"/>
          <w:szCs w:val="20"/>
          <w:color w:val="auto"/>
        </w:rPr>
      </w:pPr>
      <w:r>
        <w:rPr>
          <w:rFonts w:ascii="Arial" w:cs="Arial" w:eastAsia="Arial" w:hAnsi="Arial"/>
          <w:sz w:val="16"/>
          <w:szCs w:val="16"/>
          <w:color w:val="auto"/>
        </w:rPr>
        <w:t>In reliance on the Committee’s review and discussions of the matters referred to above, the Audit Committee recommended to the board of directors that the audited financial statements be included in Huron’s Annual Report on Form 10-K for the fiscal year ended December 31, 2019 for filing with the Securities and Exchange Commission.</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H. Eugene Lockhart, Chairman</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John McCartney</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George E. Massaro</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00548B"/>
        </w:rPr>
        <w:t>58</w:t>
      </w:r>
    </w:p>
    <w:p>
      <w:pPr>
        <w:sectPr>
          <w:pgSz w:w="11900" w:h="16838" w:orient="portrait"/>
          <w:cols w:equalWidth="0" w:num="1">
            <w:col w:w="11140"/>
          </w:cols>
          <w:pgMar w:left="32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548B"/>
        </w:rPr>
        <w:t>SUBMISSION OF STOCKHOLDER PROPOSALS</w:t>
      </w:r>
    </w:p>
    <w:p>
      <w:pPr>
        <w:spacing w:after="0" w:line="389" w:lineRule="exact"/>
        <w:rPr>
          <w:sz w:val="20"/>
          <w:szCs w:val="20"/>
          <w:color w:val="auto"/>
        </w:rPr>
      </w:pPr>
    </w:p>
    <w:p>
      <w:pPr>
        <w:jc w:val="both"/>
        <w:ind w:left="120"/>
        <w:spacing w:after="0" w:line="249" w:lineRule="auto"/>
        <w:rPr>
          <w:sz w:val="20"/>
          <w:szCs w:val="20"/>
          <w:color w:val="auto"/>
        </w:rPr>
      </w:pPr>
      <w:r>
        <w:rPr>
          <w:rFonts w:ascii="Arial" w:cs="Arial" w:eastAsia="Arial" w:hAnsi="Arial"/>
          <w:sz w:val="16"/>
          <w:szCs w:val="16"/>
          <w:color w:val="auto"/>
        </w:rPr>
        <w:t>In order to be included in the Company’s proxy statement relating to its next annual meeting, stockholder proposals must be received no later than November 26, 2020 by the Corporate Secretary at the Company’s principal executive offices. Pursuant to the Company’s bylaws, stockholders who intend to present an item for business at the next annual meeting (other than a proposal submitted for inclusion in the Company’s proxy materials) must provide notice to the Corporate Secretary no earlier than January 8, 2021 and no later than February 7, 2021. Notice of stockholder proposals must contain the information required by the Company’s bylaws. The inclusion of any such proposal in such proxy material shall be subject to the requirements of the proxy rules adopted under the 1934 Act.</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548B"/>
        </w:rPr>
        <w:t>OTHER MATTERS</w:t>
      </w:r>
    </w:p>
    <w:p>
      <w:pPr>
        <w:spacing w:after="0" w:line="375" w:lineRule="exact"/>
        <w:rPr>
          <w:sz w:val="20"/>
          <w:szCs w:val="20"/>
          <w:color w:val="auto"/>
        </w:rPr>
      </w:pPr>
    </w:p>
    <w:p>
      <w:pPr>
        <w:jc w:val="both"/>
        <w:ind w:left="120" w:right="20"/>
        <w:spacing w:after="0" w:line="251" w:lineRule="auto"/>
        <w:rPr>
          <w:sz w:val="20"/>
          <w:szCs w:val="20"/>
          <w:color w:val="auto"/>
        </w:rPr>
      </w:pPr>
      <w:r>
        <w:rPr>
          <w:rFonts w:ascii="Arial" w:cs="Arial" w:eastAsia="Arial" w:hAnsi="Arial"/>
          <w:sz w:val="16"/>
          <w:szCs w:val="16"/>
          <w:color w:val="auto"/>
        </w:rPr>
        <w:t>Management does not now intend to bring before the Annual Meeting any matters other than those disclosed in the Notice of Annual Meeting of Stockholders, and it does not know of any business that persons, other than management, intend to present at the meeting. Should any other matters requiring a vote of the stockholders arise, the persons named in the accompanying proxy intend to vote on those matters in accordance with their best judgment.</w:t>
      </w:r>
    </w:p>
    <w:p>
      <w:pPr>
        <w:spacing w:after="0" w:line="175" w:lineRule="exact"/>
        <w:rPr>
          <w:sz w:val="20"/>
          <w:szCs w:val="20"/>
          <w:color w:val="auto"/>
        </w:rPr>
      </w:pPr>
    </w:p>
    <w:p>
      <w:pPr>
        <w:jc w:val="both"/>
        <w:ind w:left="120"/>
        <w:spacing w:after="0" w:line="249" w:lineRule="auto"/>
        <w:rPr>
          <w:sz w:val="20"/>
          <w:szCs w:val="20"/>
          <w:color w:val="auto"/>
        </w:rPr>
      </w:pPr>
      <w:r>
        <w:rPr>
          <w:rFonts w:ascii="Arial" w:cs="Arial" w:eastAsia="Arial" w:hAnsi="Arial"/>
          <w:sz w:val="16"/>
          <w:szCs w:val="16"/>
          <w:color w:val="auto"/>
        </w:rPr>
        <w:t>The Company will bear the cost of soliciting proxies. In addition, to the extent necessary, proxies may be solicited by directors, officers and employees of the Company in person, by telephone or through other forms of communication, but such persons will not receive any additional compensation for such solicitation. The Company will reimburse brokerage firms, banks and other custodians, nominees and fiduciaries for reasonable expenses incurred by them in sending proxy materials to the beneficial owners of the Company’s shares. The Company will supply banks, brokers, dealers and other custodian nominees and fiduciaries with proxy materials to enable them to send a copy of such materials by mail to each beneficial owner of shares of the common stock that they hold of record and will, upon request, reimburse them for their reasonable expenses in so doing.</w:t>
      </w:r>
    </w:p>
    <w:p>
      <w:pPr>
        <w:spacing w:after="0" w:line="205" w:lineRule="exact"/>
        <w:rPr>
          <w:sz w:val="20"/>
          <w:szCs w:val="20"/>
          <w:color w:val="auto"/>
        </w:rPr>
      </w:pPr>
    </w:p>
    <w:p>
      <w:pPr>
        <w:ind w:left="6740"/>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53340</wp:posOffset>
            </wp:positionV>
            <wp:extent cx="1362710" cy="3086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36271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740"/>
        <w:spacing w:after="0"/>
        <w:rPr>
          <w:sz w:val="20"/>
          <w:szCs w:val="20"/>
          <w:color w:val="auto"/>
        </w:rPr>
      </w:pPr>
      <w:r>
        <w:rPr>
          <w:rFonts w:ascii="Arial" w:cs="Arial" w:eastAsia="Arial" w:hAnsi="Arial"/>
          <w:sz w:val="16"/>
          <w:szCs w:val="16"/>
          <w:color w:val="auto"/>
        </w:rPr>
        <w:t>Ernest W. Torain, Jr.</w:t>
      </w:r>
    </w:p>
    <w:p>
      <w:pPr>
        <w:spacing w:after="0" w:line="5" w:lineRule="exact"/>
        <w:rPr>
          <w:sz w:val="20"/>
          <w:szCs w:val="20"/>
          <w:color w:val="auto"/>
        </w:rPr>
      </w:pPr>
    </w:p>
    <w:p>
      <w:pPr>
        <w:ind w:left="6740"/>
        <w:spacing w:after="0"/>
        <w:rPr>
          <w:sz w:val="20"/>
          <w:szCs w:val="20"/>
          <w:color w:val="auto"/>
        </w:rPr>
      </w:pPr>
      <w:r>
        <w:rPr>
          <w:rFonts w:ascii="Arial" w:cs="Arial" w:eastAsia="Arial" w:hAnsi="Arial"/>
          <w:sz w:val="16"/>
          <w:szCs w:val="16"/>
          <w:i w:val="1"/>
          <w:iCs w:val="1"/>
          <w:color w:val="auto"/>
        </w:rPr>
        <w:t>Executive Vice President, General Counsel</w:t>
      </w:r>
    </w:p>
    <w:p>
      <w:pPr>
        <w:spacing w:after="0" w:line="5" w:lineRule="exact"/>
        <w:rPr>
          <w:sz w:val="20"/>
          <w:szCs w:val="20"/>
          <w:color w:val="auto"/>
        </w:rPr>
      </w:pPr>
    </w:p>
    <w:p>
      <w:pPr>
        <w:ind w:left="6740"/>
        <w:spacing w:after="0"/>
        <w:rPr>
          <w:sz w:val="20"/>
          <w:szCs w:val="20"/>
          <w:color w:val="auto"/>
        </w:rPr>
      </w:pPr>
      <w:r>
        <w:rPr>
          <w:rFonts w:ascii="Arial" w:cs="Arial" w:eastAsia="Arial" w:hAnsi="Arial"/>
          <w:sz w:val="16"/>
          <w:szCs w:val="16"/>
          <w:i w:val="1"/>
          <w:iCs w:val="1"/>
          <w:color w:val="auto"/>
        </w:rPr>
        <w:t>and Corporate Secretary</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Chicago, Illinois</w:t>
      </w:r>
    </w:p>
    <w:p>
      <w:pPr>
        <w:ind w:left="120"/>
        <w:spacing w:after="0"/>
        <w:rPr>
          <w:sz w:val="20"/>
          <w:szCs w:val="20"/>
          <w:color w:val="auto"/>
        </w:rPr>
      </w:pPr>
      <w:r>
        <w:rPr>
          <w:rFonts w:ascii="Arial" w:cs="Arial" w:eastAsia="Arial" w:hAnsi="Arial"/>
          <w:sz w:val="18"/>
          <w:szCs w:val="18"/>
          <w:color w:val="auto"/>
        </w:rPr>
        <w:t>March 26. 2020</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00548B"/>
        </w:rPr>
        <w:t>59</w:t>
      </w:r>
    </w:p>
    <w:p>
      <w:pPr>
        <w:sectPr>
          <w:pgSz w:w="11900" w:h="16838" w:orient="portrait"/>
          <w:cols w:equalWidth="0" w:num="1">
            <w:col w:w="11140"/>
          </w:cols>
          <w:pgMar w:left="32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0548B"/>
        </w:rPr>
        <w:t>Appendix A</w:t>
      </w:r>
    </w:p>
    <w:p>
      <w:pPr>
        <w:spacing w:after="0" w:line="8" w:lineRule="exact"/>
        <w:rPr>
          <w:sz w:val="20"/>
          <w:szCs w:val="20"/>
          <w:color w:val="auto"/>
        </w:rPr>
      </w:pPr>
    </w:p>
    <w:p>
      <w:pPr>
        <w:ind w:left="120" w:right="620"/>
        <w:spacing w:after="0" w:line="238" w:lineRule="auto"/>
        <w:rPr>
          <w:sz w:val="20"/>
          <w:szCs w:val="20"/>
          <w:color w:val="auto"/>
        </w:rPr>
      </w:pPr>
      <w:r>
        <w:rPr>
          <w:rFonts w:ascii="Arial" w:cs="Arial" w:eastAsia="Arial" w:hAnsi="Arial"/>
          <w:sz w:val="22"/>
          <w:szCs w:val="22"/>
          <w:b w:val="1"/>
          <w:bCs w:val="1"/>
          <w:color w:val="00548B"/>
        </w:rPr>
        <w:t>AMENDMENT TO THE HURON CONSULTING GROUP INC. AMENDED AND RESTATED 2012 OMNIBUS INCENTIVE PLAN</w:t>
      </w:r>
    </w:p>
    <w:p>
      <w:pPr>
        <w:spacing w:after="0" w:line="337" w:lineRule="exact"/>
        <w:rPr>
          <w:sz w:val="20"/>
          <w:szCs w:val="20"/>
          <w:color w:val="auto"/>
        </w:rPr>
      </w:pPr>
    </w:p>
    <w:p>
      <w:pPr>
        <w:jc w:val="both"/>
        <w:ind w:left="120"/>
        <w:spacing w:after="0" w:line="257" w:lineRule="auto"/>
        <w:rPr>
          <w:sz w:val="20"/>
          <w:szCs w:val="20"/>
          <w:color w:val="auto"/>
        </w:rPr>
      </w:pPr>
      <w:r>
        <w:rPr>
          <w:rFonts w:ascii="Arial" w:cs="Arial" w:eastAsia="Arial" w:hAnsi="Arial"/>
          <w:sz w:val="16"/>
          <w:szCs w:val="16"/>
          <w:b w:val="1"/>
          <w:bCs w:val="1"/>
          <w:color w:val="auto"/>
        </w:rPr>
        <w:t xml:space="preserve">THIS AMENDMENT </w:t>
      </w:r>
      <w:r>
        <w:rPr>
          <w:rFonts w:ascii="Arial" w:cs="Arial" w:eastAsia="Arial" w:hAnsi="Arial"/>
          <w:sz w:val="16"/>
          <w:szCs w:val="16"/>
          <w:color w:val="auto"/>
        </w:rPr>
        <w:t>(this “Amendment”) to the Huron Consulting Group Inc. Amended and Restated 2012 Omnibus Incentive Plan, as amended from</w:t>
      </w:r>
      <w:r>
        <w:rPr>
          <w:rFonts w:ascii="Arial" w:cs="Arial" w:eastAsia="Arial" w:hAnsi="Arial"/>
          <w:sz w:val="16"/>
          <w:szCs w:val="16"/>
          <w:b w:val="1"/>
          <w:bCs w:val="1"/>
          <w:color w:val="auto"/>
        </w:rPr>
        <w:t xml:space="preserve"> </w:t>
      </w:r>
      <w:r>
        <w:rPr>
          <w:rFonts w:ascii="Arial" w:cs="Arial" w:eastAsia="Arial" w:hAnsi="Arial"/>
          <w:sz w:val="16"/>
          <w:szCs w:val="16"/>
          <w:color w:val="auto"/>
        </w:rPr>
        <w:t>time to time (the “Plan”) is adopted by the Board of Directors (the “Board”) of Huron Consulting Group Inc., a Delaware corporation (the “Company”), on March 11, 2020, effective as of the date of the Company’s Annual Meeting of Stockholders that occurs in 2020, provided that it is approved by the Company’s stockholders on that date (the “Amendment Date”). Any capitalized terms used and not defined herein shall have the meanings set forth in the Plan.</w:t>
      </w:r>
    </w:p>
    <w:p>
      <w:pPr>
        <w:spacing w:after="0" w:line="332" w:lineRule="exact"/>
        <w:rPr>
          <w:sz w:val="20"/>
          <w:szCs w:val="20"/>
          <w:color w:val="auto"/>
        </w:rPr>
      </w:pPr>
    </w:p>
    <w:p>
      <w:pPr>
        <w:jc w:val="both"/>
        <w:ind w:left="120" w:right="20"/>
        <w:spacing w:after="0" w:line="266"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pursuant to Section 16 of the Plan, the Board may at any time revise or amend the Plan, provided that no amendment to the Plan will be</w:t>
      </w:r>
      <w:r>
        <w:rPr>
          <w:rFonts w:ascii="Arial" w:cs="Arial" w:eastAsia="Arial" w:hAnsi="Arial"/>
          <w:sz w:val="16"/>
          <w:szCs w:val="16"/>
          <w:b w:val="1"/>
          <w:bCs w:val="1"/>
          <w:color w:val="auto"/>
        </w:rPr>
        <w:t xml:space="preserve"> </w:t>
      </w:r>
      <w:r>
        <w:rPr>
          <w:rFonts w:ascii="Arial" w:cs="Arial" w:eastAsia="Arial" w:hAnsi="Arial"/>
          <w:sz w:val="16"/>
          <w:szCs w:val="16"/>
          <w:color w:val="auto"/>
        </w:rPr>
        <w:t>made without the approval of the Company’s stockholders if such amendment would increase the aggregate number of shares of Common Stock that may be issued under the Plan; and</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Board has determined to amend the Plan in the manner set forth below, subject to approval by the stockholders.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the Plan is hereby amended as follows, subject to approval by the stockholders:</w:t>
      </w:r>
    </w:p>
    <w:p>
      <w:pPr>
        <w:spacing w:after="0" w:line="20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 The first sentence of Section 4(b) of the Plan is hereby amended and restated in its entirety as follows:</w:t>
      </w:r>
    </w:p>
    <w:p>
      <w:pPr>
        <w:spacing w:after="0" w:line="174" w:lineRule="exact"/>
        <w:rPr>
          <w:sz w:val="20"/>
          <w:szCs w:val="20"/>
          <w:color w:val="auto"/>
        </w:rPr>
      </w:pPr>
    </w:p>
    <w:p>
      <w:pPr>
        <w:jc w:val="both"/>
        <w:ind w:left="120" w:right="20"/>
        <w:spacing w:after="0" w:line="25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Shares Available for Awards</w:t>
      </w:r>
      <w:r>
        <w:rPr>
          <w:rFonts w:ascii="Arial" w:cs="Arial" w:eastAsia="Arial" w:hAnsi="Arial"/>
          <w:sz w:val="16"/>
          <w:szCs w:val="16"/>
          <w:color w:val="auto"/>
        </w:rPr>
        <w:t>. Subject to the terms and conditions of the Plan, the number of shares of Common Stock reserved for issuance under the Plan shall be 3,922,204 shares (comprised of: (i) the 1,398,204 shares of Common Stock authorized under the Plan as originally adopted, (ii) an additional 850,000 shares of Common Stock authorized in the amendment and restatement of the Plan effective May 2, 2014, (iii) an additional 804,000 shares of Common Stock authorized in the amendment and restatement of the Plan effective May 1, 2017, (iv) an additional 600,000 shares of Common Stock authorized in the amendment of the Plan effective May 3, 2019 and (iv) an additional 270,000 shares of Common Stock authorized in the amendment of the Plan effective May 8, 2020), subject to adjustment as provided herein.”</w:t>
      </w:r>
    </w:p>
    <w:p>
      <w:pPr>
        <w:spacing w:after="0" w:line="161" w:lineRule="exact"/>
        <w:rPr>
          <w:sz w:val="20"/>
          <w:szCs w:val="20"/>
          <w:color w:val="auto"/>
        </w:rPr>
      </w:pPr>
    </w:p>
    <w:p>
      <w:pPr>
        <w:ind w:left="300" w:hanging="184"/>
        <w:spacing w:after="0"/>
        <w:tabs>
          <w:tab w:leader="none" w:pos="3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This Amendment shall be and, as of the Amendment Date, is hereby incorporated in and forms a part of the Plan.</w:t>
      </w:r>
    </w:p>
    <w:p>
      <w:pPr>
        <w:spacing w:after="0" w:line="180" w:lineRule="exact"/>
        <w:rPr>
          <w:rFonts w:ascii="Arial" w:cs="Arial" w:eastAsia="Arial" w:hAnsi="Arial"/>
          <w:sz w:val="16"/>
          <w:szCs w:val="16"/>
          <w:color w:val="auto"/>
        </w:rPr>
      </w:pPr>
    </w:p>
    <w:p>
      <w:pPr>
        <w:ind w:left="120" w:right="20" w:hanging="4"/>
        <w:spacing w:after="0" w:line="260" w:lineRule="auto"/>
        <w:tabs>
          <w:tab w:leader="none" w:pos="322"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This Amendment and all determinations made and actions taken pursuant hereto shall be governed by the laws of the State of Delaware without reference to its principles of conflicts of law.</w:t>
      </w:r>
    </w:p>
    <w:p>
      <w:pPr>
        <w:spacing w:after="0" w:line="168" w:lineRule="exact"/>
        <w:rPr>
          <w:rFonts w:ascii="Arial" w:cs="Arial" w:eastAsia="Arial" w:hAnsi="Arial"/>
          <w:sz w:val="16"/>
          <w:szCs w:val="16"/>
          <w:color w:val="auto"/>
        </w:rPr>
      </w:pPr>
    </w:p>
    <w:p>
      <w:pPr>
        <w:ind w:left="300" w:hanging="184"/>
        <w:spacing w:after="0"/>
        <w:tabs>
          <w:tab w:leader="none" w:pos="3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Except as amended above, the Plan shall remain in full force and effect.</w:t>
      </w:r>
    </w:p>
    <w:p>
      <w:pPr>
        <w:sectPr>
          <w:pgSz w:w="11900" w:h="16838" w:orient="portrait"/>
          <w:cols w:equalWidth="0" w:num="1">
            <w:col w:w="11140"/>
          </w:cols>
          <w:pgMar w:left="32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0548B"/>
        </w:rPr>
        <w:t>Appendix B</w:t>
      </w:r>
    </w:p>
    <w:p>
      <w:pPr>
        <w:spacing w:after="0" w:line="8" w:lineRule="exact"/>
        <w:rPr>
          <w:sz w:val="20"/>
          <w:szCs w:val="20"/>
          <w:color w:val="auto"/>
        </w:rPr>
      </w:pPr>
    </w:p>
    <w:p>
      <w:pPr>
        <w:ind w:left="120"/>
        <w:spacing w:after="0"/>
        <w:rPr>
          <w:sz w:val="20"/>
          <w:szCs w:val="20"/>
          <w:color w:val="auto"/>
        </w:rPr>
      </w:pPr>
      <w:r>
        <w:rPr>
          <w:rFonts w:ascii="Arial" w:cs="Arial" w:eastAsia="Arial" w:hAnsi="Arial"/>
          <w:sz w:val="21"/>
          <w:szCs w:val="21"/>
          <w:b w:val="1"/>
          <w:bCs w:val="1"/>
          <w:color w:val="00548B"/>
        </w:rPr>
        <w:t>AMENDMENT TO THE HURON CONSULTING GROUP INC. STOCK OWNERSHIP PARTICIPATION PROGRAM</w:t>
      </w:r>
    </w:p>
    <w:p>
      <w:pPr>
        <w:spacing w:after="0" w:line="354" w:lineRule="exact"/>
        <w:rPr>
          <w:sz w:val="20"/>
          <w:szCs w:val="20"/>
          <w:color w:val="auto"/>
        </w:rPr>
      </w:pPr>
    </w:p>
    <w:p>
      <w:pPr>
        <w:jc w:val="both"/>
        <w:ind w:left="120"/>
        <w:spacing w:after="0" w:line="259" w:lineRule="auto"/>
        <w:rPr>
          <w:sz w:val="20"/>
          <w:szCs w:val="20"/>
          <w:color w:val="auto"/>
        </w:rPr>
      </w:pPr>
      <w:r>
        <w:rPr>
          <w:rFonts w:ascii="Arial" w:cs="Arial" w:eastAsia="Arial" w:hAnsi="Arial"/>
          <w:sz w:val="16"/>
          <w:szCs w:val="16"/>
          <w:b w:val="1"/>
          <w:bCs w:val="1"/>
          <w:color w:val="auto"/>
        </w:rPr>
        <w:t xml:space="preserve">THIS AMENDMENT </w:t>
      </w:r>
      <w:r>
        <w:rPr>
          <w:rFonts w:ascii="Arial" w:cs="Arial" w:eastAsia="Arial" w:hAnsi="Arial"/>
          <w:sz w:val="16"/>
          <w:szCs w:val="16"/>
          <w:color w:val="auto"/>
        </w:rPr>
        <w:t>(this “Amendment”) to the Huron Consulting Group Inc. Stock Ownership Participation Program, (the “Plan”) is adopted by the Board</w:t>
      </w:r>
      <w:r>
        <w:rPr>
          <w:rFonts w:ascii="Arial" w:cs="Arial" w:eastAsia="Arial" w:hAnsi="Arial"/>
          <w:sz w:val="16"/>
          <w:szCs w:val="16"/>
          <w:b w:val="1"/>
          <w:bCs w:val="1"/>
          <w:color w:val="auto"/>
        </w:rPr>
        <w:t xml:space="preserve"> </w:t>
      </w:r>
      <w:r>
        <w:rPr>
          <w:rFonts w:ascii="Arial" w:cs="Arial" w:eastAsia="Arial" w:hAnsi="Arial"/>
          <w:sz w:val="16"/>
          <w:szCs w:val="16"/>
          <w:color w:val="auto"/>
        </w:rPr>
        <w:t>of Directors (the “Board”) of Huron Consulting Group Inc., a Delaware corporation (the “Company”), on March 11, 2020, effective as of the date of the Company’s Annual Meeting of Stockholders that occurs in 2020, provided that it is approved by the Company’s stockholders on that date (the “Amendment Date”). Any capitalized terms used and not defined herein shall have the meanings set forth in the Plan.</w:t>
      </w:r>
    </w:p>
    <w:p>
      <w:pPr>
        <w:spacing w:after="0" w:line="137" w:lineRule="exact"/>
        <w:rPr>
          <w:sz w:val="20"/>
          <w:szCs w:val="20"/>
          <w:color w:val="auto"/>
        </w:rPr>
      </w:pPr>
    </w:p>
    <w:p>
      <w:pPr>
        <w:jc w:val="both"/>
        <w:ind w:left="120"/>
        <w:spacing w:after="0" w:line="266"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pursuant to Section 16 of the Plan, the Board or Compensation Committee may at any time revise or amend the Plan, provided that no</w:t>
      </w:r>
      <w:r>
        <w:rPr>
          <w:rFonts w:ascii="Arial" w:cs="Arial" w:eastAsia="Arial" w:hAnsi="Arial"/>
          <w:sz w:val="16"/>
          <w:szCs w:val="16"/>
          <w:b w:val="1"/>
          <w:bCs w:val="1"/>
          <w:color w:val="auto"/>
        </w:rPr>
        <w:t xml:space="preserve"> </w:t>
      </w:r>
      <w:r>
        <w:rPr>
          <w:rFonts w:ascii="Arial" w:cs="Arial" w:eastAsia="Arial" w:hAnsi="Arial"/>
          <w:sz w:val="16"/>
          <w:szCs w:val="16"/>
          <w:color w:val="auto"/>
        </w:rPr>
        <w:t>amendment to the Plan will be made without the approval of the Company’s stockholders if such amendment would increase the aggregate number of shares of Common Stock that may be issued under the Plan; and</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Board has determined to amend the Plan in the manner set forth below, subject to approval by the stockholders.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the Plan is hereby amended as follows, subject to approval by the stockholders:</w:t>
      </w:r>
    </w:p>
    <w:p>
      <w:pPr>
        <w:spacing w:after="0" w:line="20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 The first sentence of Section 13 (b) of the Plan is hereby amended and restated in its entirety as follows:</w:t>
      </w:r>
    </w:p>
    <w:p>
      <w:pPr>
        <w:spacing w:after="0" w:line="174"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w:t>
      </w:r>
      <w:r>
        <w:rPr>
          <w:rFonts w:ascii="Arial" w:cs="Arial" w:eastAsia="Arial" w:hAnsi="Arial"/>
          <w:sz w:val="16"/>
          <w:szCs w:val="16"/>
          <w:color w:val="auto"/>
        </w:rPr>
        <w:t xml:space="preserve"> Subject to adjustment upon changes in capitalization of the Company as provided in Section 15 hereof or as otherwise set forth herein, the maximum number of Shares which shall be made available for sale or issuance under the Plan shall be seven hundred thousand (700,000) Shares (comprised of:</w:t>
      </w:r>
    </w:p>
    <w:p>
      <w:pPr>
        <w:spacing w:after="0" w:line="1" w:lineRule="exact"/>
        <w:rPr>
          <w:sz w:val="20"/>
          <w:szCs w:val="20"/>
          <w:color w:val="auto"/>
        </w:rPr>
      </w:pPr>
    </w:p>
    <w:p>
      <w:pPr>
        <w:ind w:left="120" w:right="20" w:hanging="4"/>
        <w:spacing w:after="0" w:line="260" w:lineRule="auto"/>
        <w:tabs>
          <w:tab w:leader="none" w:pos="324"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three hundred thousand (300,000) shares of Common Stock authorized under the Plan as originally adopted and (ii) an additional four hundred thousand (400,000) shares of Common Stock authorized in the amendment of the Plan effective May 8, 2020.”</w:t>
      </w:r>
    </w:p>
    <w:p>
      <w:pPr>
        <w:spacing w:after="0" w:line="155" w:lineRule="exact"/>
        <w:rPr>
          <w:sz w:val="20"/>
          <w:szCs w:val="20"/>
          <w:color w:val="auto"/>
        </w:rPr>
      </w:pPr>
    </w:p>
    <w:p>
      <w:pPr>
        <w:ind w:left="300" w:hanging="184"/>
        <w:spacing w:after="0"/>
        <w:tabs>
          <w:tab w:leader="none" w:pos="3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This Amendment shall be and, as of the Amendment Date, is hereby incorporated in and forms a part of the Plan.</w:t>
      </w:r>
    </w:p>
    <w:p>
      <w:pPr>
        <w:spacing w:after="0" w:line="180" w:lineRule="exact"/>
        <w:rPr>
          <w:rFonts w:ascii="Arial" w:cs="Arial" w:eastAsia="Arial" w:hAnsi="Arial"/>
          <w:sz w:val="16"/>
          <w:szCs w:val="16"/>
          <w:color w:val="auto"/>
        </w:rPr>
      </w:pPr>
    </w:p>
    <w:p>
      <w:pPr>
        <w:ind w:left="120" w:right="20" w:hanging="4"/>
        <w:spacing w:after="0" w:line="260" w:lineRule="auto"/>
        <w:tabs>
          <w:tab w:leader="none" w:pos="322"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This Amendment and all determinations made and actions taken pursuant hereto shall be governed by the laws of the State of Delaware without reference to its principles of conflicts of law.</w:t>
      </w:r>
    </w:p>
    <w:p>
      <w:pPr>
        <w:spacing w:after="0" w:line="168" w:lineRule="exact"/>
        <w:rPr>
          <w:rFonts w:ascii="Arial" w:cs="Arial" w:eastAsia="Arial" w:hAnsi="Arial"/>
          <w:sz w:val="16"/>
          <w:szCs w:val="16"/>
          <w:color w:val="auto"/>
        </w:rPr>
      </w:pPr>
    </w:p>
    <w:p>
      <w:pPr>
        <w:ind w:left="300" w:hanging="184"/>
        <w:spacing w:after="0"/>
        <w:tabs>
          <w:tab w:leader="none" w:pos="3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Except as amended above, the Plan shall remain in full force and effect.</w:t>
      </w:r>
    </w:p>
    <w:p>
      <w:pPr>
        <w:sectPr>
          <w:pgSz w:w="11900" w:h="16838" w:orient="portrait"/>
          <w:cols w:equalWidth="0" w:num="1">
            <w:col w:w="11140"/>
          </w:cols>
          <w:pgMar w:left="320" w:top="459" w:right="439" w:bottom="1440" w:gutter="0" w:footer="0" w:header="0"/>
        </w:sectPr>
      </w:pPr>
    </w:p>
    <w:bookmarkStart w:id="66" w:name="page67"/>
    <w:bookmarkEnd w:id="6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220345</wp:posOffset>
            </wp:positionV>
            <wp:extent cx="5563235" cy="72009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563235" cy="720090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67" w:name="page68"/>
    <w:bookmarkEnd w:id="6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220345</wp:posOffset>
            </wp:positionV>
            <wp:extent cx="5563235" cy="72009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563235" cy="7200900"/>
                    </a:xfrm>
                    <a:prstGeom prst="rect">
                      <a:avLst/>
                    </a:prstGeom>
                    <a:noFill/>
                  </pic:spPr>
                </pic:pic>
              </a:graphicData>
            </a:graphic>
          </wp:anchor>
        </w:drawing>
      </w:r>
    </w:p>
    <w:sectPr>
      <w:pgSz w:w="11900" w:h="16838" w:orient="portrait"/>
      <w:cols w:equalWidth="0" w:num="1">
        <w:col w:w="10139"/>
      </w:cols>
      <w:pgMar w:left="32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
      <w:numFmt w:val="bullet"/>
      <w:start w:val="1"/>
    </w:lvl>
    <w:lvl w:ilvl="1">
      <w:lvlJc w:val="left"/>
      <w:lvlText w:val="(%2)"/>
      <w:numFmt w:val="decimal"/>
      <w:start w:val="1"/>
    </w:lvl>
  </w:abstractNum>
  <w:abstractNum w:abstractNumId="3">
    <w:nsid w:val="3006C83E"/>
    <w:multiLevelType w:val="hybridMultilevel"/>
    <w:lvl w:ilvl="0">
      <w:lvlJc w:val="left"/>
      <w:lvlText w:val="(%1)"/>
      <w:numFmt w:val="decimal"/>
      <w:start w:val="2"/>
    </w:lvl>
  </w:abstractNum>
  <w:abstractNum w:abstractNumId="4">
    <w:nsid w:val="614FD4A1"/>
    <w:multiLevelType w:val="hybridMultilevel"/>
    <w:lvl w:ilvl="0">
      <w:lvlJc w:val="left"/>
      <w:lvlText w:val="(%1)"/>
      <w:numFmt w:val="decimal"/>
      <w:start w:val="3"/>
    </w:lvl>
  </w:abstractNum>
  <w:abstractNum w:abstractNumId="5">
    <w:nsid w:val="419AC241"/>
    <w:multiLevelType w:val="hybridMultilevel"/>
    <w:lvl w:ilvl="0">
      <w:lvlJc w:val="left"/>
      <w:lvlText w:val="(%1)"/>
      <w:numFmt w:val="decimal"/>
      <w:start w:val="4"/>
    </w:lvl>
  </w:abstractNum>
  <w:abstractNum w:abstractNumId="6">
    <w:nsid w:val="5577F8E1"/>
    <w:multiLevelType w:val="hybridMultilevel"/>
    <w:lvl w:ilvl="0">
      <w:lvlJc w:val="left"/>
      <w:lvlText w:val="(%1)"/>
      <w:numFmt w:val="decimal"/>
      <w:start w:val="5"/>
    </w:lvl>
  </w:abstractNum>
  <w:abstractNum w:abstractNumId="7">
    <w:nsid w:val="440BADFC"/>
    <w:multiLevelType w:val="hybridMultilevel"/>
    <w:lvl w:ilvl="0">
      <w:lvlJc w:val="left"/>
      <w:lvlText w:val="☐"/>
      <w:numFmt w:val="bullet"/>
      <w:start w:val="1"/>
    </w:lvl>
    <w:lvl w:ilvl="1">
      <w:lvlJc w:val="left"/>
      <w:lvlText w:val="(%2)"/>
      <w:numFmt w:val="decimal"/>
      <w:start w:val="1"/>
    </w:lvl>
  </w:abstractNum>
  <w:abstractNum w:abstractNumId="8">
    <w:nsid w:val="5072367"/>
    <w:multiLevelType w:val="hybridMultilevel"/>
    <w:lvl w:ilvl="0">
      <w:lvlJc w:val="left"/>
      <w:lvlText w:val="(%1)"/>
      <w:numFmt w:val="decimal"/>
      <w:start w:val="2"/>
    </w:lvl>
  </w:abstractNum>
  <w:abstractNum w:abstractNumId="9">
    <w:nsid w:val="3804823E"/>
    <w:multiLevelType w:val="hybridMultilevel"/>
    <w:lvl w:ilvl="0">
      <w:lvlJc w:val="left"/>
      <w:lvlText w:val="(%1)"/>
      <w:numFmt w:val="decimal"/>
      <w:start w:val="3"/>
    </w:lvl>
  </w:abstractNum>
  <w:abstractNum w:abstractNumId="10">
    <w:nsid w:val="77465F01"/>
    <w:multiLevelType w:val="hybridMultilevel"/>
    <w:lvl w:ilvl="0">
      <w:lvlJc w:val="left"/>
      <w:lvlText w:val="(%1)"/>
      <w:numFmt w:val="decimal"/>
      <w:start w:val="4"/>
    </w:lvl>
  </w:abstractNum>
  <w:abstractNum w:abstractNumId="11">
    <w:nsid w:val="7724C67E"/>
    <w:multiLevelType w:val="hybridMultilevel"/>
    <w:lvl w:ilvl="0">
      <w:lvlJc w:val="left"/>
      <w:lvlText w:val="•"/>
      <w:numFmt w:val="bullet"/>
      <w:start w:val="1"/>
    </w:lvl>
  </w:abstractNum>
  <w:abstractNum w:abstractNumId="12">
    <w:nsid w:val="5C482A97"/>
    <w:multiLevelType w:val="hybridMultilevel"/>
    <w:lvl w:ilvl="0">
      <w:lvlJc w:val="left"/>
      <w:lvlText w:val="•"/>
      <w:numFmt w:val="bullet"/>
      <w:start w:val="1"/>
    </w:lvl>
  </w:abstractNum>
  <w:abstractNum w:abstractNumId="13">
    <w:nsid w:val="2463B9EA"/>
    <w:multiLevelType w:val="hybridMultilevel"/>
    <w:lvl w:ilvl="0">
      <w:lvlJc w:val="left"/>
      <w:lvlText w:val="%1."/>
      <w:numFmt w:val="decimal"/>
      <w:start w:val="3"/>
    </w:lvl>
  </w:abstractNum>
  <w:abstractNum w:abstractNumId="14">
    <w:nsid w:val="5E884ADC"/>
    <w:multiLevelType w:val="hybridMultilevel"/>
    <w:lvl w:ilvl="0">
      <w:lvlJc w:val="left"/>
      <w:lvlText w:val="1"/>
      <w:numFmt w:val="bullet"/>
      <w:start w:val="1"/>
    </w:lvl>
  </w:abstractNum>
  <w:abstractNum w:abstractNumId="15">
    <w:nsid w:val="51EAD36B"/>
    <w:multiLevelType w:val="hybridMultilevel"/>
    <w:lvl w:ilvl="0">
      <w:lvlJc w:val="left"/>
      <w:lvlText w:val="(%1)"/>
      <w:numFmt w:val="decimal"/>
      <w:start w:val="1"/>
    </w:lvl>
    <w:lvl w:ilvl="1">
      <w:lvlJc w:val="left"/>
      <w:lvlText w:val="•"/>
      <w:numFmt w:val="bullet"/>
      <w:start w:val="1"/>
    </w:lvl>
  </w:abstractNum>
  <w:abstractNum w:abstractNumId="16">
    <w:nsid w:val="2D517796"/>
    <w:multiLevelType w:val="hybridMultilevel"/>
    <w:lvl w:ilvl="0">
      <w:lvlJc w:val="left"/>
      <w:lvlText w:val="(%1)"/>
      <w:numFmt w:val="decimal"/>
      <w:start w:val="1"/>
    </w:lvl>
  </w:abstractNum>
  <w:abstractNum w:abstractNumId="17">
    <w:nsid w:val="580BD78F"/>
    <w:multiLevelType w:val="hybridMultilevel"/>
    <w:lvl w:ilvl="0">
      <w:lvlJc w:val="left"/>
      <w:lvlText w:val="2"/>
      <w:numFmt w:val="bullet"/>
      <w:start w:val="1"/>
    </w:lvl>
  </w:abstractNum>
  <w:abstractNum w:abstractNumId="18">
    <w:nsid w:val="153EA438"/>
    <w:multiLevelType w:val="hybridMultilevel"/>
    <w:lvl w:ilvl="0">
      <w:lvlJc w:val="left"/>
      <w:lvlText w:val="•"/>
      <w:numFmt w:val="bullet"/>
      <w:start w:val="1"/>
    </w:lvl>
  </w:abstractNum>
  <w:abstractNum w:abstractNumId="19">
    <w:nsid w:val="3855585C"/>
    <w:multiLevelType w:val="hybridMultilevel"/>
    <w:lvl w:ilvl="0">
      <w:lvlJc w:val="left"/>
      <w:lvlText w:val="•"/>
      <w:numFmt w:val="bullet"/>
      <w:start w:val="1"/>
    </w:lvl>
  </w:abstractNum>
  <w:abstractNum w:abstractNumId="20">
    <w:nsid w:val="70A64E2A"/>
    <w:multiLevelType w:val="hybridMultilevel"/>
    <w:lvl w:ilvl="0">
      <w:lvlJc w:val="left"/>
      <w:lvlText w:val="(%1)"/>
      <w:numFmt w:val="decimal"/>
      <w:start w:val="1"/>
    </w:lvl>
  </w:abstractNum>
  <w:abstractNum w:abstractNumId="21">
    <w:nsid w:val="6A2342EC"/>
    <w:multiLevelType w:val="hybridMultilevel"/>
    <w:lvl w:ilvl="0">
      <w:lvlJc w:val="left"/>
      <w:lvlText w:val="(%1)"/>
      <w:numFmt w:val="decimal"/>
      <w:start w:val="4"/>
    </w:lvl>
  </w:abstractNum>
  <w:abstractNum w:abstractNumId="22">
    <w:nsid w:val="2A487CB0"/>
    <w:multiLevelType w:val="hybridMultilevel"/>
    <w:lvl w:ilvl="0">
      <w:lvlJc w:val="left"/>
      <w:lvlText w:val="•"/>
      <w:numFmt w:val="bullet"/>
      <w:start w:val="1"/>
    </w:lvl>
  </w:abstractNum>
  <w:abstractNum w:abstractNumId="23">
    <w:nsid w:val="1D4ED43B"/>
    <w:multiLevelType w:val="hybridMultilevel"/>
    <w:lvl w:ilvl="0">
      <w:lvlJc w:val="left"/>
      <w:lvlText w:val="•"/>
      <w:numFmt w:val="bullet"/>
      <w:start w:val="1"/>
    </w:lvl>
  </w:abstractNum>
  <w:abstractNum w:abstractNumId="24">
    <w:nsid w:val="725A06FB"/>
    <w:multiLevelType w:val="hybridMultilevel"/>
    <w:lvl w:ilvl="0">
      <w:lvlJc w:val="left"/>
      <w:lvlText w:val="3"/>
      <w:numFmt w:val="bullet"/>
      <w:start w:val="1"/>
    </w:lvl>
  </w:abstractNum>
  <w:abstractNum w:abstractNumId="25">
    <w:nsid w:val="2CD89A32"/>
    <w:multiLevelType w:val="hybridMultilevel"/>
    <w:lvl w:ilvl="0">
      <w:lvlJc w:val="left"/>
      <w:lvlText w:val="•"/>
      <w:numFmt w:val="bullet"/>
      <w:start w:val="1"/>
    </w:lvl>
  </w:abstractNum>
  <w:abstractNum w:abstractNumId="26">
    <w:nsid w:val="57E4CCAF"/>
    <w:multiLevelType w:val="hybridMultilevel"/>
    <w:lvl w:ilvl="0">
      <w:lvlJc w:val="left"/>
      <w:lvlText w:val="•"/>
      <w:numFmt w:val="bullet"/>
      <w:start w:val="1"/>
    </w:lvl>
  </w:abstractNum>
  <w:abstractNum w:abstractNumId="27">
    <w:nsid w:val="7A6D8D3C"/>
    <w:multiLevelType w:val="hybridMultilevel"/>
    <w:lvl w:ilvl="0">
      <w:lvlJc w:val="left"/>
      <w:lvlText w:val="(%1)"/>
      <w:numFmt w:val="decimal"/>
      <w:start w:val="1"/>
    </w:lvl>
    <w:lvl w:ilvl="1">
      <w:lvlJc w:val="left"/>
      <w:lvlText w:val="(%2)"/>
      <w:numFmt w:val="lowerLetter"/>
      <w:start w:val="1"/>
    </w:lvl>
  </w:abstractNum>
  <w:abstractNum w:abstractNumId="28">
    <w:nsid w:val="4B588F54"/>
    <w:multiLevelType w:val="hybridMultilevel"/>
    <w:lvl w:ilvl="0">
      <w:lvlJc w:val="left"/>
      <w:lvlText w:val="•"/>
      <w:numFmt w:val="bullet"/>
      <w:start w:val="1"/>
    </w:lvl>
  </w:abstractNum>
  <w:abstractNum w:abstractNumId="29">
    <w:nsid w:val="542289EC"/>
    <w:multiLevelType w:val="hybridMultilevel"/>
    <w:lvl w:ilvl="0">
      <w:lvlJc w:val="left"/>
      <w:lvlText w:val="•"/>
      <w:numFmt w:val="bullet"/>
      <w:start w:val="1"/>
    </w:lvl>
  </w:abstractNum>
  <w:abstractNum w:abstractNumId="30">
    <w:nsid w:val="6DE91B18"/>
    <w:multiLevelType w:val="hybridMultilevel"/>
    <w:lvl w:ilvl="0">
      <w:lvlJc w:val="left"/>
      <w:lvlText w:val="•"/>
      <w:numFmt w:val="bullet"/>
      <w:start w:val="1"/>
    </w:lvl>
  </w:abstractNum>
  <w:abstractNum w:abstractNumId="31">
    <w:nsid w:val="38437FDB"/>
    <w:multiLevelType w:val="hybridMultilevel"/>
    <w:lvl w:ilvl="0">
      <w:lvlJc w:val="left"/>
      <w:lvlText w:val="•"/>
      <w:numFmt w:val="bullet"/>
      <w:start w:val="1"/>
    </w:lvl>
  </w:abstractNum>
  <w:abstractNum w:abstractNumId="32">
    <w:nsid w:val="7644A45C"/>
    <w:multiLevelType w:val="hybridMultilevel"/>
    <w:lvl w:ilvl="0">
      <w:lvlJc w:val="left"/>
      <w:lvlText w:val="*"/>
      <w:numFmt w:val="bullet"/>
      <w:start w:val="1"/>
    </w:lvl>
  </w:abstractNum>
  <w:abstractNum w:abstractNumId="33">
    <w:nsid w:val="32FFF902"/>
    <w:multiLevelType w:val="hybridMultilevel"/>
    <w:lvl w:ilvl="0">
      <w:lvlJc w:val="left"/>
      <w:lvlText w:val="•"/>
      <w:numFmt w:val="bullet"/>
      <w:start w:val="1"/>
    </w:lvl>
  </w:abstractNum>
  <w:abstractNum w:abstractNumId="34">
    <w:nsid w:val="684A481A"/>
    <w:multiLevelType w:val="hybridMultilevel"/>
    <w:lvl w:ilvl="0">
      <w:lvlJc w:val="left"/>
      <w:lvlText w:val="%1."/>
      <w:numFmt w:val="decimal"/>
      <w:start w:val="1"/>
    </w:lvl>
    <w:lvl w:ilvl="1">
      <w:lvlJc w:val="left"/>
      <w:lvlText w:val="•"/>
      <w:numFmt w:val="bullet"/>
      <w:start w:val="1"/>
    </w:lvl>
  </w:abstractNum>
  <w:abstractNum w:abstractNumId="35">
    <w:nsid w:val="579478FE"/>
    <w:multiLevelType w:val="hybridMultilevel"/>
    <w:lvl w:ilvl="0">
      <w:lvlJc w:val="left"/>
      <w:lvlText w:val="•"/>
      <w:numFmt w:val="bullet"/>
      <w:start w:val="1"/>
    </w:lvl>
  </w:abstractNum>
  <w:abstractNum w:abstractNumId="36">
    <w:nsid w:val="749ABB43"/>
    <w:multiLevelType w:val="hybridMultilevel"/>
    <w:lvl w:ilvl="0">
      <w:lvlJc w:val="left"/>
      <w:lvlText w:val="(%1)"/>
      <w:numFmt w:val="decimal"/>
      <w:start w:val="1"/>
    </w:lvl>
  </w:abstractNum>
  <w:abstractNum w:abstractNumId="37">
    <w:nsid w:val="3DC240FB"/>
    <w:multiLevelType w:val="hybridMultilevel"/>
    <w:lvl w:ilvl="0">
      <w:lvlJc w:val="left"/>
      <w:lvlText w:val="*"/>
      <w:numFmt w:val="bullet"/>
      <w:start w:val="1"/>
    </w:lvl>
  </w:abstractNum>
  <w:abstractNum w:abstractNumId="38">
    <w:nsid w:val="1BA026FA"/>
    <w:multiLevelType w:val="hybridMultilevel"/>
    <w:lvl w:ilvl="0">
      <w:lvlJc w:val="left"/>
      <w:lvlText w:val="(%1)"/>
      <w:numFmt w:val="decimal"/>
      <w:start w:val="1"/>
    </w:lvl>
  </w:abstractNum>
  <w:abstractNum w:abstractNumId="39">
    <w:nsid w:val="79A1DEAA"/>
    <w:multiLevelType w:val="hybridMultilevel"/>
    <w:lvl w:ilvl="0">
      <w:lvlJc w:val="left"/>
      <w:lvlText w:val="7"/>
      <w:numFmt w:val="bullet"/>
      <w:start w:val="1"/>
    </w:lvl>
  </w:abstractNum>
  <w:abstractNum w:abstractNumId="40">
    <w:nsid w:val="75C6C33A"/>
    <w:multiLevelType w:val="hybridMultilevel"/>
    <w:lvl w:ilvl="0">
      <w:lvlJc w:val="left"/>
      <w:lvlText w:val="•"/>
      <w:numFmt w:val="bullet"/>
      <w:start w:val="1"/>
    </w:lvl>
  </w:abstractNum>
  <w:abstractNum w:abstractNumId="41">
    <w:nsid w:val="12E685FB"/>
    <w:multiLevelType w:val="hybridMultilevel"/>
    <w:lvl w:ilvl="0">
      <w:lvlJc w:val="left"/>
      <w:lvlText w:val="(%1)"/>
      <w:numFmt w:val="decimal"/>
      <w:start w:val="1"/>
    </w:lvl>
  </w:abstractNum>
  <w:abstractNum w:abstractNumId="42">
    <w:nsid w:val="70C6A529"/>
    <w:multiLevelType w:val="hybridMultilevel"/>
    <w:lvl w:ilvl="0">
      <w:lvlJc w:val="left"/>
      <w:lvlText w:val="(%1)"/>
      <w:numFmt w:val="decimal"/>
      <w:start w:val="1"/>
    </w:lvl>
  </w:abstractNum>
  <w:abstractNum w:abstractNumId="43">
    <w:nsid w:val="520EEDD1"/>
    <w:multiLevelType w:val="hybridMultilevel"/>
    <w:lvl w:ilvl="0">
      <w:lvlJc w:val="left"/>
      <w:lvlText w:val="(%1)"/>
      <w:numFmt w:val="decimal"/>
      <w:start w:val="1"/>
    </w:lvl>
  </w:abstractNum>
  <w:abstractNum w:abstractNumId="44">
    <w:nsid w:val="374A3FE6"/>
    <w:multiLevelType w:val="hybridMultilevel"/>
    <w:lvl w:ilvl="0">
      <w:lvlJc w:val="left"/>
      <w:lvlText w:val="(%1)"/>
      <w:numFmt w:val="decimal"/>
      <w:start w:val="1"/>
    </w:lvl>
  </w:abstractNum>
  <w:abstractNum w:abstractNumId="45">
    <w:nsid w:val="4F4EF005"/>
    <w:multiLevelType w:val="hybridMultilevel"/>
    <w:lvl w:ilvl="0">
      <w:lvlJc w:val="left"/>
      <w:lvlText w:val="%1"/>
      <w:numFmt w:val="decimal"/>
      <w:start w:val="10"/>
    </w:lvl>
  </w:abstractNum>
  <w:abstractNum w:abstractNumId="46">
    <w:nsid w:val="23F9C13C"/>
    <w:multiLevelType w:val="hybridMultilevel"/>
    <w:lvl w:ilvl="0">
      <w:lvlJc w:val="left"/>
      <w:lvlText w:val="•"/>
      <w:numFmt w:val="bullet"/>
      <w:start w:val="1"/>
    </w:lvl>
  </w:abstractNum>
  <w:abstractNum w:abstractNumId="47">
    <w:nsid w:val="649BB77C"/>
    <w:multiLevelType w:val="hybridMultilevel"/>
    <w:lvl w:ilvl="0">
      <w:lvlJc w:val="left"/>
      <w:lvlText w:val="(%1)"/>
      <w:numFmt w:val="lowerLetter"/>
      <w:start w:val="1"/>
    </w:lvl>
  </w:abstractNum>
  <w:abstractNum w:abstractNumId="48">
    <w:nsid w:val="275AC794"/>
    <w:multiLevelType w:val="hybridMultilevel"/>
    <w:lvl w:ilvl="0">
      <w:lvlJc w:val="left"/>
      <w:lvlText w:val="(%1)"/>
      <w:numFmt w:val="decimal"/>
      <w:start w:val="1"/>
    </w:lvl>
    <w:lvl w:ilvl="1">
      <w:lvlJc w:val="left"/>
      <w:lvlText w:val="(%2)"/>
      <w:numFmt w:val="lowerLetter"/>
      <w:start w:val="1"/>
    </w:lvl>
  </w:abstractNum>
  <w:abstractNum w:abstractNumId="49">
    <w:nsid w:val="39386575"/>
    <w:multiLevelType w:val="hybridMultilevel"/>
    <w:lvl w:ilvl="0">
      <w:lvlJc w:val="left"/>
      <w:lvlText w:val="%1"/>
      <w:numFmt w:val="decimal"/>
      <w:start w:val="1"/>
    </w:lvl>
    <w:lvl w:ilvl="1">
      <w:lvlJc w:val="left"/>
      <w:lvlText w:val="(%2)"/>
      <w:numFmt w:val="lowerLetter"/>
      <w:start w:val="3"/>
    </w:lvl>
  </w:abstractNum>
  <w:abstractNum w:abstractNumId="50">
    <w:nsid w:val="1CF10FD8"/>
    <w:multiLevelType w:val="hybridMultilevel"/>
    <w:lvl w:ilvl="0">
      <w:lvlJc w:val="left"/>
      <w:lvlText w:val="(%1)"/>
      <w:numFmt w:val="decimal"/>
      <w:start w:val="3"/>
    </w:lvl>
    <w:lvl w:ilvl="1">
      <w:lvlJc w:val="left"/>
      <w:lvlText w:val="%2"/>
      <w:numFmt w:val="lowerLetter"/>
      <w:start w:val="1"/>
    </w:lvl>
  </w:abstractNum>
  <w:abstractNum w:abstractNumId="51">
    <w:nsid w:val="180115BE"/>
    <w:multiLevelType w:val="hybridMultilevel"/>
    <w:lvl w:ilvl="0">
      <w:lvlJc w:val="left"/>
      <w:lvlText w:val="•"/>
      <w:numFmt w:val="bullet"/>
      <w:start w:val="1"/>
    </w:lvl>
  </w:abstractNum>
  <w:abstractNum w:abstractNumId="52">
    <w:nsid w:val="235BA861"/>
    <w:multiLevelType w:val="hybridMultilevel"/>
    <w:lvl w:ilvl="0">
      <w:lvlJc w:val="left"/>
      <w:lvlText w:val="•"/>
      <w:numFmt w:val="bullet"/>
      <w:start w:val="1"/>
    </w:lvl>
  </w:abstractNum>
  <w:abstractNum w:abstractNumId="53">
    <w:nsid w:val="47398C89"/>
    <w:multiLevelType w:val="hybridMultilevel"/>
    <w:lvl w:ilvl="0">
      <w:lvlJc w:val="left"/>
      <w:lvlText w:val="•"/>
      <w:numFmt w:val="bullet"/>
      <w:start w:val="1"/>
    </w:lvl>
  </w:abstractNum>
  <w:abstractNum w:abstractNumId="54">
    <w:nsid w:val="354FE9F9"/>
    <w:multiLevelType w:val="hybridMultilevel"/>
    <w:lvl w:ilvl="0">
      <w:lvlJc w:val="left"/>
      <w:lvlText w:val="•"/>
      <w:numFmt w:val="bullet"/>
      <w:start w:val="1"/>
    </w:lvl>
  </w:abstractNum>
  <w:abstractNum w:abstractNumId="55">
    <w:nsid w:val="15B5AF5C"/>
    <w:multiLevelType w:val="hybridMultilevel"/>
    <w:lvl w:ilvl="0">
      <w:lvlJc w:val="left"/>
      <w:lvlText w:val="•"/>
      <w:numFmt w:val="bullet"/>
      <w:start w:val="1"/>
    </w:lvl>
  </w:abstractNum>
  <w:abstractNum w:abstractNumId="56">
    <w:nsid w:val="741226BB"/>
    <w:multiLevelType w:val="hybridMultilevel"/>
    <w:lvl w:ilvl="0">
      <w:lvlJc w:val="left"/>
      <w:lvlText w:val="•"/>
      <w:numFmt w:val="bullet"/>
      <w:start w:val="1"/>
    </w:lvl>
  </w:abstractNum>
  <w:abstractNum w:abstractNumId="57">
    <w:nsid w:val="D34B6A8"/>
    <w:multiLevelType w:val="hybridMultilevel"/>
    <w:lvl w:ilvl="0">
      <w:lvlJc w:val="left"/>
      <w:lvlText w:val="•"/>
      <w:numFmt w:val="bullet"/>
      <w:start w:val="1"/>
    </w:lvl>
  </w:abstractNum>
  <w:abstractNum w:abstractNumId="58">
    <w:nsid w:val="10233C99"/>
    <w:multiLevelType w:val="hybridMultilevel"/>
    <w:lvl w:ilvl="0">
      <w:lvlJc w:val="left"/>
      <w:lvlText w:val="•"/>
      <w:numFmt w:val="bullet"/>
      <w:start w:val="1"/>
    </w:lvl>
  </w:abstractNum>
  <w:abstractNum w:abstractNumId="59">
    <w:nsid w:val="3F6AB60F"/>
    <w:multiLevelType w:val="hybridMultilevel"/>
    <w:lvl w:ilvl="0">
      <w:lvlJc w:val="left"/>
      <w:lvlText w:val="•"/>
      <w:numFmt w:val="bullet"/>
      <w:start w:val="1"/>
    </w:lvl>
  </w:abstractNum>
  <w:abstractNum w:abstractNumId="60">
    <w:nsid w:val="61574095"/>
    <w:multiLevelType w:val="hybridMultilevel"/>
    <w:lvl w:ilvl="0">
      <w:lvlJc w:val="left"/>
      <w:lvlText w:val="%1."/>
      <w:numFmt w:val="decimal"/>
      <w:start w:val="2"/>
    </w:lvl>
  </w:abstractNum>
  <w:abstractNum w:abstractNumId="61">
    <w:nsid w:val="7E0C57B1"/>
    <w:multiLevelType w:val="hybridMultilevel"/>
    <w:lvl w:ilvl="0">
      <w:lvlJc w:val="left"/>
      <w:lvlText w:val="(%1)"/>
      <w:numFmt w:val="lowerRoman"/>
      <w:start w:val="1"/>
    </w:lvl>
  </w:abstractNum>
  <w:abstractNum w:abstractNumId="62">
    <w:nsid w:val="77AE35E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2020-03-26T12:43:53Z</dcterms:created>
  <dcterms:modified xsi:type="dcterms:W3CDTF">2020-03-26T12:43:53Z</dcterms:modified>
</cp:coreProperties>
</file>