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130810</wp:posOffset>
            </wp:positionH>
            <wp:positionV relativeFrom="paragraph">
              <wp:posOffset>208915</wp:posOffset>
            </wp:positionV>
            <wp:extent cx="68897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89750" cy="8255"/>
                    </a:xfrm>
                    <a:prstGeom prst="rect">
                      <a:avLst/>
                    </a:prstGeom>
                    <a:noFill/>
                  </pic:spPr>
                </pic:pic>
              </a:graphicData>
            </a:graphic>
          </wp:anchor>
        </w:drawing>
        <w:drawing>
          <wp:anchor simplePos="0" relativeHeight="251657728" behindDoc="1" locked="0" layoutInCell="0" allowOverlap="1">
            <wp:simplePos x="0" y="0"/>
            <wp:positionH relativeFrom="column">
              <wp:posOffset>130810</wp:posOffset>
            </wp:positionH>
            <wp:positionV relativeFrom="paragraph">
              <wp:posOffset>251460</wp:posOffset>
            </wp:positionV>
            <wp:extent cx="68897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89750" cy="8255"/>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ind w:left="4520"/>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2849245</wp:posOffset>
            </wp:positionH>
            <wp:positionV relativeFrom="paragraph">
              <wp:posOffset>228600</wp:posOffset>
            </wp:positionV>
            <wp:extent cx="14439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SCHEDULE 14A</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21"/>
          <w:szCs w:val="21"/>
          <w:b w:val="1"/>
          <w:bCs w:val="1"/>
          <w:color w:val="auto"/>
        </w:rPr>
        <w:t>Proxy Statement Pursuant to Section 14(a) of the</w:t>
      </w:r>
    </w:p>
    <w:p>
      <w:pPr>
        <w:jc w:val="center"/>
        <w:ind w:right="-1100"/>
        <w:spacing w:after="0" w:line="237" w:lineRule="auto"/>
        <w:rPr>
          <w:sz w:val="20"/>
          <w:szCs w:val="20"/>
          <w:color w:val="auto"/>
        </w:rPr>
      </w:pPr>
      <w:r>
        <w:rPr>
          <w:rFonts w:ascii="Arial" w:cs="Arial" w:eastAsia="Arial" w:hAnsi="Arial"/>
          <w:sz w:val="21"/>
          <w:szCs w:val="21"/>
          <w:b w:val="1"/>
          <w:bCs w:val="1"/>
          <w:color w:val="auto"/>
        </w:rPr>
        <w:t>Securities Exchange Act of 1934</w:t>
      </w:r>
    </w:p>
    <w:p>
      <w:pPr>
        <w:spacing w:after="0" w:line="1" w:lineRule="exact"/>
        <w:rPr>
          <w:sz w:val="24"/>
          <w:szCs w:val="24"/>
          <w:color w:val="auto"/>
        </w:rPr>
      </w:pPr>
    </w:p>
    <w:p>
      <w:pPr>
        <w:jc w:val="center"/>
        <w:ind w:right="-1100"/>
        <w:spacing w:after="0"/>
        <w:tabs>
          <w:tab w:leader="none" w:pos="200" w:val="left"/>
        </w:tabs>
        <w:rPr>
          <w:sz w:val="20"/>
          <w:szCs w:val="20"/>
          <w:color w:val="auto"/>
        </w:rPr>
      </w:pPr>
      <w:r>
        <w:rPr>
          <w:rFonts w:ascii="Arial" w:cs="Arial" w:eastAsia="Arial" w:hAnsi="Arial"/>
          <w:sz w:val="21"/>
          <w:szCs w:val="21"/>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2849245</wp:posOffset>
            </wp:positionH>
            <wp:positionV relativeFrom="paragraph">
              <wp:posOffset>220345</wp:posOffset>
            </wp:positionV>
            <wp:extent cx="14439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ind w:left="20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18" w:lineRule="exact"/>
        <w:rPr>
          <w:sz w:val="24"/>
          <w:szCs w:val="24"/>
          <w:color w:val="auto"/>
        </w:rPr>
      </w:pPr>
    </w:p>
    <w:p>
      <w:pPr>
        <w:ind w:left="20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66" w:lineRule="exact"/>
        <w:rPr>
          <w:sz w:val="24"/>
          <w:szCs w:val="24"/>
          <w:color w:val="auto"/>
        </w:rPr>
      </w:pPr>
    </w:p>
    <w:p>
      <w:pPr>
        <w:ind w:left="200"/>
        <w:spacing w:after="0"/>
        <w:rPr>
          <w:sz w:val="20"/>
          <w:szCs w:val="20"/>
          <w:color w:val="auto"/>
        </w:rPr>
      </w:pPr>
      <w:r>
        <w:rPr>
          <w:rFonts w:ascii="Arial" w:cs="Arial" w:eastAsia="Arial" w:hAnsi="Arial"/>
          <w:sz w:val="18"/>
          <w:szCs w:val="18"/>
          <w:color w:val="auto"/>
        </w:rPr>
        <w:t>Check the appropriate box:</w:t>
      </w:r>
    </w:p>
    <w:p>
      <w:pPr>
        <w:spacing w:after="0" w:line="245" w:lineRule="exact"/>
        <w:rPr>
          <w:sz w:val="24"/>
          <w:szCs w:val="24"/>
          <w:color w:val="auto"/>
        </w:rPr>
      </w:pPr>
    </w:p>
    <w:p>
      <w:pPr>
        <w:ind w:left="620" w:hanging="421"/>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39" w:lineRule="exact"/>
        <w:rPr>
          <w:rFonts w:ascii="MS PGothic" w:cs="MS PGothic" w:eastAsia="MS PGothic" w:hAnsi="MS PGothic"/>
          <w:sz w:val="18"/>
          <w:szCs w:val="18"/>
          <w:color w:val="auto"/>
        </w:rPr>
      </w:pPr>
    </w:p>
    <w:p>
      <w:pPr>
        <w:ind w:left="620" w:hanging="421"/>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51" w:lineRule="exact"/>
        <w:rPr>
          <w:sz w:val="24"/>
          <w:szCs w:val="24"/>
          <w:color w:val="auto"/>
        </w:rPr>
      </w:pPr>
    </w:p>
    <w:p>
      <w:pPr>
        <w:ind w:left="620" w:hanging="421"/>
        <w:spacing w:after="0"/>
        <w:tabs>
          <w:tab w:leader="none" w:pos="6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45" w:lineRule="exact"/>
        <w:rPr>
          <w:sz w:val="24"/>
          <w:szCs w:val="24"/>
          <w:color w:val="auto"/>
        </w:rPr>
      </w:pPr>
    </w:p>
    <w:p>
      <w:pPr>
        <w:ind w:left="620" w:hanging="421"/>
        <w:spacing w:after="0"/>
        <w:tabs>
          <w:tab w:leader="none" w:pos="6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45" w:lineRule="exact"/>
        <w:rPr>
          <w:rFonts w:ascii="MS PGothic" w:cs="MS PGothic" w:eastAsia="MS PGothic" w:hAnsi="MS PGothic"/>
          <w:sz w:val="18"/>
          <w:szCs w:val="18"/>
          <w:color w:val="auto"/>
        </w:rPr>
      </w:pPr>
    </w:p>
    <w:p>
      <w:pPr>
        <w:ind w:left="620" w:hanging="421"/>
        <w:spacing w:after="0"/>
        <w:tabs>
          <w:tab w:leader="none" w:pos="6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190"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HURON CONSULTING GROUP INC.</w:t>
      </w:r>
    </w:p>
    <w:p>
      <w:pPr>
        <w:spacing w:after="0" w:line="34"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98" w:lineRule="exact"/>
        <w:rPr>
          <w:sz w:val="24"/>
          <w:szCs w:val="24"/>
          <w:color w:val="auto"/>
        </w:rPr>
      </w:pPr>
    </w:p>
    <w:p>
      <w:pPr>
        <w:ind w:left="290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24" w:lineRule="exact"/>
        <w:rPr>
          <w:sz w:val="24"/>
          <w:szCs w:val="24"/>
          <w:color w:val="auto"/>
        </w:rPr>
      </w:pPr>
    </w:p>
    <w:p>
      <w:pPr>
        <w:ind w:left="200"/>
        <w:spacing w:after="0"/>
        <w:rPr>
          <w:sz w:val="20"/>
          <w:szCs w:val="20"/>
          <w:color w:val="auto"/>
        </w:rPr>
      </w:pPr>
      <w:r>
        <w:rPr>
          <w:rFonts w:ascii="Arial" w:cs="Arial" w:eastAsia="Arial" w:hAnsi="Arial"/>
          <w:sz w:val="18"/>
          <w:szCs w:val="18"/>
          <w:color w:val="auto"/>
        </w:rPr>
        <w:t>Payment of Filing Fee (Check all boxes that apply):</w:t>
      </w:r>
    </w:p>
    <w:p>
      <w:pPr>
        <w:spacing w:after="0" w:line="245" w:lineRule="exact"/>
        <w:rPr>
          <w:sz w:val="24"/>
          <w:szCs w:val="24"/>
          <w:color w:val="auto"/>
        </w:rPr>
      </w:pPr>
    </w:p>
    <w:p>
      <w:pPr>
        <w:ind w:left="620" w:hanging="421"/>
        <w:spacing w:after="0"/>
        <w:tabs>
          <w:tab w:leader="none" w:pos="6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45" w:lineRule="exact"/>
        <w:rPr>
          <w:sz w:val="24"/>
          <w:szCs w:val="24"/>
          <w:color w:val="auto"/>
        </w:rPr>
      </w:pPr>
    </w:p>
    <w:p>
      <w:pPr>
        <w:ind w:left="620" w:hanging="421"/>
        <w:spacing w:after="0"/>
        <w:tabs>
          <w:tab w:leader="none" w:pos="6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45" w:lineRule="exact"/>
        <w:rPr>
          <w:rFonts w:ascii="MS PGothic" w:cs="MS PGothic" w:eastAsia="MS PGothic" w:hAnsi="MS PGothic"/>
          <w:sz w:val="18"/>
          <w:szCs w:val="18"/>
          <w:color w:val="auto"/>
        </w:rPr>
      </w:pPr>
    </w:p>
    <w:p>
      <w:pPr>
        <w:ind w:left="620" w:hanging="421"/>
        <w:spacing w:after="0"/>
        <w:tabs>
          <w:tab w:leader="none" w:pos="6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130810</wp:posOffset>
            </wp:positionH>
            <wp:positionV relativeFrom="paragraph">
              <wp:posOffset>172085</wp:posOffset>
            </wp:positionV>
            <wp:extent cx="68897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89750" cy="8255"/>
                    </a:xfrm>
                    <a:prstGeom prst="rect">
                      <a:avLst/>
                    </a:prstGeom>
                    <a:noFill/>
                  </pic:spPr>
                </pic:pic>
              </a:graphicData>
            </a:graphic>
          </wp:anchor>
        </w:drawing>
        <w:drawing>
          <wp:anchor simplePos="0" relativeHeight="251657728" behindDoc="1" locked="0" layoutInCell="0" allowOverlap="1">
            <wp:simplePos x="0" y="0"/>
            <wp:positionH relativeFrom="column">
              <wp:posOffset>130810</wp:posOffset>
            </wp:positionH>
            <wp:positionV relativeFrom="paragraph">
              <wp:posOffset>213995</wp:posOffset>
            </wp:positionV>
            <wp:extent cx="68897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89750" cy="8255"/>
                    </a:xfrm>
                    <a:prstGeom prst="rect">
                      <a:avLst/>
                    </a:prstGeom>
                    <a:noFill/>
                  </pic:spPr>
                </pic:pic>
              </a:graphicData>
            </a:graphic>
          </wp:anchor>
        </w:drawing>
      </w:r>
    </w:p>
    <w:p>
      <w:pPr>
        <w:sectPr>
          <w:pgSz w:w="11900" w:h="16838" w:orient="portrait"/>
          <w:cols w:equalWidth="0" w:num="1">
            <w:col w:w="10139"/>
          </w:cols>
          <w:pgMar w:left="320" w:top="228" w:right="1440"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2595880</wp:posOffset>
            </wp:positionH>
            <wp:positionV relativeFrom="paragraph">
              <wp:posOffset>200660</wp:posOffset>
            </wp:positionV>
            <wp:extent cx="1950085" cy="388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50085" cy="388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660"/>
        <w:spacing w:after="0"/>
        <w:rPr>
          <w:sz w:val="20"/>
          <w:szCs w:val="20"/>
          <w:color w:val="auto"/>
        </w:rPr>
      </w:pPr>
      <w:r>
        <w:rPr>
          <w:rFonts w:ascii="Arial" w:cs="Arial" w:eastAsia="Arial" w:hAnsi="Arial"/>
          <w:sz w:val="16"/>
          <w:szCs w:val="16"/>
          <w:color w:val="auto"/>
        </w:rPr>
        <w:t>550 West Van Buren Street</w:t>
      </w:r>
    </w:p>
    <w:p>
      <w:pPr>
        <w:spacing w:after="0" w:line="2"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Chicago, IL 60607</w:t>
      </w:r>
    </w:p>
    <w:p>
      <w:pPr>
        <w:spacing w:after="0" w:line="167" w:lineRule="exact"/>
        <w:rPr>
          <w:sz w:val="20"/>
          <w:szCs w:val="20"/>
          <w:color w:val="auto"/>
        </w:rPr>
      </w:pPr>
    </w:p>
    <w:p>
      <w:pPr>
        <w:jc w:val="center"/>
        <w:ind w:right="-199"/>
        <w:spacing w:after="0"/>
        <w:rPr>
          <w:sz w:val="20"/>
          <w:szCs w:val="20"/>
          <w:color w:val="auto"/>
        </w:rPr>
      </w:pPr>
      <w:r>
        <w:rPr>
          <w:rFonts w:ascii="Arial" w:cs="Arial" w:eastAsia="Arial" w:hAnsi="Arial"/>
          <w:sz w:val="21"/>
          <w:szCs w:val="21"/>
          <w:b w:val="1"/>
          <w:bCs w:val="1"/>
          <w:color w:val="00548B"/>
        </w:rPr>
        <w:t>NOTICE OF ANNUAL MEETING OF STOCKHOLDERS</w:t>
      </w:r>
    </w:p>
    <w:p>
      <w:pPr>
        <w:spacing w:after="0" w:line="18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00548B"/>
        </w:rPr>
        <w:t>May 6, 2022</w:t>
      </w:r>
    </w:p>
    <w:p>
      <w:pPr>
        <w:spacing w:after="0" w:line="23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Annual Meeting of Stockholders of Huron Consulting Group Inc. (the “Company,” “Huron,” “we” or “us”) will be held on May 6, 2022, at 11:00 a.m.</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Central Time in a virtual meeting format via live audio webcast at www.virtualshareholdermeeting.com/HURN2022, for the following purposes:</w:t>
      </w:r>
    </w:p>
    <w:p>
      <w:pPr>
        <w:sectPr>
          <w:pgSz w:w="11900" w:h="16838" w:orient="portrait"/>
          <w:cols w:equalWidth="0" w:num="1">
            <w:col w:w="11040"/>
          </w:cols>
          <w:pgMar w:left="320" w:top="454" w:right="539" w:bottom="1440" w:gutter="0" w:footer="0" w:header="0"/>
        </w:sectPr>
      </w:pPr>
    </w:p>
    <w:p>
      <w:pPr>
        <w:spacing w:after="0" w:line="212" w:lineRule="exact"/>
        <w:rPr>
          <w:sz w:val="20"/>
          <w:szCs w:val="20"/>
          <w:color w:val="auto"/>
        </w:rPr>
      </w:pPr>
    </w:p>
    <w:p>
      <w:pPr>
        <w:ind w:left="520"/>
        <w:spacing w:after="0"/>
        <w:rPr>
          <w:sz w:val="20"/>
          <w:szCs w:val="20"/>
          <w:color w:val="auto"/>
        </w:rPr>
      </w:pPr>
      <w:r>
        <w:rPr>
          <w:rFonts w:ascii="Arial" w:cs="Arial" w:eastAsia="Arial" w:hAnsi="Arial"/>
          <w:sz w:val="43"/>
          <w:szCs w:val="43"/>
          <w:color w:val="00548B"/>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-312420</wp:posOffset>
            </wp:positionV>
            <wp:extent cx="557530" cy="12750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7530" cy="1275080"/>
                    </a:xfrm>
                    <a:prstGeom prst="rect">
                      <a:avLst/>
                    </a:prstGeom>
                    <a:noFill/>
                  </pic:spPr>
                </pic:pic>
              </a:graphicData>
            </a:graphic>
          </wp:anchor>
        </w:drawing>
      </w:r>
    </w:p>
    <w:p>
      <w:pPr>
        <w:ind w:left="520"/>
        <w:spacing w:after="0"/>
        <w:rPr>
          <w:sz w:val="20"/>
          <w:szCs w:val="20"/>
          <w:color w:val="auto"/>
        </w:rPr>
      </w:pPr>
      <w:r>
        <w:rPr>
          <w:rFonts w:ascii="Arial" w:cs="Arial" w:eastAsia="Arial" w:hAnsi="Arial"/>
          <w:sz w:val="43"/>
          <w:szCs w:val="43"/>
          <w:color w:val="00548B"/>
        </w:rPr>
        <w:t>2</w:t>
      </w:r>
    </w:p>
    <w:p>
      <w:pPr>
        <w:spacing w:after="0" w:line="11" w:lineRule="exact"/>
        <w:rPr>
          <w:sz w:val="20"/>
          <w:szCs w:val="20"/>
          <w:color w:val="auto"/>
        </w:rPr>
      </w:pPr>
    </w:p>
    <w:p>
      <w:pPr>
        <w:ind w:left="520"/>
        <w:spacing w:after="0"/>
        <w:rPr>
          <w:sz w:val="20"/>
          <w:szCs w:val="20"/>
          <w:color w:val="auto"/>
        </w:rPr>
      </w:pPr>
      <w:r>
        <w:rPr>
          <w:rFonts w:ascii="Arial" w:cs="Arial" w:eastAsia="Arial" w:hAnsi="Arial"/>
          <w:sz w:val="43"/>
          <w:szCs w:val="43"/>
          <w:color w:val="00548B"/>
        </w:rPr>
        <w:t>3</w:t>
      </w:r>
    </w:p>
    <w:p>
      <w:pPr>
        <w:spacing w:after="0" w:line="11" w:lineRule="exact"/>
        <w:rPr>
          <w:sz w:val="20"/>
          <w:szCs w:val="20"/>
          <w:color w:val="auto"/>
        </w:rPr>
      </w:pPr>
    </w:p>
    <w:p>
      <w:pPr>
        <w:ind w:left="520"/>
        <w:spacing w:after="0"/>
        <w:rPr>
          <w:sz w:val="20"/>
          <w:szCs w:val="20"/>
          <w:color w:val="auto"/>
        </w:rPr>
      </w:pPr>
      <w:r>
        <w:rPr>
          <w:rFonts w:ascii="Arial" w:cs="Arial" w:eastAsia="Arial" w:hAnsi="Arial"/>
          <w:sz w:val="43"/>
          <w:szCs w:val="43"/>
          <w:color w:val="00548B"/>
        </w:rPr>
        <w:t>4</w:t>
      </w:r>
    </w:p>
    <w:p>
      <w:pPr>
        <w:spacing w:after="0" w:line="20" w:lineRule="exact"/>
        <w:rPr>
          <w:sz w:val="20"/>
          <w:szCs w:val="20"/>
          <w:color w:val="auto"/>
        </w:rPr>
      </w:pPr>
      <w:r>
        <w:rPr>
          <w:sz w:val="20"/>
          <w:szCs w:val="20"/>
          <w:color w:val="auto"/>
        </w:rPr>
        <w:br w:type="column"/>
      </w: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color w:val="auto"/>
        </w:rPr>
        <w:t>To elect to the board of directors the three persons nominated by the board of directors to serve as Class III Directors;</w:t>
      </w: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color w:val="auto"/>
        </w:rPr>
        <w:t>An advisory vote to approve the Company’s executive compensation;</w:t>
      </w:r>
    </w:p>
    <w:p>
      <w:pPr>
        <w:spacing w:after="0" w:line="175"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To ratify the appointment of PricewaterhouseCoopers LLP as the Company’s independent registered public accounting firm for the fiscal year ending December 31, 2022; and</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To transact such other business as may properly come before the meeting or any postponement or adjournment thereof.</w:t>
      </w:r>
    </w:p>
    <w:p>
      <w:pPr>
        <w:spacing w:after="0" w:line="360" w:lineRule="exact"/>
        <w:rPr>
          <w:sz w:val="20"/>
          <w:szCs w:val="20"/>
          <w:color w:val="auto"/>
        </w:rPr>
      </w:pPr>
    </w:p>
    <w:p>
      <w:pPr>
        <w:sectPr>
          <w:pgSz w:w="11900" w:h="16838" w:orient="portrait"/>
          <w:cols w:equalWidth="0" w:num="2">
            <w:col w:w="760" w:space="420"/>
            <w:col w:w="9860"/>
          </w:cols>
          <w:pgMar w:left="320" w:top="454" w:right="53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Only stockholders of record at the close of business on March 7, 2022 will be entitled to notice of and to vote at the meeting.</w:t>
      </w:r>
    </w:p>
    <w:p>
      <w:pPr>
        <w:spacing w:after="0" w:line="175" w:lineRule="exact"/>
        <w:rPr>
          <w:sz w:val="20"/>
          <w:szCs w:val="20"/>
          <w:color w:val="auto"/>
        </w:rPr>
      </w:pPr>
    </w:p>
    <w:p>
      <w:pPr>
        <w:jc w:val="both"/>
        <w:ind w:left="200"/>
        <w:spacing w:after="0" w:line="268" w:lineRule="auto"/>
        <w:rPr>
          <w:sz w:val="20"/>
          <w:szCs w:val="20"/>
          <w:color w:val="auto"/>
        </w:rPr>
      </w:pPr>
      <w:r>
        <w:rPr>
          <w:rFonts w:ascii="Arial" w:cs="Arial" w:eastAsia="Arial" w:hAnsi="Arial"/>
          <w:sz w:val="15"/>
          <w:szCs w:val="15"/>
          <w:color w:val="auto"/>
        </w:rPr>
        <w:t>Your vote is very important, regardless of the number of shares you hold. Whether or not you plan to attend the meeting, please cast your vote, as instructed in the Notice of Internet Availability of Proxy Materials or proxy card, over the Internet, as promptly as possible. If you received only a Notice of Internet Availability of Proxy Materials in the mail or by electronic mail, you may also request a paper proxy card to submit your vote by mail, if you prefer. However, we encourage you to vote over the Internet because it is convenient and will save printing costs and postage fees, as well as natural resources.</w:t>
      </w:r>
    </w:p>
    <w:p>
      <w:pPr>
        <w:spacing w:after="0" w:line="147" w:lineRule="exact"/>
        <w:rPr>
          <w:sz w:val="20"/>
          <w:szCs w:val="20"/>
          <w:color w:val="auto"/>
        </w:rPr>
      </w:pPr>
    </w:p>
    <w:p>
      <w:pPr>
        <w:jc w:val="both"/>
        <w:ind w:left="200"/>
        <w:spacing w:after="0" w:line="248" w:lineRule="auto"/>
        <w:rPr>
          <w:sz w:val="20"/>
          <w:szCs w:val="20"/>
          <w:color w:val="auto"/>
        </w:rPr>
      </w:pPr>
      <w:r>
        <w:rPr>
          <w:rFonts w:ascii="Arial" w:cs="Arial" w:eastAsia="Arial" w:hAnsi="Arial"/>
          <w:sz w:val="16"/>
          <w:szCs w:val="16"/>
          <w:color w:val="auto"/>
        </w:rPr>
        <w:t>We intend to hold our annual meeting via live audio webcast because of the continuing public health impact of the COVID-19 pandemic. You will not be able to attend in person. If we decide to hold our Annual Meeting in person, then we will announce our decision and post additional information on our Investor Relations website at https://ir.huronconsultinggroup.com. Please check this website in advance of the Annual Meeting date.</w:t>
      </w:r>
    </w:p>
    <w:p>
      <w:pPr>
        <w:spacing w:after="0" w:line="174" w:lineRule="exact"/>
        <w:rPr>
          <w:sz w:val="20"/>
          <w:szCs w:val="20"/>
          <w:color w:val="auto"/>
        </w:rPr>
      </w:pPr>
    </w:p>
    <w:p>
      <w:pPr>
        <w:jc w:val="both"/>
        <w:ind w:left="200"/>
        <w:spacing w:after="0" w:line="245" w:lineRule="auto"/>
        <w:rPr>
          <w:sz w:val="20"/>
          <w:szCs w:val="20"/>
          <w:color w:val="auto"/>
        </w:rPr>
      </w:pPr>
      <w:r>
        <w:rPr>
          <w:rFonts w:ascii="Arial" w:cs="Arial" w:eastAsia="Arial" w:hAnsi="Arial"/>
          <w:sz w:val="16"/>
          <w:szCs w:val="16"/>
          <w:color w:val="auto"/>
        </w:rPr>
        <w:t xml:space="preserve">Shareholders who wish to attend the annual meeting via live audio webcast may do so via the website reflected on their proxy card. We have worked to offer the same participation opportunities as were provided at the in-person portion of our past meetings while further enhancing the online experience available to all shareholders regardless of their location. During the meeting, shareholders will have the opportunity to ask questions of management or directors via live chat and to vote or change their previous vote. You may also address any questions in advance of the meeting to Corporate Secretary, Huron Consulting Group Inc., 550 West Van Buren Street, 17th Floor, Chicago, Illinois 60607, or </w:t>
      </w:r>
      <w:r>
        <w:rPr>
          <w:rFonts w:ascii="Arial" w:cs="Arial" w:eastAsia="Arial" w:hAnsi="Arial"/>
          <w:sz w:val="16"/>
          <w:szCs w:val="16"/>
          <w:i w:val="1"/>
          <w:iCs w:val="1"/>
          <w:color w:val="auto"/>
        </w:rPr>
        <w:t>corporatesecretary@hcg.com.</w:t>
      </w:r>
    </w:p>
    <w:p>
      <w:pPr>
        <w:spacing w:after="0" w:line="204" w:lineRule="exact"/>
        <w:rPr>
          <w:sz w:val="20"/>
          <w:szCs w:val="20"/>
          <w:color w:val="auto"/>
        </w:rPr>
      </w:pPr>
    </w:p>
    <w:p>
      <w:pPr>
        <w:ind w:left="714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4537710</wp:posOffset>
            </wp:positionH>
            <wp:positionV relativeFrom="paragraph">
              <wp:posOffset>135255</wp:posOffset>
            </wp:positionV>
            <wp:extent cx="1342390" cy="3041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42390" cy="304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7140"/>
        <w:spacing w:after="0"/>
        <w:rPr>
          <w:sz w:val="20"/>
          <w:szCs w:val="20"/>
          <w:color w:val="auto"/>
        </w:rPr>
      </w:pPr>
      <w:r>
        <w:rPr>
          <w:rFonts w:ascii="Arial" w:cs="Arial" w:eastAsia="Arial" w:hAnsi="Arial"/>
          <w:sz w:val="16"/>
          <w:szCs w:val="16"/>
          <w:color w:val="auto"/>
        </w:rPr>
        <w:t>Ernest W. Torain, Jr.</w:t>
      </w:r>
    </w:p>
    <w:p>
      <w:pPr>
        <w:spacing w:after="0" w:line="2" w:lineRule="exact"/>
        <w:rPr>
          <w:sz w:val="20"/>
          <w:szCs w:val="20"/>
          <w:color w:val="auto"/>
        </w:rPr>
      </w:pPr>
    </w:p>
    <w:p>
      <w:pPr>
        <w:ind w:left="7140"/>
        <w:spacing w:after="0"/>
        <w:rPr>
          <w:sz w:val="20"/>
          <w:szCs w:val="20"/>
          <w:color w:val="auto"/>
        </w:rPr>
      </w:pPr>
      <w:r>
        <w:rPr>
          <w:rFonts w:ascii="Arial" w:cs="Arial" w:eastAsia="Arial" w:hAnsi="Arial"/>
          <w:sz w:val="16"/>
          <w:szCs w:val="16"/>
          <w:i w:val="1"/>
          <w:iCs w:val="1"/>
          <w:color w:val="auto"/>
        </w:rPr>
        <w:t>Executive Vice President, General</w:t>
      </w:r>
    </w:p>
    <w:p>
      <w:pPr>
        <w:spacing w:after="0" w:line="2" w:lineRule="exact"/>
        <w:rPr>
          <w:sz w:val="20"/>
          <w:szCs w:val="20"/>
          <w:color w:val="auto"/>
        </w:rPr>
      </w:pPr>
    </w:p>
    <w:p>
      <w:pPr>
        <w:ind w:left="7140"/>
        <w:spacing w:after="0"/>
        <w:rPr>
          <w:sz w:val="20"/>
          <w:szCs w:val="20"/>
          <w:color w:val="auto"/>
        </w:rPr>
      </w:pPr>
      <w:r>
        <w:rPr>
          <w:rFonts w:ascii="Arial" w:cs="Arial" w:eastAsia="Arial" w:hAnsi="Arial"/>
          <w:sz w:val="16"/>
          <w:szCs w:val="16"/>
          <w:i w:val="1"/>
          <w:iCs w:val="1"/>
          <w:color w:val="auto"/>
        </w:rPr>
        <w:t>Counsel and Corporate Secretary</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Chicago, Illinois</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March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152400</wp:posOffset>
            </wp:positionV>
            <wp:extent cx="6889750" cy="8528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89750" cy="852805"/>
                    </a:xfrm>
                    <a:prstGeom prst="rect">
                      <a:avLst/>
                    </a:prstGeom>
                    <a:noFill/>
                  </pic:spPr>
                </pic:pic>
              </a:graphicData>
            </a:graphic>
          </wp:anchor>
        </w:drawing>
      </w:r>
    </w:p>
    <w:p>
      <w:pPr>
        <w:spacing w:after="0" w:line="281"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00548B"/>
        </w:rPr>
        <w:t>Important Notice Regarding the Availability of</w:t>
      </w:r>
    </w:p>
    <w:p>
      <w:pPr>
        <w:spacing w:after="0" w:line="22"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00548B"/>
        </w:rPr>
        <w:t>Proxy Materials for the Stockholder Meeting to be</w:t>
      </w:r>
    </w:p>
    <w:p>
      <w:pPr>
        <w:spacing w:after="0" w:line="2"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00548B"/>
        </w:rPr>
        <w:t>Held on May 6, 2022</w:t>
      </w:r>
    </w:p>
    <w:p>
      <w:pPr>
        <w:spacing w:after="0" w:line="182"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00548B"/>
        </w:rPr>
        <w:t>The Proxy Statement and Annual Report to Stockholders are</w:t>
      </w:r>
    </w:p>
    <w:p>
      <w:pPr>
        <w:spacing w:after="0" w:line="22"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00548B"/>
        </w:rPr>
        <w:t xml:space="preserve">available at </w:t>
      </w:r>
      <w:r>
        <w:rPr>
          <w:rFonts w:ascii="Arial" w:cs="Arial" w:eastAsia="Arial" w:hAnsi="Arial"/>
          <w:sz w:val="16"/>
          <w:szCs w:val="16"/>
          <w:b w:val="1"/>
          <w:bCs w:val="1"/>
          <w:i w:val="1"/>
          <w:iCs w:val="1"/>
          <w:color w:val="00548B"/>
        </w:rPr>
        <w:t>www.proxyvote.com</w:t>
      </w:r>
    </w:p>
    <w:p>
      <w:pPr>
        <w:sectPr>
          <w:pgSz w:w="11900" w:h="16838" w:orient="portrait"/>
          <w:cols w:equalWidth="0" w:num="1">
            <w:col w:w="11040"/>
          </w:cols>
          <w:pgMar w:left="320" w:top="454" w:right="5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2595880</wp:posOffset>
            </wp:positionH>
            <wp:positionV relativeFrom="paragraph">
              <wp:posOffset>200660</wp:posOffset>
            </wp:positionV>
            <wp:extent cx="1950085" cy="388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50085" cy="388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00548B"/>
        </w:rPr>
        <w:t>Letter from the Independent Directors of the Board</w:t>
      </w:r>
    </w:p>
    <w:p>
      <w:pPr>
        <w:spacing w:after="0" w:line="23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Dear Fellow Shareholders:</w:t>
      </w:r>
    </w:p>
    <w:p>
      <w:pPr>
        <w:spacing w:after="0" w:line="215" w:lineRule="exact"/>
        <w:rPr>
          <w:sz w:val="20"/>
          <w:szCs w:val="20"/>
          <w:color w:val="auto"/>
        </w:rPr>
      </w:pPr>
    </w:p>
    <w:p>
      <w:pPr>
        <w:jc w:val="both"/>
        <w:ind w:left="200"/>
        <w:spacing w:after="0" w:line="244" w:lineRule="auto"/>
        <w:rPr>
          <w:sz w:val="20"/>
          <w:szCs w:val="20"/>
          <w:color w:val="auto"/>
        </w:rPr>
      </w:pPr>
      <w:r>
        <w:rPr>
          <w:rFonts w:ascii="Arial" w:cs="Arial" w:eastAsia="Arial" w:hAnsi="Arial"/>
          <w:sz w:val="16"/>
          <w:szCs w:val="16"/>
          <w:color w:val="auto"/>
        </w:rPr>
        <w:t>We are writing to you as the independent members of the Huron board of directors. The board recognizes that the development of management succession plans and the oversight of the execution of those plans once enacted is one of its primary responsibilities. On March 21, 2022, the Company announced that C. Mark Hussey, Huron’s current President and Chief Operating Officer, will become Chief Executive Officer and President, effective January 1, 2023, following James H. Roth’s retirement from the role after a distinguished 20-year career with Huron, including having served 13 years as Chief Executive Officer. Mr. Roth will become Vice Chairman on Huron’s board of directors and continue in a non-executive capacity serving clients across industries and enhancing Huron’s market presence. This transition represents the successful culmination of a multi-year succession planning process designed to select the best leader to serve as Huron’s next CEO.</w:t>
      </w:r>
    </w:p>
    <w:p>
      <w:pPr>
        <w:spacing w:after="0" w:line="206" w:lineRule="exact"/>
        <w:rPr>
          <w:sz w:val="20"/>
          <w:szCs w:val="20"/>
          <w:color w:val="auto"/>
        </w:rPr>
      </w:pPr>
    </w:p>
    <w:p>
      <w:pPr>
        <w:jc w:val="both"/>
        <w:ind w:left="200"/>
        <w:spacing w:after="0" w:line="246" w:lineRule="auto"/>
        <w:rPr>
          <w:sz w:val="20"/>
          <w:szCs w:val="20"/>
          <w:color w:val="auto"/>
        </w:rPr>
      </w:pPr>
      <w:r>
        <w:rPr>
          <w:rFonts w:ascii="Arial" w:cs="Arial" w:eastAsia="Arial" w:hAnsi="Arial"/>
          <w:sz w:val="16"/>
          <w:szCs w:val="16"/>
          <w:color w:val="auto"/>
        </w:rPr>
        <w:t>Our board is confident that Mr. Hussey, together with the rest of the leadership team, will continue to deliver on Huron’s strategy and achieve its financial objectives of more consistent revenue growth and improved profitability. On behalf of the board, we want to share our deepest appreciation to Mr. Roth for his steadfast leadership and meaningful contributions to this company, skillfully navigating the firm through significant periods of disruption and transformation throughout his tenure.</w:t>
      </w:r>
    </w:p>
    <w:p>
      <w:pPr>
        <w:spacing w:after="0" w:line="203" w:lineRule="exact"/>
        <w:rPr>
          <w:sz w:val="20"/>
          <w:szCs w:val="20"/>
          <w:color w:val="auto"/>
        </w:rPr>
      </w:pPr>
    </w:p>
    <w:p>
      <w:pPr>
        <w:jc w:val="both"/>
        <w:ind w:left="200"/>
        <w:spacing w:after="0" w:line="248" w:lineRule="auto"/>
        <w:rPr>
          <w:sz w:val="20"/>
          <w:szCs w:val="20"/>
          <w:color w:val="auto"/>
        </w:rPr>
      </w:pPr>
      <w:r>
        <w:rPr>
          <w:rFonts w:ascii="Arial" w:cs="Arial" w:eastAsia="Arial" w:hAnsi="Arial"/>
          <w:sz w:val="16"/>
          <w:szCs w:val="16"/>
          <w:color w:val="auto"/>
        </w:rPr>
        <w:t>As fellow shareholders, we are committed to sustaining the alignment between Huron’s management compensation programs and the long-term interests of the Company and our shareholders. Additionally, we recognize the criticality of retaining our leadership team and ensuring that the leadership team is well-positioned to deliver on Huron’s strategy and value creation for our shareholders.</w:t>
      </w:r>
    </w:p>
    <w:p>
      <w:pPr>
        <w:spacing w:after="0" w:line="174" w:lineRule="exact"/>
        <w:rPr>
          <w:sz w:val="20"/>
          <w:szCs w:val="20"/>
          <w:color w:val="auto"/>
        </w:rPr>
      </w:pPr>
    </w:p>
    <w:p>
      <w:pPr>
        <w:jc w:val="both"/>
        <w:ind w:left="200"/>
        <w:spacing w:after="0" w:line="245" w:lineRule="auto"/>
        <w:rPr>
          <w:sz w:val="20"/>
          <w:szCs w:val="20"/>
          <w:color w:val="auto"/>
        </w:rPr>
      </w:pPr>
      <w:r>
        <w:rPr>
          <w:rFonts w:ascii="Arial" w:cs="Arial" w:eastAsia="Arial" w:hAnsi="Arial"/>
          <w:sz w:val="16"/>
          <w:szCs w:val="16"/>
          <w:color w:val="auto"/>
        </w:rPr>
        <w:t>As a professional services firm, our people are one of our greatest strategic advantages. In response to the COVID-19 pandemic in 2020, we believed that minimizing reductions in our workforce was in the best interest of our shareholders. We believed minimizing impact to our people would be critical in both supporting the growth anticipated when our clients’ businesses stabilized and sustaining our strong culture. The decisions we made to continue to invest in our people were validated by our strong financial performance in 2021. We continue to believe our efforts to retain our team, especially in this highly competitive labor market, will continue to benefit our clients and shareholders.</w:t>
      </w:r>
    </w:p>
    <w:p>
      <w:pPr>
        <w:spacing w:after="0" w:line="164" w:lineRule="exact"/>
        <w:rPr>
          <w:sz w:val="20"/>
          <w:szCs w:val="20"/>
          <w:color w:val="auto"/>
        </w:rPr>
      </w:pPr>
    </w:p>
    <w:p>
      <w:pPr>
        <w:jc w:val="both"/>
        <w:ind w:left="200"/>
        <w:spacing w:after="0" w:line="248" w:lineRule="auto"/>
        <w:rPr>
          <w:sz w:val="20"/>
          <w:szCs w:val="20"/>
          <w:color w:val="auto"/>
        </w:rPr>
      </w:pPr>
      <w:r>
        <w:rPr>
          <w:rFonts w:ascii="Arial" w:cs="Arial" w:eastAsia="Arial" w:hAnsi="Arial"/>
          <w:sz w:val="16"/>
          <w:szCs w:val="16"/>
          <w:color w:val="auto"/>
        </w:rPr>
        <w:t>Our focus on retention is inclusive of Huron’s named executive officers (NEOs). As outlined in more detail in the “Executive Compensation” section in this Proxy Statement, during 2020, the Compensation Committee maintained discipline in approaching NEO pay for fiscal year 2021 in order to align compensation programs with long-term shareholder value while appropriately incentivizing and retaining our leaders.</w:t>
      </w:r>
    </w:p>
    <w:p>
      <w:pPr>
        <w:spacing w:after="0" w:line="161" w:lineRule="exact"/>
        <w:rPr>
          <w:sz w:val="20"/>
          <w:szCs w:val="20"/>
          <w:color w:val="auto"/>
        </w:rPr>
      </w:pPr>
    </w:p>
    <w:p>
      <w:pPr>
        <w:jc w:val="both"/>
        <w:ind w:left="200"/>
        <w:spacing w:after="0" w:line="246" w:lineRule="auto"/>
        <w:rPr>
          <w:sz w:val="20"/>
          <w:szCs w:val="20"/>
          <w:color w:val="auto"/>
        </w:rPr>
      </w:pPr>
      <w:r>
        <w:rPr>
          <w:rFonts w:ascii="Arial" w:cs="Arial" w:eastAsia="Arial" w:hAnsi="Arial"/>
          <w:sz w:val="16"/>
          <w:szCs w:val="16"/>
          <w:color w:val="auto"/>
        </w:rPr>
        <w:t>The NEO pay programs for 2021 retained a primarily objective and substantially performance-based structure. We retained the financial metrics for NEOs and enhanced our Strategic Measures under the Annual Incentive Plan to incorporate ESG goals into our definition and assessment of performance. Seventy-five percent of our NEOs’ annual incentive opportunity for 2021 was tied to predefined full-year financial goals and approximately 90% of the total annual incentive opportunity was tied to metrics that use predefined quantitative goals and performance assessment.</w:t>
      </w:r>
    </w:p>
    <w:p>
      <w:pPr>
        <w:spacing w:after="0" w:line="176" w:lineRule="exact"/>
        <w:rPr>
          <w:sz w:val="20"/>
          <w:szCs w:val="20"/>
          <w:color w:val="auto"/>
        </w:rPr>
      </w:pPr>
    </w:p>
    <w:p>
      <w:pPr>
        <w:jc w:val="both"/>
        <w:ind w:left="200"/>
        <w:spacing w:after="0" w:line="244" w:lineRule="auto"/>
        <w:rPr>
          <w:sz w:val="20"/>
          <w:szCs w:val="20"/>
          <w:color w:val="auto"/>
        </w:rPr>
      </w:pPr>
      <w:r>
        <w:rPr>
          <w:rFonts w:ascii="Arial" w:cs="Arial" w:eastAsia="Arial" w:hAnsi="Arial"/>
          <w:sz w:val="16"/>
          <w:szCs w:val="16"/>
          <w:color w:val="auto"/>
        </w:rPr>
        <w:t>The Compensation Committee also maintained the performance-based orientation of our NEO Long-Term Incentive Plan design. To reflect the ongoing uncertainty presented by the COVID-19 pandemic in 2021, the Compensation Committee approved two temporary modifications to the NEO Long-Term Incentive Plan: 1) 60% of the long-term incentive award opportunity was granted in the form of performance-based units (PSUs) and 40% was granted in the form of restricted share awards (RSAs), and 2) while retaining three-year vesting and performance periods, set annual goals for the Adjusted Diluted EPS and Revenue Growth objectives, with final performance and vesting results incorporating a three-year Revenue Growth goal. For 2022, we have reverted to delivering the long-term incentive award 70% in the form of PSUs and 30% in the form of restricted stock units (RSUs) and utilizing cumulative three-year performance objectives for Adjusted Diluted EPS and Revenue Growth.</w:t>
      </w:r>
    </w:p>
    <w:p>
      <w:pPr>
        <w:sectPr>
          <w:pgSz w:w="11900" w:h="16838" w:orient="portrait"/>
          <w:cols w:equalWidth="0" w:num="1">
            <w:col w:w="11040"/>
          </w:cols>
          <w:pgMar w:left="320" w:top="454" w:right="5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200"/>
        <w:spacing w:after="0" w:line="244" w:lineRule="auto"/>
        <w:rPr>
          <w:sz w:val="20"/>
          <w:szCs w:val="20"/>
          <w:color w:val="auto"/>
        </w:rPr>
      </w:pPr>
      <w:r>
        <w:rPr>
          <w:rFonts w:ascii="Arial" w:cs="Arial" w:eastAsia="Arial" w:hAnsi="Arial"/>
          <w:sz w:val="16"/>
          <w:szCs w:val="16"/>
          <w:color w:val="auto"/>
        </w:rPr>
        <w:t>After making no adjustments to the outstanding incentives in 2020 to address the very negative impact of the pandemic on multi-year performance cycles, the Compensation Committee awarded an additional compensation opportunity to our NEOs through cash retention agreements. These agreements provide for cash payments to each NEO if they remain employed over the three-year period ending March 1, 2024. The Compensation Committee viewed these awards as critical to ensure the NEOs continued leadership, specifically over the next few years as the Company emerges from the challenges presented by the pandemic, and is imperative as this executive team is uniquely positioned to drive the Company forward to identify growth opportunities and support our clients’ evolving needs. The Compensation Committee approved the payment of the awards in cash rather than equity, to align with our ongoing efforts to minimize dilution and manage our burn rate. These cash retention agreements were approved in response to extremely unique circumstances in 2021 stemming from the COVID-19 pandemic, and we do not intend to provide any cash-based retention awards to our NEOs in the future.</w:t>
      </w:r>
    </w:p>
    <w:p>
      <w:pPr>
        <w:spacing w:after="0" w:line="178" w:lineRule="exact"/>
        <w:rPr>
          <w:sz w:val="20"/>
          <w:szCs w:val="20"/>
          <w:color w:val="auto"/>
        </w:rPr>
      </w:pPr>
    </w:p>
    <w:p>
      <w:pPr>
        <w:jc w:val="both"/>
        <w:ind w:left="200"/>
        <w:spacing w:after="0" w:line="245" w:lineRule="auto"/>
        <w:rPr>
          <w:sz w:val="20"/>
          <w:szCs w:val="20"/>
          <w:color w:val="auto"/>
        </w:rPr>
      </w:pPr>
      <w:r>
        <w:rPr>
          <w:rFonts w:ascii="Arial" w:cs="Arial" w:eastAsia="Arial" w:hAnsi="Arial"/>
          <w:sz w:val="16"/>
          <w:szCs w:val="16"/>
          <w:color w:val="auto"/>
        </w:rPr>
        <w:t>Throughout 2021, we engaged with shareholders and other key constituents as part of our ongoing outreach efforts. These conversations focused on the evolution of the Company’s strategy and the impacts of the global pandemic; our compensation philosophy; our ongoing refresh process for the board of directors, including how we will continue to foster diversity among board members; and environmental, social and governance matters. For additional information on Huron’s commitment to a more sustainable future, refer to our annual Environmental, Social and Governance report, which includes our Sustainability Accounting Standards Board (SASB) index, and is available on the investor relations section of our website at: https://ir.huronconsultinggroup.com.</w:t>
      </w:r>
    </w:p>
    <w:p>
      <w:pPr>
        <w:spacing w:after="0" w:line="163" w:lineRule="exact"/>
        <w:rPr>
          <w:sz w:val="20"/>
          <w:szCs w:val="20"/>
          <w:color w:val="auto"/>
        </w:rPr>
      </w:pPr>
    </w:p>
    <w:p>
      <w:pPr>
        <w:jc w:val="both"/>
        <w:ind w:left="200"/>
        <w:spacing w:after="0" w:line="248" w:lineRule="auto"/>
        <w:rPr>
          <w:sz w:val="20"/>
          <w:szCs w:val="20"/>
          <w:color w:val="auto"/>
        </w:rPr>
      </w:pPr>
      <w:r>
        <w:rPr>
          <w:rFonts w:ascii="Arial" w:cs="Arial" w:eastAsia="Arial" w:hAnsi="Arial"/>
          <w:sz w:val="16"/>
          <w:szCs w:val="16"/>
          <w:color w:val="auto"/>
        </w:rPr>
        <w:t>Our non-executive Chairman and the chair of the Compensation Committee were made available for consultation with our major shareholders. The feedback received through our shareholder outreach efforts is communicated to and considered by the full board of directors and, where appropriate, informs our decisions and strategy.</w:t>
      </w:r>
    </w:p>
    <w:p>
      <w:pPr>
        <w:spacing w:after="0" w:line="161" w:lineRule="exact"/>
        <w:rPr>
          <w:sz w:val="20"/>
          <w:szCs w:val="20"/>
          <w:color w:val="auto"/>
        </w:rPr>
      </w:pPr>
    </w:p>
    <w:p>
      <w:pPr>
        <w:jc w:val="both"/>
        <w:ind w:left="200"/>
        <w:spacing w:after="0" w:line="248" w:lineRule="auto"/>
        <w:rPr>
          <w:sz w:val="20"/>
          <w:szCs w:val="20"/>
          <w:color w:val="auto"/>
        </w:rPr>
      </w:pPr>
      <w:r>
        <w:rPr>
          <w:rFonts w:ascii="Arial" w:cs="Arial" w:eastAsia="Arial" w:hAnsi="Arial"/>
          <w:sz w:val="16"/>
          <w:szCs w:val="16"/>
          <w:color w:val="auto"/>
        </w:rPr>
        <w:t>At the 2021 Annual Meeting, approximately 91% of votes cast were in support of the named executive officer compensation. We view this strong support of our compensation programs as a reflection of the deep alignment between our executives’ pay and shareholder value, as well as the Compensation Committee and board’s stewardship of our people and compensation strategies during 2020 and early 2021.</w:t>
      </w:r>
    </w:p>
    <w:p>
      <w:pPr>
        <w:spacing w:after="0" w:line="174" w:lineRule="exact"/>
        <w:rPr>
          <w:sz w:val="20"/>
          <w:szCs w:val="20"/>
          <w:color w:val="auto"/>
        </w:rPr>
      </w:pPr>
    </w:p>
    <w:p>
      <w:pPr>
        <w:jc w:val="both"/>
        <w:ind w:left="200"/>
        <w:spacing w:after="0" w:line="248" w:lineRule="auto"/>
        <w:rPr>
          <w:sz w:val="20"/>
          <w:szCs w:val="20"/>
          <w:color w:val="auto"/>
        </w:rPr>
      </w:pPr>
      <w:r>
        <w:rPr>
          <w:rFonts w:ascii="Arial" w:cs="Arial" w:eastAsia="Arial" w:hAnsi="Arial"/>
          <w:sz w:val="16"/>
          <w:szCs w:val="16"/>
          <w:color w:val="auto"/>
        </w:rPr>
        <w:t>Our Say on Pay Proposal is found in Proposal 2 of this Proxy Statement, and the board recommends that you vote ‘FOR’ this proposal. We also invite you to consider additional information on our compensation philosophy and decisions in the section entitled “Executive Compensation” in this Proxy Statement.</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624840</wp:posOffset>
            </wp:positionV>
            <wp:extent cx="6889750" cy="3797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89750" cy="379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060"/>
        <w:spacing w:after="0"/>
        <w:tabs>
          <w:tab w:leader="none" w:pos="4740" w:val="left"/>
          <w:tab w:leader="none" w:pos="8600" w:val="left"/>
        </w:tabs>
        <w:rPr>
          <w:sz w:val="20"/>
          <w:szCs w:val="20"/>
          <w:color w:val="auto"/>
        </w:rPr>
      </w:pPr>
      <w:r>
        <w:rPr>
          <w:rFonts w:ascii="Arial" w:cs="Arial" w:eastAsia="Arial" w:hAnsi="Arial"/>
          <w:sz w:val="16"/>
          <w:szCs w:val="16"/>
          <w:color w:val="auto"/>
        </w:rPr>
        <w:t>H. Eugene Lockhart</w:t>
      </w:r>
      <w:r>
        <w:rPr>
          <w:sz w:val="20"/>
          <w:szCs w:val="20"/>
          <w:color w:val="auto"/>
        </w:rPr>
        <w:tab/>
      </w:r>
      <w:r>
        <w:rPr>
          <w:rFonts w:ascii="Arial" w:cs="Arial" w:eastAsia="Arial" w:hAnsi="Arial"/>
          <w:sz w:val="16"/>
          <w:szCs w:val="16"/>
          <w:color w:val="auto"/>
        </w:rPr>
        <w:t>Hugh E. Sawyer</w:t>
      </w:r>
      <w:r>
        <w:rPr>
          <w:sz w:val="20"/>
          <w:szCs w:val="20"/>
          <w:color w:val="auto"/>
        </w:rPr>
        <w:tab/>
      </w:r>
      <w:r>
        <w:rPr>
          <w:rFonts w:ascii="Arial" w:cs="Arial" w:eastAsia="Arial" w:hAnsi="Arial"/>
          <w:sz w:val="15"/>
          <w:szCs w:val="15"/>
          <w:color w:val="auto"/>
        </w:rPr>
        <w:t>John McCartney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624840</wp:posOffset>
            </wp:positionV>
            <wp:extent cx="6889750" cy="4559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89750" cy="455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100"/>
        <w:spacing w:after="0"/>
        <w:tabs>
          <w:tab w:leader="none" w:pos="4680" w:val="left"/>
          <w:tab w:leader="none" w:pos="8620" w:val="left"/>
        </w:tabs>
        <w:rPr>
          <w:sz w:val="20"/>
          <w:szCs w:val="20"/>
          <w:color w:val="auto"/>
        </w:rPr>
      </w:pPr>
      <w:r>
        <w:rPr>
          <w:rFonts w:ascii="Arial" w:cs="Arial" w:eastAsia="Arial" w:hAnsi="Arial"/>
          <w:sz w:val="16"/>
          <w:szCs w:val="16"/>
          <w:color w:val="auto"/>
        </w:rPr>
        <w:t>Ekta Singh-Bushell</w:t>
      </w:r>
      <w:r>
        <w:rPr>
          <w:sz w:val="20"/>
          <w:szCs w:val="20"/>
          <w:color w:val="auto"/>
        </w:rPr>
        <w:tab/>
      </w:r>
      <w:r>
        <w:rPr>
          <w:rFonts w:ascii="Arial" w:cs="Arial" w:eastAsia="Arial" w:hAnsi="Arial"/>
          <w:sz w:val="16"/>
          <w:szCs w:val="16"/>
          <w:color w:val="auto"/>
        </w:rPr>
        <w:t>Debra L. Zumwalt</w:t>
      </w:r>
      <w:r>
        <w:rPr>
          <w:sz w:val="20"/>
          <w:szCs w:val="20"/>
          <w:color w:val="auto"/>
        </w:rPr>
        <w:tab/>
      </w:r>
      <w:r>
        <w:rPr>
          <w:rFonts w:ascii="Arial" w:cs="Arial" w:eastAsia="Arial" w:hAnsi="Arial"/>
          <w:sz w:val="16"/>
          <w:szCs w:val="16"/>
          <w:color w:val="auto"/>
        </w:rPr>
        <w:t>Peter K. Markell</w:t>
      </w:r>
    </w:p>
    <w:p>
      <w:pPr>
        <w:sectPr>
          <w:pgSz w:w="11900" w:h="16838" w:orient="portrait"/>
          <w:cols w:equalWidth="0" w:num="1">
            <w:col w:w="11040"/>
          </w:cols>
          <w:pgMar w:left="320" w:top="454" w:right="5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4" w:lineRule="exact"/>
        <w:rPr>
          <w:sz w:val="20"/>
          <w:szCs w:val="20"/>
          <w:color w:val="auto"/>
        </w:rPr>
      </w:pPr>
    </w:p>
    <w:p>
      <w:pPr>
        <w:ind w:left="200"/>
        <w:spacing w:after="0"/>
        <w:rPr>
          <w:sz w:val="20"/>
          <w:szCs w:val="20"/>
          <w:color w:val="auto"/>
        </w:rPr>
      </w:pPr>
      <w:r>
        <w:rPr>
          <w:rFonts w:ascii="Arial" w:cs="Arial" w:eastAsia="Arial" w:hAnsi="Arial"/>
          <w:sz w:val="21"/>
          <w:szCs w:val="21"/>
          <w:b w:val="1"/>
          <w:bCs w:val="1"/>
          <w:color w:val="00548B"/>
        </w:rPr>
        <w:t>TABLE OF CONTENTS</w:t>
      </w:r>
    </w:p>
    <w:p>
      <w:pPr>
        <w:spacing w:after="0" w:line="200" w:lineRule="exact"/>
        <w:rPr>
          <w:sz w:val="20"/>
          <w:szCs w:val="20"/>
          <w:color w:val="auto"/>
        </w:rPr>
      </w:pPr>
    </w:p>
    <w:p>
      <w:pPr>
        <w:spacing w:after="0" w:line="208"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10200" w:type="dxa"/>
            <w:vAlign w:val="bottom"/>
            <w:gridSpan w:val="3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GENERAL INFORMATION ABOUT THE MEETING</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80" w:type="dxa"/>
            <w:vAlign w:val="bottom"/>
            <w:tcBorders>
              <w:top w:val="single" w:sz="8" w:color="0000EE"/>
              <w:bottom w:val="single" w:sz="8" w:color="00548B"/>
            </w:tcBorders>
          </w:tcPr>
          <w:p>
            <w:pPr>
              <w:spacing w:after="0" w:line="20" w:lineRule="exact"/>
              <w:rPr>
                <w:sz w:val="1"/>
                <w:szCs w:val="1"/>
                <w:color w:val="auto"/>
              </w:rPr>
            </w:pPr>
          </w:p>
        </w:tc>
        <w:tc>
          <w:tcPr>
            <w:tcW w:w="128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340" w:type="dxa"/>
            <w:vAlign w:val="bottom"/>
            <w:tcBorders>
              <w:top w:val="single" w:sz="8" w:color="0000EE"/>
              <w:bottom w:val="single" w:sz="8" w:color="00548B"/>
            </w:tcBorders>
          </w:tcPr>
          <w:p>
            <w:pPr>
              <w:spacing w:after="0" w:line="20" w:lineRule="exact"/>
              <w:rPr>
                <w:sz w:val="1"/>
                <w:szCs w:val="1"/>
                <w:color w:val="auto"/>
              </w:rPr>
            </w:pPr>
          </w:p>
        </w:tc>
        <w:tc>
          <w:tcPr>
            <w:tcW w:w="24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12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80" w:type="dxa"/>
            <w:vAlign w:val="bottom"/>
            <w:tcBorders>
              <w:top w:val="single" w:sz="8" w:color="0000EE"/>
              <w:bottom w:val="single" w:sz="8" w:color="00548B"/>
            </w:tcBorders>
          </w:tcPr>
          <w:p>
            <w:pPr>
              <w:spacing w:after="0" w:line="20" w:lineRule="exact"/>
              <w:rPr>
                <w:sz w:val="1"/>
                <w:szCs w:val="1"/>
                <w:color w:val="auto"/>
              </w:rPr>
            </w:pPr>
          </w:p>
        </w:tc>
        <w:tc>
          <w:tcPr>
            <w:tcW w:w="8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6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24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14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36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200" w:type="dxa"/>
            <w:vAlign w:val="bottom"/>
            <w:tcBorders>
              <w:bottom w:val="single" w:sz="8" w:color="00548B"/>
            </w:tcBorders>
          </w:tcPr>
          <w:p>
            <w:pPr>
              <w:spacing w:after="0" w:line="20" w:lineRule="exact"/>
              <w:rPr>
                <w:sz w:val="1"/>
                <w:szCs w:val="1"/>
                <w:color w:val="auto"/>
              </w:rPr>
            </w:pPr>
          </w:p>
        </w:tc>
        <w:tc>
          <w:tcPr>
            <w:tcW w:w="560" w:type="dxa"/>
            <w:vAlign w:val="bottom"/>
            <w:tcBorders>
              <w:bottom w:val="single" w:sz="8" w:color="00548B"/>
            </w:tcBorders>
          </w:tcPr>
          <w:p>
            <w:pPr>
              <w:spacing w:after="0" w:line="20" w:lineRule="exact"/>
              <w:rPr>
                <w:sz w:val="1"/>
                <w:szCs w:val="1"/>
                <w:color w:val="auto"/>
              </w:rPr>
            </w:pPr>
          </w:p>
        </w:tc>
        <w:tc>
          <w:tcPr>
            <w:tcW w:w="180" w:type="dxa"/>
            <w:vAlign w:val="bottom"/>
            <w:tcBorders>
              <w:bottom w:val="single" w:sz="8" w:color="00548B"/>
            </w:tcBorders>
          </w:tcPr>
          <w:p>
            <w:pPr>
              <w:spacing w:after="0" w:line="20" w:lineRule="exact"/>
              <w:rPr>
                <w:sz w:val="1"/>
                <w:szCs w:val="1"/>
                <w:color w:val="auto"/>
              </w:rPr>
            </w:pPr>
          </w:p>
        </w:tc>
        <w:tc>
          <w:tcPr>
            <w:tcW w:w="16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2820" w:type="dxa"/>
            <w:vAlign w:val="bottom"/>
            <w:tcBorders>
              <w:bottom w:val="single" w:sz="8" w:color="00548B"/>
            </w:tcBorders>
          </w:tcPr>
          <w:p>
            <w:pPr>
              <w:spacing w:after="0" w:line="20" w:lineRule="exact"/>
              <w:rPr>
                <w:sz w:val="1"/>
                <w:szCs w:val="1"/>
                <w:color w:val="auto"/>
              </w:rPr>
            </w:pPr>
          </w:p>
        </w:tc>
        <w:tc>
          <w:tcPr>
            <w:tcW w:w="1400" w:type="dxa"/>
            <w:vAlign w:val="bottom"/>
            <w:tcBorders>
              <w:bottom w:val="single" w:sz="8" w:color="00548B"/>
            </w:tcBorders>
          </w:tcPr>
          <w:p>
            <w:pPr>
              <w:spacing w:after="0" w:line="20" w:lineRule="exact"/>
              <w:rPr>
                <w:sz w:val="1"/>
                <w:szCs w:val="1"/>
                <w:color w:val="auto"/>
              </w:rPr>
            </w:pPr>
          </w:p>
        </w:tc>
        <w:tc>
          <w:tcPr>
            <w:tcW w:w="360" w:type="dxa"/>
            <w:vAlign w:val="bottom"/>
            <w:tcBorders>
              <w:bottom w:val="single" w:sz="8" w:color="00548B"/>
            </w:tcBorders>
          </w:tcPr>
          <w:p>
            <w:pPr>
              <w:spacing w:after="0" w:line="20" w:lineRule="exact"/>
              <w:rPr>
                <w:sz w:val="1"/>
                <w:szCs w:val="1"/>
                <w:color w:val="auto"/>
              </w:rPr>
            </w:pPr>
          </w:p>
        </w:tc>
        <w:tc>
          <w:tcPr>
            <w:tcW w:w="380" w:type="dxa"/>
            <w:vAlign w:val="bottom"/>
            <w:tcBorders>
              <w:bottom w:val="single" w:sz="8" w:color="00548B"/>
            </w:tcBorders>
          </w:tcPr>
          <w:p>
            <w:pPr>
              <w:spacing w:after="0" w:line="20" w:lineRule="exact"/>
              <w:rPr>
                <w:sz w:val="1"/>
                <w:szCs w:val="1"/>
                <w:color w:val="auto"/>
              </w:rPr>
            </w:pPr>
          </w:p>
        </w:tc>
        <w:tc>
          <w:tcPr>
            <w:tcW w:w="660" w:type="dxa"/>
            <w:vAlign w:val="bottom"/>
            <w:tcBorders>
              <w:bottom w:val="single" w:sz="8" w:color="00548B"/>
            </w:tcBorders>
          </w:tcPr>
          <w:p>
            <w:pPr>
              <w:spacing w:after="0" w:line="20" w:lineRule="exact"/>
              <w:rPr>
                <w:sz w:val="1"/>
                <w:szCs w:val="1"/>
                <w:color w:val="auto"/>
              </w:rPr>
            </w:pPr>
          </w:p>
        </w:tc>
      </w:tr>
      <w:tr>
        <w:trPr>
          <w:trHeight w:val="153"/>
        </w:trPr>
        <w:tc>
          <w:tcPr>
            <w:tcW w:w="180" w:type="dxa"/>
            <w:vAlign w:val="bottom"/>
          </w:tcPr>
          <w:p>
            <w:pPr>
              <w:spacing w:after="0"/>
              <w:rPr>
                <w:sz w:val="13"/>
                <w:szCs w:val="13"/>
                <w:color w:val="auto"/>
              </w:rPr>
            </w:pPr>
          </w:p>
        </w:tc>
        <w:tc>
          <w:tcPr>
            <w:tcW w:w="2680" w:type="dxa"/>
            <w:vAlign w:val="bottom"/>
            <w:tcBorders>
              <w:bottom w:val="single" w:sz="8" w:color="0000EE"/>
            </w:tcBorders>
            <w:gridSpan w:val="16"/>
          </w:tcPr>
          <w:p>
            <w:pPr>
              <w:spacing w:after="0" w:line="153" w:lineRule="exact"/>
              <w:rPr>
                <w:rFonts w:ascii="Arial" w:cs="Arial" w:eastAsia="Arial" w:hAnsi="Arial"/>
                <w:sz w:val="17"/>
                <w:szCs w:val="17"/>
                <w:color w:val="0000EE"/>
              </w:rPr>
            </w:pPr>
            <w:hyperlink w:anchor="page6">
              <w:r>
                <w:rPr>
                  <w:rFonts w:ascii="Arial" w:cs="Arial" w:eastAsia="Arial" w:hAnsi="Arial"/>
                  <w:sz w:val="17"/>
                  <w:szCs w:val="17"/>
                  <w:color w:val="0000EE"/>
                </w:rPr>
                <w:t>Quorum and Voting Requirements</w:t>
              </w:r>
            </w:hyperlink>
          </w:p>
        </w:tc>
        <w:tc>
          <w:tcPr>
            <w:tcW w:w="7340" w:type="dxa"/>
            <w:vAlign w:val="bottom"/>
            <w:gridSpan w:val="20"/>
          </w:tcPr>
          <w:p>
            <w:pPr>
              <w:spacing w:after="0"/>
              <w:rPr>
                <w:sz w:val="13"/>
                <w:szCs w:val="13"/>
                <w:color w:val="auto"/>
              </w:rPr>
            </w:pPr>
          </w:p>
        </w:tc>
        <w:tc>
          <w:tcPr>
            <w:tcW w:w="660" w:type="dxa"/>
            <w:vAlign w:val="bottom"/>
          </w:tcPr>
          <w:p>
            <w:pPr>
              <w:jc w:val="right"/>
              <w:spacing w:after="0" w:line="153" w:lineRule="exact"/>
              <w:rPr>
                <w:sz w:val="20"/>
                <w:szCs w:val="20"/>
                <w:color w:val="auto"/>
              </w:rPr>
            </w:pPr>
            <w:r>
              <w:rPr>
                <w:rFonts w:ascii="Arial" w:cs="Arial" w:eastAsia="Arial" w:hAnsi="Arial"/>
                <w:sz w:val="17"/>
                <w:szCs w:val="17"/>
                <w:color w:val="auto"/>
              </w:rPr>
              <w:t>1</w:t>
            </w:r>
          </w:p>
        </w:tc>
      </w:tr>
      <w:tr>
        <w:trPr>
          <w:trHeight w:val="286"/>
        </w:trPr>
        <w:tc>
          <w:tcPr>
            <w:tcW w:w="10200" w:type="dxa"/>
            <w:vAlign w:val="bottom"/>
            <w:gridSpan w:val="3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PROPOSAL 1 - ELECTION OF DIRECTORS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180" w:type="dxa"/>
            <w:vAlign w:val="bottom"/>
            <w:tcBorders>
              <w:top w:val="single" w:sz="8" w:color="0000EE"/>
              <w:bottom w:val="single" w:sz="8" w:color="00548B"/>
            </w:tcBorders>
          </w:tcPr>
          <w:p>
            <w:pPr>
              <w:spacing w:after="0" w:line="20" w:lineRule="exact"/>
              <w:rPr>
                <w:sz w:val="1"/>
                <w:szCs w:val="1"/>
                <w:color w:val="auto"/>
              </w:rPr>
            </w:pPr>
          </w:p>
        </w:tc>
        <w:tc>
          <w:tcPr>
            <w:tcW w:w="128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340" w:type="dxa"/>
            <w:vAlign w:val="bottom"/>
            <w:tcBorders>
              <w:top w:val="single" w:sz="8" w:color="0000EE"/>
              <w:bottom w:val="single" w:sz="8" w:color="00548B"/>
            </w:tcBorders>
          </w:tcPr>
          <w:p>
            <w:pPr>
              <w:spacing w:after="0" w:line="20" w:lineRule="exact"/>
              <w:rPr>
                <w:sz w:val="1"/>
                <w:szCs w:val="1"/>
                <w:color w:val="auto"/>
              </w:rPr>
            </w:pPr>
          </w:p>
        </w:tc>
        <w:tc>
          <w:tcPr>
            <w:tcW w:w="24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12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80" w:type="dxa"/>
            <w:vAlign w:val="bottom"/>
            <w:tcBorders>
              <w:top w:val="single" w:sz="8" w:color="0000EE"/>
              <w:bottom w:val="single" w:sz="8" w:color="00548B"/>
            </w:tcBorders>
          </w:tcPr>
          <w:p>
            <w:pPr>
              <w:spacing w:after="0" w:line="20" w:lineRule="exact"/>
              <w:rPr>
                <w:sz w:val="1"/>
                <w:szCs w:val="1"/>
                <w:color w:val="auto"/>
              </w:rPr>
            </w:pPr>
          </w:p>
        </w:tc>
        <w:tc>
          <w:tcPr>
            <w:tcW w:w="8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6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24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14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360" w:type="dxa"/>
            <w:vAlign w:val="bottom"/>
            <w:tcBorders>
              <w:bottom w:val="single" w:sz="8" w:color="00548B"/>
            </w:tcBorders>
          </w:tcPr>
          <w:p>
            <w:pPr>
              <w:spacing w:after="0" w:line="20" w:lineRule="exact"/>
              <w:rPr>
                <w:sz w:val="1"/>
                <w:szCs w:val="1"/>
                <w:color w:val="auto"/>
              </w:rPr>
            </w:pPr>
          </w:p>
        </w:tc>
        <w:tc>
          <w:tcPr>
            <w:tcW w:w="2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200" w:type="dxa"/>
            <w:vAlign w:val="bottom"/>
            <w:tcBorders>
              <w:bottom w:val="single" w:sz="8" w:color="00548B"/>
            </w:tcBorders>
          </w:tcPr>
          <w:p>
            <w:pPr>
              <w:spacing w:after="0" w:line="20" w:lineRule="exact"/>
              <w:rPr>
                <w:sz w:val="1"/>
                <w:szCs w:val="1"/>
                <w:color w:val="auto"/>
              </w:rPr>
            </w:pPr>
          </w:p>
        </w:tc>
        <w:tc>
          <w:tcPr>
            <w:tcW w:w="560" w:type="dxa"/>
            <w:vAlign w:val="bottom"/>
            <w:tcBorders>
              <w:bottom w:val="single" w:sz="8" w:color="00548B"/>
            </w:tcBorders>
          </w:tcPr>
          <w:p>
            <w:pPr>
              <w:spacing w:after="0" w:line="20" w:lineRule="exact"/>
              <w:rPr>
                <w:sz w:val="1"/>
                <w:szCs w:val="1"/>
                <w:color w:val="auto"/>
              </w:rPr>
            </w:pPr>
          </w:p>
        </w:tc>
        <w:tc>
          <w:tcPr>
            <w:tcW w:w="180" w:type="dxa"/>
            <w:vAlign w:val="bottom"/>
            <w:tcBorders>
              <w:bottom w:val="single" w:sz="8" w:color="00548B"/>
            </w:tcBorders>
          </w:tcPr>
          <w:p>
            <w:pPr>
              <w:spacing w:after="0" w:line="20" w:lineRule="exact"/>
              <w:rPr>
                <w:sz w:val="1"/>
                <w:szCs w:val="1"/>
                <w:color w:val="auto"/>
              </w:rPr>
            </w:pPr>
          </w:p>
        </w:tc>
        <w:tc>
          <w:tcPr>
            <w:tcW w:w="16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2820" w:type="dxa"/>
            <w:vAlign w:val="bottom"/>
            <w:tcBorders>
              <w:bottom w:val="single" w:sz="8" w:color="00548B"/>
            </w:tcBorders>
          </w:tcPr>
          <w:p>
            <w:pPr>
              <w:spacing w:after="0" w:line="20" w:lineRule="exact"/>
              <w:rPr>
                <w:sz w:val="1"/>
                <w:szCs w:val="1"/>
                <w:color w:val="auto"/>
              </w:rPr>
            </w:pPr>
          </w:p>
        </w:tc>
        <w:tc>
          <w:tcPr>
            <w:tcW w:w="1400" w:type="dxa"/>
            <w:vAlign w:val="bottom"/>
            <w:tcBorders>
              <w:bottom w:val="single" w:sz="8" w:color="00548B"/>
            </w:tcBorders>
          </w:tcPr>
          <w:p>
            <w:pPr>
              <w:spacing w:after="0" w:line="20" w:lineRule="exact"/>
              <w:rPr>
                <w:sz w:val="1"/>
                <w:szCs w:val="1"/>
                <w:color w:val="auto"/>
              </w:rPr>
            </w:pPr>
          </w:p>
        </w:tc>
        <w:tc>
          <w:tcPr>
            <w:tcW w:w="360" w:type="dxa"/>
            <w:vAlign w:val="bottom"/>
            <w:tcBorders>
              <w:bottom w:val="single" w:sz="8" w:color="00548B"/>
            </w:tcBorders>
          </w:tcPr>
          <w:p>
            <w:pPr>
              <w:spacing w:after="0" w:line="20" w:lineRule="exact"/>
              <w:rPr>
                <w:sz w:val="1"/>
                <w:szCs w:val="1"/>
                <w:color w:val="auto"/>
              </w:rPr>
            </w:pPr>
          </w:p>
        </w:tc>
        <w:tc>
          <w:tcPr>
            <w:tcW w:w="380" w:type="dxa"/>
            <w:vAlign w:val="bottom"/>
            <w:tcBorders>
              <w:bottom w:val="single" w:sz="8" w:color="00548B"/>
            </w:tcBorders>
          </w:tcPr>
          <w:p>
            <w:pPr>
              <w:spacing w:after="0" w:line="20" w:lineRule="exact"/>
              <w:rPr>
                <w:sz w:val="1"/>
                <w:szCs w:val="1"/>
                <w:color w:val="auto"/>
              </w:rPr>
            </w:pPr>
          </w:p>
        </w:tc>
        <w:tc>
          <w:tcPr>
            <w:tcW w:w="660" w:type="dxa"/>
            <w:vAlign w:val="bottom"/>
            <w:tcBorders>
              <w:bottom w:val="single" w:sz="8" w:color="00548B"/>
            </w:tcBorders>
          </w:tcPr>
          <w:p>
            <w:pPr>
              <w:spacing w:after="0" w:line="20" w:lineRule="exact"/>
              <w:rPr>
                <w:sz w:val="1"/>
                <w:szCs w:val="1"/>
                <w:color w:val="auto"/>
              </w:rPr>
            </w:pPr>
          </w:p>
        </w:tc>
      </w:tr>
      <w:tr>
        <w:trPr>
          <w:trHeight w:val="153"/>
        </w:trPr>
        <w:tc>
          <w:tcPr>
            <w:tcW w:w="180" w:type="dxa"/>
            <w:vAlign w:val="bottom"/>
          </w:tcPr>
          <w:p>
            <w:pPr>
              <w:spacing w:after="0"/>
              <w:rPr>
                <w:sz w:val="13"/>
                <w:szCs w:val="13"/>
                <w:color w:val="auto"/>
              </w:rPr>
            </w:pPr>
          </w:p>
        </w:tc>
        <w:tc>
          <w:tcPr>
            <w:tcW w:w="1440" w:type="dxa"/>
            <w:vAlign w:val="bottom"/>
            <w:tcBorders>
              <w:bottom w:val="single" w:sz="8" w:color="0000EE"/>
            </w:tcBorders>
            <w:gridSpan w:val="4"/>
          </w:tcPr>
          <w:p>
            <w:pPr>
              <w:spacing w:after="0" w:line="153" w:lineRule="exact"/>
              <w:rPr>
                <w:rFonts w:ascii="Arial" w:cs="Arial" w:eastAsia="Arial" w:hAnsi="Arial"/>
                <w:sz w:val="17"/>
                <w:szCs w:val="17"/>
                <w:color w:val="0000EE"/>
              </w:rPr>
            </w:pPr>
            <w:hyperlink w:anchor="page7">
              <w:r>
                <w:rPr>
                  <w:rFonts w:ascii="Arial" w:cs="Arial" w:eastAsia="Arial" w:hAnsi="Arial"/>
                  <w:sz w:val="17"/>
                  <w:szCs w:val="17"/>
                  <w:color w:val="0000EE"/>
                </w:rPr>
                <w:t>Board of Directors</w:t>
              </w:r>
            </w:hyperlink>
          </w:p>
        </w:tc>
        <w:tc>
          <w:tcPr>
            <w:tcW w:w="8580" w:type="dxa"/>
            <w:vAlign w:val="bottom"/>
            <w:gridSpan w:val="32"/>
          </w:tcPr>
          <w:p>
            <w:pPr>
              <w:spacing w:after="0"/>
              <w:rPr>
                <w:sz w:val="13"/>
                <w:szCs w:val="13"/>
                <w:color w:val="auto"/>
              </w:rPr>
            </w:pPr>
          </w:p>
        </w:tc>
        <w:tc>
          <w:tcPr>
            <w:tcW w:w="660" w:type="dxa"/>
            <w:vAlign w:val="bottom"/>
          </w:tcPr>
          <w:p>
            <w:pPr>
              <w:jc w:val="right"/>
              <w:spacing w:after="0" w:line="153" w:lineRule="exact"/>
              <w:rPr>
                <w:sz w:val="20"/>
                <w:szCs w:val="20"/>
                <w:color w:val="auto"/>
              </w:rPr>
            </w:pPr>
            <w:r>
              <w:rPr>
                <w:rFonts w:ascii="Arial" w:cs="Arial" w:eastAsia="Arial" w:hAnsi="Arial"/>
                <w:sz w:val="17"/>
                <w:szCs w:val="17"/>
                <w:color w:val="auto"/>
              </w:rPr>
              <w:t>2</w:t>
            </w:r>
          </w:p>
        </w:tc>
      </w:tr>
      <w:tr>
        <w:trPr>
          <w:trHeight w:val="179"/>
        </w:trPr>
        <w:tc>
          <w:tcPr>
            <w:tcW w:w="180" w:type="dxa"/>
            <w:vAlign w:val="bottom"/>
          </w:tcPr>
          <w:p>
            <w:pPr>
              <w:spacing w:after="0"/>
              <w:rPr>
                <w:sz w:val="15"/>
                <w:szCs w:val="15"/>
                <w:color w:val="auto"/>
              </w:rPr>
            </w:pPr>
          </w:p>
        </w:tc>
        <w:tc>
          <w:tcPr>
            <w:tcW w:w="1280" w:type="dxa"/>
            <w:vAlign w:val="bottom"/>
            <w:tcBorders>
              <w:bottom w:val="single" w:sz="8" w:color="0000EE"/>
            </w:tcBorders>
          </w:tcPr>
          <w:p>
            <w:pPr>
              <w:spacing w:after="0" w:line="180" w:lineRule="exact"/>
              <w:rPr>
                <w:rFonts w:ascii="Arial" w:cs="Arial" w:eastAsia="Arial" w:hAnsi="Arial"/>
                <w:sz w:val="18"/>
                <w:szCs w:val="18"/>
                <w:color w:val="0000EE"/>
                <w:w w:val="96"/>
              </w:rPr>
            </w:pPr>
            <w:hyperlink w:anchor="page7">
              <w:r>
                <w:rPr>
                  <w:rFonts w:ascii="Arial" w:cs="Arial" w:eastAsia="Arial" w:hAnsi="Arial"/>
                  <w:sz w:val="18"/>
                  <w:szCs w:val="18"/>
                  <w:color w:val="0000EE"/>
                  <w:w w:val="96"/>
                </w:rPr>
                <w:t>About the Board</w:t>
              </w:r>
            </w:hyperlink>
          </w:p>
        </w:tc>
        <w:tc>
          <w:tcPr>
            <w:tcW w:w="8740" w:type="dxa"/>
            <w:vAlign w:val="bottom"/>
            <w:gridSpan w:val="35"/>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Arial" w:cs="Arial" w:eastAsia="Arial" w:hAnsi="Arial"/>
                <w:sz w:val="18"/>
                <w:szCs w:val="18"/>
                <w:color w:val="auto"/>
              </w:rPr>
              <w:t>2</w:t>
            </w:r>
          </w:p>
        </w:tc>
      </w:tr>
      <w:tr>
        <w:trPr>
          <w:trHeight w:val="179"/>
        </w:trPr>
        <w:tc>
          <w:tcPr>
            <w:tcW w:w="180" w:type="dxa"/>
            <w:vAlign w:val="bottom"/>
          </w:tcPr>
          <w:p>
            <w:pPr>
              <w:spacing w:after="0"/>
              <w:rPr>
                <w:sz w:val="15"/>
                <w:szCs w:val="15"/>
                <w:color w:val="auto"/>
              </w:rPr>
            </w:pPr>
          </w:p>
        </w:tc>
        <w:tc>
          <w:tcPr>
            <w:tcW w:w="2480" w:type="dxa"/>
            <w:vAlign w:val="bottom"/>
            <w:tcBorders>
              <w:bottom w:val="single" w:sz="8" w:color="0000EE"/>
            </w:tcBorders>
            <w:gridSpan w:val="13"/>
          </w:tcPr>
          <w:p>
            <w:pPr>
              <w:spacing w:after="0" w:line="180" w:lineRule="exact"/>
              <w:rPr>
                <w:rFonts w:ascii="Arial" w:cs="Arial" w:eastAsia="Arial" w:hAnsi="Arial"/>
                <w:sz w:val="18"/>
                <w:szCs w:val="18"/>
                <w:color w:val="0000EE"/>
                <w:w w:val="97"/>
              </w:rPr>
            </w:pPr>
            <w:hyperlink w:anchor="page10">
              <w:r>
                <w:rPr>
                  <w:rFonts w:ascii="Arial" w:cs="Arial" w:eastAsia="Arial" w:hAnsi="Arial"/>
                  <w:sz w:val="18"/>
                  <w:szCs w:val="18"/>
                  <w:color w:val="0000EE"/>
                  <w:w w:val="97"/>
                </w:rPr>
                <w:t>Nominees to Board of Directors</w:t>
              </w:r>
            </w:hyperlink>
          </w:p>
        </w:tc>
        <w:tc>
          <w:tcPr>
            <w:tcW w:w="7540" w:type="dxa"/>
            <w:vAlign w:val="bottom"/>
            <w:gridSpan w:val="23"/>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Arial" w:cs="Arial" w:eastAsia="Arial" w:hAnsi="Arial"/>
                <w:sz w:val="18"/>
                <w:szCs w:val="18"/>
                <w:color w:val="auto"/>
              </w:rPr>
              <w:t>5</w:t>
            </w:r>
          </w:p>
        </w:tc>
      </w:tr>
      <w:tr>
        <w:trPr>
          <w:trHeight w:val="179"/>
        </w:trPr>
        <w:tc>
          <w:tcPr>
            <w:tcW w:w="180" w:type="dxa"/>
            <w:vAlign w:val="bottom"/>
          </w:tcPr>
          <w:p>
            <w:pPr>
              <w:spacing w:after="0"/>
              <w:rPr>
                <w:sz w:val="15"/>
                <w:szCs w:val="15"/>
                <w:color w:val="auto"/>
              </w:rPr>
            </w:pPr>
          </w:p>
        </w:tc>
        <w:tc>
          <w:tcPr>
            <w:tcW w:w="2720" w:type="dxa"/>
            <w:vAlign w:val="bottom"/>
            <w:tcBorders>
              <w:bottom w:val="single" w:sz="8" w:color="0000EE"/>
            </w:tcBorders>
            <w:gridSpan w:val="17"/>
          </w:tcPr>
          <w:p>
            <w:pPr>
              <w:spacing w:after="0" w:line="180" w:lineRule="exact"/>
              <w:rPr>
                <w:rFonts w:ascii="Arial" w:cs="Arial" w:eastAsia="Arial" w:hAnsi="Arial"/>
                <w:sz w:val="18"/>
                <w:szCs w:val="18"/>
                <w:color w:val="0000EE"/>
                <w:w w:val="97"/>
              </w:rPr>
            </w:pPr>
            <w:hyperlink w:anchor="page13">
              <w:r>
                <w:rPr>
                  <w:rFonts w:ascii="Arial" w:cs="Arial" w:eastAsia="Arial" w:hAnsi="Arial"/>
                  <w:sz w:val="18"/>
                  <w:szCs w:val="18"/>
                  <w:color w:val="0000EE"/>
                  <w:w w:val="97"/>
                </w:rPr>
                <w:t>Directors Not Standing for Election</w:t>
              </w:r>
            </w:hyperlink>
          </w:p>
        </w:tc>
        <w:tc>
          <w:tcPr>
            <w:tcW w:w="7300" w:type="dxa"/>
            <w:vAlign w:val="bottom"/>
            <w:gridSpan w:val="19"/>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Arial" w:cs="Arial" w:eastAsia="Arial" w:hAnsi="Arial"/>
                <w:sz w:val="18"/>
                <w:szCs w:val="18"/>
                <w:color w:val="auto"/>
              </w:rPr>
              <w:t>8</w:t>
            </w:r>
          </w:p>
        </w:tc>
      </w:tr>
      <w:tr>
        <w:trPr>
          <w:trHeight w:val="179"/>
        </w:trPr>
        <w:tc>
          <w:tcPr>
            <w:tcW w:w="180" w:type="dxa"/>
            <w:vAlign w:val="bottom"/>
          </w:tcPr>
          <w:p>
            <w:pPr>
              <w:spacing w:after="0"/>
              <w:rPr>
                <w:sz w:val="15"/>
                <w:szCs w:val="15"/>
                <w:color w:val="auto"/>
              </w:rPr>
            </w:pPr>
          </w:p>
        </w:tc>
        <w:tc>
          <w:tcPr>
            <w:tcW w:w="10020" w:type="dxa"/>
            <w:vAlign w:val="bottom"/>
            <w:gridSpan w:val="36"/>
          </w:tcPr>
          <w:p>
            <w:pPr>
              <w:spacing w:after="0" w:line="180" w:lineRule="exact"/>
              <w:rPr>
                <w:rFonts w:ascii="Arial" w:cs="Arial" w:eastAsia="Arial" w:hAnsi="Arial"/>
                <w:sz w:val="18"/>
                <w:szCs w:val="18"/>
                <w:color w:val="0000EE"/>
              </w:rPr>
            </w:pPr>
            <w:hyperlink w:anchor="page17">
              <w:r>
                <w:rPr>
                  <w:rFonts w:ascii="Arial" w:cs="Arial" w:eastAsia="Arial" w:hAnsi="Arial"/>
                  <w:sz w:val="18"/>
                  <w:szCs w:val="18"/>
                  <w:color w:val="0000EE"/>
                </w:rPr>
                <w:t>Director Independence</w:t>
              </w:r>
            </w:hyperlink>
          </w:p>
        </w:tc>
        <w:tc>
          <w:tcPr>
            <w:tcW w:w="660" w:type="dxa"/>
            <w:vAlign w:val="bottom"/>
          </w:tcPr>
          <w:p>
            <w:pPr>
              <w:jc w:val="right"/>
              <w:spacing w:after="0" w:line="180" w:lineRule="exact"/>
              <w:rPr>
                <w:sz w:val="20"/>
                <w:szCs w:val="20"/>
                <w:color w:val="auto"/>
              </w:rPr>
            </w:pPr>
            <w:r>
              <w:rPr>
                <w:rFonts w:ascii="Arial" w:cs="Arial" w:eastAsia="Arial" w:hAnsi="Arial"/>
                <w:sz w:val="18"/>
                <w:szCs w:val="18"/>
                <w:color w:val="auto"/>
              </w:rPr>
              <w:t>12</w:t>
            </w:r>
          </w:p>
        </w:tc>
      </w:tr>
      <w:tr>
        <w:trPr>
          <w:trHeight w:val="20"/>
        </w:trPr>
        <w:tc>
          <w:tcPr>
            <w:tcW w:w="180" w:type="dxa"/>
            <w:vAlign w:val="bottom"/>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86"/>
        </w:trPr>
        <w:tc>
          <w:tcPr>
            <w:tcW w:w="10200" w:type="dxa"/>
            <w:vAlign w:val="bottom"/>
            <w:gridSpan w:val="37"/>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CORPORATE GOVERNANCE</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180" w:type="dxa"/>
            <w:vAlign w:val="bottom"/>
            <w:tcBorders>
              <w:top w:val="single" w:sz="8" w:color="0000EE"/>
              <w:bottom w:val="single" w:sz="8" w:color="00548B"/>
            </w:tcBorders>
          </w:tcPr>
          <w:p>
            <w:pPr>
              <w:spacing w:after="0" w:line="20" w:lineRule="exact"/>
              <w:rPr>
                <w:sz w:val="1"/>
                <w:szCs w:val="1"/>
                <w:color w:val="auto"/>
              </w:rPr>
            </w:pPr>
          </w:p>
        </w:tc>
        <w:tc>
          <w:tcPr>
            <w:tcW w:w="128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340" w:type="dxa"/>
            <w:vAlign w:val="bottom"/>
            <w:tcBorders>
              <w:top w:val="single" w:sz="8" w:color="0000EE"/>
              <w:bottom w:val="single" w:sz="8" w:color="00548B"/>
            </w:tcBorders>
          </w:tcPr>
          <w:p>
            <w:pPr>
              <w:spacing w:after="0" w:line="20" w:lineRule="exact"/>
              <w:rPr>
                <w:sz w:val="1"/>
                <w:szCs w:val="1"/>
                <w:color w:val="auto"/>
              </w:rPr>
            </w:pPr>
          </w:p>
        </w:tc>
        <w:tc>
          <w:tcPr>
            <w:tcW w:w="24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12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bottom w:val="single" w:sz="8" w:color="00548B"/>
            </w:tcBorders>
          </w:tcPr>
          <w:p>
            <w:pPr>
              <w:spacing w:after="0" w:line="20" w:lineRule="exact"/>
              <w:rPr>
                <w:sz w:val="1"/>
                <w:szCs w:val="1"/>
                <w:color w:val="auto"/>
              </w:rPr>
            </w:pPr>
          </w:p>
        </w:tc>
        <w:tc>
          <w:tcPr>
            <w:tcW w:w="20" w:type="dxa"/>
            <w:vAlign w:val="bottom"/>
            <w:tcBorders>
              <w:bottom w:val="single" w:sz="8" w:color="00548B"/>
            </w:tcBorders>
          </w:tcPr>
          <w:p>
            <w:pPr>
              <w:spacing w:after="0" w:line="20" w:lineRule="exact"/>
              <w:rPr>
                <w:sz w:val="1"/>
                <w:szCs w:val="1"/>
                <w:color w:val="auto"/>
              </w:rPr>
            </w:pPr>
          </w:p>
        </w:tc>
        <w:tc>
          <w:tcPr>
            <w:tcW w:w="80" w:type="dxa"/>
            <w:vAlign w:val="bottom"/>
            <w:tcBorders>
              <w:bottom w:val="single" w:sz="8" w:color="00548B"/>
            </w:tcBorders>
          </w:tcPr>
          <w:p>
            <w:pPr>
              <w:spacing w:after="0" w:line="20" w:lineRule="exact"/>
              <w:rPr>
                <w:sz w:val="1"/>
                <w:szCs w:val="1"/>
                <w:color w:val="auto"/>
              </w:rPr>
            </w:pPr>
          </w:p>
        </w:tc>
        <w:tc>
          <w:tcPr>
            <w:tcW w:w="80" w:type="dxa"/>
            <w:vAlign w:val="bottom"/>
            <w:tcBorders>
              <w:bottom w:val="single" w:sz="8" w:color="00548B"/>
            </w:tcBorders>
          </w:tcPr>
          <w:p>
            <w:pPr>
              <w:spacing w:after="0" w:line="20" w:lineRule="exact"/>
              <w:rPr>
                <w:sz w:val="1"/>
                <w:szCs w:val="1"/>
                <w:color w:val="auto"/>
              </w:rPr>
            </w:pPr>
          </w:p>
        </w:tc>
        <w:tc>
          <w:tcPr>
            <w:tcW w:w="2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40" w:type="dxa"/>
            <w:vAlign w:val="bottom"/>
            <w:tcBorders>
              <w:bottom w:val="single" w:sz="8" w:color="00548B"/>
            </w:tcBorders>
          </w:tcPr>
          <w:p>
            <w:pPr>
              <w:spacing w:after="0" w:line="20" w:lineRule="exact"/>
              <w:rPr>
                <w:sz w:val="1"/>
                <w:szCs w:val="1"/>
                <w:color w:val="auto"/>
              </w:rPr>
            </w:pPr>
          </w:p>
        </w:tc>
        <w:tc>
          <w:tcPr>
            <w:tcW w:w="60" w:type="dxa"/>
            <w:vAlign w:val="bottom"/>
            <w:tcBorders>
              <w:bottom w:val="single" w:sz="8" w:color="00548B"/>
            </w:tcBorders>
          </w:tcPr>
          <w:p>
            <w:pPr>
              <w:spacing w:after="0" w:line="20" w:lineRule="exact"/>
              <w:rPr>
                <w:sz w:val="1"/>
                <w:szCs w:val="1"/>
                <w:color w:val="auto"/>
              </w:rPr>
            </w:pPr>
          </w:p>
        </w:tc>
        <w:tc>
          <w:tcPr>
            <w:tcW w:w="4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40" w:type="dxa"/>
            <w:vAlign w:val="bottom"/>
            <w:tcBorders>
              <w:bottom w:val="single" w:sz="8" w:color="00548B"/>
            </w:tcBorders>
          </w:tcPr>
          <w:p>
            <w:pPr>
              <w:spacing w:after="0" w:line="20" w:lineRule="exact"/>
              <w:rPr>
                <w:sz w:val="1"/>
                <w:szCs w:val="1"/>
                <w:color w:val="auto"/>
              </w:rPr>
            </w:pPr>
          </w:p>
        </w:tc>
        <w:tc>
          <w:tcPr>
            <w:tcW w:w="24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20" w:type="dxa"/>
            <w:vAlign w:val="bottom"/>
            <w:tcBorders>
              <w:bottom w:val="single" w:sz="8" w:color="00548B"/>
            </w:tcBorders>
          </w:tcPr>
          <w:p>
            <w:pPr>
              <w:spacing w:after="0" w:line="20" w:lineRule="exact"/>
              <w:rPr>
                <w:sz w:val="1"/>
                <w:szCs w:val="1"/>
                <w:color w:val="auto"/>
              </w:rPr>
            </w:pPr>
          </w:p>
        </w:tc>
        <w:tc>
          <w:tcPr>
            <w:tcW w:w="140" w:type="dxa"/>
            <w:vAlign w:val="bottom"/>
            <w:tcBorders>
              <w:bottom w:val="single" w:sz="8" w:color="00548B"/>
            </w:tcBorders>
          </w:tcPr>
          <w:p>
            <w:pPr>
              <w:spacing w:after="0" w:line="20" w:lineRule="exact"/>
              <w:rPr>
                <w:sz w:val="1"/>
                <w:szCs w:val="1"/>
                <w:color w:val="auto"/>
              </w:rPr>
            </w:pPr>
          </w:p>
        </w:tc>
        <w:tc>
          <w:tcPr>
            <w:tcW w:w="20" w:type="dxa"/>
            <w:vAlign w:val="bottom"/>
            <w:tcBorders>
              <w:bottom w:val="single" w:sz="8" w:color="00548B"/>
            </w:tcBorders>
          </w:tcPr>
          <w:p>
            <w:pPr>
              <w:spacing w:after="0" w:line="20" w:lineRule="exact"/>
              <w:rPr>
                <w:sz w:val="1"/>
                <w:szCs w:val="1"/>
                <w:color w:val="auto"/>
              </w:rPr>
            </w:pPr>
          </w:p>
        </w:tc>
        <w:tc>
          <w:tcPr>
            <w:tcW w:w="360" w:type="dxa"/>
            <w:vAlign w:val="bottom"/>
            <w:tcBorders>
              <w:bottom w:val="single" w:sz="8" w:color="00548B"/>
            </w:tcBorders>
          </w:tcPr>
          <w:p>
            <w:pPr>
              <w:spacing w:after="0" w:line="20" w:lineRule="exact"/>
              <w:rPr>
                <w:sz w:val="1"/>
                <w:szCs w:val="1"/>
                <w:color w:val="auto"/>
              </w:rPr>
            </w:pPr>
          </w:p>
        </w:tc>
        <w:tc>
          <w:tcPr>
            <w:tcW w:w="2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200" w:type="dxa"/>
            <w:vAlign w:val="bottom"/>
            <w:tcBorders>
              <w:bottom w:val="single" w:sz="8" w:color="00548B"/>
            </w:tcBorders>
          </w:tcPr>
          <w:p>
            <w:pPr>
              <w:spacing w:after="0" w:line="20" w:lineRule="exact"/>
              <w:rPr>
                <w:sz w:val="1"/>
                <w:szCs w:val="1"/>
                <w:color w:val="auto"/>
              </w:rPr>
            </w:pPr>
          </w:p>
        </w:tc>
        <w:tc>
          <w:tcPr>
            <w:tcW w:w="560" w:type="dxa"/>
            <w:vAlign w:val="bottom"/>
            <w:tcBorders>
              <w:bottom w:val="single" w:sz="8" w:color="00548B"/>
            </w:tcBorders>
          </w:tcPr>
          <w:p>
            <w:pPr>
              <w:spacing w:after="0" w:line="20" w:lineRule="exact"/>
              <w:rPr>
                <w:sz w:val="1"/>
                <w:szCs w:val="1"/>
                <w:color w:val="auto"/>
              </w:rPr>
            </w:pPr>
          </w:p>
        </w:tc>
        <w:tc>
          <w:tcPr>
            <w:tcW w:w="180" w:type="dxa"/>
            <w:vAlign w:val="bottom"/>
            <w:tcBorders>
              <w:bottom w:val="single" w:sz="8" w:color="00548B"/>
            </w:tcBorders>
          </w:tcPr>
          <w:p>
            <w:pPr>
              <w:spacing w:after="0" w:line="20" w:lineRule="exact"/>
              <w:rPr>
                <w:sz w:val="1"/>
                <w:szCs w:val="1"/>
                <w:color w:val="auto"/>
              </w:rPr>
            </w:pPr>
          </w:p>
        </w:tc>
        <w:tc>
          <w:tcPr>
            <w:tcW w:w="16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2820" w:type="dxa"/>
            <w:vAlign w:val="bottom"/>
            <w:tcBorders>
              <w:bottom w:val="single" w:sz="8" w:color="00548B"/>
            </w:tcBorders>
          </w:tcPr>
          <w:p>
            <w:pPr>
              <w:spacing w:after="0" w:line="20" w:lineRule="exact"/>
              <w:rPr>
                <w:sz w:val="1"/>
                <w:szCs w:val="1"/>
                <w:color w:val="auto"/>
              </w:rPr>
            </w:pPr>
          </w:p>
        </w:tc>
        <w:tc>
          <w:tcPr>
            <w:tcW w:w="1400" w:type="dxa"/>
            <w:vAlign w:val="bottom"/>
            <w:tcBorders>
              <w:bottom w:val="single" w:sz="8" w:color="00548B"/>
            </w:tcBorders>
          </w:tcPr>
          <w:p>
            <w:pPr>
              <w:spacing w:after="0" w:line="20" w:lineRule="exact"/>
              <w:rPr>
                <w:sz w:val="1"/>
                <w:szCs w:val="1"/>
                <w:color w:val="auto"/>
              </w:rPr>
            </w:pPr>
          </w:p>
        </w:tc>
        <w:tc>
          <w:tcPr>
            <w:tcW w:w="360" w:type="dxa"/>
            <w:vAlign w:val="bottom"/>
            <w:tcBorders>
              <w:bottom w:val="single" w:sz="8" w:color="00548B"/>
            </w:tcBorders>
          </w:tcPr>
          <w:p>
            <w:pPr>
              <w:spacing w:after="0" w:line="20" w:lineRule="exact"/>
              <w:rPr>
                <w:sz w:val="1"/>
                <w:szCs w:val="1"/>
                <w:color w:val="auto"/>
              </w:rPr>
            </w:pPr>
          </w:p>
        </w:tc>
        <w:tc>
          <w:tcPr>
            <w:tcW w:w="380" w:type="dxa"/>
            <w:vAlign w:val="bottom"/>
            <w:tcBorders>
              <w:bottom w:val="single" w:sz="8" w:color="00548B"/>
            </w:tcBorders>
          </w:tcPr>
          <w:p>
            <w:pPr>
              <w:spacing w:after="0" w:line="20" w:lineRule="exact"/>
              <w:rPr>
                <w:sz w:val="1"/>
                <w:szCs w:val="1"/>
                <w:color w:val="auto"/>
              </w:rPr>
            </w:pPr>
          </w:p>
        </w:tc>
        <w:tc>
          <w:tcPr>
            <w:tcW w:w="660" w:type="dxa"/>
            <w:vAlign w:val="bottom"/>
            <w:tcBorders>
              <w:bottom w:val="single" w:sz="8" w:color="00548B"/>
            </w:tcBorders>
          </w:tcPr>
          <w:p>
            <w:pPr>
              <w:spacing w:after="0" w:line="20" w:lineRule="exact"/>
              <w:rPr>
                <w:sz w:val="1"/>
                <w:szCs w:val="1"/>
                <w:color w:val="auto"/>
              </w:rPr>
            </w:pPr>
          </w:p>
        </w:tc>
      </w:tr>
      <w:tr>
        <w:trPr>
          <w:trHeight w:val="153"/>
        </w:trPr>
        <w:tc>
          <w:tcPr>
            <w:tcW w:w="180" w:type="dxa"/>
            <w:vAlign w:val="bottom"/>
          </w:tcPr>
          <w:p>
            <w:pPr>
              <w:spacing w:after="0"/>
              <w:rPr>
                <w:sz w:val="13"/>
                <w:szCs w:val="13"/>
                <w:color w:val="auto"/>
              </w:rPr>
            </w:pPr>
          </w:p>
        </w:tc>
        <w:tc>
          <w:tcPr>
            <w:tcW w:w="4960" w:type="dxa"/>
            <w:vAlign w:val="bottom"/>
            <w:tcBorders>
              <w:bottom w:val="single" w:sz="8" w:color="0000EE"/>
            </w:tcBorders>
            <w:gridSpan w:val="31"/>
          </w:tcPr>
          <w:p>
            <w:pPr>
              <w:spacing w:after="0" w:line="153" w:lineRule="exact"/>
              <w:rPr>
                <w:rFonts w:ascii="Arial" w:cs="Arial" w:eastAsia="Arial" w:hAnsi="Arial"/>
                <w:sz w:val="17"/>
                <w:szCs w:val="17"/>
                <w:color w:val="0000EE"/>
              </w:rPr>
            </w:pPr>
            <w:hyperlink w:anchor="page17">
              <w:r>
                <w:rPr>
                  <w:rFonts w:ascii="Arial" w:cs="Arial" w:eastAsia="Arial" w:hAnsi="Arial"/>
                  <w:sz w:val="17"/>
                  <w:szCs w:val="17"/>
                  <w:color w:val="0000EE"/>
                </w:rPr>
                <w:t>Board Compensation, Leadership Structure and Risk Oversight</w:t>
              </w:r>
            </w:hyperlink>
          </w:p>
        </w:tc>
        <w:tc>
          <w:tcPr>
            <w:tcW w:w="5060" w:type="dxa"/>
            <w:vAlign w:val="bottom"/>
            <w:gridSpan w:val="5"/>
          </w:tcPr>
          <w:p>
            <w:pPr>
              <w:spacing w:after="0"/>
              <w:rPr>
                <w:sz w:val="13"/>
                <w:szCs w:val="13"/>
                <w:color w:val="auto"/>
              </w:rPr>
            </w:pPr>
          </w:p>
        </w:tc>
        <w:tc>
          <w:tcPr>
            <w:tcW w:w="660" w:type="dxa"/>
            <w:vAlign w:val="bottom"/>
          </w:tcPr>
          <w:p>
            <w:pPr>
              <w:jc w:val="right"/>
              <w:spacing w:after="0" w:line="153" w:lineRule="exact"/>
              <w:rPr>
                <w:sz w:val="20"/>
                <w:szCs w:val="20"/>
                <w:color w:val="auto"/>
              </w:rPr>
            </w:pPr>
            <w:r>
              <w:rPr>
                <w:rFonts w:ascii="Arial" w:cs="Arial" w:eastAsia="Arial" w:hAnsi="Arial"/>
                <w:sz w:val="17"/>
                <w:szCs w:val="17"/>
                <w:color w:val="auto"/>
              </w:rPr>
              <w:t>12</w:t>
            </w:r>
          </w:p>
        </w:tc>
      </w:tr>
      <w:tr>
        <w:trPr>
          <w:trHeight w:val="179"/>
        </w:trPr>
        <w:tc>
          <w:tcPr>
            <w:tcW w:w="180" w:type="dxa"/>
            <w:vAlign w:val="bottom"/>
          </w:tcPr>
          <w:p>
            <w:pPr>
              <w:spacing w:after="0"/>
              <w:rPr>
                <w:sz w:val="15"/>
                <w:szCs w:val="15"/>
                <w:color w:val="auto"/>
              </w:rPr>
            </w:pPr>
          </w:p>
        </w:tc>
        <w:tc>
          <w:tcPr>
            <w:tcW w:w="2580" w:type="dxa"/>
            <w:vAlign w:val="bottom"/>
            <w:tcBorders>
              <w:bottom w:val="single" w:sz="8" w:color="0000EE"/>
            </w:tcBorders>
            <w:gridSpan w:val="14"/>
          </w:tcPr>
          <w:p>
            <w:pPr>
              <w:spacing w:after="0" w:line="180" w:lineRule="exact"/>
              <w:rPr>
                <w:rFonts w:ascii="Arial" w:cs="Arial" w:eastAsia="Arial" w:hAnsi="Arial"/>
                <w:sz w:val="18"/>
                <w:szCs w:val="18"/>
                <w:color w:val="0000EE"/>
                <w:w w:val="97"/>
              </w:rPr>
            </w:pPr>
            <w:hyperlink w:anchor="page20">
              <w:r>
                <w:rPr>
                  <w:rFonts w:ascii="Arial" w:cs="Arial" w:eastAsia="Arial" w:hAnsi="Arial"/>
                  <w:sz w:val="18"/>
                  <w:szCs w:val="18"/>
                  <w:color w:val="0000EE"/>
                  <w:w w:val="97"/>
                </w:rPr>
                <w:t>Board Meetings and Committees</w:t>
              </w:r>
            </w:hyperlink>
          </w:p>
        </w:tc>
        <w:tc>
          <w:tcPr>
            <w:tcW w:w="7440" w:type="dxa"/>
            <w:vAlign w:val="bottom"/>
            <w:gridSpan w:val="22"/>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Arial" w:cs="Arial" w:eastAsia="Arial" w:hAnsi="Arial"/>
                <w:sz w:val="18"/>
                <w:szCs w:val="18"/>
                <w:color w:val="auto"/>
              </w:rPr>
              <w:t>15</w:t>
            </w:r>
          </w:p>
        </w:tc>
      </w:tr>
      <w:tr>
        <w:trPr>
          <w:trHeight w:val="179"/>
        </w:trPr>
        <w:tc>
          <w:tcPr>
            <w:tcW w:w="180" w:type="dxa"/>
            <w:vAlign w:val="bottom"/>
          </w:tcPr>
          <w:p>
            <w:pPr>
              <w:spacing w:after="0"/>
              <w:rPr>
                <w:sz w:val="15"/>
                <w:szCs w:val="15"/>
                <w:color w:val="auto"/>
              </w:rPr>
            </w:pPr>
          </w:p>
        </w:tc>
        <w:tc>
          <w:tcPr>
            <w:tcW w:w="10020" w:type="dxa"/>
            <w:vAlign w:val="bottom"/>
            <w:gridSpan w:val="36"/>
          </w:tcPr>
          <w:p>
            <w:pPr>
              <w:spacing w:after="0" w:line="180" w:lineRule="exact"/>
              <w:rPr>
                <w:rFonts w:ascii="Arial" w:cs="Arial" w:eastAsia="Arial" w:hAnsi="Arial"/>
                <w:sz w:val="18"/>
                <w:szCs w:val="18"/>
                <w:color w:val="0000EE"/>
              </w:rPr>
            </w:pPr>
            <w:hyperlink w:anchor="page21">
              <w:r>
                <w:rPr>
                  <w:rFonts w:ascii="Arial" w:cs="Arial" w:eastAsia="Arial" w:hAnsi="Arial"/>
                  <w:sz w:val="18"/>
                  <w:szCs w:val="18"/>
                  <w:color w:val="0000EE"/>
                </w:rPr>
                <w:t>Director Resignation Policy</w:t>
              </w:r>
            </w:hyperlink>
          </w:p>
        </w:tc>
        <w:tc>
          <w:tcPr>
            <w:tcW w:w="660" w:type="dxa"/>
            <w:vAlign w:val="bottom"/>
          </w:tcPr>
          <w:p>
            <w:pPr>
              <w:jc w:val="right"/>
              <w:spacing w:after="0" w:line="180" w:lineRule="exact"/>
              <w:rPr>
                <w:sz w:val="20"/>
                <w:szCs w:val="20"/>
                <w:color w:val="auto"/>
              </w:rPr>
            </w:pPr>
            <w:r>
              <w:rPr>
                <w:rFonts w:ascii="Arial" w:cs="Arial" w:eastAsia="Arial" w:hAnsi="Arial"/>
                <w:sz w:val="18"/>
                <w:szCs w:val="18"/>
                <w:color w:val="auto"/>
              </w:rPr>
              <w:t>16</w:t>
            </w:r>
          </w:p>
        </w:tc>
      </w:tr>
      <w:tr>
        <w:trPr>
          <w:trHeight w:val="20"/>
        </w:trPr>
        <w:tc>
          <w:tcPr>
            <w:tcW w:w="180" w:type="dxa"/>
            <w:vAlign w:val="bottom"/>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9"/>
        </w:trPr>
        <w:tc>
          <w:tcPr>
            <w:tcW w:w="180" w:type="dxa"/>
            <w:vAlign w:val="bottom"/>
          </w:tcPr>
          <w:p>
            <w:pPr>
              <w:spacing w:after="0"/>
              <w:rPr>
                <w:sz w:val="15"/>
                <w:szCs w:val="15"/>
                <w:color w:val="auto"/>
              </w:rPr>
            </w:pPr>
          </w:p>
        </w:tc>
        <w:tc>
          <w:tcPr>
            <w:tcW w:w="10020" w:type="dxa"/>
            <w:vAlign w:val="bottom"/>
            <w:gridSpan w:val="36"/>
          </w:tcPr>
          <w:p>
            <w:pPr>
              <w:spacing w:after="0" w:line="180" w:lineRule="exact"/>
              <w:rPr>
                <w:rFonts w:ascii="Arial" w:cs="Arial" w:eastAsia="Arial" w:hAnsi="Arial"/>
                <w:sz w:val="18"/>
                <w:szCs w:val="18"/>
                <w:color w:val="0000EE"/>
              </w:rPr>
            </w:pPr>
            <w:hyperlink w:anchor="page22">
              <w:r>
                <w:rPr>
                  <w:rFonts w:ascii="Arial" w:cs="Arial" w:eastAsia="Arial" w:hAnsi="Arial"/>
                  <w:sz w:val="18"/>
                  <w:szCs w:val="18"/>
                  <w:color w:val="0000EE"/>
                </w:rPr>
                <w:t>Diversity of Board Skills and Experiences</w:t>
              </w:r>
            </w:hyperlink>
          </w:p>
        </w:tc>
        <w:tc>
          <w:tcPr>
            <w:tcW w:w="660" w:type="dxa"/>
            <w:vAlign w:val="bottom"/>
          </w:tcPr>
          <w:p>
            <w:pPr>
              <w:jc w:val="right"/>
              <w:spacing w:after="0" w:line="180" w:lineRule="exact"/>
              <w:rPr>
                <w:sz w:val="20"/>
                <w:szCs w:val="20"/>
                <w:color w:val="auto"/>
              </w:rPr>
            </w:pPr>
            <w:r>
              <w:rPr>
                <w:rFonts w:ascii="Arial" w:cs="Arial" w:eastAsia="Arial" w:hAnsi="Arial"/>
                <w:sz w:val="18"/>
                <w:szCs w:val="18"/>
                <w:color w:val="auto"/>
              </w:rPr>
              <w:t>17</w:t>
            </w:r>
          </w:p>
        </w:tc>
      </w:tr>
      <w:tr>
        <w:trPr>
          <w:trHeight w:val="179"/>
        </w:trPr>
        <w:tc>
          <w:tcPr>
            <w:tcW w:w="180" w:type="dxa"/>
            <w:vAlign w:val="bottom"/>
          </w:tcPr>
          <w:p>
            <w:pPr>
              <w:spacing w:after="0"/>
              <w:rPr>
                <w:sz w:val="15"/>
                <w:szCs w:val="15"/>
                <w:color w:val="auto"/>
              </w:rPr>
            </w:pPr>
          </w:p>
        </w:tc>
        <w:tc>
          <w:tcPr>
            <w:tcW w:w="2120" w:type="dxa"/>
            <w:vAlign w:val="bottom"/>
            <w:tcBorders>
              <w:top w:val="single" w:sz="8" w:color="0000EE"/>
              <w:bottom w:val="single" w:sz="8" w:color="0000EE"/>
            </w:tcBorders>
            <w:gridSpan w:val="7"/>
          </w:tcPr>
          <w:p>
            <w:pPr>
              <w:spacing w:after="0" w:line="180" w:lineRule="exact"/>
              <w:rPr>
                <w:rFonts w:ascii="Arial" w:cs="Arial" w:eastAsia="Arial" w:hAnsi="Arial"/>
                <w:sz w:val="18"/>
                <w:szCs w:val="18"/>
                <w:color w:val="0000EE"/>
                <w:w w:val="97"/>
              </w:rPr>
            </w:pPr>
            <w:hyperlink w:anchor="page22">
              <w:r>
                <w:rPr>
                  <w:rFonts w:ascii="Arial" w:cs="Arial" w:eastAsia="Arial" w:hAnsi="Arial"/>
                  <w:sz w:val="18"/>
                  <w:szCs w:val="18"/>
                  <w:color w:val="0000EE"/>
                  <w:w w:val="97"/>
                </w:rPr>
                <w:t>Compensation of Directors</w:t>
              </w:r>
            </w:hyperlink>
          </w:p>
        </w:tc>
        <w:tc>
          <w:tcPr>
            <w:tcW w:w="1100" w:type="dxa"/>
            <w:vAlign w:val="bottom"/>
            <w:tcBorders>
              <w:top w:val="single" w:sz="8" w:color="0000EE"/>
            </w:tcBorders>
            <w:gridSpan w:val="15"/>
          </w:tcPr>
          <w:p>
            <w:pPr>
              <w:spacing w:after="0"/>
              <w:rPr>
                <w:sz w:val="15"/>
                <w:szCs w:val="15"/>
                <w:color w:val="auto"/>
              </w:rPr>
            </w:pPr>
          </w:p>
        </w:tc>
        <w:tc>
          <w:tcPr>
            <w:tcW w:w="6800" w:type="dxa"/>
            <w:vAlign w:val="bottom"/>
            <w:gridSpan w:val="14"/>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Arial" w:cs="Arial" w:eastAsia="Arial" w:hAnsi="Arial"/>
                <w:sz w:val="18"/>
                <w:szCs w:val="18"/>
                <w:color w:val="auto"/>
              </w:rPr>
              <w:t>17</w:t>
            </w:r>
          </w:p>
        </w:tc>
      </w:tr>
      <w:tr>
        <w:trPr>
          <w:trHeight w:val="179"/>
        </w:trPr>
        <w:tc>
          <w:tcPr>
            <w:tcW w:w="180" w:type="dxa"/>
            <w:vAlign w:val="bottom"/>
          </w:tcPr>
          <w:p>
            <w:pPr>
              <w:spacing w:after="0"/>
              <w:rPr>
                <w:sz w:val="15"/>
                <w:szCs w:val="15"/>
                <w:color w:val="auto"/>
              </w:rPr>
            </w:pPr>
          </w:p>
        </w:tc>
        <w:tc>
          <w:tcPr>
            <w:tcW w:w="10020" w:type="dxa"/>
            <w:vAlign w:val="bottom"/>
            <w:gridSpan w:val="36"/>
          </w:tcPr>
          <w:p>
            <w:pPr>
              <w:spacing w:after="0" w:line="180" w:lineRule="exact"/>
              <w:rPr>
                <w:rFonts w:ascii="Arial" w:cs="Arial" w:eastAsia="Arial" w:hAnsi="Arial"/>
                <w:sz w:val="18"/>
                <w:szCs w:val="18"/>
                <w:color w:val="0000EE"/>
              </w:rPr>
            </w:pPr>
            <w:hyperlink w:anchor="page23">
              <w:r>
                <w:rPr>
                  <w:rFonts w:ascii="Arial" w:cs="Arial" w:eastAsia="Arial" w:hAnsi="Arial"/>
                  <w:sz w:val="18"/>
                  <w:szCs w:val="18"/>
                  <w:color w:val="0000EE"/>
                </w:rPr>
                <w:t>Director Compensation Table</w:t>
              </w:r>
            </w:hyperlink>
          </w:p>
        </w:tc>
        <w:tc>
          <w:tcPr>
            <w:tcW w:w="660" w:type="dxa"/>
            <w:vAlign w:val="bottom"/>
          </w:tcPr>
          <w:p>
            <w:pPr>
              <w:jc w:val="right"/>
              <w:spacing w:after="0" w:line="180" w:lineRule="exact"/>
              <w:rPr>
                <w:sz w:val="20"/>
                <w:szCs w:val="20"/>
                <w:color w:val="auto"/>
              </w:rPr>
            </w:pPr>
            <w:r>
              <w:rPr>
                <w:rFonts w:ascii="Arial" w:cs="Arial" w:eastAsia="Arial" w:hAnsi="Arial"/>
                <w:sz w:val="18"/>
                <w:szCs w:val="18"/>
                <w:color w:val="auto"/>
              </w:rPr>
              <w:t>18</w:t>
            </w:r>
          </w:p>
        </w:tc>
      </w:tr>
      <w:tr>
        <w:trPr>
          <w:trHeight w:val="179"/>
        </w:trPr>
        <w:tc>
          <w:tcPr>
            <w:tcW w:w="180" w:type="dxa"/>
            <w:vAlign w:val="bottom"/>
          </w:tcPr>
          <w:p>
            <w:pPr>
              <w:spacing w:after="0"/>
              <w:rPr>
                <w:sz w:val="15"/>
                <w:szCs w:val="15"/>
                <w:color w:val="auto"/>
              </w:rPr>
            </w:pPr>
          </w:p>
        </w:tc>
        <w:tc>
          <w:tcPr>
            <w:tcW w:w="2280" w:type="dxa"/>
            <w:vAlign w:val="bottom"/>
            <w:tcBorders>
              <w:top w:val="single" w:sz="8" w:color="0000EE"/>
            </w:tcBorders>
            <w:gridSpan w:val="9"/>
          </w:tcPr>
          <w:p>
            <w:pPr>
              <w:spacing w:after="0" w:line="180" w:lineRule="exact"/>
              <w:rPr>
                <w:rFonts w:ascii="Arial" w:cs="Arial" w:eastAsia="Arial" w:hAnsi="Arial"/>
                <w:sz w:val="18"/>
                <w:szCs w:val="18"/>
                <w:color w:val="0000EE"/>
              </w:rPr>
            </w:pPr>
            <w:hyperlink w:anchor="page24">
              <w:r>
                <w:rPr>
                  <w:rFonts w:ascii="Arial" w:cs="Arial" w:eastAsia="Arial" w:hAnsi="Arial"/>
                  <w:sz w:val="18"/>
                  <w:szCs w:val="18"/>
                  <w:color w:val="0000EE"/>
                </w:rPr>
                <w:t>Executive Officers</w:t>
              </w:r>
            </w:hyperlink>
          </w:p>
        </w:tc>
        <w:tc>
          <w:tcPr>
            <w:tcW w:w="7740" w:type="dxa"/>
            <w:vAlign w:val="bottom"/>
            <w:gridSpan w:val="27"/>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Arial" w:cs="Arial" w:eastAsia="Arial" w:hAnsi="Arial"/>
                <w:sz w:val="18"/>
                <w:szCs w:val="18"/>
                <w:color w:val="auto"/>
              </w:rPr>
              <w:t>19</w:t>
            </w:r>
          </w:p>
        </w:tc>
      </w:tr>
      <w:tr>
        <w:trPr>
          <w:trHeight w:val="20"/>
        </w:trPr>
        <w:tc>
          <w:tcPr>
            <w:tcW w:w="180" w:type="dxa"/>
            <w:vAlign w:val="bottom"/>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9"/>
        </w:trPr>
        <w:tc>
          <w:tcPr>
            <w:tcW w:w="180" w:type="dxa"/>
            <w:vAlign w:val="bottom"/>
          </w:tcPr>
          <w:p>
            <w:pPr>
              <w:spacing w:after="0"/>
              <w:rPr>
                <w:sz w:val="15"/>
                <w:szCs w:val="15"/>
                <w:color w:val="auto"/>
              </w:rPr>
            </w:pPr>
          </w:p>
        </w:tc>
        <w:tc>
          <w:tcPr>
            <w:tcW w:w="2620" w:type="dxa"/>
            <w:vAlign w:val="bottom"/>
            <w:tcBorders>
              <w:bottom w:val="single" w:sz="8" w:color="0000EE"/>
            </w:tcBorders>
            <w:gridSpan w:val="15"/>
          </w:tcPr>
          <w:p>
            <w:pPr>
              <w:spacing w:after="0" w:line="180" w:lineRule="exact"/>
              <w:rPr>
                <w:rFonts w:ascii="Arial" w:cs="Arial" w:eastAsia="Arial" w:hAnsi="Arial"/>
                <w:sz w:val="18"/>
                <w:szCs w:val="18"/>
                <w:color w:val="0000EE"/>
                <w:w w:val="97"/>
              </w:rPr>
            </w:pPr>
            <w:hyperlink w:anchor="page25">
              <w:r>
                <w:rPr>
                  <w:rFonts w:ascii="Arial" w:cs="Arial" w:eastAsia="Arial" w:hAnsi="Arial"/>
                  <w:sz w:val="18"/>
                  <w:szCs w:val="18"/>
                  <w:color w:val="0000EE"/>
                  <w:w w:val="97"/>
                </w:rPr>
                <w:t>Delinquent Section 16(a) Reports</w:t>
              </w:r>
            </w:hyperlink>
          </w:p>
        </w:tc>
        <w:tc>
          <w:tcPr>
            <w:tcW w:w="7400" w:type="dxa"/>
            <w:vAlign w:val="bottom"/>
            <w:gridSpan w:val="21"/>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Arial" w:cs="Arial" w:eastAsia="Arial" w:hAnsi="Arial"/>
                <w:sz w:val="18"/>
                <w:szCs w:val="18"/>
                <w:color w:val="auto"/>
              </w:rPr>
              <w:t>20</w:t>
            </w:r>
          </w:p>
        </w:tc>
      </w:tr>
      <w:tr>
        <w:trPr>
          <w:trHeight w:val="179"/>
        </w:trPr>
        <w:tc>
          <w:tcPr>
            <w:tcW w:w="180" w:type="dxa"/>
            <w:vAlign w:val="bottom"/>
          </w:tcPr>
          <w:p>
            <w:pPr>
              <w:spacing w:after="0"/>
              <w:rPr>
                <w:sz w:val="15"/>
                <w:szCs w:val="15"/>
                <w:color w:val="auto"/>
              </w:rPr>
            </w:pPr>
          </w:p>
        </w:tc>
        <w:tc>
          <w:tcPr>
            <w:tcW w:w="5060" w:type="dxa"/>
            <w:vAlign w:val="bottom"/>
            <w:tcBorders>
              <w:bottom w:val="single" w:sz="8" w:color="0000EE"/>
            </w:tcBorders>
            <w:gridSpan w:val="32"/>
          </w:tcPr>
          <w:p>
            <w:pPr>
              <w:spacing w:after="0" w:line="180" w:lineRule="exact"/>
              <w:rPr>
                <w:rFonts w:ascii="Arial" w:cs="Arial" w:eastAsia="Arial" w:hAnsi="Arial"/>
                <w:sz w:val="18"/>
                <w:szCs w:val="18"/>
                <w:color w:val="0000EE"/>
                <w:w w:val="98"/>
              </w:rPr>
            </w:pPr>
            <w:hyperlink w:anchor="page25">
              <w:r>
                <w:rPr>
                  <w:rFonts w:ascii="Arial" w:cs="Arial" w:eastAsia="Arial" w:hAnsi="Arial"/>
                  <w:sz w:val="18"/>
                  <w:szCs w:val="18"/>
                  <w:color w:val="0000EE"/>
                  <w:w w:val="98"/>
                </w:rPr>
                <w:t>Stock Ownership of Certain Beneficial Owners and Management</w:t>
              </w:r>
            </w:hyperlink>
          </w:p>
        </w:tc>
        <w:tc>
          <w:tcPr>
            <w:tcW w:w="4960" w:type="dxa"/>
            <w:vAlign w:val="bottom"/>
            <w:gridSpan w:val="4"/>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Arial" w:cs="Arial" w:eastAsia="Arial" w:hAnsi="Arial"/>
                <w:sz w:val="18"/>
                <w:szCs w:val="18"/>
                <w:color w:val="auto"/>
              </w:rPr>
              <w:t>20</w:t>
            </w:r>
          </w:p>
        </w:tc>
      </w:tr>
      <w:tr>
        <w:trPr>
          <w:trHeight w:val="179"/>
        </w:trPr>
        <w:tc>
          <w:tcPr>
            <w:tcW w:w="180" w:type="dxa"/>
            <w:vAlign w:val="bottom"/>
          </w:tcPr>
          <w:p>
            <w:pPr>
              <w:spacing w:after="0"/>
              <w:rPr>
                <w:sz w:val="15"/>
                <w:szCs w:val="15"/>
                <w:color w:val="auto"/>
              </w:rPr>
            </w:pPr>
          </w:p>
        </w:tc>
        <w:tc>
          <w:tcPr>
            <w:tcW w:w="2460" w:type="dxa"/>
            <w:vAlign w:val="bottom"/>
            <w:tcBorders>
              <w:bottom w:val="single" w:sz="8" w:color="0000EE"/>
            </w:tcBorders>
            <w:gridSpan w:val="12"/>
          </w:tcPr>
          <w:p>
            <w:pPr>
              <w:spacing w:after="0" w:line="180" w:lineRule="exact"/>
              <w:rPr>
                <w:rFonts w:ascii="Arial" w:cs="Arial" w:eastAsia="Arial" w:hAnsi="Arial"/>
                <w:sz w:val="18"/>
                <w:szCs w:val="18"/>
                <w:color w:val="0000EE"/>
                <w:w w:val="97"/>
              </w:rPr>
            </w:pPr>
            <w:hyperlink w:anchor="page27">
              <w:r>
                <w:rPr>
                  <w:rFonts w:ascii="Arial" w:cs="Arial" w:eastAsia="Arial" w:hAnsi="Arial"/>
                  <w:sz w:val="18"/>
                  <w:szCs w:val="18"/>
                  <w:color w:val="0000EE"/>
                  <w:w w:val="97"/>
                </w:rPr>
                <w:t>Corporate Social Responsibility</w:t>
              </w:r>
            </w:hyperlink>
          </w:p>
        </w:tc>
        <w:tc>
          <w:tcPr>
            <w:tcW w:w="7560" w:type="dxa"/>
            <w:vAlign w:val="bottom"/>
            <w:gridSpan w:val="24"/>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Arial" w:cs="Arial" w:eastAsia="Arial" w:hAnsi="Arial"/>
                <w:sz w:val="18"/>
                <w:szCs w:val="18"/>
                <w:color w:val="auto"/>
              </w:rPr>
              <w:t>22</w:t>
            </w:r>
          </w:p>
        </w:tc>
      </w:tr>
      <w:tr>
        <w:trPr>
          <w:trHeight w:val="179"/>
        </w:trPr>
        <w:tc>
          <w:tcPr>
            <w:tcW w:w="180" w:type="dxa"/>
            <w:vAlign w:val="bottom"/>
          </w:tcPr>
          <w:p>
            <w:pPr>
              <w:spacing w:after="0"/>
              <w:rPr>
                <w:sz w:val="15"/>
                <w:szCs w:val="15"/>
                <w:color w:val="auto"/>
              </w:rPr>
            </w:pPr>
          </w:p>
        </w:tc>
        <w:tc>
          <w:tcPr>
            <w:tcW w:w="10020" w:type="dxa"/>
            <w:vAlign w:val="bottom"/>
            <w:gridSpan w:val="36"/>
          </w:tcPr>
          <w:p>
            <w:pPr>
              <w:spacing w:after="0" w:line="180" w:lineRule="exact"/>
              <w:rPr>
                <w:rFonts w:ascii="Arial" w:cs="Arial" w:eastAsia="Arial" w:hAnsi="Arial"/>
                <w:sz w:val="18"/>
                <w:szCs w:val="18"/>
                <w:color w:val="0000EE"/>
              </w:rPr>
            </w:pPr>
            <w:hyperlink w:anchor="page29">
              <w:r>
                <w:rPr>
                  <w:rFonts w:ascii="Arial" w:cs="Arial" w:eastAsia="Arial" w:hAnsi="Arial"/>
                  <w:sz w:val="18"/>
                  <w:szCs w:val="18"/>
                  <w:color w:val="0000EE"/>
                </w:rPr>
                <w:t>Stockholder Communications Policy</w:t>
              </w:r>
            </w:hyperlink>
          </w:p>
        </w:tc>
        <w:tc>
          <w:tcPr>
            <w:tcW w:w="660" w:type="dxa"/>
            <w:vAlign w:val="bottom"/>
          </w:tcPr>
          <w:p>
            <w:pPr>
              <w:jc w:val="right"/>
              <w:spacing w:after="0" w:line="180" w:lineRule="exact"/>
              <w:rPr>
                <w:sz w:val="20"/>
                <w:szCs w:val="20"/>
                <w:color w:val="auto"/>
              </w:rPr>
            </w:pPr>
            <w:r>
              <w:rPr>
                <w:rFonts w:ascii="Arial" w:cs="Arial" w:eastAsia="Arial" w:hAnsi="Arial"/>
                <w:sz w:val="18"/>
                <w:szCs w:val="18"/>
                <w:color w:val="auto"/>
              </w:rPr>
              <w:t>24</w:t>
            </w:r>
          </w:p>
        </w:tc>
      </w:tr>
      <w:tr>
        <w:trPr>
          <w:trHeight w:val="20"/>
        </w:trPr>
        <w:tc>
          <w:tcPr>
            <w:tcW w:w="180" w:type="dxa"/>
            <w:vAlign w:val="bottom"/>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20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86"/>
        </w:trPr>
        <w:tc>
          <w:tcPr>
            <w:tcW w:w="10200" w:type="dxa"/>
            <w:vAlign w:val="bottom"/>
            <w:gridSpan w:val="37"/>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EXECUTIVE COMPENSATION</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180" w:type="dxa"/>
            <w:vAlign w:val="bottom"/>
            <w:tcBorders>
              <w:top w:val="single" w:sz="8" w:color="0000EE"/>
              <w:bottom w:val="single" w:sz="8" w:color="00548B"/>
            </w:tcBorders>
          </w:tcPr>
          <w:p>
            <w:pPr>
              <w:spacing w:after="0" w:line="20" w:lineRule="exact"/>
              <w:rPr>
                <w:sz w:val="1"/>
                <w:szCs w:val="1"/>
                <w:color w:val="auto"/>
              </w:rPr>
            </w:pPr>
          </w:p>
        </w:tc>
        <w:tc>
          <w:tcPr>
            <w:tcW w:w="128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340" w:type="dxa"/>
            <w:vAlign w:val="bottom"/>
            <w:tcBorders>
              <w:top w:val="single" w:sz="8" w:color="0000EE"/>
              <w:bottom w:val="single" w:sz="8" w:color="00548B"/>
            </w:tcBorders>
          </w:tcPr>
          <w:p>
            <w:pPr>
              <w:spacing w:after="0" w:line="20" w:lineRule="exact"/>
              <w:rPr>
                <w:sz w:val="1"/>
                <w:szCs w:val="1"/>
                <w:color w:val="auto"/>
              </w:rPr>
            </w:pPr>
          </w:p>
        </w:tc>
        <w:tc>
          <w:tcPr>
            <w:tcW w:w="24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12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80" w:type="dxa"/>
            <w:vAlign w:val="bottom"/>
            <w:tcBorders>
              <w:bottom w:val="single" w:sz="8" w:color="00548B"/>
            </w:tcBorders>
          </w:tcPr>
          <w:p>
            <w:pPr>
              <w:spacing w:after="0" w:line="20" w:lineRule="exact"/>
              <w:rPr>
                <w:sz w:val="1"/>
                <w:szCs w:val="1"/>
                <w:color w:val="auto"/>
              </w:rPr>
            </w:pPr>
          </w:p>
        </w:tc>
        <w:tc>
          <w:tcPr>
            <w:tcW w:w="80" w:type="dxa"/>
            <w:vAlign w:val="bottom"/>
            <w:tcBorders>
              <w:bottom w:val="single" w:sz="8" w:color="00548B"/>
            </w:tcBorders>
          </w:tcPr>
          <w:p>
            <w:pPr>
              <w:spacing w:after="0" w:line="20" w:lineRule="exact"/>
              <w:rPr>
                <w:sz w:val="1"/>
                <w:szCs w:val="1"/>
                <w:color w:val="auto"/>
              </w:rPr>
            </w:pPr>
          </w:p>
        </w:tc>
        <w:tc>
          <w:tcPr>
            <w:tcW w:w="2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40" w:type="dxa"/>
            <w:vAlign w:val="bottom"/>
            <w:tcBorders>
              <w:bottom w:val="single" w:sz="8" w:color="00548B"/>
            </w:tcBorders>
          </w:tcPr>
          <w:p>
            <w:pPr>
              <w:spacing w:after="0" w:line="20" w:lineRule="exact"/>
              <w:rPr>
                <w:sz w:val="1"/>
                <w:szCs w:val="1"/>
                <w:color w:val="auto"/>
              </w:rPr>
            </w:pPr>
          </w:p>
        </w:tc>
        <w:tc>
          <w:tcPr>
            <w:tcW w:w="60" w:type="dxa"/>
            <w:vAlign w:val="bottom"/>
            <w:tcBorders>
              <w:bottom w:val="single" w:sz="8" w:color="00548B"/>
            </w:tcBorders>
          </w:tcPr>
          <w:p>
            <w:pPr>
              <w:spacing w:after="0" w:line="20" w:lineRule="exact"/>
              <w:rPr>
                <w:sz w:val="1"/>
                <w:szCs w:val="1"/>
                <w:color w:val="auto"/>
              </w:rPr>
            </w:pPr>
          </w:p>
        </w:tc>
        <w:tc>
          <w:tcPr>
            <w:tcW w:w="4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40" w:type="dxa"/>
            <w:vAlign w:val="bottom"/>
            <w:tcBorders>
              <w:bottom w:val="single" w:sz="8" w:color="00548B"/>
            </w:tcBorders>
          </w:tcPr>
          <w:p>
            <w:pPr>
              <w:spacing w:after="0" w:line="20" w:lineRule="exact"/>
              <w:rPr>
                <w:sz w:val="1"/>
                <w:szCs w:val="1"/>
                <w:color w:val="auto"/>
              </w:rPr>
            </w:pPr>
          </w:p>
        </w:tc>
        <w:tc>
          <w:tcPr>
            <w:tcW w:w="24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20" w:type="dxa"/>
            <w:vAlign w:val="bottom"/>
            <w:tcBorders>
              <w:bottom w:val="single" w:sz="8" w:color="00548B"/>
            </w:tcBorders>
          </w:tcPr>
          <w:p>
            <w:pPr>
              <w:spacing w:after="0" w:line="20" w:lineRule="exact"/>
              <w:rPr>
                <w:sz w:val="1"/>
                <w:szCs w:val="1"/>
                <w:color w:val="auto"/>
              </w:rPr>
            </w:pPr>
          </w:p>
        </w:tc>
        <w:tc>
          <w:tcPr>
            <w:tcW w:w="140" w:type="dxa"/>
            <w:vAlign w:val="bottom"/>
            <w:tcBorders>
              <w:bottom w:val="single" w:sz="8" w:color="00548B"/>
            </w:tcBorders>
          </w:tcPr>
          <w:p>
            <w:pPr>
              <w:spacing w:after="0" w:line="20" w:lineRule="exact"/>
              <w:rPr>
                <w:sz w:val="1"/>
                <w:szCs w:val="1"/>
                <w:color w:val="auto"/>
              </w:rPr>
            </w:pPr>
          </w:p>
        </w:tc>
        <w:tc>
          <w:tcPr>
            <w:tcW w:w="20" w:type="dxa"/>
            <w:vAlign w:val="bottom"/>
            <w:tcBorders>
              <w:bottom w:val="single" w:sz="8" w:color="00548B"/>
            </w:tcBorders>
          </w:tcPr>
          <w:p>
            <w:pPr>
              <w:spacing w:after="0" w:line="20" w:lineRule="exact"/>
              <w:rPr>
                <w:sz w:val="1"/>
                <w:szCs w:val="1"/>
                <w:color w:val="auto"/>
              </w:rPr>
            </w:pPr>
          </w:p>
        </w:tc>
        <w:tc>
          <w:tcPr>
            <w:tcW w:w="360" w:type="dxa"/>
            <w:vAlign w:val="bottom"/>
            <w:tcBorders>
              <w:bottom w:val="single" w:sz="8" w:color="00548B"/>
            </w:tcBorders>
          </w:tcPr>
          <w:p>
            <w:pPr>
              <w:spacing w:after="0" w:line="20" w:lineRule="exact"/>
              <w:rPr>
                <w:sz w:val="1"/>
                <w:szCs w:val="1"/>
                <w:color w:val="auto"/>
              </w:rPr>
            </w:pPr>
          </w:p>
        </w:tc>
        <w:tc>
          <w:tcPr>
            <w:tcW w:w="2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200" w:type="dxa"/>
            <w:vAlign w:val="bottom"/>
            <w:tcBorders>
              <w:bottom w:val="single" w:sz="8" w:color="00548B"/>
            </w:tcBorders>
          </w:tcPr>
          <w:p>
            <w:pPr>
              <w:spacing w:after="0" w:line="20" w:lineRule="exact"/>
              <w:rPr>
                <w:sz w:val="1"/>
                <w:szCs w:val="1"/>
                <w:color w:val="auto"/>
              </w:rPr>
            </w:pPr>
          </w:p>
        </w:tc>
        <w:tc>
          <w:tcPr>
            <w:tcW w:w="560" w:type="dxa"/>
            <w:vAlign w:val="bottom"/>
            <w:tcBorders>
              <w:bottom w:val="single" w:sz="8" w:color="00548B"/>
            </w:tcBorders>
          </w:tcPr>
          <w:p>
            <w:pPr>
              <w:spacing w:after="0" w:line="20" w:lineRule="exact"/>
              <w:rPr>
                <w:sz w:val="1"/>
                <w:szCs w:val="1"/>
                <w:color w:val="auto"/>
              </w:rPr>
            </w:pPr>
          </w:p>
        </w:tc>
        <w:tc>
          <w:tcPr>
            <w:tcW w:w="180" w:type="dxa"/>
            <w:vAlign w:val="bottom"/>
            <w:tcBorders>
              <w:bottom w:val="single" w:sz="8" w:color="00548B"/>
            </w:tcBorders>
          </w:tcPr>
          <w:p>
            <w:pPr>
              <w:spacing w:after="0" w:line="20" w:lineRule="exact"/>
              <w:rPr>
                <w:sz w:val="1"/>
                <w:szCs w:val="1"/>
                <w:color w:val="auto"/>
              </w:rPr>
            </w:pPr>
          </w:p>
        </w:tc>
        <w:tc>
          <w:tcPr>
            <w:tcW w:w="16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2820" w:type="dxa"/>
            <w:vAlign w:val="bottom"/>
            <w:tcBorders>
              <w:bottom w:val="single" w:sz="8" w:color="00548B"/>
            </w:tcBorders>
          </w:tcPr>
          <w:p>
            <w:pPr>
              <w:spacing w:after="0" w:line="20" w:lineRule="exact"/>
              <w:rPr>
                <w:sz w:val="1"/>
                <w:szCs w:val="1"/>
                <w:color w:val="auto"/>
              </w:rPr>
            </w:pPr>
          </w:p>
        </w:tc>
        <w:tc>
          <w:tcPr>
            <w:tcW w:w="1400" w:type="dxa"/>
            <w:vAlign w:val="bottom"/>
            <w:tcBorders>
              <w:bottom w:val="single" w:sz="8" w:color="00548B"/>
            </w:tcBorders>
          </w:tcPr>
          <w:p>
            <w:pPr>
              <w:spacing w:after="0" w:line="20" w:lineRule="exact"/>
              <w:rPr>
                <w:sz w:val="1"/>
                <w:szCs w:val="1"/>
                <w:color w:val="auto"/>
              </w:rPr>
            </w:pPr>
          </w:p>
        </w:tc>
        <w:tc>
          <w:tcPr>
            <w:tcW w:w="360" w:type="dxa"/>
            <w:vAlign w:val="bottom"/>
            <w:tcBorders>
              <w:bottom w:val="single" w:sz="8" w:color="00548B"/>
            </w:tcBorders>
          </w:tcPr>
          <w:p>
            <w:pPr>
              <w:spacing w:after="0" w:line="20" w:lineRule="exact"/>
              <w:rPr>
                <w:sz w:val="1"/>
                <w:szCs w:val="1"/>
                <w:color w:val="auto"/>
              </w:rPr>
            </w:pPr>
          </w:p>
        </w:tc>
        <w:tc>
          <w:tcPr>
            <w:tcW w:w="380" w:type="dxa"/>
            <w:vAlign w:val="bottom"/>
            <w:tcBorders>
              <w:bottom w:val="single" w:sz="8" w:color="00548B"/>
            </w:tcBorders>
          </w:tcPr>
          <w:p>
            <w:pPr>
              <w:spacing w:after="0" w:line="20" w:lineRule="exact"/>
              <w:rPr>
                <w:sz w:val="1"/>
                <w:szCs w:val="1"/>
                <w:color w:val="auto"/>
              </w:rPr>
            </w:pPr>
          </w:p>
        </w:tc>
        <w:tc>
          <w:tcPr>
            <w:tcW w:w="660" w:type="dxa"/>
            <w:vAlign w:val="bottom"/>
            <w:tcBorders>
              <w:bottom w:val="single" w:sz="8" w:color="00548B"/>
            </w:tcBorders>
          </w:tcPr>
          <w:p>
            <w:pPr>
              <w:spacing w:after="0" w:line="20" w:lineRule="exact"/>
              <w:rPr>
                <w:sz w:val="1"/>
                <w:szCs w:val="1"/>
                <w:color w:val="auto"/>
              </w:rPr>
            </w:pPr>
          </w:p>
        </w:tc>
      </w:tr>
      <w:tr>
        <w:trPr>
          <w:trHeight w:val="153"/>
        </w:trPr>
        <w:tc>
          <w:tcPr>
            <w:tcW w:w="180" w:type="dxa"/>
            <w:vAlign w:val="bottom"/>
          </w:tcPr>
          <w:p>
            <w:pPr>
              <w:spacing w:after="0"/>
              <w:rPr>
                <w:sz w:val="13"/>
                <w:szCs w:val="13"/>
                <w:color w:val="auto"/>
              </w:rPr>
            </w:pPr>
          </w:p>
        </w:tc>
        <w:tc>
          <w:tcPr>
            <w:tcW w:w="3100" w:type="dxa"/>
            <w:vAlign w:val="bottom"/>
            <w:tcBorders>
              <w:bottom w:val="single" w:sz="8" w:color="0000EE"/>
            </w:tcBorders>
            <w:gridSpan w:val="20"/>
          </w:tcPr>
          <w:p>
            <w:pPr>
              <w:spacing w:after="0" w:line="153" w:lineRule="exact"/>
              <w:rPr>
                <w:rFonts w:ascii="Arial" w:cs="Arial" w:eastAsia="Arial" w:hAnsi="Arial"/>
                <w:sz w:val="17"/>
                <w:szCs w:val="17"/>
                <w:color w:val="0000EE"/>
              </w:rPr>
            </w:pPr>
            <w:hyperlink w:anchor="page30">
              <w:r>
                <w:rPr>
                  <w:rFonts w:ascii="Arial" w:cs="Arial" w:eastAsia="Arial" w:hAnsi="Arial"/>
                  <w:sz w:val="17"/>
                  <w:szCs w:val="17"/>
                  <w:color w:val="0000EE"/>
                </w:rPr>
                <w:t>Compensation Discussion and Analysis</w:t>
              </w:r>
            </w:hyperlink>
          </w:p>
        </w:tc>
        <w:tc>
          <w:tcPr>
            <w:tcW w:w="6920" w:type="dxa"/>
            <w:vAlign w:val="bottom"/>
            <w:gridSpan w:val="16"/>
          </w:tcPr>
          <w:p>
            <w:pPr>
              <w:spacing w:after="0"/>
              <w:rPr>
                <w:sz w:val="13"/>
                <w:szCs w:val="13"/>
                <w:color w:val="auto"/>
              </w:rPr>
            </w:pPr>
          </w:p>
        </w:tc>
        <w:tc>
          <w:tcPr>
            <w:tcW w:w="660" w:type="dxa"/>
            <w:vAlign w:val="bottom"/>
          </w:tcPr>
          <w:p>
            <w:pPr>
              <w:jc w:val="right"/>
              <w:spacing w:after="0" w:line="153" w:lineRule="exact"/>
              <w:rPr>
                <w:sz w:val="20"/>
                <w:szCs w:val="20"/>
                <w:color w:val="auto"/>
              </w:rPr>
            </w:pPr>
            <w:r>
              <w:rPr>
                <w:rFonts w:ascii="Arial" w:cs="Arial" w:eastAsia="Arial" w:hAnsi="Arial"/>
                <w:sz w:val="17"/>
                <w:szCs w:val="17"/>
                <w:color w:val="auto"/>
              </w:rPr>
              <w:t>25</w:t>
            </w:r>
          </w:p>
        </w:tc>
      </w:tr>
      <w:tr>
        <w:trPr>
          <w:trHeight w:val="179"/>
        </w:trPr>
        <w:tc>
          <w:tcPr>
            <w:tcW w:w="180" w:type="dxa"/>
            <w:vAlign w:val="bottom"/>
          </w:tcPr>
          <w:p>
            <w:pPr>
              <w:spacing w:after="0"/>
              <w:rPr>
                <w:sz w:val="15"/>
                <w:szCs w:val="15"/>
                <w:color w:val="auto"/>
              </w:rPr>
            </w:pPr>
          </w:p>
        </w:tc>
        <w:tc>
          <w:tcPr>
            <w:tcW w:w="10020" w:type="dxa"/>
            <w:vAlign w:val="bottom"/>
            <w:gridSpan w:val="36"/>
          </w:tcPr>
          <w:p>
            <w:pPr>
              <w:spacing w:after="0" w:line="180" w:lineRule="exact"/>
              <w:rPr>
                <w:rFonts w:ascii="Arial" w:cs="Arial" w:eastAsia="Arial" w:hAnsi="Arial"/>
                <w:sz w:val="18"/>
                <w:szCs w:val="18"/>
                <w:color w:val="0000EE"/>
              </w:rPr>
            </w:pPr>
            <w:hyperlink w:anchor="page43">
              <w:r>
                <w:rPr>
                  <w:rFonts w:ascii="Arial" w:cs="Arial" w:eastAsia="Arial" w:hAnsi="Arial"/>
                  <w:sz w:val="18"/>
                  <w:szCs w:val="18"/>
                  <w:color w:val="0000EE"/>
                </w:rPr>
                <w:t>Compensation Committee Report</w:t>
              </w:r>
            </w:hyperlink>
          </w:p>
        </w:tc>
        <w:tc>
          <w:tcPr>
            <w:tcW w:w="660" w:type="dxa"/>
            <w:vAlign w:val="bottom"/>
          </w:tcPr>
          <w:p>
            <w:pPr>
              <w:jc w:val="right"/>
              <w:spacing w:after="0" w:line="180" w:lineRule="exact"/>
              <w:rPr>
                <w:sz w:val="20"/>
                <w:szCs w:val="20"/>
                <w:color w:val="auto"/>
              </w:rPr>
            </w:pPr>
            <w:r>
              <w:rPr>
                <w:rFonts w:ascii="Arial" w:cs="Arial" w:eastAsia="Arial" w:hAnsi="Arial"/>
                <w:sz w:val="18"/>
                <w:szCs w:val="18"/>
                <w:color w:val="auto"/>
              </w:rPr>
              <w:t>38</w:t>
            </w:r>
          </w:p>
        </w:tc>
      </w:tr>
      <w:tr>
        <w:trPr>
          <w:trHeight w:val="20"/>
        </w:trPr>
        <w:tc>
          <w:tcPr>
            <w:tcW w:w="180" w:type="dxa"/>
            <w:vAlign w:val="bottom"/>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360" w:type="dxa"/>
            <w:vAlign w:val="bottom"/>
            <w:gridSpan w:val="5"/>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9"/>
        </w:trPr>
        <w:tc>
          <w:tcPr>
            <w:tcW w:w="180" w:type="dxa"/>
            <w:vAlign w:val="bottom"/>
          </w:tcPr>
          <w:p>
            <w:pPr>
              <w:spacing w:after="0"/>
              <w:rPr>
                <w:sz w:val="15"/>
                <w:szCs w:val="15"/>
                <w:color w:val="auto"/>
              </w:rPr>
            </w:pPr>
          </w:p>
        </w:tc>
        <w:tc>
          <w:tcPr>
            <w:tcW w:w="10020" w:type="dxa"/>
            <w:vAlign w:val="bottom"/>
            <w:gridSpan w:val="36"/>
          </w:tcPr>
          <w:p>
            <w:pPr>
              <w:spacing w:after="0" w:line="180" w:lineRule="exact"/>
              <w:rPr>
                <w:rFonts w:ascii="Arial" w:cs="Arial" w:eastAsia="Arial" w:hAnsi="Arial"/>
                <w:sz w:val="18"/>
                <w:szCs w:val="18"/>
                <w:color w:val="0000EE"/>
              </w:rPr>
            </w:pPr>
            <w:hyperlink w:anchor="page44">
              <w:r>
                <w:rPr>
                  <w:rFonts w:ascii="Arial" w:cs="Arial" w:eastAsia="Arial" w:hAnsi="Arial"/>
                  <w:sz w:val="18"/>
                  <w:szCs w:val="18"/>
                  <w:color w:val="0000EE"/>
                </w:rPr>
                <w:t>2021 Summary Compensation Table</w:t>
              </w:r>
            </w:hyperlink>
          </w:p>
        </w:tc>
        <w:tc>
          <w:tcPr>
            <w:tcW w:w="660" w:type="dxa"/>
            <w:vAlign w:val="bottom"/>
          </w:tcPr>
          <w:p>
            <w:pPr>
              <w:jc w:val="right"/>
              <w:spacing w:after="0" w:line="180" w:lineRule="exact"/>
              <w:rPr>
                <w:sz w:val="20"/>
                <w:szCs w:val="20"/>
                <w:color w:val="auto"/>
              </w:rPr>
            </w:pPr>
            <w:r>
              <w:rPr>
                <w:rFonts w:ascii="Arial" w:cs="Arial" w:eastAsia="Arial" w:hAnsi="Arial"/>
                <w:sz w:val="18"/>
                <w:szCs w:val="18"/>
                <w:color w:val="auto"/>
              </w:rPr>
              <w:t>39</w:t>
            </w:r>
          </w:p>
        </w:tc>
      </w:tr>
      <w:tr>
        <w:trPr>
          <w:trHeight w:val="179"/>
        </w:trPr>
        <w:tc>
          <w:tcPr>
            <w:tcW w:w="180" w:type="dxa"/>
            <w:vAlign w:val="bottom"/>
          </w:tcPr>
          <w:p>
            <w:pPr>
              <w:spacing w:after="0"/>
              <w:rPr>
                <w:sz w:val="15"/>
                <w:szCs w:val="15"/>
                <w:color w:val="auto"/>
              </w:rPr>
            </w:pPr>
          </w:p>
        </w:tc>
        <w:tc>
          <w:tcPr>
            <w:tcW w:w="2820" w:type="dxa"/>
            <w:vAlign w:val="bottom"/>
            <w:tcBorders>
              <w:top w:val="single" w:sz="8" w:color="0000EE"/>
              <w:bottom w:val="single" w:sz="8" w:color="0000EE"/>
            </w:tcBorders>
            <w:gridSpan w:val="18"/>
          </w:tcPr>
          <w:p>
            <w:pPr>
              <w:spacing w:after="0" w:line="180" w:lineRule="exact"/>
              <w:rPr>
                <w:rFonts w:ascii="Arial" w:cs="Arial" w:eastAsia="Arial" w:hAnsi="Arial"/>
                <w:sz w:val="18"/>
                <w:szCs w:val="18"/>
                <w:color w:val="0000EE"/>
                <w:w w:val="98"/>
              </w:rPr>
            </w:pPr>
            <w:hyperlink w:anchor="page46">
              <w:r>
                <w:rPr>
                  <w:rFonts w:ascii="Arial" w:cs="Arial" w:eastAsia="Arial" w:hAnsi="Arial"/>
                  <w:sz w:val="18"/>
                  <w:szCs w:val="18"/>
                  <w:color w:val="0000EE"/>
                  <w:w w:val="98"/>
                </w:rPr>
                <w:t>2021 Grants of Plan-Based Awards</w:t>
              </w:r>
            </w:hyperlink>
          </w:p>
        </w:tc>
        <w:tc>
          <w:tcPr>
            <w:tcW w:w="40" w:type="dxa"/>
            <w:vAlign w:val="bottom"/>
            <w:tcBorders>
              <w:top w:val="single" w:sz="8" w:color="0000EE"/>
            </w:tcBorders>
          </w:tcPr>
          <w:p>
            <w:pPr>
              <w:spacing w:after="0"/>
              <w:rPr>
                <w:sz w:val="15"/>
                <w:szCs w:val="15"/>
                <w:color w:val="auto"/>
              </w:rPr>
            </w:pPr>
          </w:p>
        </w:tc>
        <w:tc>
          <w:tcPr>
            <w:tcW w:w="7160" w:type="dxa"/>
            <w:vAlign w:val="bottom"/>
            <w:gridSpan w:val="17"/>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Arial" w:cs="Arial" w:eastAsia="Arial" w:hAnsi="Arial"/>
                <w:sz w:val="18"/>
                <w:szCs w:val="18"/>
                <w:color w:val="auto"/>
              </w:rPr>
              <w:t>41</w:t>
            </w:r>
          </w:p>
        </w:tc>
      </w:tr>
      <w:tr>
        <w:trPr>
          <w:trHeight w:val="179"/>
        </w:trPr>
        <w:tc>
          <w:tcPr>
            <w:tcW w:w="180" w:type="dxa"/>
            <w:vAlign w:val="bottom"/>
          </w:tcPr>
          <w:p>
            <w:pPr>
              <w:spacing w:after="0"/>
              <w:rPr>
                <w:sz w:val="15"/>
                <w:szCs w:val="15"/>
                <w:color w:val="auto"/>
              </w:rPr>
            </w:pPr>
          </w:p>
        </w:tc>
        <w:tc>
          <w:tcPr>
            <w:tcW w:w="10020" w:type="dxa"/>
            <w:vAlign w:val="bottom"/>
            <w:gridSpan w:val="36"/>
          </w:tcPr>
          <w:p>
            <w:pPr>
              <w:spacing w:after="0" w:line="180" w:lineRule="exact"/>
              <w:rPr>
                <w:rFonts w:ascii="Arial" w:cs="Arial" w:eastAsia="Arial" w:hAnsi="Arial"/>
                <w:sz w:val="18"/>
                <w:szCs w:val="18"/>
                <w:color w:val="0000EE"/>
              </w:rPr>
            </w:pPr>
            <w:hyperlink w:anchor="page47">
              <w:r>
                <w:rPr>
                  <w:rFonts w:ascii="Arial" w:cs="Arial" w:eastAsia="Arial" w:hAnsi="Arial"/>
                  <w:sz w:val="18"/>
                  <w:szCs w:val="18"/>
                  <w:color w:val="0000EE"/>
                </w:rPr>
                <w:t>2021 Outstanding Equity Awards at Fiscal Year-End</w:t>
              </w:r>
            </w:hyperlink>
          </w:p>
        </w:tc>
        <w:tc>
          <w:tcPr>
            <w:tcW w:w="660" w:type="dxa"/>
            <w:vAlign w:val="bottom"/>
          </w:tcPr>
          <w:p>
            <w:pPr>
              <w:jc w:val="right"/>
              <w:spacing w:after="0" w:line="180" w:lineRule="exact"/>
              <w:rPr>
                <w:sz w:val="20"/>
                <w:szCs w:val="20"/>
                <w:color w:val="auto"/>
              </w:rPr>
            </w:pPr>
            <w:r>
              <w:rPr>
                <w:rFonts w:ascii="Arial" w:cs="Arial" w:eastAsia="Arial" w:hAnsi="Arial"/>
                <w:sz w:val="18"/>
                <w:szCs w:val="18"/>
                <w:color w:val="auto"/>
              </w:rPr>
              <w:t>42</w:t>
            </w:r>
          </w:p>
        </w:tc>
      </w:tr>
      <w:tr>
        <w:trPr>
          <w:trHeight w:val="179"/>
        </w:trPr>
        <w:tc>
          <w:tcPr>
            <w:tcW w:w="180" w:type="dxa"/>
            <w:vAlign w:val="bottom"/>
          </w:tcPr>
          <w:p>
            <w:pPr>
              <w:spacing w:after="0"/>
              <w:rPr>
                <w:sz w:val="15"/>
                <w:szCs w:val="15"/>
                <w:color w:val="auto"/>
              </w:rPr>
            </w:pPr>
          </w:p>
        </w:tc>
        <w:tc>
          <w:tcPr>
            <w:tcW w:w="4060" w:type="dxa"/>
            <w:vAlign w:val="bottom"/>
            <w:tcBorders>
              <w:top w:val="single" w:sz="8" w:color="0000EE"/>
            </w:tcBorders>
            <w:gridSpan w:val="28"/>
          </w:tcPr>
          <w:p>
            <w:pPr>
              <w:spacing w:after="0" w:line="180" w:lineRule="exact"/>
              <w:rPr>
                <w:rFonts w:ascii="Arial" w:cs="Arial" w:eastAsia="Arial" w:hAnsi="Arial"/>
                <w:sz w:val="18"/>
                <w:szCs w:val="18"/>
                <w:color w:val="0000EE"/>
              </w:rPr>
            </w:pPr>
            <w:hyperlink w:anchor="page48">
              <w:r>
                <w:rPr>
                  <w:rFonts w:ascii="Arial" w:cs="Arial" w:eastAsia="Arial" w:hAnsi="Arial"/>
                  <w:sz w:val="18"/>
                  <w:szCs w:val="18"/>
                  <w:color w:val="0000EE"/>
                </w:rPr>
                <w:t>2021 Option Exercises and Stock Vested</w:t>
              </w:r>
            </w:hyperlink>
          </w:p>
        </w:tc>
        <w:tc>
          <w:tcPr>
            <w:tcW w:w="5960" w:type="dxa"/>
            <w:vAlign w:val="bottom"/>
            <w:gridSpan w:val="8"/>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Arial" w:cs="Arial" w:eastAsia="Arial" w:hAnsi="Arial"/>
                <w:sz w:val="18"/>
                <w:szCs w:val="18"/>
                <w:color w:val="auto"/>
              </w:rPr>
              <w:t>43</w:t>
            </w:r>
          </w:p>
        </w:tc>
      </w:tr>
      <w:tr>
        <w:trPr>
          <w:trHeight w:val="20"/>
        </w:trPr>
        <w:tc>
          <w:tcPr>
            <w:tcW w:w="180" w:type="dxa"/>
            <w:vAlign w:val="bottom"/>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360" w:type="dxa"/>
            <w:vAlign w:val="bottom"/>
            <w:gridSpan w:val="5"/>
            <w:shd w:val="clear" w:color="auto" w:fill="0000EE"/>
          </w:tcPr>
          <w:p>
            <w:pPr>
              <w:spacing w:after="0" w:line="20" w:lineRule="exact"/>
              <w:rPr>
                <w:sz w:val="1"/>
                <w:szCs w:val="1"/>
                <w:color w:val="auto"/>
              </w:rPr>
            </w:pPr>
          </w:p>
        </w:tc>
        <w:tc>
          <w:tcPr>
            <w:tcW w:w="820" w:type="dxa"/>
            <w:vAlign w:val="bottom"/>
            <w:gridSpan w:val="10"/>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9"/>
        </w:trPr>
        <w:tc>
          <w:tcPr>
            <w:tcW w:w="180" w:type="dxa"/>
            <w:vAlign w:val="bottom"/>
          </w:tcPr>
          <w:p>
            <w:pPr>
              <w:spacing w:after="0"/>
              <w:rPr>
                <w:sz w:val="15"/>
                <w:szCs w:val="15"/>
                <w:color w:val="auto"/>
              </w:rPr>
            </w:pPr>
          </w:p>
        </w:tc>
        <w:tc>
          <w:tcPr>
            <w:tcW w:w="3360" w:type="dxa"/>
            <w:vAlign w:val="bottom"/>
            <w:tcBorders>
              <w:bottom w:val="single" w:sz="8" w:color="0000EE"/>
            </w:tcBorders>
            <w:gridSpan w:val="23"/>
          </w:tcPr>
          <w:p>
            <w:pPr>
              <w:spacing w:after="0" w:line="180" w:lineRule="exact"/>
              <w:rPr>
                <w:rFonts w:ascii="Arial" w:cs="Arial" w:eastAsia="Arial" w:hAnsi="Arial"/>
                <w:sz w:val="18"/>
                <w:szCs w:val="18"/>
                <w:color w:val="0000EE"/>
                <w:w w:val="97"/>
              </w:rPr>
            </w:pPr>
            <w:hyperlink w:anchor="page48">
              <w:r>
                <w:rPr>
                  <w:rFonts w:ascii="Arial" w:cs="Arial" w:eastAsia="Arial" w:hAnsi="Arial"/>
                  <w:sz w:val="18"/>
                  <w:szCs w:val="18"/>
                  <w:color w:val="0000EE"/>
                  <w:w w:val="97"/>
                </w:rPr>
                <w:t>2021 Nonqualified Deferred Compensation</w:t>
              </w:r>
            </w:hyperlink>
          </w:p>
        </w:tc>
        <w:tc>
          <w:tcPr>
            <w:tcW w:w="6660" w:type="dxa"/>
            <w:vAlign w:val="bottom"/>
            <w:gridSpan w:val="13"/>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Arial" w:cs="Arial" w:eastAsia="Arial" w:hAnsi="Arial"/>
                <w:sz w:val="18"/>
                <w:szCs w:val="18"/>
                <w:color w:val="auto"/>
              </w:rPr>
              <w:t>43</w:t>
            </w:r>
          </w:p>
        </w:tc>
      </w:tr>
      <w:tr>
        <w:trPr>
          <w:trHeight w:val="179"/>
        </w:trPr>
        <w:tc>
          <w:tcPr>
            <w:tcW w:w="180" w:type="dxa"/>
            <w:vAlign w:val="bottom"/>
          </w:tcPr>
          <w:p>
            <w:pPr>
              <w:spacing w:after="0"/>
              <w:rPr>
                <w:sz w:val="15"/>
                <w:szCs w:val="15"/>
                <w:color w:val="auto"/>
              </w:rPr>
            </w:pPr>
          </w:p>
        </w:tc>
        <w:tc>
          <w:tcPr>
            <w:tcW w:w="10020" w:type="dxa"/>
            <w:vAlign w:val="bottom"/>
            <w:gridSpan w:val="36"/>
          </w:tcPr>
          <w:p>
            <w:pPr>
              <w:spacing w:after="0" w:line="180" w:lineRule="exact"/>
              <w:rPr>
                <w:rFonts w:ascii="Arial" w:cs="Arial" w:eastAsia="Arial" w:hAnsi="Arial"/>
                <w:sz w:val="18"/>
                <w:szCs w:val="18"/>
                <w:color w:val="0000EE"/>
              </w:rPr>
            </w:pPr>
            <w:hyperlink w:anchor="page49">
              <w:r>
                <w:rPr>
                  <w:rFonts w:ascii="Arial" w:cs="Arial" w:eastAsia="Arial" w:hAnsi="Arial"/>
                  <w:sz w:val="18"/>
                  <w:szCs w:val="18"/>
                  <w:color w:val="0000EE"/>
                </w:rPr>
                <w:t>Potential Payments upon Termination or Change of Control</w:t>
              </w:r>
            </w:hyperlink>
          </w:p>
        </w:tc>
        <w:tc>
          <w:tcPr>
            <w:tcW w:w="660" w:type="dxa"/>
            <w:vAlign w:val="bottom"/>
          </w:tcPr>
          <w:p>
            <w:pPr>
              <w:jc w:val="right"/>
              <w:spacing w:after="0" w:line="180" w:lineRule="exact"/>
              <w:rPr>
                <w:sz w:val="20"/>
                <w:szCs w:val="20"/>
                <w:color w:val="auto"/>
              </w:rPr>
            </w:pPr>
            <w:r>
              <w:rPr>
                <w:rFonts w:ascii="Arial" w:cs="Arial" w:eastAsia="Arial" w:hAnsi="Arial"/>
                <w:sz w:val="18"/>
                <w:szCs w:val="18"/>
                <w:color w:val="auto"/>
              </w:rPr>
              <w:t>44</w:t>
            </w:r>
          </w:p>
        </w:tc>
      </w:tr>
      <w:tr>
        <w:trPr>
          <w:trHeight w:val="20"/>
        </w:trPr>
        <w:tc>
          <w:tcPr>
            <w:tcW w:w="180" w:type="dxa"/>
            <w:vAlign w:val="bottom"/>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360" w:type="dxa"/>
            <w:vAlign w:val="bottom"/>
            <w:gridSpan w:val="5"/>
            <w:shd w:val="clear" w:color="auto" w:fill="0000EE"/>
          </w:tcPr>
          <w:p>
            <w:pPr>
              <w:spacing w:after="0" w:line="20" w:lineRule="exact"/>
              <w:rPr>
                <w:sz w:val="1"/>
                <w:szCs w:val="1"/>
                <w:color w:val="auto"/>
              </w:rPr>
            </w:pPr>
          </w:p>
        </w:tc>
        <w:tc>
          <w:tcPr>
            <w:tcW w:w="1360" w:type="dxa"/>
            <w:vAlign w:val="bottom"/>
            <w:gridSpan w:val="1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9"/>
        </w:trPr>
        <w:tc>
          <w:tcPr>
            <w:tcW w:w="180" w:type="dxa"/>
            <w:vAlign w:val="bottom"/>
          </w:tcPr>
          <w:p>
            <w:pPr>
              <w:spacing w:after="0"/>
              <w:rPr>
                <w:sz w:val="15"/>
                <w:szCs w:val="15"/>
                <w:color w:val="auto"/>
              </w:rPr>
            </w:pPr>
          </w:p>
        </w:tc>
        <w:tc>
          <w:tcPr>
            <w:tcW w:w="10020" w:type="dxa"/>
            <w:vAlign w:val="bottom"/>
            <w:gridSpan w:val="36"/>
          </w:tcPr>
          <w:p>
            <w:pPr>
              <w:spacing w:after="0" w:line="180" w:lineRule="exact"/>
              <w:rPr>
                <w:rFonts w:ascii="Arial" w:cs="Arial" w:eastAsia="Arial" w:hAnsi="Arial"/>
                <w:sz w:val="18"/>
                <w:szCs w:val="18"/>
                <w:color w:val="0000EE"/>
              </w:rPr>
            </w:pPr>
            <w:hyperlink w:anchor="page55">
              <w:r>
                <w:rPr>
                  <w:rFonts w:ascii="Arial" w:cs="Arial" w:eastAsia="Arial" w:hAnsi="Arial"/>
                  <w:sz w:val="18"/>
                  <w:szCs w:val="18"/>
                  <w:color w:val="0000EE"/>
                </w:rPr>
                <w:t>Compensation Committee Interlocks and Insider Participation</w:t>
              </w:r>
            </w:hyperlink>
          </w:p>
        </w:tc>
        <w:tc>
          <w:tcPr>
            <w:tcW w:w="660" w:type="dxa"/>
            <w:vAlign w:val="bottom"/>
          </w:tcPr>
          <w:p>
            <w:pPr>
              <w:jc w:val="right"/>
              <w:spacing w:after="0" w:line="180" w:lineRule="exact"/>
              <w:rPr>
                <w:sz w:val="20"/>
                <w:szCs w:val="20"/>
                <w:color w:val="auto"/>
              </w:rPr>
            </w:pPr>
            <w:r>
              <w:rPr>
                <w:rFonts w:ascii="Arial" w:cs="Arial" w:eastAsia="Arial" w:hAnsi="Arial"/>
                <w:sz w:val="18"/>
                <w:szCs w:val="18"/>
                <w:color w:val="auto"/>
              </w:rPr>
              <w:t>50</w:t>
            </w:r>
          </w:p>
        </w:tc>
      </w:tr>
      <w:tr>
        <w:trPr>
          <w:trHeight w:val="179"/>
        </w:trPr>
        <w:tc>
          <w:tcPr>
            <w:tcW w:w="180" w:type="dxa"/>
            <w:vAlign w:val="bottom"/>
          </w:tcPr>
          <w:p>
            <w:pPr>
              <w:spacing w:after="0"/>
              <w:rPr>
                <w:sz w:val="15"/>
                <w:szCs w:val="15"/>
                <w:color w:val="auto"/>
              </w:rPr>
            </w:pPr>
          </w:p>
        </w:tc>
        <w:tc>
          <w:tcPr>
            <w:tcW w:w="4800" w:type="dxa"/>
            <w:vAlign w:val="bottom"/>
            <w:tcBorders>
              <w:top w:val="single" w:sz="8" w:color="0000EE"/>
            </w:tcBorders>
            <w:gridSpan w:val="30"/>
          </w:tcPr>
          <w:p>
            <w:pPr>
              <w:spacing w:after="0" w:line="180" w:lineRule="exact"/>
              <w:rPr>
                <w:rFonts w:ascii="Arial" w:cs="Arial" w:eastAsia="Arial" w:hAnsi="Arial"/>
                <w:sz w:val="18"/>
                <w:szCs w:val="18"/>
                <w:color w:val="0000EE"/>
              </w:rPr>
            </w:pPr>
            <w:hyperlink w:anchor="page55">
              <w:r>
                <w:rPr>
                  <w:rFonts w:ascii="Arial" w:cs="Arial" w:eastAsia="Arial" w:hAnsi="Arial"/>
                  <w:sz w:val="18"/>
                  <w:szCs w:val="18"/>
                  <w:color w:val="0000EE"/>
                </w:rPr>
                <w:t>Certain Relationships and Related Transactions</w:t>
              </w:r>
            </w:hyperlink>
          </w:p>
        </w:tc>
        <w:tc>
          <w:tcPr>
            <w:tcW w:w="5220" w:type="dxa"/>
            <w:vAlign w:val="bottom"/>
            <w:gridSpan w:val="6"/>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Arial" w:cs="Arial" w:eastAsia="Arial" w:hAnsi="Arial"/>
                <w:sz w:val="18"/>
                <w:szCs w:val="18"/>
                <w:color w:val="auto"/>
              </w:rPr>
              <w:t>50</w:t>
            </w:r>
          </w:p>
        </w:tc>
      </w:tr>
      <w:tr>
        <w:trPr>
          <w:trHeight w:val="20"/>
        </w:trPr>
        <w:tc>
          <w:tcPr>
            <w:tcW w:w="180" w:type="dxa"/>
            <w:vAlign w:val="bottom"/>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360" w:type="dxa"/>
            <w:vAlign w:val="bottom"/>
            <w:gridSpan w:val="5"/>
            <w:shd w:val="clear" w:color="auto" w:fill="0000EE"/>
          </w:tcPr>
          <w:p>
            <w:pPr>
              <w:spacing w:after="0" w:line="20" w:lineRule="exact"/>
              <w:rPr>
                <w:sz w:val="1"/>
                <w:szCs w:val="1"/>
                <w:color w:val="auto"/>
              </w:rPr>
            </w:pPr>
          </w:p>
        </w:tc>
        <w:tc>
          <w:tcPr>
            <w:tcW w:w="1360" w:type="dxa"/>
            <w:vAlign w:val="bottom"/>
            <w:gridSpan w:val="1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20" w:type="dxa"/>
            <w:vAlign w:val="bottom"/>
            <w:gridSpan w:val="7"/>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86"/>
        </w:trPr>
        <w:tc>
          <w:tcPr>
            <w:tcW w:w="10200" w:type="dxa"/>
            <w:vAlign w:val="bottom"/>
            <w:gridSpan w:val="37"/>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PROPOSAL 2 — ADVISORY VOTE TO APPROVE THE COMPANY’S EXECUTIVE COMPENSATION</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0"/>
        </w:trPr>
        <w:tc>
          <w:tcPr>
            <w:tcW w:w="180" w:type="dxa"/>
            <w:vAlign w:val="bottom"/>
            <w:tcBorders>
              <w:top w:val="single" w:sz="8" w:color="0000EE"/>
              <w:bottom w:val="single" w:sz="8" w:color="00548B"/>
            </w:tcBorders>
          </w:tcPr>
          <w:p>
            <w:pPr>
              <w:spacing w:after="0" w:line="20" w:lineRule="exact"/>
              <w:rPr>
                <w:sz w:val="1"/>
                <w:szCs w:val="1"/>
                <w:color w:val="auto"/>
              </w:rPr>
            </w:pPr>
          </w:p>
        </w:tc>
        <w:tc>
          <w:tcPr>
            <w:tcW w:w="128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340" w:type="dxa"/>
            <w:vAlign w:val="bottom"/>
            <w:tcBorders>
              <w:top w:val="single" w:sz="8" w:color="0000EE"/>
              <w:bottom w:val="single" w:sz="8" w:color="00548B"/>
            </w:tcBorders>
          </w:tcPr>
          <w:p>
            <w:pPr>
              <w:spacing w:after="0" w:line="20" w:lineRule="exact"/>
              <w:rPr>
                <w:sz w:val="1"/>
                <w:szCs w:val="1"/>
                <w:color w:val="auto"/>
              </w:rPr>
            </w:pPr>
          </w:p>
        </w:tc>
        <w:tc>
          <w:tcPr>
            <w:tcW w:w="24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12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80" w:type="dxa"/>
            <w:vAlign w:val="bottom"/>
            <w:tcBorders>
              <w:top w:val="single" w:sz="8" w:color="0000EE"/>
              <w:bottom w:val="single" w:sz="8" w:color="00548B"/>
            </w:tcBorders>
          </w:tcPr>
          <w:p>
            <w:pPr>
              <w:spacing w:after="0" w:line="20" w:lineRule="exact"/>
              <w:rPr>
                <w:sz w:val="1"/>
                <w:szCs w:val="1"/>
                <w:color w:val="auto"/>
              </w:rPr>
            </w:pPr>
          </w:p>
        </w:tc>
        <w:tc>
          <w:tcPr>
            <w:tcW w:w="8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6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24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14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36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200" w:type="dxa"/>
            <w:vAlign w:val="bottom"/>
            <w:tcBorders>
              <w:top w:val="single" w:sz="8" w:color="0000EE"/>
              <w:bottom w:val="single" w:sz="8" w:color="00548B"/>
            </w:tcBorders>
          </w:tcPr>
          <w:p>
            <w:pPr>
              <w:spacing w:after="0" w:line="20" w:lineRule="exact"/>
              <w:rPr>
                <w:sz w:val="1"/>
                <w:szCs w:val="1"/>
                <w:color w:val="auto"/>
              </w:rPr>
            </w:pPr>
          </w:p>
        </w:tc>
        <w:tc>
          <w:tcPr>
            <w:tcW w:w="560" w:type="dxa"/>
            <w:vAlign w:val="bottom"/>
            <w:tcBorders>
              <w:top w:val="single" w:sz="8" w:color="0000EE"/>
              <w:bottom w:val="single" w:sz="8" w:color="00548B"/>
            </w:tcBorders>
          </w:tcPr>
          <w:p>
            <w:pPr>
              <w:spacing w:after="0" w:line="20" w:lineRule="exact"/>
              <w:rPr>
                <w:sz w:val="1"/>
                <w:szCs w:val="1"/>
                <w:color w:val="auto"/>
              </w:rPr>
            </w:pPr>
          </w:p>
        </w:tc>
        <w:tc>
          <w:tcPr>
            <w:tcW w:w="180" w:type="dxa"/>
            <w:vAlign w:val="bottom"/>
            <w:tcBorders>
              <w:top w:val="single" w:sz="8" w:color="0000EE"/>
              <w:bottom w:val="single" w:sz="8" w:color="00548B"/>
            </w:tcBorders>
          </w:tcPr>
          <w:p>
            <w:pPr>
              <w:spacing w:after="0" w:line="20" w:lineRule="exact"/>
              <w:rPr>
                <w:sz w:val="1"/>
                <w:szCs w:val="1"/>
                <w:color w:val="auto"/>
              </w:rPr>
            </w:pPr>
          </w:p>
        </w:tc>
        <w:tc>
          <w:tcPr>
            <w:tcW w:w="16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2820" w:type="dxa"/>
            <w:vAlign w:val="bottom"/>
            <w:tcBorders>
              <w:top w:val="single" w:sz="8" w:color="0000EE"/>
              <w:bottom w:val="single" w:sz="8" w:color="00548B"/>
            </w:tcBorders>
          </w:tcPr>
          <w:p>
            <w:pPr>
              <w:spacing w:after="0" w:line="20" w:lineRule="exact"/>
              <w:rPr>
                <w:sz w:val="1"/>
                <w:szCs w:val="1"/>
                <w:color w:val="auto"/>
              </w:rPr>
            </w:pPr>
          </w:p>
        </w:tc>
        <w:tc>
          <w:tcPr>
            <w:tcW w:w="1400" w:type="dxa"/>
            <w:vAlign w:val="bottom"/>
            <w:tcBorders>
              <w:bottom w:val="single" w:sz="8" w:color="00548B"/>
            </w:tcBorders>
          </w:tcPr>
          <w:p>
            <w:pPr>
              <w:spacing w:after="0" w:line="20" w:lineRule="exact"/>
              <w:rPr>
                <w:sz w:val="1"/>
                <w:szCs w:val="1"/>
                <w:color w:val="auto"/>
              </w:rPr>
            </w:pPr>
          </w:p>
        </w:tc>
        <w:tc>
          <w:tcPr>
            <w:tcW w:w="360" w:type="dxa"/>
            <w:vAlign w:val="bottom"/>
            <w:tcBorders>
              <w:bottom w:val="single" w:sz="8" w:color="00548B"/>
            </w:tcBorders>
          </w:tcPr>
          <w:p>
            <w:pPr>
              <w:spacing w:after="0" w:line="20" w:lineRule="exact"/>
              <w:rPr>
                <w:sz w:val="1"/>
                <w:szCs w:val="1"/>
                <w:color w:val="auto"/>
              </w:rPr>
            </w:pPr>
          </w:p>
        </w:tc>
        <w:tc>
          <w:tcPr>
            <w:tcW w:w="380" w:type="dxa"/>
            <w:vAlign w:val="bottom"/>
            <w:tcBorders>
              <w:bottom w:val="single" w:sz="8" w:color="00548B"/>
            </w:tcBorders>
          </w:tcPr>
          <w:p>
            <w:pPr>
              <w:spacing w:after="0" w:line="20" w:lineRule="exact"/>
              <w:rPr>
                <w:sz w:val="1"/>
                <w:szCs w:val="1"/>
                <w:color w:val="auto"/>
              </w:rPr>
            </w:pPr>
          </w:p>
        </w:tc>
        <w:tc>
          <w:tcPr>
            <w:tcW w:w="660" w:type="dxa"/>
            <w:vAlign w:val="bottom"/>
            <w:tcBorders>
              <w:bottom w:val="single" w:sz="8" w:color="00548B"/>
            </w:tcBorders>
          </w:tcPr>
          <w:p>
            <w:pPr>
              <w:spacing w:after="0" w:line="20" w:lineRule="exact"/>
              <w:rPr>
                <w:sz w:val="1"/>
                <w:szCs w:val="1"/>
                <w:color w:val="auto"/>
              </w:rPr>
            </w:pPr>
          </w:p>
        </w:tc>
      </w:tr>
      <w:tr>
        <w:trPr>
          <w:trHeight w:val="246"/>
        </w:trPr>
        <w:tc>
          <w:tcPr>
            <w:tcW w:w="10200" w:type="dxa"/>
            <w:vAlign w:val="bottom"/>
            <w:gridSpan w:val="37"/>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PROPOSAL 3 — RATIFICATION OF APPOINTMENT OF INDEPENDENT REGISTERED PUBLIC ACCOUNTING FIRM</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0"/>
        </w:trPr>
        <w:tc>
          <w:tcPr>
            <w:tcW w:w="180" w:type="dxa"/>
            <w:vAlign w:val="bottom"/>
            <w:tcBorders>
              <w:top w:val="single" w:sz="8" w:color="0000EE"/>
              <w:bottom w:val="single" w:sz="8" w:color="00548B"/>
            </w:tcBorders>
          </w:tcPr>
          <w:p>
            <w:pPr>
              <w:spacing w:after="0" w:line="20" w:lineRule="exact"/>
              <w:rPr>
                <w:sz w:val="1"/>
                <w:szCs w:val="1"/>
                <w:color w:val="auto"/>
              </w:rPr>
            </w:pPr>
          </w:p>
        </w:tc>
        <w:tc>
          <w:tcPr>
            <w:tcW w:w="128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340" w:type="dxa"/>
            <w:vAlign w:val="bottom"/>
            <w:tcBorders>
              <w:top w:val="single" w:sz="8" w:color="0000EE"/>
              <w:bottom w:val="single" w:sz="8" w:color="00548B"/>
            </w:tcBorders>
          </w:tcPr>
          <w:p>
            <w:pPr>
              <w:spacing w:after="0" w:line="20" w:lineRule="exact"/>
              <w:rPr>
                <w:sz w:val="1"/>
                <w:szCs w:val="1"/>
                <w:color w:val="auto"/>
              </w:rPr>
            </w:pPr>
          </w:p>
        </w:tc>
        <w:tc>
          <w:tcPr>
            <w:tcW w:w="24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12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80" w:type="dxa"/>
            <w:vAlign w:val="bottom"/>
            <w:tcBorders>
              <w:top w:val="single" w:sz="8" w:color="0000EE"/>
              <w:bottom w:val="single" w:sz="8" w:color="00548B"/>
            </w:tcBorders>
          </w:tcPr>
          <w:p>
            <w:pPr>
              <w:spacing w:after="0" w:line="20" w:lineRule="exact"/>
              <w:rPr>
                <w:sz w:val="1"/>
                <w:szCs w:val="1"/>
                <w:color w:val="auto"/>
              </w:rPr>
            </w:pPr>
          </w:p>
        </w:tc>
        <w:tc>
          <w:tcPr>
            <w:tcW w:w="8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6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24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14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36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200" w:type="dxa"/>
            <w:vAlign w:val="bottom"/>
            <w:tcBorders>
              <w:top w:val="single" w:sz="8" w:color="0000EE"/>
              <w:bottom w:val="single" w:sz="8" w:color="00548B"/>
            </w:tcBorders>
          </w:tcPr>
          <w:p>
            <w:pPr>
              <w:spacing w:after="0" w:line="20" w:lineRule="exact"/>
              <w:rPr>
                <w:sz w:val="1"/>
                <w:szCs w:val="1"/>
                <w:color w:val="auto"/>
              </w:rPr>
            </w:pPr>
          </w:p>
        </w:tc>
        <w:tc>
          <w:tcPr>
            <w:tcW w:w="560" w:type="dxa"/>
            <w:vAlign w:val="bottom"/>
            <w:tcBorders>
              <w:top w:val="single" w:sz="8" w:color="0000EE"/>
              <w:bottom w:val="single" w:sz="8" w:color="00548B"/>
            </w:tcBorders>
          </w:tcPr>
          <w:p>
            <w:pPr>
              <w:spacing w:after="0" w:line="20" w:lineRule="exact"/>
              <w:rPr>
                <w:sz w:val="1"/>
                <w:szCs w:val="1"/>
                <w:color w:val="auto"/>
              </w:rPr>
            </w:pPr>
          </w:p>
        </w:tc>
        <w:tc>
          <w:tcPr>
            <w:tcW w:w="180" w:type="dxa"/>
            <w:vAlign w:val="bottom"/>
            <w:tcBorders>
              <w:top w:val="single" w:sz="8" w:color="0000EE"/>
              <w:bottom w:val="single" w:sz="8" w:color="00548B"/>
            </w:tcBorders>
          </w:tcPr>
          <w:p>
            <w:pPr>
              <w:spacing w:after="0" w:line="20" w:lineRule="exact"/>
              <w:rPr>
                <w:sz w:val="1"/>
                <w:szCs w:val="1"/>
                <w:color w:val="auto"/>
              </w:rPr>
            </w:pPr>
          </w:p>
        </w:tc>
        <w:tc>
          <w:tcPr>
            <w:tcW w:w="16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2820" w:type="dxa"/>
            <w:vAlign w:val="bottom"/>
            <w:tcBorders>
              <w:top w:val="single" w:sz="8" w:color="0000EE"/>
              <w:bottom w:val="single" w:sz="8" w:color="00548B"/>
            </w:tcBorders>
          </w:tcPr>
          <w:p>
            <w:pPr>
              <w:spacing w:after="0" w:line="20" w:lineRule="exact"/>
              <w:rPr>
                <w:sz w:val="1"/>
                <w:szCs w:val="1"/>
                <w:color w:val="auto"/>
              </w:rPr>
            </w:pPr>
          </w:p>
        </w:tc>
        <w:tc>
          <w:tcPr>
            <w:tcW w:w="1400" w:type="dxa"/>
            <w:vAlign w:val="bottom"/>
            <w:tcBorders>
              <w:top w:val="single" w:sz="8" w:color="0000EE"/>
              <w:bottom w:val="single" w:sz="8" w:color="00548B"/>
            </w:tcBorders>
          </w:tcPr>
          <w:p>
            <w:pPr>
              <w:spacing w:after="0" w:line="20" w:lineRule="exact"/>
              <w:rPr>
                <w:sz w:val="1"/>
                <w:szCs w:val="1"/>
                <w:color w:val="auto"/>
              </w:rPr>
            </w:pPr>
          </w:p>
        </w:tc>
        <w:tc>
          <w:tcPr>
            <w:tcW w:w="360" w:type="dxa"/>
            <w:vAlign w:val="bottom"/>
            <w:tcBorders>
              <w:bottom w:val="single" w:sz="8" w:color="00548B"/>
            </w:tcBorders>
          </w:tcPr>
          <w:p>
            <w:pPr>
              <w:spacing w:after="0" w:line="20" w:lineRule="exact"/>
              <w:rPr>
                <w:sz w:val="1"/>
                <w:szCs w:val="1"/>
                <w:color w:val="auto"/>
              </w:rPr>
            </w:pPr>
          </w:p>
        </w:tc>
        <w:tc>
          <w:tcPr>
            <w:tcW w:w="380" w:type="dxa"/>
            <w:vAlign w:val="bottom"/>
            <w:tcBorders>
              <w:bottom w:val="single" w:sz="8" w:color="00548B"/>
            </w:tcBorders>
          </w:tcPr>
          <w:p>
            <w:pPr>
              <w:spacing w:after="0" w:line="20" w:lineRule="exact"/>
              <w:rPr>
                <w:sz w:val="1"/>
                <w:szCs w:val="1"/>
                <w:color w:val="auto"/>
              </w:rPr>
            </w:pPr>
          </w:p>
        </w:tc>
        <w:tc>
          <w:tcPr>
            <w:tcW w:w="660" w:type="dxa"/>
            <w:vAlign w:val="bottom"/>
            <w:tcBorders>
              <w:bottom w:val="single" w:sz="8" w:color="00548B"/>
            </w:tcBorders>
          </w:tcPr>
          <w:p>
            <w:pPr>
              <w:spacing w:after="0" w:line="20" w:lineRule="exact"/>
              <w:rPr>
                <w:sz w:val="1"/>
                <w:szCs w:val="1"/>
                <w:color w:val="auto"/>
              </w:rPr>
            </w:pPr>
          </w:p>
        </w:tc>
      </w:tr>
      <w:tr>
        <w:trPr>
          <w:trHeight w:val="153"/>
        </w:trPr>
        <w:tc>
          <w:tcPr>
            <w:tcW w:w="180" w:type="dxa"/>
            <w:vAlign w:val="bottom"/>
          </w:tcPr>
          <w:p>
            <w:pPr>
              <w:spacing w:after="0"/>
              <w:rPr>
                <w:sz w:val="13"/>
                <w:szCs w:val="13"/>
                <w:color w:val="auto"/>
              </w:rPr>
            </w:pPr>
          </w:p>
        </w:tc>
        <w:tc>
          <w:tcPr>
            <w:tcW w:w="10020" w:type="dxa"/>
            <w:vAlign w:val="bottom"/>
            <w:gridSpan w:val="36"/>
          </w:tcPr>
          <w:p>
            <w:pPr>
              <w:spacing w:after="0" w:line="153" w:lineRule="exact"/>
              <w:rPr>
                <w:rFonts w:ascii="Arial" w:cs="Arial" w:eastAsia="Arial" w:hAnsi="Arial"/>
                <w:sz w:val="17"/>
                <w:szCs w:val="17"/>
                <w:color w:val="0000EE"/>
              </w:rPr>
            </w:pPr>
            <w:hyperlink w:anchor="page57">
              <w:r>
                <w:rPr>
                  <w:rFonts w:ascii="Arial" w:cs="Arial" w:eastAsia="Arial" w:hAnsi="Arial"/>
                  <w:sz w:val="17"/>
                  <w:szCs w:val="17"/>
                  <w:color w:val="0000EE"/>
                </w:rPr>
                <w:t>Audit and Non-Audit Fees</w:t>
              </w:r>
            </w:hyperlink>
          </w:p>
        </w:tc>
        <w:tc>
          <w:tcPr>
            <w:tcW w:w="660" w:type="dxa"/>
            <w:vAlign w:val="bottom"/>
          </w:tcPr>
          <w:p>
            <w:pPr>
              <w:jc w:val="right"/>
              <w:spacing w:after="0" w:line="153" w:lineRule="exact"/>
              <w:rPr>
                <w:sz w:val="20"/>
                <w:szCs w:val="20"/>
                <w:color w:val="auto"/>
              </w:rPr>
            </w:pPr>
            <w:r>
              <w:rPr>
                <w:rFonts w:ascii="Arial" w:cs="Arial" w:eastAsia="Arial" w:hAnsi="Arial"/>
                <w:sz w:val="17"/>
                <w:szCs w:val="17"/>
                <w:color w:val="auto"/>
              </w:rPr>
              <w:t>52</w:t>
            </w:r>
          </w:p>
        </w:tc>
      </w:tr>
      <w:tr>
        <w:trPr>
          <w:trHeight w:val="20"/>
        </w:trPr>
        <w:tc>
          <w:tcPr>
            <w:tcW w:w="180" w:type="dxa"/>
            <w:vAlign w:val="bottom"/>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380" w:type="dxa"/>
            <w:vAlign w:val="bottom"/>
            <w:gridSpan w:val="15"/>
          </w:tcPr>
          <w:p>
            <w:pPr>
              <w:spacing w:after="0" w:line="20" w:lineRule="exact"/>
              <w:rPr>
                <w:sz w:val="1"/>
                <w:szCs w:val="1"/>
                <w:color w:val="auto"/>
              </w:rPr>
            </w:pPr>
          </w:p>
        </w:tc>
        <w:tc>
          <w:tcPr>
            <w:tcW w:w="5880" w:type="dxa"/>
            <w:vAlign w:val="bottom"/>
            <w:gridSpan w:val="9"/>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9"/>
        </w:trPr>
        <w:tc>
          <w:tcPr>
            <w:tcW w:w="180" w:type="dxa"/>
            <w:vAlign w:val="bottom"/>
          </w:tcPr>
          <w:p>
            <w:pPr>
              <w:spacing w:after="0"/>
              <w:rPr>
                <w:sz w:val="15"/>
                <w:szCs w:val="15"/>
                <w:color w:val="auto"/>
              </w:rPr>
            </w:pPr>
          </w:p>
        </w:tc>
        <w:tc>
          <w:tcPr>
            <w:tcW w:w="9640" w:type="dxa"/>
            <w:vAlign w:val="bottom"/>
            <w:tcBorders>
              <w:bottom w:val="single" w:sz="8" w:color="0000EE"/>
            </w:tcBorders>
            <w:gridSpan w:val="35"/>
          </w:tcPr>
          <w:p>
            <w:pPr>
              <w:spacing w:after="0" w:line="180" w:lineRule="exact"/>
              <w:rPr>
                <w:rFonts w:ascii="Arial" w:cs="Arial" w:eastAsia="Arial" w:hAnsi="Arial"/>
                <w:sz w:val="18"/>
                <w:szCs w:val="18"/>
                <w:color w:val="0000EE"/>
                <w:w w:val="98"/>
              </w:rPr>
            </w:pPr>
            <w:hyperlink w:anchor="page58">
              <w:r>
                <w:rPr>
                  <w:rFonts w:ascii="Arial" w:cs="Arial" w:eastAsia="Arial" w:hAnsi="Arial"/>
                  <w:sz w:val="18"/>
                  <w:szCs w:val="18"/>
                  <w:color w:val="0000EE"/>
                  <w:w w:val="98"/>
                </w:rPr>
                <w:t>Policy on Audit Committee Preapproval of Audit and Non-Audit Services of Independent Registered Public Accounting Firm</w:t>
              </w:r>
            </w:hyperlink>
          </w:p>
        </w:tc>
        <w:tc>
          <w:tcPr>
            <w:tcW w:w="380" w:type="dxa"/>
            <w:vAlign w:val="bottom"/>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Arial" w:cs="Arial" w:eastAsia="Arial" w:hAnsi="Arial"/>
                <w:sz w:val="18"/>
                <w:szCs w:val="18"/>
                <w:color w:val="auto"/>
              </w:rPr>
              <w:t>53</w:t>
            </w:r>
          </w:p>
        </w:tc>
      </w:tr>
      <w:tr>
        <w:trPr>
          <w:trHeight w:val="179"/>
        </w:trPr>
        <w:tc>
          <w:tcPr>
            <w:tcW w:w="180" w:type="dxa"/>
            <w:vAlign w:val="bottom"/>
          </w:tcPr>
          <w:p>
            <w:pPr>
              <w:spacing w:after="0"/>
              <w:rPr>
                <w:sz w:val="15"/>
                <w:szCs w:val="15"/>
                <w:color w:val="auto"/>
              </w:rPr>
            </w:pPr>
          </w:p>
        </w:tc>
        <w:tc>
          <w:tcPr>
            <w:tcW w:w="2380" w:type="dxa"/>
            <w:vAlign w:val="bottom"/>
            <w:tcBorders>
              <w:bottom w:val="single" w:sz="8" w:color="0000EE"/>
            </w:tcBorders>
            <w:gridSpan w:val="11"/>
          </w:tcPr>
          <w:p>
            <w:pPr>
              <w:spacing w:after="0" w:line="180" w:lineRule="exact"/>
              <w:rPr>
                <w:rFonts w:ascii="Arial" w:cs="Arial" w:eastAsia="Arial" w:hAnsi="Arial"/>
                <w:sz w:val="18"/>
                <w:szCs w:val="18"/>
                <w:color w:val="0000EE"/>
                <w:w w:val="97"/>
              </w:rPr>
            </w:pPr>
            <w:hyperlink w:anchor="page58">
              <w:r>
                <w:rPr>
                  <w:rFonts w:ascii="Arial" w:cs="Arial" w:eastAsia="Arial" w:hAnsi="Arial"/>
                  <w:sz w:val="18"/>
                  <w:szCs w:val="18"/>
                  <w:color w:val="0000EE"/>
                  <w:w w:val="97"/>
                </w:rPr>
                <w:t>Report of the Audit Committee</w:t>
              </w:r>
            </w:hyperlink>
          </w:p>
        </w:tc>
        <w:tc>
          <w:tcPr>
            <w:tcW w:w="7640" w:type="dxa"/>
            <w:vAlign w:val="bottom"/>
            <w:gridSpan w:val="25"/>
          </w:tcPr>
          <w:p>
            <w:pPr>
              <w:spacing w:after="0"/>
              <w:rPr>
                <w:sz w:val="15"/>
                <w:szCs w:val="15"/>
                <w:color w:val="auto"/>
              </w:rPr>
            </w:pPr>
          </w:p>
        </w:tc>
        <w:tc>
          <w:tcPr>
            <w:tcW w:w="660" w:type="dxa"/>
            <w:vAlign w:val="bottom"/>
          </w:tcPr>
          <w:p>
            <w:pPr>
              <w:jc w:val="right"/>
              <w:spacing w:after="0" w:line="180" w:lineRule="exact"/>
              <w:rPr>
                <w:sz w:val="20"/>
                <w:szCs w:val="20"/>
                <w:color w:val="auto"/>
              </w:rPr>
            </w:pPr>
            <w:r>
              <w:rPr>
                <w:rFonts w:ascii="Arial" w:cs="Arial" w:eastAsia="Arial" w:hAnsi="Arial"/>
                <w:sz w:val="18"/>
                <w:szCs w:val="18"/>
                <w:color w:val="auto"/>
              </w:rPr>
              <w:t>53</w:t>
            </w:r>
          </w:p>
        </w:tc>
      </w:tr>
      <w:tr>
        <w:trPr>
          <w:trHeight w:val="286"/>
        </w:trPr>
        <w:tc>
          <w:tcPr>
            <w:tcW w:w="10200" w:type="dxa"/>
            <w:vAlign w:val="bottom"/>
            <w:gridSpan w:val="37"/>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SUBMISSION OF STOCKHOLDER PROPOSALS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0"/>
        </w:trPr>
        <w:tc>
          <w:tcPr>
            <w:tcW w:w="180" w:type="dxa"/>
            <w:vAlign w:val="bottom"/>
            <w:tcBorders>
              <w:top w:val="single" w:sz="8" w:color="0000EE"/>
              <w:bottom w:val="single" w:sz="8" w:color="00548B"/>
            </w:tcBorders>
          </w:tcPr>
          <w:p>
            <w:pPr>
              <w:spacing w:after="0" w:line="20" w:lineRule="exact"/>
              <w:rPr>
                <w:sz w:val="1"/>
                <w:szCs w:val="1"/>
                <w:color w:val="auto"/>
              </w:rPr>
            </w:pPr>
          </w:p>
        </w:tc>
        <w:tc>
          <w:tcPr>
            <w:tcW w:w="128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340" w:type="dxa"/>
            <w:vAlign w:val="bottom"/>
            <w:tcBorders>
              <w:top w:val="single" w:sz="8" w:color="0000EE"/>
              <w:bottom w:val="single" w:sz="8" w:color="00548B"/>
            </w:tcBorders>
          </w:tcPr>
          <w:p>
            <w:pPr>
              <w:spacing w:after="0" w:line="20" w:lineRule="exact"/>
              <w:rPr>
                <w:sz w:val="1"/>
                <w:szCs w:val="1"/>
                <w:color w:val="auto"/>
              </w:rPr>
            </w:pPr>
          </w:p>
        </w:tc>
        <w:tc>
          <w:tcPr>
            <w:tcW w:w="24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12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80" w:type="dxa"/>
            <w:vAlign w:val="bottom"/>
            <w:tcBorders>
              <w:top w:val="single" w:sz="8" w:color="0000EE"/>
              <w:bottom w:val="single" w:sz="8" w:color="00548B"/>
            </w:tcBorders>
          </w:tcPr>
          <w:p>
            <w:pPr>
              <w:spacing w:after="0" w:line="20" w:lineRule="exact"/>
              <w:rPr>
                <w:sz w:val="1"/>
                <w:szCs w:val="1"/>
                <w:color w:val="auto"/>
              </w:rPr>
            </w:pPr>
          </w:p>
        </w:tc>
        <w:tc>
          <w:tcPr>
            <w:tcW w:w="8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6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24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14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360" w:type="dxa"/>
            <w:vAlign w:val="bottom"/>
            <w:tcBorders>
              <w:top w:val="single" w:sz="8" w:color="0000EE"/>
              <w:bottom w:val="single" w:sz="8" w:color="00548B"/>
            </w:tcBorders>
          </w:tcPr>
          <w:p>
            <w:pPr>
              <w:spacing w:after="0" w:line="20" w:lineRule="exact"/>
              <w:rPr>
                <w:sz w:val="1"/>
                <w:szCs w:val="1"/>
                <w:color w:val="auto"/>
              </w:rPr>
            </w:pPr>
          </w:p>
        </w:tc>
        <w:tc>
          <w:tcPr>
            <w:tcW w:w="2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200" w:type="dxa"/>
            <w:vAlign w:val="bottom"/>
            <w:tcBorders>
              <w:bottom w:val="single" w:sz="8" w:color="00548B"/>
            </w:tcBorders>
          </w:tcPr>
          <w:p>
            <w:pPr>
              <w:spacing w:after="0" w:line="20" w:lineRule="exact"/>
              <w:rPr>
                <w:sz w:val="1"/>
                <w:szCs w:val="1"/>
                <w:color w:val="auto"/>
              </w:rPr>
            </w:pPr>
          </w:p>
        </w:tc>
        <w:tc>
          <w:tcPr>
            <w:tcW w:w="560" w:type="dxa"/>
            <w:vAlign w:val="bottom"/>
            <w:tcBorders>
              <w:bottom w:val="single" w:sz="8" w:color="00548B"/>
            </w:tcBorders>
          </w:tcPr>
          <w:p>
            <w:pPr>
              <w:spacing w:after="0" w:line="20" w:lineRule="exact"/>
              <w:rPr>
                <w:sz w:val="1"/>
                <w:szCs w:val="1"/>
                <w:color w:val="auto"/>
              </w:rPr>
            </w:pPr>
          </w:p>
        </w:tc>
        <w:tc>
          <w:tcPr>
            <w:tcW w:w="180" w:type="dxa"/>
            <w:vAlign w:val="bottom"/>
            <w:tcBorders>
              <w:bottom w:val="single" w:sz="8" w:color="00548B"/>
            </w:tcBorders>
          </w:tcPr>
          <w:p>
            <w:pPr>
              <w:spacing w:after="0" w:line="20" w:lineRule="exact"/>
              <w:rPr>
                <w:sz w:val="1"/>
                <w:szCs w:val="1"/>
                <w:color w:val="auto"/>
              </w:rPr>
            </w:pPr>
          </w:p>
        </w:tc>
        <w:tc>
          <w:tcPr>
            <w:tcW w:w="16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2820" w:type="dxa"/>
            <w:vAlign w:val="bottom"/>
            <w:tcBorders>
              <w:bottom w:val="single" w:sz="8" w:color="00548B"/>
            </w:tcBorders>
          </w:tcPr>
          <w:p>
            <w:pPr>
              <w:spacing w:after="0" w:line="20" w:lineRule="exact"/>
              <w:rPr>
                <w:sz w:val="1"/>
                <w:szCs w:val="1"/>
                <w:color w:val="auto"/>
              </w:rPr>
            </w:pPr>
          </w:p>
        </w:tc>
        <w:tc>
          <w:tcPr>
            <w:tcW w:w="1400" w:type="dxa"/>
            <w:vAlign w:val="bottom"/>
            <w:tcBorders>
              <w:bottom w:val="single" w:sz="8" w:color="00548B"/>
            </w:tcBorders>
          </w:tcPr>
          <w:p>
            <w:pPr>
              <w:spacing w:after="0" w:line="20" w:lineRule="exact"/>
              <w:rPr>
                <w:sz w:val="1"/>
                <w:szCs w:val="1"/>
                <w:color w:val="auto"/>
              </w:rPr>
            </w:pPr>
          </w:p>
        </w:tc>
        <w:tc>
          <w:tcPr>
            <w:tcW w:w="360" w:type="dxa"/>
            <w:vAlign w:val="bottom"/>
            <w:tcBorders>
              <w:bottom w:val="single" w:sz="8" w:color="00548B"/>
            </w:tcBorders>
          </w:tcPr>
          <w:p>
            <w:pPr>
              <w:spacing w:after="0" w:line="20" w:lineRule="exact"/>
              <w:rPr>
                <w:sz w:val="1"/>
                <w:szCs w:val="1"/>
                <w:color w:val="auto"/>
              </w:rPr>
            </w:pPr>
          </w:p>
        </w:tc>
        <w:tc>
          <w:tcPr>
            <w:tcW w:w="380" w:type="dxa"/>
            <w:vAlign w:val="bottom"/>
            <w:tcBorders>
              <w:bottom w:val="single" w:sz="8" w:color="00548B"/>
            </w:tcBorders>
          </w:tcPr>
          <w:p>
            <w:pPr>
              <w:spacing w:after="0" w:line="20" w:lineRule="exact"/>
              <w:rPr>
                <w:sz w:val="1"/>
                <w:szCs w:val="1"/>
                <w:color w:val="auto"/>
              </w:rPr>
            </w:pPr>
          </w:p>
        </w:tc>
        <w:tc>
          <w:tcPr>
            <w:tcW w:w="660" w:type="dxa"/>
            <w:vAlign w:val="bottom"/>
            <w:tcBorders>
              <w:bottom w:val="single" w:sz="8" w:color="00548B"/>
            </w:tcBorders>
          </w:tcPr>
          <w:p>
            <w:pPr>
              <w:spacing w:after="0" w:line="20" w:lineRule="exact"/>
              <w:rPr>
                <w:sz w:val="1"/>
                <w:szCs w:val="1"/>
                <w:color w:val="auto"/>
              </w:rPr>
            </w:pPr>
          </w:p>
        </w:tc>
      </w:tr>
      <w:tr>
        <w:trPr>
          <w:trHeight w:val="246"/>
        </w:trPr>
        <w:tc>
          <w:tcPr>
            <w:tcW w:w="10200" w:type="dxa"/>
            <w:vAlign w:val="bottom"/>
            <w:gridSpan w:val="37"/>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OTHER MATTERS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0"/>
        </w:trPr>
        <w:tc>
          <w:tcPr>
            <w:tcW w:w="180" w:type="dxa"/>
            <w:vAlign w:val="bottom"/>
            <w:tcBorders>
              <w:top w:val="single" w:sz="8" w:color="0000EE"/>
              <w:bottom w:val="single" w:sz="8" w:color="00548B"/>
            </w:tcBorders>
          </w:tcPr>
          <w:p>
            <w:pPr>
              <w:spacing w:after="0" w:line="20" w:lineRule="exact"/>
              <w:rPr>
                <w:sz w:val="1"/>
                <w:szCs w:val="1"/>
                <w:color w:val="auto"/>
              </w:rPr>
            </w:pPr>
          </w:p>
        </w:tc>
        <w:tc>
          <w:tcPr>
            <w:tcW w:w="1280" w:type="dxa"/>
            <w:vAlign w:val="bottom"/>
            <w:tcBorders>
              <w:top w:val="single" w:sz="8" w:color="0000EE"/>
              <w:bottom w:val="single" w:sz="8" w:color="00548B"/>
            </w:tcBorders>
          </w:tcPr>
          <w:p>
            <w:pPr>
              <w:spacing w:after="0" w:line="20" w:lineRule="exact"/>
              <w:rPr>
                <w:sz w:val="1"/>
                <w:szCs w:val="1"/>
                <w:color w:val="auto"/>
              </w:rPr>
            </w:pPr>
          </w:p>
        </w:tc>
        <w:tc>
          <w:tcPr>
            <w:tcW w:w="40" w:type="dxa"/>
            <w:vAlign w:val="bottom"/>
            <w:tcBorders>
              <w:top w:val="single" w:sz="8" w:color="0000EE"/>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20" w:type="dxa"/>
            <w:vAlign w:val="bottom"/>
            <w:tcBorders>
              <w:bottom w:val="single" w:sz="8" w:color="00548B"/>
            </w:tcBorders>
          </w:tcPr>
          <w:p>
            <w:pPr>
              <w:spacing w:after="0" w:line="20" w:lineRule="exact"/>
              <w:rPr>
                <w:sz w:val="1"/>
                <w:szCs w:val="1"/>
                <w:color w:val="auto"/>
              </w:rPr>
            </w:pPr>
          </w:p>
        </w:tc>
        <w:tc>
          <w:tcPr>
            <w:tcW w:w="340" w:type="dxa"/>
            <w:vAlign w:val="bottom"/>
            <w:tcBorders>
              <w:bottom w:val="single" w:sz="8" w:color="00548B"/>
            </w:tcBorders>
          </w:tcPr>
          <w:p>
            <w:pPr>
              <w:spacing w:after="0" w:line="20" w:lineRule="exact"/>
              <w:rPr>
                <w:sz w:val="1"/>
                <w:szCs w:val="1"/>
                <w:color w:val="auto"/>
              </w:rPr>
            </w:pPr>
          </w:p>
        </w:tc>
        <w:tc>
          <w:tcPr>
            <w:tcW w:w="24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120" w:type="dxa"/>
            <w:vAlign w:val="bottom"/>
            <w:tcBorders>
              <w:bottom w:val="single" w:sz="8" w:color="00548B"/>
            </w:tcBorders>
          </w:tcPr>
          <w:p>
            <w:pPr>
              <w:spacing w:after="0" w:line="20" w:lineRule="exact"/>
              <w:rPr>
                <w:sz w:val="1"/>
                <w:szCs w:val="1"/>
                <w:color w:val="auto"/>
              </w:rPr>
            </w:pPr>
          </w:p>
        </w:tc>
        <w:tc>
          <w:tcPr>
            <w:tcW w:w="40" w:type="dxa"/>
            <w:vAlign w:val="bottom"/>
            <w:tcBorders>
              <w:bottom w:val="single" w:sz="8" w:color="00548B"/>
            </w:tcBorders>
          </w:tcPr>
          <w:p>
            <w:pPr>
              <w:spacing w:after="0" w:line="20" w:lineRule="exact"/>
              <w:rPr>
                <w:sz w:val="1"/>
                <w:szCs w:val="1"/>
                <w:color w:val="auto"/>
              </w:rPr>
            </w:pPr>
          </w:p>
        </w:tc>
        <w:tc>
          <w:tcPr>
            <w:tcW w:w="20" w:type="dxa"/>
            <w:vAlign w:val="bottom"/>
            <w:tcBorders>
              <w:bottom w:val="single" w:sz="8" w:color="00548B"/>
            </w:tcBorders>
          </w:tcPr>
          <w:p>
            <w:pPr>
              <w:spacing w:after="0" w:line="20" w:lineRule="exact"/>
              <w:rPr>
                <w:sz w:val="1"/>
                <w:szCs w:val="1"/>
                <w:color w:val="auto"/>
              </w:rPr>
            </w:pPr>
          </w:p>
        </w:tc>
        <w:tc>
          <w:tcPr>
            <w:tcW w:w="80" w:type="dxa"/>
            <w:vAlign w:val="bottom"/>
            <w:tcBorders>
              <w:bottom w:val="single" w:sz="8" w:color="00548B"/>
            </w:tcBorders>
          </w:tcPr>
          <w:p>
            <w:pPr>
              <w:spacing w:after="0" w:line="20" w:lineRule="exact"/>
              <w:rPr>
                <w:sz w:val="1"/>
                <w:szCs w:val="1"/>
                <w:color w:val="auto"/>
              </w:rPr>
            </w:pPr>
          </w:p>
        </w:tc>
        <w:tc>
          <w:tcPr>
            <w:tcW w:w="80" w:type="dxa"/>
            <w:vAlign w:val="bottom"/>
            <w:tcBorders>
              <w:bottom w:val="single" w:sz="8" w:color="00548B"/>
            </w:tcBorders>
          </w:tcPr>
          <w:p>
            <w:pPr>
              <w:spacing w:after="0" w:line="20" w:lineRule="exact"/>
              <w:rPr>
                <w:sz w:val="1"/>
                <w:szCs w:val="1"/>
                <w:color w:val="auto"/>
              </w:rPr>
            </w:pPr>
          </w:p>
        </w:tc>
        <w:tc>
          <w:tcPr>
            <w:tcW w:w="2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40" w:type="dxa"/>
            <w:vAlign w:val="bottom"/>
            <w:tcBorders>
              <w:bottom w:val="single" w:sz="8" w:color="00548B"/>
            </w:tcBorders>
          </w:tcPr>
          <w:p>
            <w:pPr>
              <w:spacing w:after="0" w:line="20" w:lineRule="exact"/>
              <w:rPr>
                <w:sz w:val="1"/>
                <w:szCs w:val="1"/>
                <w:color w:val="auto"/>
              </w:rPr>
            </w:pPr>
          </w:p>
        </w:tc>
        <w:tc>
          <w:tcPr>
            <w:tcW w:w="60" w:type="dxa"/>
            <w:vAlign w:val="bottom"/>
            <w:tcBorders>
              <w:bottom w:val="single" w:sz="8" w:color="00548B"/>
            </w:tcBorders>
          </w:tcPr>
          <w:p>
            <w:pPr>
              <w:spacing w:after="0" w:line="20" w:lineRule="exact"/>
              <w:rPr>
                <w:sz w:val="1"/>
                <w:szCs w:val="1"/>
                <w:color w:val="auto"/>
              </w:rPr>
            </w:pPr>
          </w:p>
        </w:tc>
        <w:tc>
          <w:tcPr>
            <w:tcW w:w="4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40" w:type="dxa"/>
            <w:vAlign w:val="bottom"/>
            <w:tcBorders>
              <w:bottom w:val="single" w:sz="8" w:color="00548B"/>
            </w:tcBorders>
          </w:tcPr>
          <w:p>
            <w:pPr>
              <w:spacing w:after="0" w:line="20" w:lineRule="exact"/>
              <w:rPr>
                <w:sz w:val="1"/>
                <w:szCs w:val="1"/>
                <w:color w:val="auto"/>
              </w:rPr>
            </w:pPr>
          </w:p>
        </w:tc>
        <w:tc>
          <w:tcPr>
            <w:tcW w:w="24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20" w:type="dxa"/>
            <w:vAlign w:val="bottom"/>
            <w:tcBorders>
              <w:bottom w:val="single" w:sz="8" w:color="00548B"/>
            </w:tcBorders>
          </w:tcPr>
          <w:p>
            <w:pPr>
              <w:spacing w:after="0" w:line="20" w:lineRule="exact"/>
              <w:rPr>
                <w:sz w:val="1"/>
                <w:szCs w:val="1"/>
                <w:color w:val="auto"/>
              </w:rPr>
            </w:pPr>
          </w:p>
        </w:tc>
        <w:tc>
          <w:tcPr>
            <w:tcW w:w="140" w:type="dxa"/>
            <w:vAlign w:val="bottom"/>
            <w:tcBorders>
              <w:bottom w:val="single" w:sz="8" w:color="00548B"/>
            </w:tcBorders>
          </w:tcPr>
          <w:p>
            <w:pPr>
              <w:spacing w:after="0" w:line="20" w:lineRule="exact"/>
              <w:rPr>
                <w:sz w:val="1"/>
                <w:szCs w:val="1"/>
                <w:color w:val="auto"/>
              </w:rPr>
            </w:pPr>
          </w:p>
        </w:tc>
        <w:tc>
          <w:tcPr>
            <w:tcW w:w="20" w:type="dxa"/>
            <w:vAlign w:val="bottom"/>
            <w:tcBorders>
              <w:bottom w:val="single" w:sz="8" w:color="00548B"/>
            </w:tcBorders>
          </w:tcPr>
          <w:p>
            <w:pPr>
              <w:spacing w:after="0" w:line="20" w:lineRule="exact"/>
              <w:rPr>
                <w:sz w:val="1"/>
                <w:szCs w:val="1"/>
                <w:color w:val="auto"/>
              </w:rPr>
            </w:pPr>
          </w:p>
        </w:tc>
        <w:tc>
          <w:tcPr>
            <w:tcW w:w="360" w:type="dxa"/>
            <w:vAlign w:val="bottom"/>
            <w:tcBorders>
              <w:bottom w:val="single" w:sz="8" w:color="00548B"/>
            </w:tcBorders>
          </w:tcPr>
          <w:p>
            <w:pPr>
              <w:spacing w:after="0" w:line="20" w:lineRule="exact"/>
              <w:rPr>
                <w:sz w:val="1"/>
                <w:szCs w:val="1"/>
                <w:color w:val="auto"/>
              </w:rPr>
            </w:pPr>
          </w:p>
        </w:tc>
        <w:tc>
          <w:tcPr>
            <w:tcW w:w="2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200" w:type="dxa"/>
            <w:vAlign w:val="bottom"/>
            <w:tcBorders>
              <w:bottom w:val="single" w:sz="8" w:color="00548B"/>
            </w:tcBorders>
          </w:tcPr>
          <w:p>
            <w:pPr>
              <w:spacing w:after="0" w:line="20" w:lineRule="exact"/>
              <w:rPr>
                <w:sz w:val="1"/>
                <w:szCs w:val="1"/>
                <w:color w:val="auto"/>
              </w:rPr>
            </w:pPr>
          </w:p>
        </w:tc>
        <w:tc>
          <w:tcPr>
            <w:tcW w:w="560" w:type="dxa"/>
            <w:vAlign w:val="bottom"/>
            <w:tcBorders>
              <w:bottom w:val="single" w:sz="8" w:color="00548B"/>
            </w:tcBorders>
          </w:tcPr>
          <w:p>
            <w:pPr>
              <w:spacing w:after="0" w:line="20" w:lineRule="exact"/>
              <w:rPr>
                <w:sz w:val="1"/>
                <w:szCs w:val="1"/>
                <w:color w:val="auto"/>
              </w:rPr>
            </w:pPr>
          </w:p>
        </w:tc>
        <w:tc>
          <w:tcPr>
            <w:tcW w:w="180" w:type="dxa"/>
            <w:vAlign w:val="bottom"/>
            <w:tcBorders>
              <w:bottom w:val="single" w:sz="8" w:color="00548B"/>
            </w:tcBorders>
          </w:tcPr>
          <w:p>
            <w:pPr>
              <w:spacing w:after="0" w:line="20" w:lineRule="exact"/>
              <w:rPr>
                <w:sz w:val="1"/>
                <w:szCs w:val="1"/>
                <w:color w:val="auto"/>
              </w:rPr>
            </w:pPr>
          </w:p>
        </w:tc>
        <w:tc>
          <w:tcPr>
            <w:tcW w:w="160" w:type="dxa"/>
            <w:vAlign w:val="bottom"/>
            <w:tcBorders>
              <w:bottom w:val="single" w:sz="8" w:color="00548B"/>
            </w:tcBorders>
          </w:tcPr>
          <w:p>
            <w:pPr>
              <w:spacing w:after="0" w:line="20" w:lineRule="exact"/>
              <w:rPr>
                <w:sz w:val="1"/>
                <w:szCs w:val="1"/>
                <w:color w:val="auto"/>
              </w:rPr>
            </w:pPr>
          </w:p>
        </w:tc>
        <w:tc>
          <w:tcPr>
            <w:tcW w:w="100" w:type="dxa"/>
            <w:vAlign w:val="bottom"/>
            <w:tcBorders>
              <w:bottom w:val="single" w:sz="8" w:color="00548B"/>
            </w:tcBorders>
          </w:tcPr>
          <w:p>
            <w:pPr>
              <w:spacing w:after="0" w:line="20" w:lineRule="exact"/>
              <w:rPr>
                <w:sz w:val="1"/>
                <w:szCs w:val="1"/>
                <w:color w:val="auto"/>
              </w:rPr>
            </w:pPr>
          </w:p>
        </w:tc>
        <w:tc>
          <w:tcPr>
            <w:tcW w:w="2820" w:type="dxa"/>
            <w:vAlign w:val="bottom"/>
            <w:tcBorders>
              <w:bottom w:val="single" w:sz="8" w:color="00548B"/>
            </w:tcBorders>
          </w:tcPr>
          <w:p>
            <w:pPr>
              <w:spacing w:after="0" w:line="20" w:lineRule="exact"/>
              <w:rPr>
                <w:sz w:val="1"/>
                <w:szCs w:val="1"/>
                <w:color w:val="auto"/>
              </w:rPr>
            </w:pPr>
          </w:p>
        </w:tc>
        <w:tc>
          <w:tcPr>
            <w:tcW w:w="1400" w:type="dxa"/>
            <w:vAlign w:val="bottom"/>
            <w:tcBorders>
              <w:bottom w:val="single" w:sz="8" w:color="00548B"/>
            </w:tcBorders>
          </w:tcPr>
          <w:p>
            <w:pPr>
              <w:spacing w:after="0" w:line="20" w:lineRule="exact"/>
              <w:rPr>
                <w:sz w:val="1"/>
                <w:szCs w:val="1"/>
                <w:color w:val="auto"/>
              </w:rPr>
            </w:pPr>
          </w:p>
        </w:tc>
        <w:tc>
          <w:tcPr>
            <w:tcW w:w="360" w:type="dxa"/>
            <w:vAlign w:val="bottom"/>
            <w:tcBorders>
              <w:bottom w:val="single" w:sz="8" w:color="00548B"/>
            </w:tcBorders>
          </w:tcPr>
          <w:p>
            <w:pPr>
              <w:spacing w:after="0" w:line="20" w:lineRule="exact"/>
              <w:rPr>
                <w:sz w:val="1"/>
                <w:szCs w:val="1"/>
                <w:color w:val="auto"/>
              </w:rPr>
            </w:pPr>
          </w:p>
        </w:tc>
        <w:tc>
          <w:tcPr>
            <w:tcW w:w="380" w:type="dxa"/>
            <w:vAlign w:val="bottom"/>
            <w:tcBorders>
              <w:bottom w:val="single" w:sz="8" w:color="00548B"/>
            </w:tcBorders>
          </w:tcPr>
          <w:p>
            <w:pPr>
              <w:spacing w:after="0" w:line="20" w:lineRule="exact"/>
              <w:rPr>
                <w:sz w:val="1"/>
                <w:szCs w:val="1"/>
                <w:color w:val="auto"/>
              </w:rPr>
            </w:pPr>
          </w:p>
        </w:tc>
        <w:tc>
          <w:tcPr>
            <w:tcW w:w="660" w:type="dxa"/>
            <w:vAlign w:val="bottom"/>
            <w:tcBorders>
              <w:bottom w:val="single" w:sz="8" w:color="00548B"/>
            </w:tcBorders>
          </w:tcPr>
          <w:p>
            <w:pPr>
              <w:spacing w:after="0" w:line="20" w:lineRule="exact"/>
              <w:rPr>
                <w:sz w:val="1"/>
                <w:szCs w:val="1"/>
                <w:color w:val="auto"/>
              </w:rPr>
            </w:pPr>
          </w:p>
        </w:tc>
      </w:tr>
      <w:tr>
        <w:trPr>
          <w:trHeight w:val="338"/>
        </w:trPr>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60" w:type="dxa"/>
            <w:vAlign w:val="bottom"/>
            <w:gridSpan w:val="4"/>
          </w:tcPr>
          <w:p>
            <w:pPr>
              <w:ind w:left="160"/>
              <w:spacing w:after="0"/>
              <w:rPr>
                <w:sz w:val="20"/>
                <w:szCs w:val="20"/>
                <w:color w:val="auto"/>
              </w:rPr>
            </w:pPr>
            <w:r>
              <w:rPr>
                <w:rFonts w:ascii="Arial" w:cs="Arial" w:eastAsia="Arial" w:hAnsi="Arial"/>
                <w:sz w:val="18"/>
                <w:szCs w:val="18"/>
                <w:color w:val="00548B"/>
              </w:rPr>
              <w:t>i</w:t>
            </w:r>
          </w:p>
        </w:tc>
        <w:tc>
          <w:tcPr>
            <w:tcW w:w="660" w:type="dxa"/>
            <w:vAlign w:val="bottom"/>
          </w:tcPr>
          <w:p>
            <w:pPr>
              <w:spacing w:after="0"/>
              <w:rPr>
                <w:sz w:val="24"/>
                <w:szCs w:val="24"/>
                <w:color w:val="auto"/>
              </w:rPr>
            </w:pPr>
          </w:p>
        </w:tc>
      </w:tr>
    </w:tbl>
    <w:p>
      <w:pPr>
        <w:sectPr>
          <w:pgSz w:w="11900" w:h="16838" w:orient="portrait"/>
          <w:cols w:equalWidth="0" w:num="1">
            <w:col w:w="11060"/>
          </w:cols>
          <w:pgMar w:left="320" w:top="454" w:right="5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2595880</wp:posOffset>
            </wp:positionH>
            <wp:positionV relativeFrom="paragraph">
              <wp:posOffset>200660</wp:posOffset>
            </wp:positionV>
            <wp:extent cx="1950085" cy="388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50085" cy="388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21"/>
          <w:szCs w:val="21"/>
          <w:b w:val="1"/>
          <w:bCs w:val="1"/>
          <w:color w:val="D8D8D8"/>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-140335</wp:posOffset>
            </wp:positionV>
            <wp:extent cx="6889750" cy="5740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89750" cy="574040"/>
                    </a:xfrm>
                    <a:prstGeom prst="rect">
                      <a:avLst/>
                    </a:prstGeom>
                    <a:noFill/>
                  </pic:spPr>
                </pic:pic>
              </a:graphicData>
            </a:graphic>
          </wp:anchor>
        </w:drawing>
      </w:r>
    </w:p>
    <w:p>
      <w:pPr>
        <w:spacing w:after="0" w:line="2" w:lineRule="exact"/>
        <w:rPr>
          <w:sz w:val="20"/>
          <w:szCs w:val="20"/>
          <w:color w:val="auto"/>
        </w:rPr>
      </w:pPr>
    </w:p>
    <w:p>
      <w:pPr>
        <w:jc w:val="center"/>
        <w:ind w:right="-199"/>
        <w:spacing w:after="0"/>
        <w:rPr>
          <w:sz w:val="20"/>
          <w:szCs w:val="20"/>
          <w:color w:val="auto"/>
        </w:rPr>
      </w:pPr>
      <w:r>
        <w:rPr>
          <w:rFonts w:ascii="Arial" w:cs="Arial" w:eastAsia="Arial" w:hAnsi="Arial"/>
          <w:sz w:val="21"/>
          <w:szCs w:val="21"/>
          <w:b w:val="1"/>
          <w:bCs w:val="1"/>
          <w:color w:val="D8D8D8"/>
        </w:rPr>
        <w:t>FOR</w:t>
      </w:r>
    </w:p>
    <w:p>
      <w:pPr>
        <w:jc w:val="center"/>
        <w:ind w:right="-199"/>
        <w:spacing w:after="0"/>
        <w:rPr>
          <w:sz w:val="20"/>
          <w:szCs w:val="20"/>
          <w:color w:val="auto"/>
        </w:rPr>
      </w:pPr>
      <w:r>
        <w:rPr>
          <w:rFonts w:ascii="Arial" w:cs="Arial" w:eastAsia="Arial" w:hAnsi="Arial"/>
          <w:sz w:val="21"/>
          <w:szCs w:val="21"/>
          <w:b w:val="1"/>
          <w:bCs w:val="1"/>
          <w:color w:val="D8D8D8"/>
        </w:rPr>
        <w:t>ANNUAL MEETING OF STOCKHOLDERS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D8D8D8"/>
        </w:rPr>
        <w:t>TO BE HELD MAY 6, 2022</w:t>
      </w:r>
    </w:p>
    <w:p>
      <w:pPr>
        <w:spacing w:after="0" w:line="195" w:lineRule="exact"/>
        <w:rPr>
          <w:sz w:val="20"/>
          <w:szCs w:val="20"/>
          <w:color w:val="auto"/>
        </w:rPr>
      </w:pPr>
    </w:p>
    <w:p>
      <w:pPr>
        <w:jc w:val="both"/>
        <w:ind w:left="200"/>
        <w:spacing w:after="0" w:line="245" w:lineRule="auto"/>
        <w:rPr>
          <w:sz w:val="20"/>
          <w:szCs w:val="20"/>
          <w:color w:val="auto"/>
        </w:rPr>
      </w:pPr>
      <w:r>
        <w:rPr>
          <w:rFonts w:ascii="Arial" w:cs="Arial" w:eastAsia="Arial" w:hAnsi="Arial"/>
          <w:sz w:val="16"/>
          <w:szCs w:val="16"/>
          <w:color w:val="auto"/>
        </w:rPr>
        <w:t>We are taking advantage of the Securities and Exchange Commission (“SEC”) rules that allow companies to furnish proxy materials to their shareholders over the Internet. On or about March 25, 2022, we mailed to shareholders of record on the record date a Notice of Internet Availability of Proxy Materials (the “Notice”) containing instructions on how to access this Proxy Statement and our Annual Report to Stockholders online. If you received a Notice by mail, you will not automatically receive a printed copy of our proxy materials in the mail. You may request a paper copy of our proxy materials by mail or an electronic copy by e-mail by following the instructions listed on the Notice. The Notice also contains instructions for voting over the Internet.</w:t>
      </w:r>
    </w:p>
    <w:p>
      <w:pPr>
        <w:spacing w:after="0" w:line="130" w:lineRule="exact"/>
        <w:rPr>
          <w:sz w:val="20"/>
          <w:szCs w:val="20"/>
          <w:color w:val="auto"/>
        </w:rPr>
      </w:pPr>
    </w:p>
    <w:p>
      <w:pPr>
        <w:ind w:left="200"/>
        <w:spacing w:after="0"/>
        <w:rPr>
          <w:sz w:val="20"/>
          <w:szCs w:val="20"/>
          <w:color w:val="auto"/>
        </w:rPr>
      </w:pPr>
      <w:r>
        <w:rPr>
          <w:rFonts w:ascii="Arial" w:cs="Arial" w:eastAsia="Arial" w:hAnsi="Arial"/>
          <w:sz w:val="21"/>
          <w:szCs w:val="21"/>
          <w:b w:val="1"/>
          <w:bCs w:val="1"/>
          <w:color w:val="00548B"/>
        </w:rPr>
        <w:t>GENERAL INFORMATION ABOUT THE MEETING</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Q</w:t>
      </w:r>
      <w:r>
        <w:rPr>
          <w:rFonts w:ascii="Arial" w:cs="Arial" w:eastAsia="Arial" w:hAnsi="Arial"/>
          <w:sz w:val="14"/>
          <w:szCs w:val="14"/>
          <w:b w:val="1"/>
          <w:bCs w:val="1"/>
          <w:color w:val="00548B"/>
        </w:rPr>
        <w:t>UORUM AND</w:t>
      </w:r>
      <w:r>
        <w:rPr>
          <w:rFonts w:ascii="Arial" w:cs="Arial" w:eastAsia="Arial" w:hAnsi="Arial"/>
          <w:sz w:val="18"/>
          <w:szCs w:val="18"/>
          <w:b w:val="1"/>
          <w:bCs w:val="1"/>
          <w:color w:val="00548B"/>
        </w:rPr>
        <w:t xml:space="preserve"> V</w:t>
      </w:r>
      <w:r>
        <w:rPr>
          <w:rFonts w:ascii="Arial" w:cs="Arial" w:eastAsia="Arial" w:hAnsi="Arial"/>
          <w:sz w:val="14"/>
          <w:szCs w:val="14"/>
          <w:b w:val="1"/>
          <w:bCs w:val="1"/>
          <w:color w:val="00548B"/>
        </w:rPr>
        <w:t>OTING</w:t>
      </w:r>
      <w:r>
        <w:rPr>
          <w:rFonts w:ascii="Arial" w:cs="Arial" w:eastAsia="Arial" w:hAnsi="Arial"/>
          <w:sz w:val="18"/>
          <w:szCs w:val="18"/>
          <w:b w:val="1"/>
          <w:bCs w:val="1"/>
          <w:color w:val="00548B"/>
        </w:rPr>
        <w:t xml:space="preserve"> R</w:t>
      </w:r>
      <w:r>
        <w:rPr>
          <w:rFonts w:ascii="Arial" w:cs="Arial" w:eastAsia="Arial" w:hAnsi="Arial"/>
          <w:sz w:val="14"/>
          <w:szCs w:val="14"/>
          <w:b w:val="1"/>
          <w:bCs w:val="1"/>
          <w:color w:val="00548B"/>
        </w:rPr>
        <w:t>EQUIREMENTS</w:t>
      </w:r>
    </w:p>
    <w:p>
      <w:pPr>
        <w:spacing w:after="0" w:line="17" w:lineRule="exact"/>
        <w:rPr>
          <w:sz w:val="20"/>
          <w:szCs w:val="20"/>
          <w:color w:val="auto"/>
        </w:rPr>
      </w:pPr>
    </w:p>
    <w:p>
      <w:pPr>
        <w:jc w:val="both"/>
        <w:ind w:left="200"/>
        <w:spacing w:after="0" w:line="246" w:lineRule="auto"/>
        <w:rPr>
          <w:sz w:val="20"/>
          <w:szCs w:val="20"/>
          <w:color w:val="auto"/>
        </w:rPr>
      </w:pPr>
      <w:r>
        <w:rPr>
          <w:rFonts w:ascii="Arial" w:cs="Arial" w:eastAsia="Arial" w:hAnsi="Arial"/>
          <w:sz w:val="16"/>
          <w:szCs w:val="16"/>
          <w:color w:val="auto"/>
        </w:rPr>
        <w:t>The Company has one class of common stock. Each share of common stock is entitled to one vote on each matter to be voted upon at the Annual Meeting. Stockholders do not have the right to cumulate votes in the election of directors. Only stockholders of record at the close of business on March 7, 2022 (the “Record Date”) will be entitled to vote at the Annual Meeting. As of the Record Date, there were 21,331,256 shares of common stock issued and outstanding.</w:t>
      </w:r>
    </w:p>
    <w:p>
      <w:pPr>
        <w:spacing w:after="0" w:line="176" w:lineRule="exact"/>
        <w:rPr>
          <w:sz w:val="20"/>
          <w:szCs w:val="20"/>
          <w:color w:val="auto"/>
        </w:rPr>
      </w:pPr>
    </w:p>
    <w:p>
      <w:pPr>
        <w:jc w:val="both"/>
        <w:ind w:left="200"/>
        <w:spacing w:after="0" w:line="246" w:lineRule="auto"/>
        <w:rPr>
          <w:sz w:val="20"/>
          <w:szCs w:val="20"/>
          <w:color w:val="auto"/>
        </w:rPr>
      </w:pPr>
      <w:r>
        <w:rPr>
          <w:rFonts w:ascii="Arial" w:cs="Arial" w:eastAsia="Arial" w:hAnsi="Arial"/>
          <w:sz w:val="16"/>
          <w:szCs w:val="16"/>
          <w:color w:val="auto"/>
        </w:rPr>
        <w:t>The proxy is solicited from the holders of record of the common stock on behalf of the board of directors of the Company and is revocable at any time by giving written notice of revocation to the Secretary of the Company prior to the Annual Meeting or by executing and delivering a later-dated proxy by mail prior to the Annual Meeting. Furthermore, the stockholders of record who are present at the Annual Meeting may revoke their proxies and vote at the Annual Meeting.</w:t>
      </w:r>
    </w:p>
    <w:p>
      <w:pPr>
        <w:spacing w:after="0" w:line="163" w:lineRule="exact"/>
        <w:rPr>
          <w:sz w:val="20"/>
          <w:szCs w:val="20"/>
          <w:color w:val="auto"/>
        </w:rPr>
      </w:pPr>
    </w:p>
    <w:p>
      <w:pPr>
        <w:jc w:val="both"/>
        <w:ind w:left="200"/>
        <w:spacing w:after="0" w:line="246" w:lineRule="auto"/>
        <w:rPr>
          <w:sz w:val="20"/>
          <w:szCs w:val="20"/>
          <w:color w:val="auto"/>
        </w:rPr>
      </w:pPr>
      <w:r>
        <w:rPr>
          <w:rFonts w:ascii="Arial" w:cs="Arial" w:eastAsia="Arial" w:hAnsi="Arial"/>
          <w:sz w:val="16"/>
          <w:szCs w:val="16"/>
          <w:color w:val="auto"/>
        </w:rPr>
        <w:t>If your shares are held in a bank or brokerage account, you will receive proxy materials from your bank or broker, which will include a voting instruction form. If you would like to revoke voting instructions given to your bank or broker, you must follow its instructions. If you would like to attend the Annual Meeting and vote these shares at the Annual Meeting, you must obtain a proxy from your bank or broker. You must request the proxy from your bank or broker; it will not automatically supply one to you.</w:t>
      </w:r>
    </w:p>
    <w:p>
      <w:pPr>
        <w:spacing w:after="0" w:line="163" w:lineRule="exact"/>
        <w:rPr>
          <w:sz w:val="20"/>
          <w:szCs w:val="20"/>
          <w:color w:val="auto"/>
        </w:rPr>
      </w:pPr>
    </w:p>
    <w:p>
      <w:pPr>
        <w:jc w:val="both"/>
        <w:ind w:left="200"/>
        <w:spacing w:after="0" w:line="248" w:lineRule="auto"/>
        <w:rPr>
          <w:sz w:val="20"/>
          <w:szCs w:val="20"/>
          <w:color w:val="auto"/>
        </w:rPr>
      </w:pPr>
      <w:r>
        <w:rPr>
          <w:rFonts w:ascii="Arial" w:cs="Arial" w:eastAsia="Arial" w:hAnsi="Arial"/>
          <w:sz w:val="16"/>
          <w:szCs w:val="16"/>
          <w:color w:val="auto"/>
        </w:rPr>
        <w:t>All shares of the Company’s common stock represented by properly executed and unrevoked proxies will be voted by the proxies in accordance with the directions given therein. Where no instructions are indicated, properly executed proxies will be voted “FOR” the proposals set forth in this Proxy Statement for consideration at the Annual Meeting.</w:t>
      </w:r>
    </w:p>
    <w:p>
      <w:pPr>
        <w:spacing w:after="0" w:line="174" w:lineRule="exact"/>
        <w:rPr>
          <w:sz w:val="20"/>
          <w:szCs w:val="20"/>
          <w:color w:val="auto"/>
        </w:rPr>
      </w:pPr>
    </w:p>
    <w:p>
      <w:pPr>
        <w:jc w:val="both"/>
        <w:ind w:left="200"/>
        <w:spacing w:after="0" w:line="246" w:lineRule="auto"/>
        <w:rPr>
          <w:sz w:val="20"/>
          <w:szCs w:val="20"/>
          <w:color w:val="auto"/>
        </w:rPr>
      </w:pPr>
      <w:r>
        <w:rPr>
          <w:rFonts w:ascii="Arial" w:cs="Arial" w:eastAsia="Arial" w:hAnsi="Arial"/>
          <w:sz w:val="16"/>
          <w:szCs w:val="16"/>
          <w:color w:val="auto"/>
        </w:rPr>
        <w:t>A quorum, consisting of at least one-third of shares of common stock issued and outstanding, must be present at the meeting for any business to be conducted. Shares of common stock entitled to vote and represented by properly executed, returned and unrevoked proxies, including shares with respect to which votes are withheld, abstentions are cast or there are broker non-votes on some proposals but not others, will be considered present at the meeting for purposes of determining a quorum.</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1</w:t>
      </w:r>
    </w:p>
    <w:p>
      <w:pPr>
        <w:sectPr>
          <w:pgSz w:w="11900" w:h="16838" w:orient="portrait"/>
          <w:cols w:equalWidth="0" w:num="1">
            <w:col w:w="11040"/>
          </w:cols>
          <w:pgMar w:left="320" w:top="454" w:right="5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00548B"/>
        </w:rPr>
        <w:t>PROPOSAL 1</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21"/>
          <w:szCs w:val="21"/>
          <w:b w:val="1"/>
          <w:bCs w:val="1"/>
          <w:color w:val="00548B"/>
        </w:rPr>
        <w:t>ELECTION OF DIRECTORS</w:t>
      </w:r>
    </w:p>
    <w:p>
      <w:pPr>
        <w:spacing w:after="0" w:line="34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B</w:t>
      </w:r>
      <w:r>
        <w:rPr>
          <w:rFonts w:ascii="Arial" w:cs="Arial" w:eastAsia="Arial" w:hAnsi="Arial"/>
          <w:sz w:val="14"/>
          <w:szCs w:val="14"/>
          <w:b w:val="1"/>
          <w:bCs w:val="1"/>
          <w:color w:val="00548B"/>
        </w:rPr>
        <w:t>OARD OF</w:t>
      </w:r>
      <w:r>
        <w:rPr>
          <w:rFonts w:ascii="Arial" w:cs="Arial" w:eastAsia="Arial" w:hAnsi="Arial"/>
          <w:sz w:val="18"/>
          <w:szCs w:val="18"/>
          <w:b w:val="1"/>
          <w:bCs w:val="1"/>
          <w:color w:val="00548B"/>
        </w:rPr>
        <w:t xml:space="preserve"> D</w:t>
      </w:r>
      <w:r>
        <w:rPr>
          <w:rFonts w:ascii="Arial" w:cs="Arial" w:eastAsia="Arial" w:hAnsi="Arial"/>
          <w:sz w:val="14"/>
          <w:szCs w:val="14"/>
          <w:b w:val="1"/>
          <w:bCs w:val="1"/>
          <w:color w:val="00548B"/>
        </w:rPr>
        <w:t>IRECTORS</w:t>
      </w:r>
    </w:p>
    <w:p>
      <w:pPr>
        <w:spacing w:after="0" w:line="17" w:lineRule="exact"/>
        <w:rPr>
          <w:sz w:val="20"/>
          <w:szCs w:val="20"/>
          <w:color w:val="auto"/>
        </w:rPr>
      </w:pPr>
    </w:p>
    <w:p>
      <w:pPr>
        <w:jc w:val="both"/>
        <w:ind w:left="200" w:right="20"/>
        <w:spacing w:after="0" w:line="253" w:lineRule="auto"/>
        <w:rPr>
          <w:sz w:val="20"/>
          <w:szCs w:val="20"/>
          <w:color w:val="auto"/>
        </w:rPr>
      </w:pPr>
      <w:r>
        <w:rPr>
          <w:rFonts w:ascii="Arial" w:cs="Arial" w:eastAsia="Arial" w:hAnsi="Arial"/>
          <w:sz w:val="16"/>
          <w:szCs w:val="16"/>
          <w:color w:val="auto"/>
        </w:rPr>
        <w:t>The Company’s third amended and restated certificate of incorporation divides the Company’s board of directors into three classes, with each class being elected to a three-year term.</w:t>
      </w:r>
    </w:p>
    <w:p>
      <w:pPr>
        <w:spacing w:after="0" w:line="157" w:lineRule="exact"/>
        <w:rPr>
          <w:sz w:val="20"/>
          <w:szCs w:val="20"/>
          <w:color w:val="auto"/>
        </w:rPr>
      </w:pPr>
    </w:p>
    <w:p>
      <w:pPr>
        <w:jc w:val="both"/>
        <w:ind w:left="200" w:right="20"/>
        <w:spacing w:after="0" w:line="248" w:lineRule="auto"/>
        <w:rPr>
          <w:sz w:val="20"/>
          <w:szCs w:val="20"/>
          <w:color w:val="auto"/>
        </w:rPr>
      </w:pPr>
      <w:r>
        <w:rPr>
          <w:rFonts w:ascii="Arial" w:cs="Arial" w:eastAsia="Arial" w:hAnsi="Arial"/>
          <w:sz w:val="16"/>
          <w:szCs w:val="16"/>
          <w:color w:val="auto"/>
        </w:rPr>
        <w:t>The board of directors has nominated John McCartney, Ekta Singh-Bushell and Peter K. Markell as Class III Directors to be voted upon at the 2022 Annual Meeting. James H. Roth and H. Eugene Lockhart are Class I Directors serving terms ending at the 2023 Annual Meeting. Hugh E. Sawyer and Debra Zumwalt are Class II Directors serving terms ending at the 2024 Annual Meeting.</w:t>
      </w:r>
    </w:p>
    <w:p>
      <w:pPr>
        <w:spacing w:after="0" w:line="174" w:lineRule="exact"/>
        <w:rPr>
          <w:sz w:val="20"/>
          <w:szCs w:val="20"/>
          <w:color w:val="auto"/>
        </w:rPr>
      </w:pPr>
    </w:p>
    <w:p>
      <w:pPr>
        <w:jc w:val="both"/>
        <w:ind w:left="200" w:right="20"/>
        <w:spacing w:after="0" w:line="245" w:lineRule="auto"/>
        <w:rPr>
          <w:sz w:val="20"/>
          <w:szCs w:val="20"/>
          <w:color w:val="auto"/>
        </w:rPr>
      </w:pPr>
      <w:r>
        <w:rPr>
          <w:rFonts w:ascii="Arial" w:cs="Arial" w:eastAsia="Arial" w:hAnsi="Arial"/>
          <w:sz w:val="16"/>
          <w:szCs w:val="16"/>
          <w:color w:val="auto"/>
        </w:rPr>
        <w:t>This Proxy Statement relates only to the solicitation of proxies from the stockholders with respect to the election of the three nominees as Class III Directors and the other matters described herein. The board of directors knows of no reason that Mr. McCartney, Ms. Singh-Bushell and Mr. Markell might be unavailable to serve as the Class III Directors, and each has expressed an intention to serve, if elected. If Mr. McCartney, Ms. Singh-Bushell or Mr. Markell is unable to serve, the shares represented by all valid proxies will be voted “FOR” the election of such substitute nominee as the board of directors may recommend. There are no arrangements or understandings between any of the persons nominated to be a Class III Director and any other person pursuant to which any of such nominees were selected.</w:t>
      </w:r>
    </w:p>
    <w:p>
      <w:pPr>
        <w:spacing w:after="0" w:line="163" w:lineRule="exact"/>
        <w:rPr>
          <w:sz w:val="20"/>
          <w:szCs w:val="20"/>
          <w:color w:val="auto"/>
        </w:rPr>
      </w:pPr>
    </w:p>
    <w:p>
      <w:pPr>
        <w:jc w:val="both"/>
        <w:ind w:left="200" w:right="20"/>
        <w:spacing w:after="0" w:line="245" w:lineRule="auto"/>
        <w:rPr>
          <w:sz w:val="20"/>
          <w:szCs w:val="20"/>
          <w:color w:val="auto"/>
        </w:rPr>
      </w:pPr>
      <w:r>
        <w:rPr>
          <w:rFonts w:ascii="Arial" w:cs="Arial" w:eastAsia="Arial" w:hAnsi="Arial"/>
          <w:sz w:val="16"/>
          <w:szCs w:val="16"/>
          <w:color w:val="auto"/>
        </w:rPr>
        <w:t>The election of a director requires the affirmative vote of a plurality of the shares of common stock present in person or represented by proxy at the Annual Meeting that are voted, provided that a quorum is represented at the meeting. A “plurality” means that the individuals who receive the largest number of votes are elected as directors up to the maximum number of directors to be elected at the meeting. Therefore, abstentions and “broker non-votes” will have no impact on the election of directors. Properly executed proxies submitted pursuant to this solicitation will be voted “FOR” the election of Mr. McCartney, Ms. Singh-Bushell and Mr. Markell as Class III Directors, unless specified otherwise.</w:t>
      </w:r>
    </w:p>
    <w:p>
      <w:pPr>
        <w:spacing w:after="0" w:line="144" w:lineRule="exact"/>
        <w:rPr>
          <w:sz w:val="20"/>
          <w:szCs w:val="20"/>
          <w:color w:val="auto"/>
        </w:rPr>
      </w:pPr>
    </w:p>
    <w:p>
      <w:pPr>
        <w:jc w:val="both"/>
        <w:ind w:left="200" w:right="20"/>
        <w:spacing w:after="0" w:line="279" w:lineRule="auto"/>
        <w:rPr>
          <w:sz w:val="20"/>
          <w:szCs w:val="20"/>
          <w:color w:val="auto"/>
        </w:rPr>
      </w:pPr>
      <w:r>
        <w:rPr>
          <w:rFonts w:ascii="Arial" w:cs="Arial" w:eastAsia="Arial" w:hAnsi="Arial"/>
          <w:sz w:val="16"/>
          <w:szCs w:val="16"/>
          <w:color w:val="auto"/>
        </w:rPr>
        <w:t>THE BOARD OF DIRECTORS RECOMMENDS THAT STOCKHOLDERS VOTE “</w:t>
      </w:r>
      <w:r>
        <w:rPr>
          <w:rFonts w:ascii="Arial" w:cs="Arial" w:eastAsia="Arial" w:hAnsi="Arial"/>
          <w:sz w:val="16"/>
          <w:szCs w:val="16"/>
          <w:b w:val="1"/>
          <w:bCs w:val="1"/>
          <w:color w:val="auto"/>
        </w:rPr>
        <w:t>FOR</w:t>
      </w:r>
      <w:r>
        <w:rPr>
          <w:rFonts w:ascii="Arial" w:cs="Arial" w:eastAsia="Arial" w:hAnsi="Arial"/>
          <w:sz w:val="16"/>
          <w:szCs w:val="16"/>
          <w:color w:val="auto"/>
        </w:rPr>
        <w:t>” THE ELECTION OF MR. MCCARTNEY MS. SINGH-BUSHELL AND MR. MARKELL AS CLASS III DIRECTORS.</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A</w:t>
      </w:r>
      <w:r>
        <w:rPr>
          <w:rFonts w:ascii="Arial" w:cs="Arial" w:eastAsia="Arial" w:hAnsi="Arial"/>
          <w:sz w:val="14"/>
          <w:szCs w:val="14"/>
          <w:b w:val="1"/>
          <w:bCs w:val="1"/>
          <w:color w:val="00548B"/>
        </w:rPr>
        <w:t>BOUT THE</w:t>
      </w:r>
      <w:r>
        <w:rPr>
          <w:rFonts w:ascii="Arial" w:cs="Arial" w:eastAsia="Arial" w:hAnsi="Arial"/>
          <w:sz w:val="18"/>
          <w:szCs w:val="18"/>
          <w:b w:val="1"/>
          <w:bCs w:val="1"/>
          <w:color w:val="00548B"/>
        </w:rPr>
        <w:t xml:space="preserve"> B</w:t>
      </w:r>
      <w:r>
        <w:rPr>
          <w:rFonts w:ascii="Arial" w:cs="Arial" w:eastAsia="Arial" w:hAnsi="Arial"/>
          <w:sz w:val="14"/>
          <w:szCs w:val="14"/>
          <w:b w:val="1"/>
          <w:bCs w:val="1"/>
          <w:color w:val="00548B"/>
        </w:rPr>
        <w:t>OARD</w:t>
      </w:r>
    </w:p>
    <w:p>
      <w:pPr>
        <w:spacing w:after="0" w:line="225"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500" w:type="dxa"/>
            <w:vAlign w:val="bottom"/>
            <w:vMerge w:val="restart"/>
            <w:shd w:val="clear" w:color="auto" w:fill="00548B"/>
          </w:tcPr>
          <w:p>
            <w:pPr>
              <w:ind w:left="80"/>
              <w:spacing w:after="0"/>
              <w:rPr>
                <w:sz w:val="20"/>
                <w:szCs w:val="20"/>
                <w:color w:val="auto"/>
              </w:rPr>
            </w:pPr>
            <w:r>
              <w:rPr>
                <w:rFonts w:ascii="Arial" w:cs="Arial" w:eastAsia="Arial" w:hAnsi="Arial"/>
                <w:sz w:val="13"/>
                <w:szCs w:val="13"/>
                <w:b w:val="1"/>
                <w:bCs w:val="1"/>
                <w:color w:val="D8D8D8"/>
              </w:rPr>
              <w:t>Name</w:t>
            </w:r>
          </w:p>
        </w:tc>
        <w:tc>
          <w:tcPr>
            <w:tcW w:w="100" w:type="dxa"/>
            <w:vAlign w:val="bottom"/>
            <w:shd w:val="clear" w:color="auto" w:fill="00548B"/>
          </w:tcPr>
          <w:p>
            <w:pPr>
              <w:spacing w:after="0"/>
              <w:rPr>
                <w:sz w:val="12"/>
                <w:szCs w:val="12"/>
                <w:color w:val="auto"/>
              </w:rPr>
            </w:pPr>
          </w:p>
        </w:tc>
        <w:tc>
          <w:tcPr>
            <w:tcW w:w="4540" w:type="dxa"/>
            <w:vAlign w:val="bottom"/>
            <w:vMerge w:val="restart"/>
            <w:shd w:val="clear" w:color="auto" w:fill="00548B"/>
          </w:tcPr>
          <w:p>
            <w:pPr>
              <w:spacing w:after="0"/>
              <w:rPr>
                <w:sz w:val="20"/>
                <w:szCs w:val="20"/>
                <w:color w:val="auto"/>
              </w:rPr>
            </w:pPr>
            <w:r>
              <w:rPr>
                <w:rFonts w:ascii="Arial" w:cs="Arial" w:eastAsia="Arial" w:hAnsi="Arial"/>
                <w:sz w:val="13"/>
                <w:szCs w:val="13"/>
                <w:b w:val="1"/>
                <w:bCs w:val="1"/>
                <w:color w:val="D8D8D8"/>
              </w:rPr>
              <w:t>Principal Occupation</w:t>
            </w:r>
          </w:p>
        </w:tc>
        <w:tc>
          <w:tcPr>
            <w:tcW w:w="120" w:type="dxa"/>
            <w:vAlign w:val="bottom"/>
            <w:shd w:val="clear" w:color="auto" w:fill="00548B"/>
          </w:tcPr>
          <w:p>
            <w:pPr>
              <w:spacing w:after="0"/>
              <w:rPr>
                <w:sz w:val="12"/>
                <w:szCs w:val="12"/>
                <w:color w:val="auto"/>
              </w:rPr>
            </w:pPr>
          </w:p>
        </w:tc>
        <w:tc>
          <w:tcPr>
            <w:tcW w:w="640" w:type="dxa"/>
            <w:vAlign w:val="bottom"/>
            <w:vMerge w:val="restart"/>
            <w:shd w:val="clear" w:color="auto" w:fill="00548B"/>
          </w:tcPr>
          <w:p>
            <w:pPr>
              <w:ind w:left="140"/>
              <w:spacing w:after="0"/>
              <w:rPr>
                <w:sz w:val="20"/>
                <w:szCs w:val="20"/>
                <w:color w:val="auto"/>
              </w:rPr>
            </w:pPr>
            <w:r>
              <w:rPr>
                <w:rFonts w:ascii="Arial" w:cs="Arial" w:eastAsia="Arial" w:hAnsi="Arial"/>
                <w:sz w:val="13"/>
                <w:szCs w:val="13"/>
                <w:b w:val="1"/>
                <w:bCs w:val="1"/>
                <w:color w:val="D8D8D8"/>
              </w:rPr>
              <w:t>Class</w:t>
            </w:r>
          </w:p>
        </w:tc>
        <w:tc>
          <w:tcPr>
            <w:tcW w:w="120" w:type="dxa"/>
            <w:vAlign w:val="bottom"/>
            <w:shd w:val="clear" w:color="auto" w:fill="00548B"/>
          </w:tcPr>
          <w:p>
            <w:pPr>
              <w:spacing w:after="0"/>
              <w:rPr>
                <w:sz w:val="12"/>
                <w:szCs w:val="12"/>
                <w:color w:val="auto"/>
              </w:rPr>
            </w:pPr>
          </w:p>
        </w:tc>
        <w:tc>
          <w:tcPr>
            <w:tcW w:w="1080" w:type="dxa"/>
            <w:vAlign w:val="bottom"/>
            <w:vMerge w:val="restart"/>
            <w:shd w:val="clear" w:color="auto" w:fill="00548B"/>
          </w:tcPr>
          <w:p>
            <w:pPr>
              <w:jc w:val="center"/>
              <w:spacing w:after="0"/>
              <w:rPr>
                <w:sz w:val="20"/>
                <w:szCs w:val="20"/>
                <w:color w:val="auto"/>
              </w:rPr>
            </w:pPr>
            <w:r>
              <w:rPr>
                <w:rFonts w:ascii="Arial" w:cs="Arial" w:eastAsia="Arial" w:hAnsi="Arial"/>
                <w:sz w:val="13"/>
                <w:szCs w:val="13"/>
                <w:b w:val="1"/>
                <w:bCs w:val="1"/>
                <w:color w:val="D8D8D8"/>
              </w:rPr>
              <w:t>Independent</w:t>
            </w:r>
          </w:p>
        </w:tc>
        <w:tc>
          <w:tcPr>
            <w:tcW w:w="1220" w:type="dxa"/>
            <w:vAlign w:val="bottom"/>
            <w:gridSpan w:val="3"/>
            <w:shd w:val="clear" w:color="auto" w:fill="00548B"/>
          </w:tcPr>
          <w:p>
            <w:pPr>
              <w:ind w:left="280"/>
              <w:spacing w:after="0"/>
              <w:rPr>
                <w:sz w:val="20"/>
                <w:szCs w:val="20"/>
                <w:color w:val="auto"/>
              </w:rPr>
            </w:pPr>
            <w:r>
              <w:rPr>
                <w:rFonts w:ascii="Arial" w:cs="Arial" w:eastAsia="Arial" w:hAnsi="Arial"/>
                <w:sz w:val="13"/>
                <w:szCs w:val="13"/>
                <w:b w:val="1"/>
                <w:bCs w:val="1"/>
                <w:color w:val="D8D8D8"/>
              </w:rPr>
              <w:t>Committees</w:t>
            </w:r>
          </w:p>
        </w:tc>
        <w:tc>
          <w:tcPr>
            <w:tcW w:w="540" w:type="dxa"/>
            <w:vAlign w:val="bottom"/>
            <w:vMerge w:val="restart"/>
            <w:shd w:val="clear" w:color="auto" w:fill="00548B"/>
          </w:tcPr>
          <w:p>
            <w:pPr>
              <w:jc w:val="center"/>
              <w:ind w:left="17"/>
              <w:spacing w:after="0"/>
              <w:rPr>
                <w:sz w:val="20"/>
                <w:szCs w:val="20"/>
                <w:color w:val="auto"/>
              </w:rPr>
            </w:pPr>
            <w:r>
              <w:rPr>
                <w:rFonts w:ascii="Arial" w:cs="Arial" w:eastAsia="Arial" w:hAnsi="Arial"/>
                <w:sz w:val="13"/>
                <w:szCs w:val="13"/>
                <w:b w:val="1"/>
                <w:bCs w:val="1"/>
                <w:color w:val="D8D8D8"/>
                <w:w w:val="98"/>
              </w:rPr>
              <w:t>Tech</w:t>
            </w:r>
          </w:p>
        </w:tc>
        <w:tc>
          <w:tcPr>
            <w:tcW w:w="0" w:type="dxa"/>
            <w:vAlign w:val="bottom"/>
          </w:tcPr>
          <w:p>
            <w:pPr>
              <w:spacing w:after="0"/>
              <w:rPr>
                <w:sz w:val="1"/>
                <w:szCs w:val="1"/>
                <w:color w:val="auto"/>
              </w:rPr>
            </w:pPr>
          </w:p>
        </w:tc>
      </w:tr>
      <w:tr>
        <w:trPr>
          <w:trHeight w:val="173"/>
        </w:trPr>
        <w:tc>
          <w:tcPr>
            <w:tcW w:w="2500" w:type="dxa"/>
            <w:vAlign w:val="bottom"/>
            <w:vMerge w:val="continue"/>
            <w:shd w:val="clear" w:color="auto" w:fill="00548B"/>
          </w:tcPr>
          <w:p>
            <w:pPr>
              <w:spacing w:after="0"/>
              <w:rPr>
                <w:sz w:val="15"/>
                <w:szCs w:val="15"/>
                <w:color w:val="auto"/>
              </w:rPr>
            </w:pPr>
          </w:p>
        </w:tc>
        <w:tc>
          <w:tcPr>
            <w:tcW w:w="100" w:type="dxa"/>
            <w:vAlign w:val="bottom"/>
            <w:shd w:val="clear" w:color="auto" w:fill="00548B"/>
          </w:tcPr>
          <w:p>
            <w:pPr>
              <w:spacing w:after="0"/>
              <w:rPr>
                <w:sz w:val="15"/>
                <w:szCs w:val="15"/>
                <w:color w:val="auto"/>
              </w:rPr>
            </w:pPr>
          </w:p>
        </w:tc>
        <w:tc>
          <w:tcPr>
            <w:tcW w:w="4540" w:type="dxa"/>
            <w:vAlign w:val="bottom"/>
            <w:vMerge w:val="continue"/>
            <w:shd w:val="clear" w:color="auto" w:fill="00548B"/>
          </w:tcPr>
          <w:p>
            <w:pPr>
              <w:spacing w:after="0"/>
              <w:rPr>
                <w:sz w:val="15"/>
                <w:szCs w:val="15"/>
                <w:color w:val="auto"/>
              </w:rPr>
            </w:pPr>
          </w:p>
        </w:tc>
        <w:tc>
          <w:tcPr>
            <w:tcW w:w="120" w:type="dxa"/>
            <w:vAlign w:val="bottom"/>
            <w:shd w:val="clear" w:color="auto" w:fill="00548B"/>
          </w:tcPr>
          <w:p>
            <w:pPr>
              <w:spacing w:after="0"/>
              <w:rPr>
                <w:sz w:val="15"/>
                <w:szCs w:val="15"/>
                <w:color w:val="auto"/>
              </w:rPr>
            </w:pPr>
          </w:p>
        </w:tc>
        <w:tc>
          <w:tcPr>
            <w:tcW w:w="640" w:type="dxa"/>
            <w:vAlign w:val="bottom"/>
            <w:vMerge w:val="continue"/>
            <w:shd w:val="clear" w:color="auto" w:fill="00548B"/>
          </w:tcPr>
          <w:p>
            <w:pPr>
              <w:spacing w:after="0"/>
              <w:rPr>
                <w:sz w:val="15"/>
                <w:szCs w:val="15"/>
                <w:color w:val="auto"/>
              </w:rPr>
            </w:pPr>
          </w:p>
        </w:tc>
        <w:tc>
          <w:tcPr>
            <w:tcW w:w="120" w:type="dxa"/>
            <w:vAlign w:val="bottom"/>
            <w:shd w:val="clear" w:color="auto" w:fill="00548B"/>
          </w:tcPr>
          <w:p>
            <w:pPr>
              <w:spacing w:after="0"/>
              <w:rPr>
                <w:sz w:val="15"/>
                <w:szCs w:val="15"/>
                <w:color w:val="auto"/>
              </w:rPr>
            </w:pPr>
          </w:p>
        </w:tc>
        <w:tc>
          <w:tcPr>
            <w:tcW w:w="1080" w:type="dxa"/>
            <w:vAlign w:val="bottom"/>
            <w:vMerge w:val="continue"/>
            <w:shd w:val="clear" w:color="auto" w:fill="00548B"/>
          </w:tcPr>
          <w:p>
            <w:pPr>
              <w:spacing w:after="0"/>
              <w:rPr>
                <w:sz w:val="15"/>
                <w:szCs w:val="15"/>
                <w:color w:val="auto"/>
              </w:rPr>
            </w:pPr>
          </w:p>
        </w:tc>
        <w:tc>
          <w:tcPr>
            <w:tcW w:w="380" w:type="dxa"/>
            <w:vAlign w:val="bottom"/>
            <w:shd w:val="clear" w:color="auto" w:fill="00548B"/>
          </w:tcPr>
          <w:p>
            <w:pPr>
              <w:jc w:val="center"/>
              <w:spacing w:after="0"/>
              <w:rPr>
                <w:sz w:val="20"/>
                <w:szCs w:val="20"/>
                <w:color w:val="auto"/>
              </w:rPr>
            </w:pPr>
            <w:r>
              <w:rPr>
                <w:rFonts w:ascii="Arial" w:cs="Arial" w:eastAsia="Arial" w:hAnsi="Arial"/>
                <w:sz w:val="13"/>
                <w:szCs w:val="13"/>
                <w:b w:val="1"/>
                <w:bCs w:val="1"/>
                <w:color w:val="D8D8D8"/>
                <w:w w:val="84"/>
              </w:rPr>
              <w:t>A</w:t>
            </w:r>
          </w:p>
        </w:tc>
        <w:tc>
          <w:tcPr>
            <w:tcW w:w="340" w:type="dxa"/>
            <w:vAlign w:val="bottom"/>
            <w:shd w:val="clear" w:color="auto" w:fill="00548B"/>
          </w:tcPr>
          <w:p>
            <w:pPr>
              <w:jc w:val="center"/>
              <w:spacing w:after="0"/>
              <w:rPr>
                <w:sz w:val="20"/>
                <w:szCs w:val="20"/>
                <w:color w:val="auto"/>
              </w:rPr>
            </w:pPr>
            <w:r>
              <w:rPr>
                <w:rFonts w:ascii="Arial" w:cs="Arial" w:eastAsia="Arial" w:hAnsi="Arial"/>
                <w:sz w:val="13"/>
                <w:szCs w:val="13"/>
                <w:b w:val="1"/>
                <w:bCs w:val="1"/>
                <w:color w:val="D8D8D8"/>
              </w:rPr>
              <w:t>C</w:t>
            </w:r>
          </w:p>
        </w:tc>
        <w:tc>
          <w:tcPr>
            <w:tcW w:w="500" w:type="dxa"/>
            <w:vAlign w:val="bottom"/>
            <w:shd w:val="clear" w:color="auto" w:fill="00548B"/>
          </w:tcPr>
          <w:p>
            <w:pPr>
              <w:jc w:val="center"/>
              <w:spacing w:after="0"/>
              <w:rPr>
                <w:sz w:val="20"/>
                <w:szCs w:val="20"/>
                <w:color w:val="auto"/>
              </w:rPr>
            </w:pPr>
            <w:r>
              <w:rPr>
                <w:rFonts w:ascii="Arial" w:cs="Arial" w:eastAsia="Arial" w:hAnsi="Arial"/>
                <w:sz w:val="13"/>
                <w:szCs w:val="13"/>
                <w:b w:val="1"/>
                <w:bCs w:val="1"/>
                <w:color w:val="D8D8D8"/>
                <w:w w:val="99"/>
              </w:rPr>
              <w:t>N&amp;CG</w:t>
            </w:r>
          </w:p>
        </w:tc>
        <w:tc>
          <w:tcPr>
            <w:tcW w:w="540" w:type="dxa"/>
            <w:vAlign w:val="bottom"/>
            <w:vMerge w:val="continue"/>
            <w:shd w:val="clear" w:color="auto" w:fill="00548B"/>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500" w:type="dxa"/>
            <w:vAlign w:val="bottom"/>
          </w:tcPr>
          <w:p>
            <w:pPr>
              <w:ind w:left="80"/>
              <w:spacing w:after="0" w:line="154" w:lineRule="exact"/>
              <w:rPr>
                <w:sz w:val="20"/>
                <w:szCs w:val="20"/>
                <w:color w:val="auto"/>
              </w:rPr>
            </w:pPr>
            <w:r>
              <w:rPr>
                <w:rFonts w:ascii="Arial" w:cs="Arial" w:eastAsia="Arial" w:hAnsi="Arial"/>
                <w:sz w:val="14"/>
                <w:szCs w:val="14"/>
                <w:b w:val="1"/>
                <w:bCs w:val="1"/>
                <w:color w:val="00548B"/>
              </w:rPr>
              <w:t>John McCartney</w:t>
            </w:r>
          </w:p>
        </w:tc>
        <w:tc>
          <w:tcPr>
            <w:tcW w:w="4640" w:type="dxa"/>
            <w:vAlign w:val="bottom"/>
            <w:gridSpan w:val="2"/>
          </w:tcPr>
          <w:p>
            <w:pPr>
              <w:ind w:left="100"/>
              <w:spacing w:after="0" w:line="154" w:lineRule="exact"/>
              <w:rPr>
                <w:sz w:val="20"/>
                <w:szCs w:val="20"/>
                <w:color w:val="auto"/>
              </w:rPr>
            </w:pPr>
            <w:r>
              <w:rPr>
                <w:rFonts w:ascii="Arial" w:cs="Arial" w:eastAsia="Arial" w:hAnsi="Arial"/>
                <w:sz w:val="14"/>
                <w:szCs w:val="14"/>
                <w:color w:val="auto"/>
              </w:rPr>
              <w:t>Non-executive Chairman, Huron Consulting Group Inc.</w:t>
            </w:r>
          </w:p>
        </w:tc>
        <w:tc>
          <w:tcPr>
            <w:tcW w:w="120" w:type="dxa"/>
            <w:vAlign w:val="bottom"/>
          </w:tcPr>
          <w:p>
            <w:pPr>
              <w:spacing w:after="0"/>
              <w:rPr>
                <w:sz w:val="13"/>
                <w:szCs w:val="13"/>
                <w:color w:val="auto"/>
              </w:rPr>
            </w:pPr>
          </w:p>
        </w:tc>
        <w:tc>
          <w:tcPr>
            <w:tcW w:w="640" w:type="dxa"/>
            <w:vAlign w:val="bottom"/>
          </w:tcPr>
          <w:p>
            <w:pPr>
              <w:jc w:val="center"/>
              <w:spacing w:after="0" w:line="154" w:lineRule="exact"/>
              <w:rPr>
                <w:sz w:val="20"/>
                <w:szCs w:val="20"/>
                <w:color w:val="auto"/>
              </w:rPr>
            </w:pPr>
            <w:r>
              <w:rPr>
                <w:rFonts w:ascii="Arial" w:cs="Arial" w:eastAsia="Arial" w:hAnsi="Arial"/>
                <w:sz w:val="14"/>
                <w:szCs w:val="14"/>
                <w:color w:val="auto"/>
              </w:rPr>
              <w:t>Class III</w:t>
            </w: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Arial" w:cs="Arial" w:eastAsia="Arial" w:hAnsi="Arial"/>
                <w:sz w:val="12"/>
                <w:szCs w:val="12"/>
                <w:color w:val="00548B"/>
              </w:rPr>
              <w:t>c</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500" w:type="dxa"/>
            <w:vAlign w:val="bottom"/>
            <w:tcBorders>
              <w:bottom w:val="single" w:sz="8" w:color="999999"/>
            </w:tcBorders>
          </w:tcPr>
          <w:p>
            <w:pPr>
              <w:ind w:left="60"/>
              <w:spacing w:after="0"/>
              <w:rPr>
                <w:sz w:val="20"/>
                <w:szCs w:val="20"/>
                <w:color w:val="auto"/>
              </w:rPr>
            </w:pPr>
            <w:r>
              <w:rPr>
                <w:rFonts w:ascii="Arial" w:cs="Arial" w:eastAsia="Arial" w:hAnsi="Arial"/>
                <w:sz w:val="12"/>
                <w:szCs w:val="12"/>
                <w:color w:val="auto"/>
              </w:rPr>
              <w:t>Age 69, Director since 2004</w:t>
            </w:r>
          </w:p>
        </w:tc>
        <w:tc>
          <w:tcPr>
            <w:tcW w:w="100" w:type="dxa"/>
            <w:vAlign w:val="bottom"/>
            <w:tcBorders>
              <w:bottom w:val="single" w:sz="8" w:color="999999"/>
            </w:tcBorders>
          </w:tcPr>
          <w:p>
            <w:pPr>
              <w:spacing w:after="0"/>
              <w:rPr>
                <w:sz w:val="15"/>
                <w:szCs w:val="15"/>
                <w:color w:val="auto"/>
              </w:rPr>
            </w:pPr>
          </w:p>
        </w:tc>
        <w:tc>
          <w:tcPr>
            <w:tcW w:w="4540" w:type="dxa"/>
            <w:vAlign w:val="bottom"/>
            <w:tcBorders>
              <w:bottom w:val="single" w:sz="8" w:color="999999"/>
            </w:tcBorders>
          </w:tcPr>
          <w:p>
            <w:pPr>
              <w:spacing w:after="0"/>
              <w:rPr>
                <w:sz w:val="15"/>
                <w:szCs w:val="15"/>
                <w:color w:val="auto"/>
              </w:rPr>
            </w:pPr>
          </w:p>
        </w:tc>
        <w:tc>
          <w:tcPr>
            <w:tcW w:w="760" w:type="dxa"/>
            <w:vAlign w:val="bottom"/>
            <w:tcBorders>
              <w:bottom w:val="single" w:sz="8" w:color="999999"/>
            </w:tcBorders>
            <w:gridSpan w:val="2"/>
          </w:tcPr>
          <w:p>
            <w:pPr>
              <w:jc w:val="center"/>
              <w:ind w:left="49"/>
              <w:spacing w:after="0"/>
              <w:rPr>
                <w:sz w:val="20"/>
                <w:szCs w:val="20"/>
                <w:color w:val="auto"/>
              </w:rPr>
            </w:pPr>
            <w:r>
              <w:rPr>
                <w:rFonts w:ascii="Arial" w:cs="Arial" w:eastAsia="Arial" w:hAnsi="Arial"/>
                <w:sz w:val="14"/>
                <w:szCs w:val="14"/>
                <w:color w:val="auto"/>
              </w:rPr>
              <w:t>2022</w:t>
            </w:r>
          </w:p>
        </w:tc>
        <w:tc>
          <w:tcPr>
            <w:tcW w:w="120" w:type="dxa"/>
            <w:vAlign w:val="bottom"/>
            <w:tcBorders>
              <w:bottom w:val="single" w:sz="8" w:color="999999"/>
            </w:tcBorders>
          </w:tcPr>
          <w:p>
            <w:pPr>
              <w:spacing w:after="0"/>
              <w:rPr>
                <w:sz w:val="15"/>
                <w:szCs w:val="15"/>
                <w:color w:val="auto"/>
              </w:rPr>
            </w:pPr>
          </w:p>
        </w:tc>
        <w:tc>
          <w:tcPr>
            <w:tcW w:w="1080" w:type="dxa"/>
            <w:vAlign w:val="bottom"/>
            <w:tcBorders>
              <w:bottom w:val="single" w:sz="8" w:color="999999"/>
            </w:tcBorders>
          </w:tcPr>
          <w:p>
            <w:pPr>
              <w:spacing w:after="0"/>
              <w:rPr>
                <w:sz w:val="15"/>
                <w:szCs w:val="15"/>
                <w:color w:val="auto"/>
              </w:rPr>
            </w:pPr>
          </w:p>
        </w:tc>
        <w:tc>
          <w:tcPr>
            <w:tcW w:w="380" w:type="dxa"/>
            <w:vAlign w:val="bottom"/>
            <w:tcBorders>
              <w:bottom w:val="single" w:sz="8" w:color="999999"/>
            </w:tcBorders>
          </w:tcPr>
          <w:p>
            <w:pPr>
              <w:spacing w:after="0"/>
              <w:rPr>
                <w:sz w:val="15"/>
                <w:szCs w:val="15"/>
                <w:color w:val="auto"/>
              </w:rPr>
            </w:pPr>
          </w:p>
        </w:tc>
        <w:tc>
          <w:tcPr>
            <w:tcW w:w="340" w:type="dxa"/>
            <w:vAlign w:val="bottom"/>
            <w:tcBorders>
              <w:bottom w:val="single" w:sz="8" w:color="999999"/>
            </w:tcBorders>
          </w:tcPr>
          <w:p>
            <w:pPr>
              <w:spacing w:after="0"/>
              <w:rPr>
                <w:sz w:val="15"/>
                <w:szCs w:val="15"/>
                <w:color w:val="auto"/>
              </w:rPr>
            </w:pPr>
          </w:p>
        </w:tc>
        <w:tc>
          <w:tcPr>
            <w:tcW w:w="500" w:type="dxa"/>
            <w:vAlign w:val="bottom"/>
            <w:tcBorders>
              <w:bottom w:val="single" w:sz="8" w:color="999999"/>
            </w:tcBorders>
          </w:tcPr>
          <w:p>
            <w:pPr>
              <w:spacing w:after="0"/>
              <w:rPr>
                <w:sz w:val="15"/>
                <w:szCs w:val="15"/>
                <w:color w:val="auto"/>
              </w:rPr>
            </w:pPr>
          </w:p>
        </w:tc>
        <w:tc>
          <w:tcPr>
            <w:tcW w:w="540" w:type="dxa"/>
            <w:vAlign w:val="bottom"/>
            <w:tcBorders>
              <w:bottom w:val="single" w:sz="8" w:color="999999"/>
            </w:tcBorders>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500" w:type="dxa"/>
            <w:vAlign w:val="bottom"/>
          </w:tcPr>
          <w:p>
            <w:pPr>
              <w:ind w:left="80"/>
              <w:spacing w:after="0" w:line="147" w:lineRule="exact"/>
              <w:rPr>
                <w:sz w:val="20"/>
                <w:szCs w:val="20"/>
                <w:color w:val="auto"/>
              </w:rPr>
            </w:pPr>
            <w:r>
              <w:rPr>
                <w:rFonts w:ascii="Arial" w:cs="Arial" w:eastAsia="Arial" w:hAnsi="Arial"/>
                <w:sz w:val="14"/>
                <w:szCs w:val="14"/>
                <w:b w:val="1"/>
                <w:bCs w:val="1"/>
                <w:color w:val="00548B"/>
              </w:rPr>
              <w:t>Ekta Singh-Bushell</w:t>
            </w:r>
          </w:p>
        </w:tc>
        <w:tc>
          <w:tcPr>
            <w:tcW w:w="4640" w:type="dxa"/>
            <w:vAlign w:val="bottom"/>
            <w:gridSpan w:val="2"/>
          </w:tcPr>
          <w:p>
            <w:pPr>
              <w:ind w:left="100"/>
              <w:spacing w:after="0" w:line="147" w:lineRule="exact"/>
              <w:rPr>
                <w:sz w:val="20"/>
                <w:szCs w:val="20"/>
                <w:color w:val="auto"/>
              </w:rPr>
            </w:pPr>
            <w:r>
              <w:rPr>
                <w:rFonts w:ascii="Arial" w:cs="Arial" w:eastAsia="Arial" w:hAnsi="Arial"/>
                <w:sz w:val="14"/>
                <w:szCs w:val="14"/>
                <w:color w:val="auto"/>
              </w:rPr>
              <w:t>Strategic adviser to DecisionGPS, LLC</w:t>
            </w:r>
          </w:p>
        </w:tc>
        <w:tc>
          <w:tcPr>
            <w:tcW w:w="120" w:type="dxa"/>
            <w:vAlign w:val="bottom"/>
          </w:tcPr>
          <w:p>
            <w:pPr>
              <w:spacing w:after="0"/>
              <w:rPr>
                <w:sz w:val="12"/>
                <w:szCs w:val="12"/>
                <w:color w:val="auto"/>
              </w:rPr>
            </w:pPr>
          </w:p>
        </w:tc>
        <w:tc>
          <w:tcPr>
            <w:tcW w:w="640" w:type="dxa"/>
            <w:vAlign w:val="bottom"/>
          </w:tcPr>
          <w:p>
            <w:pPr>
              <w:jc w:val="center"/>
              <w:spacing w:after="0" w:line="147" w:lineRule="exact"/>
              <w:rPr>
                <w:sz w:val="20"/>
                <w:szCs w:val="20"/>
                <w:color w:val="auto"/>
              </w:rPr>
            </w:pPr>
            <w:r>
              <w:rPr>
                <w:rFonts w:ascii="Arial" w:cs="Arial" w:eastAsia="Arial" w:hAnsi="Arial"/>
                <w:sz w:val="14"/>
                <w:szCs w:val="14"/>
                <w:color w:val="auto"/>
              </w:rPr>
              <w:t>Class III</w:t>
            </w: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jc w:val="center"/>
              <w:ind w:left="17"/>
              <w:spacing w:after="0"/>
              <w:rPr>
                <w:sz w:val="20"/>
                <w:szCs w:val="20"/>
                <w:color w:val="auto"/>
              </w:rPr>
            </w:pPr>
            <w:r>
              <w:rPr>
                <w:rFonts w:ascii="Arial" w:cs="Arial" w:eastAsia="Arial" w:hAnsi="Arial"/>
                <w:sz w:val="12"/>
                <w:szCs w:val="12"/>
                <w:color w:val="00548B"/>
              </w:rPr>
              <w:t>c</w:t>
            </w:r>
          </w:p>
        </w:tc>
        <w:tc>
          <w:tcPr>
            <w:tcW w:w="0" w:type="dxa"/>
            <w:vAlign w:val="bottom"/>
          </w:tcPr>
          <w:p>
            <w:pPr>
              <w:spacing w:after="0"/>
              <w:rPr>
                <w:sz w:val="1"/>
                <w:szCs w:val="1"/>
                <w:color w:val="auto"/>
              </w:rPr>
            </w:pPr>
          </w:p>
        </w:tc>
      </w:tr>
      <w:tr>
        <w:trPr>
          <w:trHeight w:val="179"/>
        </w:trPr>
        <w:tc>
          <w:tcPr>
            <w:tcW w:w="2500" w:type="dxa"/>
            <w:vAlign w:val="bottom"/>
            <w:tcBorders>
              <w:bottom w:val="single" w:sz="8" w:color="999999"/>
            </w:tcBorders>
          </w:tcPr>
          <w:p>
            <w:pPr>
              <w:ind w:left="60"/>
              <w:spacing w:after="0"/>
              <w:rPr>
                <w:sz w:val="20"/>
                <w:szCs w:val="20"/>
                <w:color w:val="auto"/>
              </w:rPr>
            </w:pPr>
            <w:r>
              <w:rPr>
                <w:rFonts w:ascii="Arial" w:cs="Arial" w:eastAsia="Arial" w:hAnsi="Arial"/>
                <w:sz w:val="12"/>
                <w:szCs w:val="12"/>
                <w:color w:val="auto"/>
              </w:rPr>
              <w:t>Age 50, Director since 2019</w:t>
            </w:r>
          </w:p>
        </w:tc>
        <w:tc>
          <w:tcPr>
            <w:tcW w:w="100" w:type="dxa"/>
            <w:vAlign w:val="bottom"/>
            <w:tcBorders>
              <w:bottom w:val="single" w:sz="8" w:color="999999"/>
            </w:tcBorders>
          </w:tcPr>
          <w:p>
            <w:pPr>
              <w:spacing w:after="0"/>
              <w:rPr>
                <w:sz w:val="15"/>
                <w:szCs w:val="15"/>
                <w:color w:val="auto"/>
              </w:rPr>
            </w:pPr>
          </w:p>
        </w:tc>
        <w:tc>
          <w:tcPr>
            <w:tcW w:w="4540" w:type="dxa"/>
            <w:vAlign w:val="bottom"/>
            <w:tcBorders>
              <w:bottom w:val="single" w:sz="8" w:color="999999"/>
            </w:tcBorders>
          </w:tcPr>
          <w:p>
            <w:pPr>
              <w:spacing w:after="0"/>
              <w:rPr>
                <w:sz w:val="15"/>
                <w:szCs w:val="15"/>
                <w:color w:val="auto"/>
              </w:rPr>
            </w:pPr>
          </w:p>
        </w:tc>
        <w:tc>
          <w:tcPr>
            <w:tcW w:w="760" w:type="dxa"/>
            <w:vAlign w:val="bottom"/>
            <w:tcBorders>
              <w:bottom w:val="single" w:sz="8" w:color="999999"/>
            </w:tcBorders>
            <w:gridSpan w:val="2"/>
          </w:tcPr>
          <w:p>
            <w:pPr>
              <w:jc w:val="center"/>
              <w:ind w:left="49"/>
              <w:spacing w:after="0"/>
              <w:rPr>
                <w:sz w:val="20"/>
                <w:szCs w:val="20"/>
                <w:color w:val="auto"/>
              </w:rPr>
            </w:pPr>
            <w:r>
              <w:rPr>
                <w:rFonts w:ascii="Arial" w:cs="Arial" w:eastAsia="Arial" w:hAnsi="Arial"/>
                <w:sz w:val="14"/>
                <w:szCs w:val="14"/>
                <w:color w:val="auto"/>
              </w:rPr>
              <w:t>2022</w:t>
            </w:r>
          </w:p>
        </w:tc>
        <w:tc>
          <w:tcPr>
            <w:tcW w:w="120" w:type="dxa"/>
            <w:vAlign w:val="bottom"/>
            <w:tcBorders>
              <w:bottom w:val="single" w:sz="8" w:color="999999"/>
            </w:tcBorders>
          </w:tcPr>
          <w:p>
            <w:pPr>
              <w:spacing w:after="0"/>
              <w:rPr>
                <w:sz w:val="15"/>
                <w:szCs w:val="15"/>
                <w:color w:val="auto"/>
              </w:rPr>
            </w:pPr>
          </w:p>
        </w:tc>
        <w:tc>
          <w:tcPr>
            <w:tcW w:w="1080" w:type="dxa"/>
            <w:vAlign w:val="bottom"/>
            <w:tcBorders>
              <w:bottom w:val="single" w:sz="8" w:color="999999"/>
            </w:tcBorders>
          </w:tcPr>
          <w:p>
            <w:pPr>
              <w:spacing w:after="0"/>
              <w:rPr>
                <w:sz w:val="15"/>
                <w:szCs w:val="15"/>
                <w:color w:val="auto"/>
              </w:rPr>
            </w:pPr>
          </w:p>
        </w:tc>
        <w:tc>
          <w:tcPr>
            <w:tcW w:w="380" w:type="dxa"/>
            <w:vAlign w:val="bottom"/>
            <w:tcBorders>
              <w:bottom w:val="single" w:sz="8" w:color="999999"/>
            </w:tcBorders>
          </w:tcPr>
          <w:p>
            <w:pPr>
              <w:spacing w:after="0"/>
              <w:rPr>
                <w:sz w:val="15"/>
                <w:szCs w:val="15"/>
                <w:color w:val="auto"/>
              </w:rPr>
            </w:pPr>
          </w:p>
        </w:tc>
        <w:tc>
          <w:tcPr>
            <w:tcW w:w="340" w:type="dxa"/>
            <w:vAlign w:val="bottom"/>
            <w:tcBorders>
              <w:bottom w:val="single" w:sz="8" w:color="999999"/>
            </w:tcBorders>
          </w:tcPr>
          <w:p>
            <w:pPr>
              <w:spacing w:after="0"/>
              <w:rPr>
                <w:sz w:val="15"/>
                <w:szCs w:val="15"/>
                <w:color w:val="auto"/>
              </w:rPr>
            </w:pPr>
          </w:p>
        </w:tc>
        <w:tc>
          <w:tcPr>
            <w:tcW w:w="500" w:type="dxa"/>
            <w:vAlign w:val="bottom"/>
            <w:tcBorders>
              <w:bottom w:val="single" w:sz="8" w:color="999999"/>
            </w:tcBorders>
          </w:tcPr>
          <w:p>
            <w:pPr>
              <w:spacing w:after="0"/>
              <w:rPr>
                <w:sz w:val="15"/>
                <w:szCs w:val="15"/>
                <w:color w:val="auto"/>
              </w:rPr>
            </w:pPr>
          </w:p>
        </w:tc>
        <w:tc>
          <w:tcPr>
            <w:tcW w:w="540" w:type="dxa"/>
            <w:vAlign w:val="bottom"/>
            <w:tcBorders>
              <w:bottom w:val="single" w:sz="8" w:color="999999"/>
            </w:tcBorders>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500" w:type="dxa"/>
            <w:vAlign w:val="bottom"/>
          </w:tcPr>
          <w:p>
            <w:pPr>
              <w:ind w:left="80"/>
              <w:spacing w:after="0" w:line="147" w:lineRule="exact"/>
              <w:rPr>
                <w:sz w:val="20"/>
                <w:szCs w:val="20"/>
                <w:color w:val="auto"/>
              </w:rPr>
            </w:pPr>
            <w:r>
              <w:rPr>
                <w:rFonts w:ascii="Arial" w:cs="Arial" w:eastAsia="Arial" w:hAnsi="Arial"/>
                <w:sz w:val="14"/>
                <w:szCs w:val="14"/>
                <w:b w:val="1"/>
                <w:bCs w:val="1"/>
                <w:color w:val="00548B"/>
              </w:rPr>
              <w:t>Peter K. Markell</w:t>
            </w:r>
          </w:p>
        </w:tc>
        <w:tc>
          <w:tcPr>
            <w:tcW w:w="4640" w:type="dxa"/>
            <w:vAlign w:val="bottom"/>
            <w:gridSpan w:val="2"/>
          </w:tcPr>
          <w:p>
            <w:pPr>
              <w:ind w:left="100"/>
              <w:spacing w:after="0" w:line="147" w:lineRule="exact"/>
              <w:rPr>
                <w:sz w:val="20"/>
                <w:szCs w:val="20"/>
                <w:color w:val="auto"/>
              </w:rPr>
            </w:pPr>
            <w:r>
              <w:rPr>
                <w:rFonts w:ascii="Arial" w:cs="Arial" w:eastAsia="Arial" w:hAnsi="Arial"/>
                <w:sz w:val="14"/>
                <w:szCs w:val="14"/>
                <w:color w:val="auto"/>
              </w:rPr>
              <w:t>Retired Executive Vice President of Administration and Finance, CFO</w:t>
            </w:r>
          </w:p>
        </w:tc>
        <w:tc>
          <w:tcPr>
            <w:tcW w:w="120" w:type="dxa"/>
            <w:vAlign w:val="bottom"/>
          </w:tcPr>
          <w:p>
            <w:pPr>
              <w:spacing w:after="0"/>
              <w:rPr>
                <w:sz w:val="12"/>
                <w:szCs w:val="12"/>
                <w:color w:val="auto"/>
              </w:rPr>
            </w:pPr>
          </w:p>
        </w:tc>
        <w:tc>
          <w:tcPr>
            <w:tcW w:w="640" w:type="dxa"/>
            <w:vAlign w:val="bottom"/>
          </w:tcPr>
          <w:p>
            <w:pPr>
              <w:jc w:val="center"/>
              <w:spacing w:after="0" w:line="147" w:lineRule="exact"/>
              <w:rPr>
                <w:sz w:val="20"/>
                <w:szCs w:val="20"/>
                <w:color w:val="auto"/>
              </w:rPr>
            </w:pPr>
            <w:r>
              <w:rPr>
                <w:rFonts w:ascii="Arial" w:cs="Arial" w:eastAsia="Arial" w:hAnsi="Arial"/>
                <w:sz w:val="14"/>
                <w:szCs w:val="14"/>
                <w:color w:val="auto"/>
              </w:rPr>
              <w:t>Class III</w:t>
            </w: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500" w:type="dxa"/>
            <w:vAlign w:val="bottom"/>
          </w:tcPr>
          <w:p>
            <w:pPr>
              <w:ind w:left="60"/>
              <w:spacing w:after="0"/>
              <w:rPr>
                <w:sz w:val="20"/>
                <w:szCs w:val="20"/>
                <w:color w:val="auto"/>
              </w:rPr>
            </w:pPr>
            <w:r>
              <w:rPr>
                <w:rFonts w:ascii="Arial" w:cs="Arial" w:eastAsia="Arial" w:hAnsi="Arial"/>
                <w:sz w:val="12"/>
                <w:szCs w:val="12"/>
                <w:color w:val="auto"/>
              </w:rPr>
              <w:t>Age 66, Director since 2022</w:t>
            </w:r>
          </w:p>
        </w:tc>
        <w:tc>
          <w:tcPr>
            <w:tcW w:w="4640" w:type="dxa"/>
            <w:vAlign w:val="bottom"/>
            <w:gridSpan w:val="2"/>
          </w:tcPr>
          <w:p>
            <w:pPr>
              <w:ind w:left="100"/>
              <w:spacing w:after="0"/>
              <w:rPr>
                <w:sz w:val="20"/>
                <w:szCs w:val="20"/>
                <w:color w:val="auto"/>
              </w:rPr>
            </w:pPr>
            <w:r>
              <w:rPr>
                <w:rFonts w:ascii="Arial" w:cs="Arial" w:eastAsia="Arial" w:hAnsi="Arial"/>
                <w:sz w:val="14"/>
                <w:szCs w:val="14"/>
                <w:color w:val="auto"/>
              </w:rPr>
              <w:t>and Treasurer, Mass General Brigham</w:t>
            </w:r>
          </w:p>
        </w:tc>
        <w:tc>
          <w:tcPr>
            <w:tcW w:w="760" w:type="dxa"/>
            <w:vAlign w:val="bottom"/>
            <w:gridSpan w:val="2"/>
          </w:tcPr>
          <w:p>
            <w:pPr>
              <w:jc w:val="center"/>
              <w:ind w:left="49"/>
              <w:spacing w:after="0"/>
              <w:rPr>
                <w:sz w:val="20"/>
                <w:szCs w:val="20"/>
                <w:color w:val="auto"/>
              </w:rPr>
            </w:pPr>
            <w:r>
              <w:rPr>
                <w:rFonts w:ascii="Arial" w:cs="Arial" w:eastAsia="Arial" w:hAnsi="Arial"/>
                <w:sz w:val="14"/>
                <w:szCs w:val="14"/>
                <w:color w:val="auto"/>
              </w:rPr>
              <w:t>2022</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500" w:type="dxa"/>
            <w:vAlign w:val="bottom"/>
            <w:shd w:val="clear" w:color="auto" w:fill="00548B"/>
          </w:tcPr>
          <w:p>
            <w:pPr>
              <w:ind w:left="80"/>
              <w:spacing w:after="0"/>
              <w:rPr>
                <w:sz w:val="20"/>
                <w:szCs w:val="20"/>
                <w:color w:val="auto"/>
              </w:rPr>
            </w:pPr>
            <w:r>
              <w:rPr>
                <w:rFonts w:ascii="Arial" w:cs="Arial" w:eastAsia="Arial" w:hAnsi="Arial"/>
                <w:sz w:val="14"/>
                <w:szCs w:val="14"/>
                <w:b w:val="1"/>
                <w:bCs w:val="1"/>
                <w:color w:val="D8D8D8"/>
              </w:rPr>
              <w:t>Not Standing for Election</w:t>
            </w:r>
          </w:p>
        </w:tc>
        <w:tc>
          <w:tcPr>
            <w:tcW w:w="100" w:type="dxa"/>
            <w:vAlign w:val="bottom"/>
            <w:shd w:val="clear" w:color="auto" w:fill="00548B"/>
          </w:tcPr>
          <w:p>
            <w:pPr>
              <w:spacing w:after="0"/>
              <w:rPr>
                <w:sz w:val="15"/>
                <w:szCs w:val="15"/>
                <w:color w:val="auto"/>
              </w:rPr>
            </w:pPr>
          </w:p>
        </w:tc>
        <w:tc>
          <w:tcPr>
            <w:tcW w:w="4540" w:type="dxa"/>
            <w:vAlign w:val="bottom"/>
            <w:shd w:val="clear" w:color="auto" w:fill="00548B"/>
          </w:tcPr>
          <w:p>
            <w:pPr>
              <w:spacing w:after="0"/>
              <w:rPr>
                <w:sz w:val="15"/>
                <w:szCs w:val="15"/>
                <w:color w:val="auto"/>
              </w:rPr>
            </w:pPr>
          </w:p>
        </w:tc>
        <w:tc>
          <w:tcPr>
            <w:tcW w:w="120" w:type="dxa"/>
            <w:vAlign w:val="bottom"/>
            <w:shd w:val="clear" w:color="auto" w:fill="00548B"/>
          </w:tcPr>
          <w:p>
            <w:pPr>
              <w:spacing w:after="0"/>
              <w:rPr>
                <w:sz w:val="15"/>
                <w:szCs w:val="15"/>
                <w:color w:val="auto"/>
              </w:rPr>
            </w:pPr>
          </w:p>
        </w:tc>
        <w:tc>
          <w:tcPr>
            <w:tcW w:w="640" w:type="dxa"/>
            <w:vAlign w:val="bottom"/>
            <w:shd w:val="clear" w:color="auto" w:fill="00548B"/>
          </w:tcPr>
          <w:p>
            <w:pPr>
              <w:spacing w:after="0"/>
              <w:rPr>
                <w:sz w:val="15"/>
                <w:szCs w:val="15"/>
                <w:color w:val="auto"/>
              </w:rPr>
            </w:pPr>
          </w:p>
        </w:tc>
        <w:tc>
          <w:tcPr>
            <w:tcW w:w="120" w:type="dxa"/>
            <w:vAlign w:val="bottom"/>
            <w:shd w:val="clear" w:color="auto" w:fill="00548B"/>
          </w:tcPr>
          <w:p>
            <w:pPr>
              <w:spacing w:after="0"/>
              <w:rPr>
                <w:sz w:val="15"/>
                <w:szCs w:val="15"/>
                <w:color w:val="auto"/>
              </w:rPr>
            </w:pPr>
          </w:p>
        </w:tc>
        <w:tc>
          <w:tcPr>
            <w:tcW w:w="1080" w:type="dxa"/>
            <w:vAlign w:val="bottom"/>
            <w:shd w:val="clear" w:color="auto" w:fill="00548B"/>
          </w:tcPr>
          <w:p>
            <w:pPr>
              <w:spacing w:after="0"/>
              <w:rPr>
                <w:sz w:val="15"/>
                <w:szCs w:val="15"/>
                <w:color w:val="auto"/>
              </w:rPr>
            </w:pPr>
          </w:p>
        </w:tc>
        <w:tc>
          <w:tcPr>
            <w:tcW w:w="380" w:type="dxa"/>
            <w:vAlign w:val="bottom"/>
            <w:shd w:val="clear" w:color="auto" w:fill="00548B"/>
          </w:tcPr>
          <w:p>
            <w:pPr>
              <w:spacing w:after="0"/>
              <w:rPr>
                <w:sz w:val="15"/>
                <w:szCs w:val="15"/>
                <w:color w:val="auto"/>
              </w:rPr>
            </w:pPr>
          </w:p>
        </w:tc>
        <w:tc>
          <w:tcPr>
            <w:tcW w:w="340" w:type="dxa"/>
            <w:vAlign w:val="bottom"/>
            <w:shd w:val="clear" w:color="auto" w:fill="00548B"/>
          </w:tcPr>
          <w:p>
            <w:pPr>
              <w:spacing w:after="0"/>
              <w:rPr>
                <w:sz w:val="15"/>
                <w:szCs w:val="15"/>
                <w:color w:val="auto"/>
              </w:rPr>
            </w:pPr>
          </w:p>
        </w:tc>
        <w:tc>
          <w:tcPr>
            <w:tcW w:w="500" w:type="dxa"/>
            <w:vAlign w:val="bottom"/>
            <w:shd w:val="clear" w:color="auto" w:fill="00548B"/>
          </w:tcPr>
          <w:p>
            <w:pPr>
              <w:spacing w:after="0"/>
              <w:rPr>
                <w:sz w:val="15"/>
                <w:szCs w:val="15"/>
                <w:color w:val="auto"/>
              </w:rPr>
            </w:pPr>
          </w:p>
        </w:tc>
        <w:tc>
          <w:tcPr>
            <w:tcW w:w="540" w:type="dxa"/>
            <w:vAlign w:val="bottom"/>
            <w:shd w:val="clear" w:color="auto" w:fill="00548B"/>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500" w:type="dxa"/>
            <w:vAlign w:val="bottom"/>
          </w:tcPr>
          <w:p>
            <w:pPr>
              <w:ind w:left="80"/>
              <w:spacing w:after="0" w:line="154" w:lineRule="exact"/>
              <w:rPr>
                <w:sz w:val="20"/>
                <w:szCs w:val="20"/>
                <w:color w:val="auto"/>
              </w:rPr>
            </w:pPr>
            <w:r>
              <w:rPr>
                <w:rFonts w:ascii="Arial" w:cs="Arial" w:eastAsia="Arial" w:hAnsi="Arial"/>
                <w:sz w:val="14"/>
                <w:szCs w:val="14"/>
                <w:b w:val="1"/>
                <w:bCs w:val="1"/>
                <w:color w:val="00548B"/>
              </w:rPr>
              <w:t>H. Eugene Lockhart</w:t>
            </w:r>
          </w:p>
        </w:tc>
        <w:tc>
          <w:tcPr>
            <w:tcW w:w="4640" w:type="dxa"/>
            <w:vAlign w:val="bottom"/>
            <w:gridSpan w:val="2"/>
          </w:tcPr>
          <w:p>
            <w:pPr>
              <w:ind w:left="100"/>
              <w:spacing w:after="0" w:line="154" w:lineRule="exact"/>
              <w:rPr>
                <w:sz w:val="20"/>
                <w:szCs w:val="20"/>
                <w:color w:val="auto"/>
              </w:rPr>
            </w:pPr>
            <w:r>
              <w:rPr>
                <w:rFonts w:ascii="Arial" w:cs="Arial" w:eastAsia="Arial" w:hAnsi="Arial"/>
                <w:sz w:val="14"/>
                <w:szCs w:val="14"/>
                <w:color w:val="auto"/>
              </w:rPr>
              <w:t>Chairman and Managing Partner of MissionOG LLC</w:t>
            </w:r>
          </w:p>
        </w:tc>
        <w:tc>
          <w:tcPr>
            <w:tcW w:w="120" w:type="dxa"/>
            <w:vAlign w:val="bottom"/>
          </w:tcPr>
          <w:p>
            <w:pPr>
              <w:spacing w:after="0"/>
              <w:rPr>
                <w:sz w:val="13"/>
                <w:szCs w:val="13"/>
                <w:color w:val="auto"/>
              </w:rPr>
            </w:pPr>
          </w:p>
        </w:tc>
        <w:tc>
          <w:tcPr>
            <w:tcW w:w="640" w:type="dxa"/>
            <w:vAlign w:val="bottom"/>
          </w:tcPr>
          <w:p>
            <w:pPr>
              <w:jc w:val="center"/>
              <w:spacing w:after="0" w:line="154" w:lineRule="exact"/>
              <w:rPr>
                <w:sz w:val="20"/>
                <w:szCs w:val="20"/>
                <w:color w:val="auto"/>
              </w:rPr>
            </w:pPr>
            <w:r>
              <w:rPr>
                <w:rFonts w:ascii="Arial" w:cs="Arial" w:eastAsia="Arial" w:hAnsi="Arial"/>
                <w:sz w:val="14"/>
                <w:szCs w:val="14"/>
                <w:color w:val="auto"/>
              </w:rPr>
              <w:t>Class I</w:t>
            </w: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jc w:val="center"/>
              <w:spacing w:after="0"/>
              <w:rPr>
                <w:sz w:val="20"/>
                <w:szCs w:val="20"/>
                <w:color w:val="auto"/>
              </w:rPr>
            </w:pPr>
            <w:r>
              <w:rPr>
                <w:rFonts w:ascii="Arial" w:cs="Arial" w:eastAsia="Arial" w:hAnsi="Arial"/>
                <w:sz w:val="12"/>
                <w:szCs w:val="12"/>
                <w:color w:val="00548B"/>
              </w:rPr>
              <w:t>c</w:t>
            </w: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500" w:type="dxa"/>
            <w:vAlign w:val="bottom"/>
            <w:tcBorders>
              <w:bottom w:val="single" w:sz="8" w:color="999999"/>
            </w:tcBorders>
          </w:tcPr>
          <w:p>
            <w:pPr>
              <w:ind w:left="60"/>
              <w:spacing w:after="0"/>
              <w:rPr>
                <w:sz w:val="20"/>
                <w:szCs w:val="20"/>
                <w:color w:val="auto"/>
              </w:rPr>
            </w:pPr>
            <w:r>
              <w:rPr>
                <w:rFonts w:ascii="Arial" w:cs="Arial" w:eastAsia="Arial" w:hAnsi="Arial"/>
                <w:sz w:val="12"/>
                <w:szCs w:val="12"/>
                <w:color w:val="auto"/>
              </w:rPr>
              <w:t>Age 72, Director since 2006</w:t>
            </w:r>
          </w:p>
        </w:tc>
        <w:tc>
          <w:tcPr>
            <w:tcW w:w="100" w:type="dxa"/>
            <w:vAlign w:val="bottom"/>
            <w:tcBorders>
              <w:bottom w:val="single" w:sz="8" w:color="999999"/>
            </w:tcBorders>
          </w:tcPr>
          <w:p>
            <w:pPr>
              <w:spacing w:after="0"/>
              <w:rPr>
                <w:sz w:val="15"/>
                <w:szCs w:val="15"/>
                <w:color w:val="auto"/>
              </w:rPr>
            </w:pPr>
          </w:p>
        </w:tc>
        <w:tc>
          <w:tcPr>
            <w:tcW w:w="4540" w:type="dxa"/>
            <w:vAlign w:val="bottom"/>
            <w:tcBorders>
              <w:bottom w:val="single" w:sz="8" w:color="999999"/>
            </w:tcBorders>
          </w:tcPr>
          <w:p>
            <w:pPr>
              <w:spacing w:after="0"/>
              <w:rPr>
                <w:sz w:val="15"/>
                <w:szCs w:val="15"/>
                <w:color w:val="auto"/>
              </w:rPr>
            </w:pPr>
          </w:p>
        </w:tc>
        <w:tc>
          <w:tcPr>
            <w:tcW w:w="760" w:type="dxa"/>
            <w:vAlign w:val="bottom"/>
            <w:tcBorders>
              <w:bottom w:val="single" w:sz="8" w:color="999999"/>
            </w:tcBorders>
            <w:gridSpan w:val="2"/>
          </w:tcPr>
          <w:p>
            <w:pPr>
              <w:jc w:val="center"/>
              <w:ind w:left="49"/>
              <w:spacing w:after="0"/>
              <w:rPr>
                <w:sz w:val="20"/>
                <w:szCs w:val="20"/>
                <w:color w:val="auto"/>
              </w:rPr>
            </w:pPr>
            <w:r>
              <w:rPr>
                <w:rFonts w:ascii="Arial" w:cs="Arial" w:eastAsia="Arial" w:hAnsi="Arial"/>
                <w:sz w:val="14"/>
                <w:szCs w:val="14"/>
                <w:color w:val="auto"/>
              </w:rPr>
              <w:t>2023</w:t>
            </w:r>
          </w:p>
        </w:tc>
        <w:tc>
          <w:tcPr>
            <w:tcW w:w="120" w:type="dxa"/>
            <w:vAlign w:val="bottom"/>
            <w:tcBorders>
              <w:bottom w:val="single" w:sz="8" w:color="999999"/>
            </w:tcBorders>
          </w:tcPr>
          <w:p>
            <w:pPr>
              <w:spacing w:after="0"/>
              <w:rPr>
                <w:sz w:val="15"/>
                <w:szCs w:val="15"/>
                <w:color w:val="auto"/>
              </w:rPr>
            </w:pPr>
          </w:p>
        </w:tc>
        <w:tc>
          <w:tcPr>
            <w:tcW w:w="1080" w:type="dxa"/>
            <w:vAlign w:val="bottom"/>
            <w:tcBorders>
              <w:bottom w:val="single" w:sz="8" w:color="999999"/>
            </w:tcBorders>
          </w:tcPr>
          <w:p>
            <w:pPr>
              <w:spacing w:after="0"/>
              <w:rPr>
                <w:sz w:val="15"/>
                <w:szCs w:val="15"/>
                <w:color w:val="auto"/>
              </w:rPr>
            </w:pPr>
          </w:p>
        </w:tc>
        <w:tc>
          <w:tcPr>
            <w:tcW w:w="380" w:type="dxa"/>
            <w:vAlign w:val="bottom"/>
            <w:tcBorders>
              <w:bottom w:val="single" w:sz="8" w:color="999999"/>
            </w:tcBorders>
          </w:tcPr>
          <w:p>
            <w:pPr>
              <w:spacing w:after="0"/>
              <w:rPr>
                <w:sz w:val="15"/>
                <w:szCs w:val="15"/>
                <w:color w:val="auto"/>
              </w:rPr>
            </w:pPr>
          </w:p>
        </w:tc>
        <w:tc>
          <w:tcPr>
            <w:tcW w:w="340" w:type="dxa"/>
            <w:vAlign w:val="bottom"/>
            <w:tcBorders>
              <w:bottom w:val="single" w:sz="8" w:color="999999"/>
            </w:tcBorders>
          </w:tcPr>
          <w:p>
            <w:pPr>
              <w:spacing w:after="0"/>
              <w:rPr>
                <w:sz w:val="15"/>
                <w:szCs w:val="15"/>
                <w:color w:val="auto"/>
              </w:rPr>
            </w:pPr>
          </w:p>
        </w:tc>
        <w:tc>
          <w:tcPr>
            <w:tcW w:w="500" w:type="dxa"/>
            <w:vAlign w:val="bottom"/>
            <w:tcBorders>
              <w:bottom w:val="single" w:sz="8" w:color="999999"/>
            </w:tcBorders>
          </w:tcPr>
          <w:p>
            <w:pPr>
              <w:spacing w:after="0"/>
              <w:rPr>
                <w:sz w:val="15"/>
                <w:szCs w:val="15"/>
                <w:color w:val="auto"/>
              </w:rPr>
            </w:pPr>
          </w:p>
        </w:tc>
        <w:tc>
          <w:tcPr>
            <w:tcW w:w="540" w:type="dxa"/>
            <w:vAlign w:val="bottom"/>
            <w:tcBorders>
              <w:bottom w:val="single" w:sz="8" w:color="999999"/>
            </w:tcBorders>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500" w:type="dxa"/>
            <w:vAlign w:val="bottom"/>
          </w:tcPr>
          <w:p>
            <w:pPr>
              <w:ind w:left="80"/>
              <w:spacing w:after="0" w:line="147" w:lineRule="exact"/>
              <w:rPr>
                <w:sz w:val="20"/>
                <w:szCs w:val="20"/>
                <w:color w:val="auto"/>
              </w:rPr>
            </w:pPr>
            <w:r>
              <w:rPr>
                <w:rFonts w:ascii="Arial" w:cs="Arial" w:eastAsia="Arial" w:hAnsi="Arial"/>
                <w:sz w:val="14"/>
                <w:szCs w:val="14"/>
                <w:b w:val="1"/>
                <w:bCs w:val="1"/>
                <w:color w:val="00548B"/>
              </w:rPr>
              <w:t>James H. Roth</w:t>
            </w:r>
          </w:p>
        </w:tc>
        <w:tc>
          <w:tcPr>
            <w:tcW w:w="4640" w:type="dxa"/>
            <w:vAlign w:val="bottom"/>
            <w:gridSpan w:val="2"/>
          </w:tcPr>
          <w:p>
            <w:pPr>
              <w:ind w:left="100"/>
              <w:spacing w:after="0" w:line="147" w:lineRule="exact"/>
              <w:rPr>
                <w:sz w:val="20"/>
                <w:szCs w:val="20"/>
                <w:color w:val="auto"/>
              </w:rPr>
            </w:pPr>
            <w:r>
              <w:rPr>
                <w:rFonts w:ascii="Arial" w:cs="Arial" w:eastAsia="Arial" w:hAnsi="Arial"/>
                <w:sz w:val="14"/>
                <w:szCs w:val="14"/>
                <w:color w:val="auto"/>
              </w:rPr>
              <w:t>Chief Executive Officer of Huron Consulting Group Inc. and Huron</w:t>
            </w:r>
          </w:p>
        </w:tc>
        <w:tc>
          <w:tcPr>
            <w:tcW w:w="120" w:type="dxa"/>
            <w:vAlign w:val="bottom"/>
          </w:tcPr>
          <w:p>
            <w:pPr>
              <w:spacing w:after="0"/>
              <w:rPr>
                <w:sz w:val="12"/>
                <w:szCs w:val="12"/>
                <w:color w:val="auto"/>
              </w:rPr>
            </w:pPr>
          </w:p>
        </w:tc>
        <w:tc>
          <w:tcPr>
            <w:tcW w:w="640" w:type="dxa"/>
            <w:vAlign w:val="bottom"/>
          </w:tcPr>
          <w:p>
            <w:pPr>
              <w:jc w:val="center"/>
              <w:spacing w:after="0" w:line="147" w:lineRule="exact"/>
              <w:rPr>
                <w:sz w:val="20"/>
                <w:szCs w:val="20"/>
                <w:color w:val="auto"/>
              </w:rPr>
            </w:pPr>
            <w:r>
              <w:rPr>
                <w:rFonts w:ascii="Arial" w:cs="Arial" w:eastAsia="Arial" w:hAnsi="Arial"/>
                <w:sz w:val="14"/>
                <w:szCs w:val="14"/>
                <w:color w:val="auto"/>
              </w:rPr>
              <w:t>Class I</w:t>
            </w: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500" w:type="dxa"/>
            <w:vAlign w:val="bottom"/>
            <w:tcBorders>
              <w:bottom w:val="single" w:sz="8" w:color="999999"/>
            </w:tcBorders>
          </w:tcPr>
          <w:p>
            <w:pPr>
              <w:ind w:left="60"/>
              <w:spacing w:after="0"/>
              <w:rPr>
                <w:sz w:val="20"/>
                <w:szCs w:val="20"/>
                <w:color w:val="auto"/>
              </w:rPr>
            </w:pPr>
            <w:r>
              <w:rPr>
                <w:rFonts w:ascii="Arial" w:cs="Arial" w:eastAsia="Arial" w:hAnsi="Arial"/>
                <w:sz w:val="12"/>
                <w:szCs w:val="12"/>
                <w:color w:val="auto"/>
              </w:rPr>
              <w:t>Age 64, Director since 2009</w:t>
            </w:r>
          </w:p>
        </w:tc>
        <w:tc>
          <w:tcPr>
            <w:tcW w:w="4640" w:type="dxa"/>
            <w:vAlign w:val="bottom"/>
            <w:tcBorders>
              <w:bottom w:val="single" w:sz="8" w:color="999999"/>
            </w:tcBorders>
            <w:gridSpan w:val="2"/>
          </w:tcPr>
          <w:p>
            <w:pPr>
              <w:ind w:left="100"/>
              <w:spacing w:after="0"/>
              <w:rPr>
                <w:sz w:val="20"/>
                <w:szCs w:val="20"/>
                <w:color w:val="auto"/>
              </w:rPr>
            </w:pPr>
            <w:r>
              <w:rPr>
                <w:rFonts w:ascii="Arial" w:cs="Arial" w:eastAsia="Arial" w:hAnsi="Arial"/>
                <w:sz w:val="14"/>
                <w:szCs w:val="14"/>
                <w:color w:val="auto"/>
              </w:rPr>
              <w:t>Consulting Services LLC, our principal operating subsidiary</w:t>
            </w:r>
          </w:p>
        </w:tc>
        <w:tc>
          <w:tcPr>
            <w:tcW w:w="760" w:type="dxa"/>
            <w:vAlign w:val="bottom"/>
            <w:tcBorders>
              <w:bottom w:val="single" w:sz="8" w:color="999999"/>
            </w:tcBorders>
            <w:gridSpan w:val="2"/>
          </w:tcPr>
          <w:p>
            <w:pPr>
              <w:jc w:val="center"/>
              <w:ind w:left="49"/>
              <w:spacing w:after="0"/>
              <w:rPr>
                <w:sz w:val="20"/>
                <w:szCs w:val="20"/>
                <w:color w:val="auto"/>
              </w:rPr>
            </w:pPr>
            <w:r>
              <w:rPr>
                <w:rFonts w:ascii="Arial" w:cs="Arial" w:eastAsia="Arial" w:hAnsi="Arial"/>
                <w:sz w:val="14"/>
                <w:szCs w:val="14"/>
                <w:color w:val="auto"/>
              </w:rPr>
              <w:t>2023</w:t>
            </w:r>
          </w:p>
        </w:tc>
        <w:tc>
          <w:tcPr>
            <w:tcW w:w="120" w:type="dxa"/>
            <w:vAlign w:val="bottom"/>
            <w:tcBorders>
              <w:bottom w:val="single" w:sz="8" w:color="999999"/>
            </w:tcBorders>
          </w:tcPr>
          <w:p>
            <w:pPr>
              <w:spacing w:after="0"/>
              <w:rPr>
                <w:sz w:val="15"/>
                <w:szCs w:val="15"/>
                <w:color w:val="auto"/>
              </w:rPr>
            </w:pPr>
          </w:p>
        </w:tc>
        <w:tc>
          <w:tcPr>
            <w:tcW w:w="1080" w:type="dxa"/>
            <w:vAlign w:val="bottom"/>
            <w:tcBorders>
              <w:bottom w:val="single" w:sz="8" w:color="999999"/>
            </w:tcBorders>
          </w:tcPr>
          <w:p>
            <w:pPr>
              <w:spacing w:after="0"/>
              <w:rPr>
                <w:sz w:val="15"/>
                <w:szCs w:val="15"/>
                <w:color w:val="auto"/>
              </w:rPr>
            </w:pPr>
          </w:p>
        </w:tc>
        <w:tc>
          <w:tcPr>
            <w:tcW w:w="380" w:type="dxa"/>
            <w:vAlign w:val="bottom"/>
            <w:tcBorders>
              <w:bottom w:val="single" w:sz="8" w:color="999999"/>
            </w:tcBorders>
          </w:tcPr>
          <w:p>
            <w:pPr>
              <w:spacing w:after="0"/>
              <w:rPr>
                <w:sz w:val="15"/>
                <w:szCs w:val="15"/>
                <w:color w:val="auto"/>
              </w:rPr>
            </w:pPr>
          </w:p>
        </w:tc>
        <w:tc>
          <w:tcPr>
            <w:tcW w:w="340" w:type="dxa"/>
            <w:vAlign w:val="bottom"/>
            <w:tcBorders>
              <w:bottom w:val="single" w:sz="8" w:color="999999"/>
            </w:tcBorders>
          </w:tcPr>
          <w:p>
            <w:pPr>
              <w:spacing w:after="0"/>
              <w:rPr>
                <w:sz w:val="15"/>
                <w:szCs w:val="15"/>
                <w:color w:val="auto"/>
              </w:rPr>
            </w:pPr>
          </w:p>
        </w:tc>
        <w:tc>
          <w:tcPr>
            <w:tcW w:w="500" w:type="dxa"/>
            <w:vAlign w:val="bottom"/>
            <w:tcBorders>
              <w:bottom w:val="single" w:sz="8" w:color="999999"/>
            </w:tcBorders>
          </w:tcPr>
          <w:p>
            <w:pPr>
              <w:spacing w:after="0"/>
              <w:rPr>
                <w:sz w:val="15"/>
                <w:szCs w:val="15"/>
                <w:color w:val="auto"/>
              </w:rPr>
            </w:pPr>
          </w:p>
        </w:tc>
        <w:tc>
          <w:tcPr>
            <w:tcW w:w="540" w:type="dxa"/>
            <w:vAlign w:val="bottom"/>
            <w:tcBorders>
              <w:bottom w:val="single" w:sz="8" w:color="999999"/>
            </w:tcBorders>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500" w:type="dxa"/>
            <w:vAlign w:val="bottom"/>
          </w:tcPr>
          <w:p>
            <w:pPr>
              <w:ind w:left="80"/>
              <w:spacing w:after="0" w:line="147" w:lineRule="exact"/>
              <w:rPr>
                <w:sz w:val="20"/>
                <w:szCs w:val="20"/>
                <w:color w:val="auto"/>
              </w:rPr>
            </w:pPr>
            <w:r>
              <w:rPr>
                <w:rFonts w:ascii="Arial" w:cs="Arial" w:eastAsia="Arial" w:hAnsi="Arial"/>
                <w:sz w:val="14"/>
                <w:szCs w:val="14"/>
                <w:b w:val="1"/>
                <w:bCs w:val="1"/>
                <w:color w:val="00548B"/>
              </w:rPr>
              <w:t>Hugh E. Sawyer</w:t>
            </w:r>
          </w:p>
        </w:tc>
        <w:tc>
          <w:tcPr>
            <w:tcW w:w="4640" w:type="dxa"/>
            <w:vAlign w:val="bottom"/>
            <w:gridSpan w:val="2"/>
          </w:tcPr>
          <w:p>
            <w:pPr>
              <w:ind w:left="100"/>
              <w:spacing w:after="0" w:line="147" w:lineRule="exact"/>
              <w:rPr>
                <w:sz w:val="20"/>
                <w:szCs w:val="20"/>
                <w:color w:val="auto"/>
              </w:rPr>
            </w:pPr>
            <w:r>
              <w:rPr>
                <w:rFonts w:ascii="Arial" w:cs="Arial" w:eastAsia="Arial" w:hAnsi="Arial"/>
                <w:sz w:val="14"/>
                <w:szCs w:val="14"/>
                <w:color w:val="auto"/>
              </w:rPr>
              <w:t>Retired President and Chief Executive Officer, Regis Corporation</w:t>
            </w:r>
          </w:p>
        </w:tc>
        <w:tc>
          <w:tcPr>
            <w:tcW w:w="120" w:type="dxa"/>
            <w:vAlign w:val="bottom"/>
          </w:tcPr>
          <w:p>
            <w:pPr>
              <w:spacing w:after="0"/>
              <w:rPr>
                <w:sz w:val="12"/>
                <w:szCs w:val="12"/>
                <w:color w:val="auto"/>
              </w:rPr>
            </w:pPr>
          </w:p>
        </w:tc>
        <w:tc>
          <w:tcPr>
            <w:tcW w:w="640" w:type="dxa"/>
            <w:vAlign w:val="bottom"/>
          </w:tcPr>
          <w:p>
            <w:pPr>
              <w:jc w:val="center"/>
              <w:spacing w:after="0" w:line="147" w:lineRule="exact"/>
              <w:rPr>
                <w:sz w:val="20"/>
                <w:szCs w:val="20"/>
                <w:color w:val="auto"/>
              </w:rPr>
            </w:pPr>
            <w:r>
              <w:rPr>
                <w:rFonts w:ascii="Arial" w:cs="Arial" w:eastAsia="Arial" w:hAnsi="Arial"/>
                <w:sz w:val="14"/>
                <w:szCs w:val="14"/>
                <w:color w:val="auto"/>
              </w:rPr>
              <w:t>Class II</w:t>
            </w: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500" w:type="dxa"/>
            <w:vAlign w:val="bottom"/>
            <w:tcBorders>
              <w:bottom w:val="single" w:sz="8" w:color="999999"/>
            </w:tcBorders>
          </w:tcPr>
          <w:p>
            <w:pPr>
              <w:ind w:left="60"/>
              <w:spacing w:after="0"/>
              <w:rPr>
                <w:sz w:val="20"/>
                <w:szCs w:val="20"/>
                <w:color w:val="auto"/>
              </w:rPr>
            </w:pPr>
            <w:r>
              <w:rPr>
                <w:rFonts w:ascii="Arial" w:cs="Arial" w:eastAsia="Arial" w:hAnsi="Arial"/>
                <w:sz w:val="12"/>
                <w:szCs w:val="12"/>
                <w:color w:val="auto"/>
              </w:rPr>
              <w:t>Age 67, Director since 2018</w:t>
            </w:r>
          </w:p>
        </w:tc>
        <w:tc>
          <w:tcPr>
            <w:tcW w:w="100" w:type="dxa"/>
            <w:vAlign w:val="bottom"/>
            <w:tcBorders>
              <w:bottom w:val="single" w:sz="8" w:color="999999"/>
            </w:tcBorders>
          </w:tcPr>
          <w:p>
            <w:pPr>
              <w:spacing w:after="0"/>
              <w:rPr>
                <w:sz w:val="15"/>
                <w:szCs w:val="15"/>
                <w:color w:val="auto"/>
              </w:rPr>
            </w:pPr>
          </w:p>
        </w:tc>
        <w:tc>
          <w:tcPr>
            <w:tcW w:w="4540" w:type="dxa"/>
            <w:vAlign w:val="bottom"/>
            <w:tcBorders>
              <w:bottom w:val="single" w:sz="8" w:color="999999"/>
            </w:tcBorders>
          </w:tcPr>
          <w:p>
            <w:pPr>
              <w:spacing w:after="0"/>
              <w:rPr>
                <w:sz w:val="15"/>
                <w:szCs w:val="15"/>
                <w:color w:val="auto"/>
              </w:rPr>
            </w:pPr>
          </w:p>
        </w:tc>
        <w:tc>
          <w:tcPr>
            <w:tcW w:w="760" w:type="dxa"/>
            <w:vAlign w:val="bottom"/>
            <w:tcBorders>
              <w:bottom w:val="single" w:sz="8" w:color="999999"/>
            </w:tcBorders>
            <w:gridSpan w:val="2"/>
          </w:tcPr>
          <w:p>
            <w:pPr>
              <w:jc w:val="center"/>
              <w:ind w:left="49"/>
              <w:spacing w:after="0"/>
              <w:rPr>
                <w:sz w:val="20"/>
                <w:szCs w:val="20"/>
                <w:color w:val="auto"/>
              </w:rPr>
            </w:pPr>
            <w:r>
              <w:rPr>
                <w:rFonts w:ascii="Arial" w:cs="Arial" w:eastAsia="Arial" w:hAnsi="Arial"/>
                <w:sz w:val="14"/>
                <w:szCs w:val="14"/>
                <w:color w:val="auto"/>
              </w:rPr>
              <w:t>2024</w:t>
            </w:r>
          </w:p>
        </w:tc>
        <w:tc>
          <w:tcPr>
            <w:tcW w:w="120" w:type="dxa"/>
            <w:vAlign w:val="bottom"/>
            <w:tcBorders>
              <w:bottom w:val="single" w:sz="8" w:color="999999"/>
            </w:tcBorders>
          </w:tcPr>
          <w:p>
            <w:pPr>
              <w:spacing w:after="0"/>
              <w:rPr>
                <w:sz w:val="15"/>
                <w:szCs w:val="15"/>
                <w:color w:val="auto"/>
              </w:rPr>
            </w:pPr>
          </w:p>
        </w:tc>
        <w:tc>
          <w:tcPr>
            <w:tcW w:w="1080" w:type="dxa"/>
            <w:vAlign w:val="bottom"/>
            <w:tcBorders>
              <w:bottom w:val="single" w:sz="8" w:color="999999"/>
            </w:tcBorders>
          </w:tcPr>
          <w:p>
            <w:pPr>
              <w:spacing w:after="0"/>
              <w:rPr>
                <w:sz w:val="15"/>
                <w:szCs w:val="15"/>
                <w:color w:val="auto"/>
              </w:rPr>
            </w:pPr>
          </w:p>
        </w:tc>
        <w:tc>
          <w:tcPr>
            <w:tcW w:w="380" w:type="dxa"/>
            <w:vAlign w:val="bottom"/>
            <w:tcBorders>
              <w:bottom w:val="single" w:sz="8" w:color="999999"/>
            </w:tcBorders>
          </w:tcPr>
          <w:p>
            <w:pPr>
              <w:spacing w:after="0"/>
              <w:rPr>
                <w:sz w:val="15"/>
                <w:szCs w:val="15"/>
                <w:color w:val="auto"/>
              </w:rPr>
            </w:pPr>
          </w:p>
        </w:tc>
        <w:tc>
          <w:tcPr>
            <w:tcW w:w="340" w:type="dxa"/>
            <w:vAlign w:val="bottom"/>
            <w:tcBorders>
              <w:bottom w:val="single" w:sz="8" w:color="999999"/>
            </w:tcBorders>
          </w:tcPr>
          <w:p>
            <w:pPr>
              <w:spacing w:after="0"/>
              <w:rPr>
                <w:sz w:val="15"/>
                <w:szCs w:val="15"/>
                <w:color w:val="auto"/>
              </w:rPr>
            </w:pPr>
          </w:p>
        </w:tc>
        <w:tc>
          <w:tcPr>
            <w:tcW w:w="500" w:type="dxa"/>
            <w:vAlign w:val="bottom"/>
            <w:tcBorders>
              <w:bottom w:val="single" w:sz="8" w:color="999999"/>
            </w:tcBorders>
          </w:tcPr>
          <w:p>
            <w:pPr>
              <w:spacing w:after="0"/>
              <w:rPr>
                <w:sz w:val="15"/>
                <w:szCs w:val="15"/>
                <w:color w:val="auto"/>
              </w:rPr>
            </w:pPr>
          </w:p>
        </w:tc>
        <w:tc>
          <w:tcPr>
            <w:tcW w:w="540" w:type="dxa"/>
            <w:vAlign w:val="bottom"/>
            <w:tcBorders>
              <w:bottom w:val="single" w:sz="8" w:color="999999"/>
            </w:tcBorders>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500" w:type="dxa"/>
            <w:vAlign w:val="bottom"/>
          </w:tcPr>
          <w:p>
            <w:pPr>
              <w:ind w:left="80"/>
              <w:spacing w:after="0" w:line="147" w:lineRule="exact"/>
              <w:rPr>
                <w:sz w:val="20"/>
                <w:szCs w:val="20"/>
                <w:color w:val="auto"/>
              </w:rPr>
            </w:pPr>
            <w:r>
              <w:rPr>
                <w:rFonts w:ascii="Arial" w:cs="Arial" w:eastAsia="Arial" w:hAnsi="Arial"/>
                <w:sz w:val="14"/>
                <w:szCs w:val="14"/>
                <w:b w:val="1"/>
                <w:bCs w:val="1"/>
                <w:color w:val="00548B"/>
              </w:rPr>
              <w:t>Debra Zumwalt</w:t>
            </w:r>
          </w:p>
        </w:tc>
        <w:tc>
          <w:tcPr>
            <w:tcW w:w="4640" w:type="dxa"/>
            <w:vAlign w:val="bottom"/>
            <w:gridSpan w:val="2"/>
          </w:tcPr>
          <w:p>
            <w:pPr>
              <w:ind w:left="100"/>
              <w:spacing w:after="0" w:line="147" w:lineRule="exact"/>
              <w:rPr>
                <w:sz w:val="20"/>
                <w:szCs w:val="20"/>
                <w:color w:val="auto"/>
              </w:rPr>
            </w:pPr>
            <w:r>
              <w:rPr>
                <w:rFonts w:ascii="Arial" w:cs="Arial" w:eastAsia="Arial" w:hAnsi="Arial"/>
                <w:sz w:val="14"/>
                <w:szCs w:val="14"/>
                <w:color w:val="auto"/>
              </w:rPr>
              <w:t>Vice President and General Counsel, Stanford University</w:t>
            </w:r>
          </w:p>
        </w:tc>
        <w:tc>
          <w:tcPr>
            <w:tcW w:w="120" w:type="dxa"/>
            <w:vAlign w:val="bottom"/>
          </w:tcPr>
          <w:p>
            <w:pPr>
              <w:spacing w:after="0"/>
              <w:rPr>
                <w:sz w:val="12"/>
                <w:szCs w:val="12"/>
                <w:color w:val="auto"/>
              </w:rPr>
            </w:pPr>
          </w:p>
        </w:tc>
        <w:tc>
          <w:tcPr>
            <w:tcW w:w="640" w:type="dxa"/>
            <w:vAlign w:val="bottom"/>
          </w:tcPr>
          <w:p>
            <w:pPr>
              <w:jc w:val="center"/>
              <w:spacing w:after="0" w:line="147" w:lineRule="exact"/>
              <w:rPr>
                <w:sz w:val="20"/>
                <w:szCs w:val="20"/>
                <w:color w:val="auto"/>
              </w:rPr>
            </w:pPr>
            <w:r>
              <w:rPr>
                <w:rFonts w:ascii="Arial" w:cs="Arial" w:eastAsia="Arial" w:hAnsi="Arial"/>
                <w:sz w:val="14"/>
                <w:szCs w:val="14"/>
                <w:color w:val="auto"/>
              </w:rPr>
              <w:t>Class II</w:t>
            </w: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jc w:val="center"/>
              <w:spacing w:after="0"/>
              <w:rPr>
                <w:sz w:val="20"/>
                <w:szCs w:val="20"/>
                <w:color w:val="auto"/>
              </w:rPr>
            </w:pPr>
            <w:r>
              <w:rPr>
                <w:rFonts w:ascii="Arial" w:cs="Arial" w:eastAsia="Arial" w:hAnsi="Arial"/>
                <w:sz w:val="12"/>
                <w:szCs w:val="12"/>
                <w:color w:val="00548B"/>
              </w:rPr>
              <w:t>c</w:t>
            </w: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500" w:type="dxa"/>
            <w:vAlign w:val="bottom"/>
            <w:tcBorders>
              <w:bottom w:val="single" w:sz="8" w:color="00548B"/>
            </w:tcBorders>
          </w:tcPr>
          <w:p>
            <w:pPr>
              <w:ind w:left="60"/>
              <w:spacing w:after="0"/>
              <w:rPr>
                <w:sz w:val="20"/>
                <w:szCs w:val="20"/>
                <w:color w:val="auto"/>
              </w:rPr>
            </w:pPr>
            <w:r>
              <w:rPr>
                <w:rFonts w:ascii="Arial" w:cs="Arial" w:eastAsia="Arial" w:hAnsi="Arial"/>
                <w:sz w:val="12"/>
                <w:szCs w:val="12"/>
                <w:color w:val="auto"/>
              </w:rPr>
              <w:t>Age 66, Director since 2014</w:t>
            </w:r>
          </w:p>
        </w:tc>
        <w:tc>
          <w:tcPr>
            <w:tcW w:w="100" w:type="dxa"/>
            <w:vAlign w:val="bottom"/>
            <w:tcBorders>
              <w:bottom w:val="single" w:sz="8" w:color="00548B"/>
            </w:tcBorders>
          </w:tcPr>
          <w:p>
            <w:pPr>
              <w:spacing w:after="0"/>
              <w:rPr>
                <w:sz w:val="15"/>
                <w:szCs w:val="15"/>
                <w:color w:val="auto"/>
              </w:rPr>
            </w:pPr>
          </w:p>
        </w:tc>
        <w:tc>
          <w:tcPr>
            <w:tcW w:w="4540" w:type="dxa"/>
            <w:vAlign w:val="bottom"/>
            <w:tcBorders>
              <w:bottom w:val="single" w:sz="8" w:color="00548B"/>
            </w:tcBorders>
          </w:tcPr>
          <w:p>
            <w:pPr>
              <w:spacing w:after="0"/>
              <w:rPr>
                <w:sz w:val="15"/>
                <w:szCs w:val="15"/>
                <w:color w:val="auto"/>
              </w:rPr>
            </w:pPr>
          </w:p>
        </w:tc>
        <w:tc>
          <w:tcPr>
            <w:tcW w:w="760" w:type="dxa"/>
            <w:vAlign w:val="bottom"/>
            <w:tcBorders>
              <w:bottom w:val="single" w:sz="8" w:color="00548B"/>
            </w:tcBorders>
            <w:gridSpan w:val="2"/>
          </w:tcPr>
          <w:p>
            <w:pPr>
              <w:jc w:val="center"/>
              <w:ind w:left="49"/>
              <w:spacing w:after="0"/>
              <w:rPr>
                <w:sz w:val="20"/>
                <w:szCs w:val="20"/>
                <w:color w:val="auto"/>
              </w:rPr>
            </w:pPr>
            <w:r>
              <w:rPr>
                <w:rFonts w:ascii="Arial" w:cs="Arial" w:eastAsia="Arial" w:hAnsi="Arial"/>
                <w:sz w:val="14"/>
                <w:szCs w:val="14"/>
                <w:color w:val="auto"/>
              </w:rPr>
              <w:t>2024</w:t>
            </w:r>
          </w:p>
        </w:tc>
        <w:tc>
          <w:tcPr>
            <w:tcW w:w="120" w:type="dxa"/>
            <w:vAlign w:val="bottom"/>
            <w:tcBorders>
              <w:bottom w:val="single" w:sz="8" w:color="00548B"/>
            </w:tcBorders>
          </w:tcPr>
          <w:p>
            <w:pPr>
              <w:spacing w:after="0"/>
              <w:rPr>
                <w:sz w:val="15"/>
                <w:szCs w:val="15"/>
                <w:color w:val="auto"/>
              </w:rPr>
            </w:pPr>
          </w:p>
        </w:tc>
        <w:tc>
          <w:tcPr>
            <w:tcW w:w="1080" w:type="dxa"/>
            <w:vAlign w:val="bottom"/>
            <w:tcBorders>
              <w:bottom w:val="single" w:sz="8" w:color="00548B"/>
            </w:tcBorders>
          </w:tcPr>
          <w:p>
            <w:pPr>
              <w:spacing w:after="0"/>
              <w:rPr>
                <w:sz w:val="15"/>
                <w:szCs w:val="15"/>
                <w:color w:val="auto"/>
              </w:rPr>
            </w:pPr>
          </w:p>
        </w:tc>
        <w:tc>
          <w:tcPr>
            <w:tcW w:w="380" w:type="dxa"/>
            <w:vAlign w:val="bottom"/>
            <w:tcBorders>
              <w:bottom w:val="single" w:sz="8" w:color="00548B"/>
            </w:tcBorders>
          </w:tcPr>
          <w:p>
            <w:pPr>
              <w:spacing w:after="0"/>
              <w:rPr>
                <w:sz w:val="15"/>
                <w:szCs w:val="15"/>
                <w:color w:val="auto"/>
              </w:rPr>
            </w:pPr>
          </w:p>
        </w:tc>
        <w:tc>
          <w:tcPr>
            <w:tcW w:w="340" w:type="dxa"/>
            <w:vAlign w:val="bottom"/>
            <w:tcBorders>
              <w:bottom w:val="single" w:sz="8" w:color="00548B"/>
            </w:tcBorders>
          </w:tcPr>
          <w:p>
            <w:pPr>
              <w:spacing w:after="0"/>
              <w:rPr>
                <w:sz w:val="15"/>
                <w:szCs w:val="15"/>
                <w:color w:val="auto"/>
              </w:rPr>
            </w:pPr>
          </w:p>
        </w:tc>
        <w:tc>
          <w:tcPr>
            <w:tcW w:w="500" w:type="dxa"/>
            <w:vAlign w:val="bottom"/>
            <w:tcBorders>
              <w:bottom w:val="single" w:sz="8" w:color="00548B"/>
            </w:tcBorders>
          </w:tcPr>
          <w:p>
            <w:pPr>
              <w:spacing w:after="0"/>
              <w:rPr>
                <w:sz w:val="15"/>
                <w:szCs w:val="15"/>
                <w:color w:val="auto"/>
              </w:rPr>
            </w:pPr>
          </w:p>
        </w:tc>
        <w:tc>
          <w:tcPr>
            <w:tcW w:w="540" w:type="dxa"/>
            <w:vAlign w:val="bottom"/>
            <w:tcBorders>
              <w:bottom w:val="single" w:sz="8" w:color="00548B"/>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500" w:type="dxa"/>
            <w:vAlign w:val="bottom"/>
          </w:tcPr>
          <w:p>
            <w:pPr>
              <w:spacing w:after="0"/>
              <w:rPr>
                <w:sz w:val="20"/>
                <w:szCs w:val="20"/>
                <w:color w:val="auto"/>
              </w:rPr>
            </w:pPr>
            <w:r>
              <w:rPr>
                <w:rFonts w:ascii="Arial" w:cs="Arial" w:eastAsia="Arial" w:hAnsi="Arial"/>
                <w:sz w:val="14"/>
                <w:szCs w:val="14"/>
                <w:color w:val="auto"/>
              </w:rPr>
              <w:t>A – Audit Committee</w:t>
            </w:r>
          </w:p>
        </w:tc>
        <w:tc>
          <w:tcPr>
            <w:tcW w:w="100" w:type="dxa"/>
            <w:vAlign w:val="bottom"/>
          </w:tcPr>
          <w:p>
            <w:pPr>
              <w:spacing w:after="0"/>
              <w:rPr>
                <w:sz w:val="22"/>
                <w:szCs w:val="22"/>
                <w:color w:val="auto"/>
              </w:rPr>
            </w:pPr>
          </w:p>
        </w:tc>
        <w:tc>
          <w:tcPr>
            <w:tcW w:w="4540" w:type="dxa"/>
            <w:vAlign w:val="bottom"/>
          </w:tcPr>
          <w:p>
            <w:pPr>
              <w:ind w:left="1620"/>
              <w:spacing w:after="0"/>
              <w:rPr>
                <w:sz w:val="20"/>
                <w:szCs w:val="20"/>
                <w:color w:val="auto"/>
              </w:rPr>
            </w:pPr>
            <w:r>
              <w:rPr>
                <w:rFonts w:ascii="Arial" w:cs="Arial" w:eastAsia="Arial" w:hAnsi="Arial"/>
                <w:sz w:val="14"/>
                <w:szCs w:val="14"/>
                <w:color w:val="auto"/>
              </w:rPr>
              <w:t>c - Chairperson</w:t>
            </w: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0"/>
        </w:trPr>
        <w:tc>
          <w:tcPr>
            <w:tcW w:w="2500" w:type="dxa"/>
            <w:vAlign w:val="bottom"/>
          </w:tcPr>
          <w:p>
            <w:pPr>
              <w:spacing w:after="0" w:line="159" w:lineRule="exact"/>
              <w:rPr>
                <w:sz w:val="20"/>
                <w:szCs w:val="20"/>
                <w:color w:val="auto"/>
              </w:rPr>
            </w:pPr>
            <w:r>
              <w:rPr>
                <w:rFonts w:ascii="Arial" w:cs="Arial" w:eastAsia="Arial" w:hAnsi="Arial"/>
                <w:sz w:val="14"/>
                <w:szCs w:val="14"/>
                <w:color w:val="auto"/>
              </w:rPr>
              <w:t>C – Compensation Committee</w:t>
            </w:r>
          </w:p>
        </w:tc>
        <w:tc>
          <w:tcPr>
            <w:tcW w:w="10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200"/>
        <w:spacing w:after="0" w:line="237" w:lineRule="auto"/>
        <w:rPr>
          <w:sz w:val="20"/>
          <w:szCs w:val="20"/>
          <w:color w:val="auto"/>
        </w:rPr>
      </w:pPr>
      <w:r>
        <w:rPr>
          <w:rFonts w:ascii="Arial" w:cs="Arial" w:eastAsia="Arial" w:hAnsi="Arial"/>
          <w:sz w:val="14"/>
          <w:szCs w:val="14"/>
          <w:color w:val="auto"/>
        </w:rPr>
        <w:t>N&amp;CG – Nominating and Corporate Governance Committee</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Tech - Technology and Information Security Committee</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00548B"/>
        </w:rPr>
        <w:t>2</w:t>
      </w:r>
    </w:p>
    <w:p>
      <w:pPr>
        <w:sectPr>
          <w:pgSz w:w="11900" w:h="16838" w:orient="portrait"/>
          <w:cols w:equalWidth="0" w:num="1">
            <w:col w:w="11060"/>
          </w:cols>
          <w:pgMar w:left="320" w:top="454" w:right="5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200"/>
        <w:spacing w:after="0" w:line="248" w:lineRule="auto"/>
        <w:rPr>
          <w:sz w:val="20"/>
          <w:szCs w:val="20"/>
          <w:color w:val="auto"/>
        </w:rPr>
      </w:pPr>
      <w:r>
        <w:rPr>
          <w:rFonts w:ascii="Arial" w:cs="Arial" w:eastAsia="Arial" w:hAnsi="Arial"/>
          <w:sz w:val="16"/>
          <w:szCs w:val="16"/>
          <w:color w:val="auto"/>
        </w:rPr>
        <w:t>The below table summarizes the core competencies that our directors bring to the board. More detailed information on each of the director’s experience, qualifications, attributes and skills is more thoroughly described in the biographies following this table. Huron is currently in the process of determining the appropriate standard for ESG expertise and it is our intention to include this line item in our proxy statement next year.</w:t>
      </w:r>
    </w:p>
    <w:p>
      <w:pPr>
        <w:spacing w:after="0" w:line="140" w:lineRule="exact"/>
        <w:rPr>
          <w:sz w:val="20"/>
          <w:szCs w:val="20"/>
          <w:color w:val="auto"/>
        </w:rPr>
      </w:pPr>
    </w:p>
    <w:p>
      <w:pPr>
        <w:ind w:left="1400"/>
        <w:spacing w:after="0"/>
        <w:rPr>
          <w:sz w:val="20"/>
          <w:szCs w:val="20"/>
          <w:color w:val="auto"/>
        </w:rPr>
      </w:pPr>
      <w:r>
        <w:rPr>
          <w:rFonts w:ascii="Arial" w:cs="Arial" w:eastAsia="Arial" w:hAnsi="Arial"/>
          <w:sz w:val="21"/>
          <w:szCs w:val="21"/>
          <w:b w:val="1"/>
          <w:bCs w:val="1"/>
          <w:color w:val="00548B"/>
        </w:rPr>
        <w:t>Skills Matrix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1245235</wp:posOffset>
            </wp:positionH>
            <wp:positionV relativeFrom="paragraph">
              <wp:posOffset>154305</wp:posOffset>
            </wp:positionV>
            <wp:extent cx="4660265" cy="2980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660265" cy="2980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400"/>
        <w:spacing w:after="0"/>
        <w:rPr>
          <w:sz w:val="20"/>
          <w:szCs w:val="20"/>
          <w:color w:val="auto"/>
        </w:rPr>
      </w:pPr>
      <w:r>
        <w:rPr>
          <w:rFonts w:ascii="Arial" w:cs="Arial" w:eastAsia="Arial" w:hAnsi="Arial"/>
          <w:sz w:val="21"/>
          <w:szCs w:val="21"/>
          <w:b w:val="1"/>
          <w:bCs w:val="1"/>
          <w:color w:val="00548B"/>
        </w:rPr>
        <w:t xml:space="preserve">Board of Directors Snapshot </w:t>
      </w:r>
      <w:r>
        <w:rPr>
          <w:rFonts w:ascii="Arial" w:cs="Arial" w:eastAsia="Arial" w:hAnsi="Arial"/>
          <w:sz w:val="18"/>
          <w:szCs w:val="18"/>
          <w:b w:val="1"/>
          <w:bCs w:val="1"/>
          <w:color w:val="00548B"/>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1219835</wp:posOffset>
            </wp:positionH>
            <wp:positionV relativeFrom="paragraph">
              <wp:posOffset>154305</wp:posOffset>
            </wp:positionV>
            <wp:extent cx="4711065" cy="21189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711065" cy="211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7540"/>
        <w:spacing w:after="0"/>
        <w:rPr>
          <w:sz w:val="20"/>
          <w:szCs w:val="20"/>
          <w:color w:val="auto"/>
        </w:rPr>
      </w:pPr>
      <w:r>
        <w:rPr>
          <w:rFonts w:ascii="Arial" w:cs="Arial" w:eastAsia="Arial" w:hAnsi="Arial"/>
          <w:sz w:val="14"/>
          <w:szCs w:val="14"/>
          <w:b w:val="1"/>
          <w:bCs w:val="1"/>
          <w:color w:val="00548B"/>
        </w:rPr>
        <w:t>(1) Data as of 03/16/2022 and includes Mr. Roth.</w:t>
      </w:r>
    </w:p>
    <w:p>
      <w:pPr>
        <w:spacing w:after="0" w:line="15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3</w:t>
      </w:r>
    </w:p>
    <w:p>
      <w:pPr>
        <w:sectPr>
          <w:pgSz w:w="11900" w:h="16838" w:orient="portrait"/>
          <w:cols w:equalWidth="0" w:num="1">
            <w:col w:w="11040"/>
          </w:cols>
          <w:pgMar w:left="320" w:top="454" w:right="5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below table reflects the board diversity matrix in accordance with Nasdaq Listing Rule 5605(f)(4),</w:t>
      </w:r>
    </w:p>
    <w:p>
      <w:pPr>
        <w:spacing w:after="0" w:line="240" w:lineRule="exact"/>
        <w:rPr>
          <w:sz w:val="20"/>
          <w:szCs w:val="20"/>
          <w:color w:val="auto"/>
        </w:rPr>
      </w:pPr>
    </w:p>
    <w:tbl>
      <w:tblPr>
        <w:tblLayout w:type="fixed"/>
        <w:tblInd w:w="200" w:type="dxa"/>
        <w:tblCellMar>
          <w:top w:w="0" w:type="dxa"/>
          <w:left w:w="0" w:type="dxa"/>
          <w:bottom w:w="0" w:type="dxa"/>
          <w:right w:w="0" w:type="dxa"/>
        </w:tblCellMar>
      </w:tblPr>
      <w:tr>
        <w:trPr>
          <w:trHeight w:val="186"/>
        </w:trPr>
        <w:tc>
          <w:tcPr>
            <w:tcW w:w="3500" w:type="dxa"/>
            <w:vAlign w:val="bottom"/>
            <w:shd w:val="clear" w:color="auto" w:fill="00548B"/>
          </w:tcPr>
          <w:p>
            <w:pPr>
              <w:spacing w:after="0"/>
              <w:rPr>
                <w:sz w:val="16"/>
                <w:szCs w:val="16"/>
                <w:color w:val="auto"/>
              </w:rPr>
            </w:pPr>
          </w:p>
        </w:tc>
        <w:tc>
          <w:tcPr>
            <w:tcW w:w="3340" w:type="dxa"/>
            <w:vAlign w:val="bottom"/>
            <w:gridSpan w:val="2"/>
            <w:shd w:val="clear" w:color="auto" w:fill="00548B"/>
          </w:tcPr>
          <w:p>
            <w:pPr>
              <w:jc w:val="right"/>
              <w:ind w:right="93"/>
              <w:spacing w:after="0"/>
              <w:rPr>
                <w:sz w:val="20"/>
                <w:szCs w:val="20"/>
                <w:color w:val="auto"/>
              </w:rPr>
            </w:pPr>
            <w:r>
              <w:rPr>
                <w:rFonts w:ascii="Arial" w:cs="Arial" w:eastAsia="Arial" w:hAnsi="Arial"/>
                <w:sz w:val="14"/>
                <w:szCs w:val="14"/>
                <w:b w:val="1"/>
                <w:bCs w:val="1"/>
                <w:color w:val="FFFFFF"/>
              </w:rPr>
              <w:t>Board Diversity Matrix (As of Record Date)</w:t>
            </w:r>
          </w:p>
        </w:tc>
        <w:tc>
          <w:tcPr>
            <w:tcW w:w="1400" w:type="dxa"/>
            <w:vAlign w:val="bottom"/>
            <w:shd w:val="clear" w:color="auto" w:fill="00548B"/>
          </w:tcPr>
          <w:p>
            <w:pPr>
              <w:spacing w:after="0"/>
              <w:rPr>
                <w:sz w:val="16"/>
                <w:szCs w:val="16"/>
                <w:color w:val="auto"/>
              </w:rPr>
            </w:pPr>
          </w:p>
        </w:tc>
        <w:tc>
          <w:tcPr>
            <w:tcW w:w="2620" w:type="dxa"/>
            <w:vAlign w:val="bottom"/>
            <w:shd w:val="clear" w:color="auto" w:fill="00548B"/>
          </w:tcPr>
          <w:p>
            <w:pPr>
              <w:spacing w:after="0"/>
              <w:rPr>
                <w:sz w:val="16"/>
                <w:szCs w:val="16"/>
                <w:color w:val="auto"/>
              </w:rPr>
            </w:pPr>
          </w:p>
        </w:tc>
      </w:tr>
      <w:tr>
        <w:trPr>
          <w:trHeight w:val="265"/>
        </w:trPr>
        <w:tc>
          <w:tcPr>
            <w:tcW w:w="3500" w:type="dxa"/>
            <w:vAlign w:val="bottom"/>
          </w:tcPr>
          <w:p>
            <w:pPr>
              <w:ind w:left="60"/>
              <w:spacing w:after="0"/>
              <w:rPr>
                <w:sz w:val="20"/>
                <w:szCs w:val="20"/>
                <w:color w:val="auto"/>
              </w:rPr>
            </w:pPr>
            <w:r>
              <w:rPr>
                <w:rFonts w:ascii="Arial" w:cs="Arial" w:eastAsia="Arial" w:hAnsi="Arial"/>
                <w:sz w:val="15"/>
                <w:szCs w:val="15"/>
                <w:b w:val="1"/>
                <w:bCs w:val="1"/>
                <w:color w:val="auto"/>
              </w:rPr>
              <w:t>Total Number of Directors</w:t>
            </w:r>
          </w:p>
        </w:tc>
        <w:tc>
          <w:tcPr>
            <w:tcW w:w="164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400" w:type="dxa"/>
            <w:vAlign w:val="bottom"/>
          </w:tcPr>
          <w:p>
            <w:pPr>
              <w:jc w:val="right"/>
              <w:ind w:right="633"/>
              <w:spacing w:after="0"/>
              <w:rPr>
                <w:sz w:val="20"/>
                <w:szCs w:val="20"/>
                <w:color w:val="auto"/>
              </w:rPr>
            </w:pPr>
            <w:r>
              <w:rPr>
                <w:rFonts w:ascii="Arial" w:cs="Arial" w:eastAsia="Arial" w:hAnsi="Arial"/>
                <w:sz w:val="18"/>
                <w:szCs w:val="18"/>
                <w:color w:val="auto"/>
              </w:rPr>
              <w:t>7</w:t>
            </w:r>
          </w:p>
        </w:tc>
        <w:tc>
          <w:tcPr>
            <w:tcW w:w="2620" w:type="dxa"/>
            <w:vAlign w:val="bottom"/>
          </w:tcPr>
          <w:p>
            <w:pPr>
              <w:spacing w:after="0"/>
              <w:rPr>
                <w:sz w:val="23"/>
                <w:szCs w:val="23"/>
                <w:color w:val="auto"/>
              </w:rPr>
            </w:pPr>
          </w:p>
        </w:tc>
      </w:tr>
      <w:tr>
        <w:trPr>
          <w:trHeight w:val="54"/>
        </w:trPr>
        <w:tc>
          <w:tcPr>
            <w:tcW w:w="350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2620" w:type="dxa"/>
            <w:vAlign w:val="bottom"/>
          </w:tcPr>
          <w:p>
            <w:pPr>
              <w:spacing w:after="0"/>
              <w:rPr>
                <w:sz w:val="4"/>
                <w:szCs w:val="4"/>
                <w:color w:val="auto"/>
              </w:rPr>
            </w:pPr>
          </w:p>
        </w:tc>
      </w:tr>
      <w:tr>
        <w:trPr>
          <w:trHeight w:val="188"/>
        </w:trPr>
        <w:tc>
          <w:tcPr>
            <w:tcW w:w="3500" w:type="dxa"/>
            <w:vAlign w:val="bottom"/>
            <w:shd w:val="clear" w:color="auto" w:fill="CCDCE7"/>
          </w:tcPr>
          <w:p>
            <w:pPr>
              <w:spacing w:after="0"/>
              <w:rPr>
                <w:sz w:val="16"/>
                <w:szCs w:val="16"/>
                <w:color w:val="auto"/>
              </w:rPr>
            </w:pPr>
          </w:p>
        </w:tc>
        <w:tc>
          <w:tcPr>
            <w:tcW w:w="1640" w:type="dxa"/>
            <w:vAlign w:val="bottom"/>
            <w:shd w:val="clear" w:color="auto" w:fill="CCDCE7"/>
          </w:tcPr>
          <w:p>
            <w:pPr>
              <w:jc w:val="right"/>
              <w:ind w:right="155"/>
              <w:spacing w:after="0"/>
              <w:rPr>
                <w:sz w:val="20"/>
                <w:szCs w:val="20"/>
                <w:color w:val="auto"/>
              </w:rPr>
            </w:pPr>
            <w:r>
              <w:rPr>
                <w:rFonts w:ascii="Arial" w:cs="Arial" w:eastAsia="Arial" w:hAnsi="Arial"/>
                <w:sz w:val="14"/>
                <w:szCs w:val="14"/>
                <w:b w:val="1"/>
                <w:bCs w:val="1"/>
                <w:color w:val="00548B"/>
              </w:rPr>
              <w:t>Female</w:t>
            </w:r>
          </w:p>
        </w:tc>
        <w:tc>
          <w:tcPr>
            <w:tcW w:w="1700" w:type="dxa"/>
            <w:vAlign w:val="bottom"/>
            <w:shd w:val="clear" w:color="auto" w:fill="CCDCE7"/>
          </w:tcPr>
          <w:p>
            <w:pPr>
              <w:jc w:val="right"/>
              <w:ind w:right="673"/>
              <w:spacing w:after="0"/>
              <w:rPr>
                <w:sz w:val="20"/>
                <w:szCs w:val="20"/>
                <w:color w:val="auto"/>
              </w:rPr>
            </w:pPr>
            <w:r>
              <w:rPr>
                <w:rFonts w:ascii="Arial" w:cs="Arial" w:eastAsia="Arial" w:hAnsi="Arial"/>
                <w:sz w:val="14"/>
                <w:szCs w:val="14"/>
                <w:b w:val="1"/>
                <w:bCs w:val="1"/>
                <w:color w:val="00548B"/>
              </w:rPr>
              <w:t>Male</w:t>
            </w:r>
          </w:p>
        </w:tc>
        <w:tc>
          <w:tcPr>
            <w:tcW w:w="1400" w:type="dxa"/>
            <w:vAlign w:val="bottom"/>
            <w:shd w:val="clear" w:color="auto" w:fill="CCDCE7"/>
          </w:tcPr>
          <w:p>
            <w:pPr>
              <w:jc w:val="right"/>
              <w:ind w:right="373"/>
              <w:spacing w:after="0"/>
              <w:rPr>
                <w:sz w:val="20"/>
                <w:szCs w:val="20"/>
                <w:color w:val="auto"/>
              </w:rPr>
            </w:pPr>
            <w:r>
              <w:rPr>
                <w:rFonts w:ascii="Arial" w:cs="Arial" w:eastAsia="Arial" w:hAnsi="Arial"/>
                <w:sz w:val="14"/>
                <w:szCs w:val="14"/>
                <w:b w:val="1"/>
                <w:bCs w:val="1"/>
                <w:color w:val="00548B"/>
              </w:rPr>
              <w:t>Non-Binary</w:t>
            </w:r>
          </w:p>
        </w:tc>
        <w:tc>
          <w:tcPr>
            <w:tcW w:w="2620" w:type="dxa"/>
            <w:vAlign w:val="bottom"/>
            <w:shd w:val="clear" w:color="auto" w:fill="CCDCE7"/>
          </w:tcPr>
          <w:p>
            <w:pPr>
              <w:jc w:val="right"/>
              <w:ind w:right="393"/>
              <w:spacing w:after="0"/>
              <w:rPr>
                <w:sz w:val="20"/>
                <w:szCs w:val="20"/>
                <w:color w:val="auto"/>
              </w:rPr>
            </w:pPr>
            <w:r>
              <w:rPr>
                <w:rFonts w:ascii="Arial" w:cs="Arial" w:eastAsia="Arial" w:hAnsi="Arial"/>
                <w:sz w:val="14"/>
                <w:szCs w:val="14"/>
                <w:b w:val="1"/>
                <w:bCs w:val="1"/>
                <w:color w:val="00548B"/>
              </w:rPr>
              <w:t>Did Not Disclose Gender</w:t>
            </w:r>
          </w:p>
        </w:tc>
      </w:tr>
      <w:tr>
        <w:trPr>
          <w:trHeight w:val="244"/>
        </w:trPr>
        <w:tc>
          <w:tcPr>
            <w:tcW w:w="3500" w:type="dxa"/>
            <w:vAlign w:val="bottom"/>
            <w:tcBorders>
              <w:bottom w:val="single" w:sz="8" w:color="CCDCE7"/>
            </w:tcBorders>
            <w:shd w:val="clear" w:color="auto" w:fill="CCDCE7"/>
          </w:tcPr>
          <w:p>
            <w:pPr>
              <w:ind w:left="80"/>
              <w:spacing w:after="0"/>
              <w:rPr>
                <w:sz w:val="20"/>
                <w:szCs w:val="20"/>
                <w:color w:val="auto"/>
              </w:rPr>
            </w:pPr>
            <w:r>
              <w:rPr>
                <w:rFonts w:ascii="Arial" w:cs="Arial" w:eastAsia="Arial" w:hAnsi="Arial"/>
                <w:sz w:val="14"/>
                <w:szCs w:val="14"/>
                <w:b w:val="1"/>
                <w:bCs w:val="1"/>
                <w:color w:val="00548B"/>
              </w:rPr>
              <w:t>Part I: Gender Identity</w:t>
            </w:r>
          </w:p>
        </w:tc>
        <w:tc>
          <w:tcPr>
            <w:tcW w:w="1640" w:type="dxa"/>
            <w:vAlign w:val="bottom"/>
            <w:tcBorders>
              <w:bottom w:val="single" w:sz="8" w:color="CCDCE7"/>
            </w:tcBorders>
            <w:shd w:val="clear" w:color="auto" w:fill="CCDCE7"/>
          </w:tcPr>
          <w:p>
            <w:pPr>
              <w:spacing w:after="0"/>
              <w:rPr>
                <w:sz w:val="21"/>
                <w:szCs w:val="21"/>
                <w:color w:val="auto"/>
              </w:rPr>
            </w:pPr>
          </w:p>
        </w:tc>
        <w:tc>
          <w:tcPr>
            <w:tcW w:w="1700" w:type="dxa"/>
            <w:vAlign w:val="bottom"/>
            <w:tcBorders>
              <w:bottom w:val="single" w:sz="8" w:color="CCDCE7"/>
            </w:tcBorders>
            <w:shd w:val="clear" w:color="auto" w:fill="CCDCE7"/>
          </w:tcPr>
          <w:p>
            <w:pPr>
              <w:spacing w:after="0"/>
              <w:rPr>
                <w:sz w:val="21"/>
                <w:szCs w:val="21"/>
                <w:color w:val="auto"/>
              </w:rPr>
            </w:pPr>
          </w:p>
        </w:tc>
        <w:tc>
          <w:tcPr>
            <w:tcW w:w="1400" w:type="dxa"/>
            <w:vAlign w:val="bottom"/>
            <w:tcBorders>
              <w:bottom w:val="single" w:sz="8" w:color="CCDCE7"/>
            </w:tcBorders>
            <w:shd w:val="clear" w:color="auto" w:fill="CCDCE7"/>
          </w:tcPr>
          <w:p>
            <w:pPr>
              <w:spacing w:after="0"/>
              <w:rPr>
                <w:sz w:val="21"/>
                <w:szCs w:val="21"/>
                <w:color w:val="auto"/>
              </w:rPr>
            </w:pPr>
          </w:p>
        </w:tc>
        <w:tc>
          <w:tcPr>
            <w:tcW w:w="2620" w:type="dxa"/>
            <w:vAlign w:val="bottom"/>
            <w:tcBorders>
              <w:bottom w:val="single" w:sz="8" w:color="CCDCE7"/>
            </w:tcBorders>
            <w:shd w:val="clear" w:color="auto" w:fill="CCDCE7"/>
          </w:tcPr>
          <w:p>
            <w:pPr>
              <w:spacing w:after="0"/>
              <w:rPr>
                <w:sz w:val="21"/>
                <w:szCs w:val="21"/>
                <w:color w:val="auto"/>
              </w:rPr>
            </w:pPr>
          </w:p>
        </w:tc>
      </w:tr>
      <w:tr>
        <w:trPr>
          <w:trHeight w:val="232"/>
        </w:trPr>
        <w:tc>
          <w:tcPr>
            <w:tcW w:w="3500" w:type="dxa"/>
            <w:vAlign w:val="bottom"/>
          </w:tcPr>
          <w:p>
            <w:pPr>
              <w:ind w:left="60"/>
              <w:spacing w:after="0"/>
              <w:rPr>
                <w:sz w:val="20"/>
                <w:szCs w:val="20"/>
                <w:color w:val="auto"/>
              </w:rPr>
            </w:pPr>
            <w:r>
              <w:rPr>
                <w:rFonts w:ascii="Arial" w:cs="Arial" w:eastAsia="Arial" w:hAnsi="Arial"/>
                <w:sz w:val="15"/>
                <w:szCs w:val="15"/>
                <w:b w:val="1"/>
                <w:bCs w:val="1"/>
                <w:color w:val="auto"/>
              </w:rPr>
              <w:t>Directors</w:t>
            </w:r>
          </w:p>
        </w:tc>
        <w:tc>
          <w:tcPr>
            <w:tcW w:w="1640" w:type="dxa"/>
            <w:vAlign w:val="bottom"/>
          </w:tcPr>
          <w:p>
            <w:pPr>
              <w:jc w:val="right"/>
              <w:ind w:right="155"/>
              <w:spacing w:after="0"/>
              <w:rPr>
                <w:sz w:val="20"/>
                <w:szCs w:val="20"/>
                <w:color w:val="auto"/>
              </w:rPr>
            </w:pPr>
            <w:r>
              <w:rPr>
                <w:rFonts w:ascii="Arial" w:cs="Arial" w:eastAsia="Arial" w:hAnsi="Arial"/>
                <w:sz w:val="18"/>
                <w:szCs w:val="18"/>
                <w:color w:val="auto"/>
              </w:rPr>
              <w:t>2</w:t>
            </w:r>
          </w:p>
        </w:tc>
        <w:tc>
          <w:tcPr>
            <w:tcW w:w="1700" w:type="dxa"/>
            <w:vAlign w:val="bottom"/>
          </w:tcPr>
          <w:p>
            <w:pPr>
              <w:jc w:val="right"/>
              <w:ind w:right="673"/>
              <w:spacing w:after="0"/>
              <w:rPr>
                <w:sz w:val="20"/>
                <w:szCs w:val="20"/>
                <w:color w:val="auto"/>
              </w:rPr>
            </w:pPr>
            <w:r>
              <w:rPr>
                <w:rFonts w:ascii="Arial" w:cs="Arial" w:eastAsia="Arial" w:hAnsi="Arial"/>
                <w:sz w:val="18"/>
                <w:szCs w:val="18"/>
                <w:color w:val="auto"/>
              </w:rPr>
              <w:t>5</w:t>
            </w:r>
          </w:p>
        </w:tc>
        <w:tc>
          <w:tcPr>
            <w:tcW w:w="1400" w:type="dxa"/>
            <w:vAlign w:val="bottom"/>
          </w:tcPr>
          <w:p>
            <w:pPr>
              <w:jc w:val="right"/>
              <w:ind w:right="373"/>
              <w:spacing w:after="0"/>
              <w:rPr>
                <w:sz w:val="20"/>
                <w:szCs w:val="20"/>
                <w:color w:val="auto"/>
              </w:rPr>
            </w:pPr>
            <w:r>
              <w:rPr>
                <w:rFonts w:ascii="Arial" w:cs="Arial" w:eastAsia="Arial" w:hAnsi="Arial"/>
                <w:sz w:val="18"/>
                <w:szCs w:val="18"/>
                <w:color w:val="auto"/>
              </w:rPr>
              <w:t>0</w:t>
            </w:r>
          </w:p>
        </w:tc>
        <w:tc>
          <w:tcPr>
            <w:tcW w:w="2620" w:type="dxa"/>
            <w:vAlign w:val="bottom"/>
          </w:tcPr>
          <w:p>
            <w:pPr>
              <w:jc w:val="right"/>
              <w:ind w:right="393"/>
              <w:spacing w:after="0"/>
              <w:rPr>
                <w:sz w:val="20"/>
                <w:szCs w:val="20"/>
                <w:color w:val="auto"/>
              </w:rPr>
            </w:pPr>
            <w:r>
              <w:rPr>
                <w:rFonts w:ascii="Arial" w:cs="Arial" w:eastAsia="Arial" w:hAnsi="Arial"/>
                <w:sz w:val="18"/>
                <w:szCs w:val="18"/>
                <w:color w:val="auto"/>
              </w:rPr>
              <w:t>0</w:t>
            </w:r>
          </w:p>
        </w:tc>
      </w:tr>
      <w:tr>
        <w:trPr>
          <w:trHeight w:val="227"/>
        </w:trPr>
        <w:tc>
          <w:tcPr>
            <w:tcW w:w="3500" w:type="dxa"/>
            <w:vAlign w:val="bottom"/>
            <w:tcBorders>
              <w:bottom w:val="single" w:sz="8" w:color="CCDCE7"/>
            </w:tcBorders>
            <w:shd w:val="clear" w:color="auto" w:fill="CCDCE7"/>
          </w:tcPr>
          <w:p>
            <w:pPr>
              <w:ind w:left="80"/>
              <w:spacing w:after="0"/>
              <w:rPr>
                <w:sz w:val="20"/>
                <w:szCs w:val="20"/>
                <w:color w:val="auto"/>
              </w:rPr>
            </w:pPr>
            <w:r>
              <w:rPr>
                <w:rFonts w:ascii="Arial" w:cs="Arial" w:eastAsia="Arial" w:hAnsi="Arial"/>
                <w:sz w:val="14"/>
                <w:szCs w:val="14"/>
                <w:b w:val="1"/>
                <w:bCs w:val="1"/>
                <w:color w:val="00548B"/>
              </w:rPr>
              <w:t>Part II: Demographic Background</w:t>
            </w:r>
          </w:p>
        </w:tc>
        <w:tc>
          <w:tcPr>
            <w:tcW w:w="1640" w:type="dxa"/>
            <w:vAlign w:val="bottom"/>
            <w:tcBorders>
              <w:bottom w:val="single" w:sz="8" w:color="CCDCE7"/>
            </w:tcBorders>
            <w:shd w:val="clear" w:color="auto" w:fill="CCDCE7"/>
          </w:tcPr>
          <w:p>
            <w:pPr>
              <w:spacing w:after="0"/>
              <w:rPr>
                <w:sz w:val="19"/>
                <w:szCs w:val="19"/>
                <w:color w:val="auto"/>
              </w:rPr>
            </w:pPr>
          </w:p>
        </w:tc>
        <w:tc>
          <w:tcPr>
            <w:tcW w:w="1700" w:type="dxa"/>
            <w:vAlign w:val="bottom"/>
            <w:tcBorders>
              <w:bottom w:val="single" w:sz="8" w:color="CCDCE7"/>
            </w:tcBorders>
            <w:shd w:val="clear" w:color="auto" w:fill="CCDCE7"/>
          </w:tcPr>
          <w:p>
            <w:pPr>
              <w:spacing w:after="0"/>
              <w:rPr>
                <w:sz w:val="19"/>
                <w:szCs w:val="19"/>
                <w:color w:val="auto"/>
              </w:rPr>
            </w:pPr>
          </w:p>
        </w:tc>
        <w:tc>
          <w:tcPr>
            <w:tcW w:w="1400" w:type="dxa"/>
            <w:vAlign w:val="bottom"/>
            <w:tcBorders>
              <w:bottom w:val="single" w:sz="8" w:color="CCDCE7"/>
            </w:tcBorders>
            <w:shd w:val="clear" w:color="auto" w:fill="CCDCE7"/>
          </w:tcPr>
          <w:p>
            <w:pPr>
              <w:spacing w:after="0"/>
              <w:rPr>
                <w:sz w:val="19"/>
                <w:szCs w:val="19"/>
                <w:color w:val="auto"/>
              </w:rPr>
            </w:pPr>
          </w:p>
        </w:tc>
        <w:tc>
          <w:tcPr>
            <w:tcW w:w="2620" w:type="dxa"/>
            <w:vAlign w:val="bottom"/>
            <w:tcBorders>
              <w:bottom w:val="single" w:sz="8" w:color="CCDCE7"/>
            </w:tcBorders>
            <w:shd w:val="clear" w:color="auto" w:fill="CCDCE7"/>
          </w:tcPr>
          <w:p>
            <w:pPr>
              <w:spacing w:after="0"/>
              <w:rPr>
                <w:sz w:val="19"/>
                <w:szCs w:val="19"/>
                <w:color w:val="auto"/>
              </w:rPr>
            </w:pPr>
          </w:p>
        </w:tc>
      </w:tr>
      <w:tr>
        <w:trPr>
          <w:trHeight w:val="233"/>
        </w:trPr>
        <w:tc>
          <w:tcPr>
            <w:tcW w:w="3500" w:type="dxa"/>
            <w:vAlign w:val="bottom"/>
            <w:tcBorders>
              <w:bottom w:val="single" w:sz="8" w:color="999999"/>
            </w:tcBorders>
          </w:tcPr>
          <w:p>
            <w:pPr>
              <w:ind w:left="60"/>
              <w:spacing w:after="0"/>
              <w:rPr>
                <w:sz w:val="20"/>
                <w:szCs w:val="20"/>
                <w:color w:val="auto"/>
              </w:rPr>
            </w:pPr>
            <w:r>
              <w:rPr>
                <w:rFonts w:ascii="Arial" w:cs="Arial" w:eastAsia="Arial" w:hAnsi="Arial"/>
                <w:sz w:val="15"/>
                <w:szCs w:val="15"/>
                <w:b w:val="1"/>
                <w:bCs w:val="1"/>
                <w:color w:val="auto"/>
              </w:rPr>
              <w:t>African American or Black</w:t>
            </w:r>
          </w:p>
        </w:tc>
        <w:tc>
          <w:tcPr>
            <w:tcW w:w="1640" w:type="dxa"/>
            <w:vAlign w:val="bottom"/>
            <w:tcBorders>
              <w:bottom w:val="single" w:sz="8" w:color="999999"/>
            </w:tcBorders>
          </w:tcPr>
          <w:p>
            <w:pPr>
              <w:jc w:val="right"/>
              <w:ind w:right="155"/>
              <w:spacing w:after="0"/>
              <w:rPr>
                <w:sz w:val="20"/>
                <w:szCs w:val="20"/>
                <w:color w:val="auto"/>
              </w:rPr>
            </w:pPr>
            <w:r>
              <w:rPr>
                <w:rFonts w:ascii="Arial" w:cs="Arial" w:eastAsia="Arial" w:hAnsi="Arial"/>
                <w:sz w:val="18"/>
                <w:szCs w:val="18"/>
                <w:color w:val="auto"/>
              </w:rPr>
              <w:t>0</w:t>
            </w:r>
          </w:p>
        </w:tc>
        <w:tc>
          <w:tcPr>
            <w:tcW w:w="1700" w:type="dxa"/>
            <w:vAlign w:val="bottom"/>
            <w:tcBorders>
              <w:bottom w:val="single" w:sz="8" w:color="999999"/>
            </w:tcBorders>
          </w:tcPr>
          <w:p>
            <w:pPr>
              <w:jc w:val="right"/>
              <w:ind w:right="673"/>
              <w:spacing w:after="0"/>
              <w:rPr>
                <w:sz w:val="20"/>
                <w:szCs w:val="20"/>
                <w:color w:val="auto"/>
              </w:rPr>
            </w:pPr>
            <w:r>
              <w:rPr>
                <w:rFonts w:ascii="Arial" w:cs="Arial" w:eastAsia="Arial" w:hAnsi="Arial"/>
                <w:sz w:val="18"/>
                <w:szCs w:val="18"/>
                <w:color w:val="auto"/>
              </w:rPr>
              <w:t>0</w:t>
            </w:r>
          </w:p>
        </w:tc>
        <w:tc>
          <w:tcPr>
            <w:tcW w:w="1400" w:type="dxa"/>
            <w:vAlign w:val="bottom"/>
            <w:tcBorders>
              <w:bottom w:val="single" w:sz="8" w:color="999999"/>
            </w:tcBorders>
          </w:tcPr>
          <w:p>
            <w:pPr>
              <w:jc w:val="right"/>
              <w:ind w:right="373"/>
              <w:spacing w:after="0"/>
              <w:rPr>
                <w:sz w:val="20"/>
                <w:szCs w:val="20"/>
                <w:color w:val="auto"/>
              </w:rPr>
            </w:pPr>
            <w:r>
              <w:rPr>
                <w:rFonts w:ascii="Arial" w:cs="Arial" w:eastAsia="Arial" w:hAnsi="Arial"/>
                <w:sz w:val="18"/>
                <w:szCs w:val="18"/>
                <w:color w:val="auto"/>
              </w:rPr>
              <w:t>0</w:t>
            </w:r>
          </w:p>
        </w:tc>
        <w:tc>
          <w:tcPr>
            <w:tcW w:w="2620" w:type="dxa"/>
            <w:vAlign w:val="bottom"/>
            <w:tcBorders>
              <w:bottom w:val="single" w:sz="8" w:color="999999"/>
            </w:tcBorders>
          </w:tcPr>
          <w:p>
            <w:pPr>
              <w:jc w:val="right"/>
              <w:ind w:right="393"/>
              <w:spacing w:after="0"/>
              <w:rPr>
                <w:sz w:val="20"/>
                <w:szCs w:val="20"/>
                <w:color w:val="auto"/>
              </w:rPr>
            </w:pPr>
            <w:r>
              <w:rPr>
                <w:rFonts w:ascii="Arial" w:cs="Arial" w:eastAsia="Arial" w:hAnsi="Arial"/>
                <w:sz w:val="18"/>
                <w:szCs w:val="18"/>
                <w:color w:val="auto"/>
              </w:rPr>
              <w:t>0</w:t>
            </w:r>
          </w:p>
        </w:tc>
      </w:tr>
      <w:tr>
        <w:trPr>
          <w:trHeight w:val="219"/>
        </w:trPr>
        <w:tc>
          <w:tcPr>
            <w:tcW w:w="3500" w:type="dxa"/>
            <w:vAlign w:val="bottom"/>
            <w:tcBorders>
              <w:bottom w:val="single" w:sz="8" w:color="999999"/>
            </w:tcBorders>
          </w:tcPr>
          <w:p>
            <w:pPr>
              <w:ind w:left="60"/>
              <w:spacing w:after="0"/>
              <w:rPr>
                <w:sz w:val="20"/>
                <w:szCs w:val="20"/>
                <w:color w:val="auto"/>
              </w:rPr>
            </w:pPr>
            <w:r>
              <w:rPr>
                <w:rFonts w:ascii="Arial" w:cs="Arial" w:eastAsia="Arial" w:hAnsi="Arial"/>
                <w:sz w:val="15"/>
                <w:szCs w:val="15"/>
                <w:b w:val="1"/>
                <w:bCs w:val="1"/>
                <w:color w:val="auto"/>
              </w:rPr>
              <w:t>Alaskan Native or Native American</w:t>
            </w:r>
          </w:p>
        </w:tc>
        <w:tc>
          <w:tcPr>
            <w:tcW w:w="1640" w:type="dxa"/>
            <w:vAlign w:val="bottom"/>
            <w:tcBorders>
              <w:bottom w:val="single" w:sz="8" w:color="999999"/>
            </w:tcBorders>
          </w:tcPr>
          <w:p>
            <w:pPr>
              <w:jc w:val="right"/>
              <w:ind w:right="155"/>
              <w:spacing w:after="0"/>
              <w:rPr>
                <w:sz w:val="20"/>
                <w:szCs w:val="20"/>
                <w:color w:val="auto"/>
              </w:rPr>
            </w:pPr>
            <w:r>
              <w:rPr>
                <w:rFonts w:ascii="Arial" w:cs="Arial" w:eastAsia="Arial" w:hAnsi="Arial"/>
                <w:sz w:val="18"/>
                <w:szCs w:val="18"/>
                <w:color w:val="auto"/>
              </w:rPr>
              <w:t>0</w:t>
            </w:r>
          </w:p>
        </w:tc>
        <w:tc>
          <w:tcPr>
            <w:tcW w:w="1700" w:type="dxa"/>
            <w:vAlign w:val="bottom"/>
            <w:tcBorders>
              <w:bottom w:val="single" w:sz="8" w:color="999999"/>
            </w:tcBorders>
          </w:tcPr>
          <w:p>
            <w:pPr>
              <w:jc w:val="right"/>
              <w:ind w:right="673"/>
              <w:spacing w:after="0"/>
              <w:rPr>
                <w:sz w:val="20"/>
                <w:szCs w:val="20"/>
                <w:color w:val="auto"/>
              </w:rPr>
            </w:pPr>
            <w:r>
              <w:rPr>
                <w:rFonts w:ascii="Arial" w:cs="Arial" w:eastAsia="Arial" w:hAnsi="Arial"/>
                <w:sz w:val="18"/>
                <w:szCs w:val="18"/>
                <w:color w:val="auto"/>
              </w:rPr>
              <w:t>0</w:t>
            </w:r>
          </w:p>
        </w:tc>
        <w:tc>
          <w:tcPr>
            <w:tcW w:w="1400" w:type="dxa"/>
            <w:vAlign w:val="bottom"/>
            <w:tcBorders>
              <w:bottom w:val="single" w:sz="8" w:color="999999"/>
            </w:tcBorders>
          </w:tcPr>
          <w:p>
            <w:pPr>
              <w:jc w:val="right"/>
              <w:ind w:right="373"/>
              <w:spacing w:after="0"/>
              <w:rPr>
                <w:sz w:val="20"/>
                <w:szCs w:val="20"/>
                <w:color w:val="auto"/>
              </w:rPr>
            </w:pPr>
            <w:r>
              <w:rPr>
                <w:rFonts w:ascii="Arial" w:cs="Arial" w:eastAsia="Arial" w:hAnsi="Arial"/>
                <w:sz w:val="18"/>
                <w:szCs w:val="18"/>
                <w:color w:val="auto"/>
              </w:rPr>
              <w:t>0</w:t>
            </w:r>
          </w:p>
        </w:tc>
        <w:tc>
          <w:tcPr>
            <w:tcW w:w="2620" w:type="dxa"/>
            <w:vAlign w:val="bottom"/>
            <w:tcBorders>
              <w:bottom w:val="single" w:sz="8" w:color="999999"/>
            </w:tcBorders>
          </w:tcPr>
          <w:p>
            <w:pPr>
              <w:jc w:val="right"/>
              <w:ind w:right="393"/>
              <w:spacing w:after="0"/>
              <w:rPr>
                <w:sz w:val="20"/>
                <w:szCs w:val="20"/>
                <w:color w:val="auto"/>
              </w:rPr>
            </w:pPr>
            <w:r>
              <w:rPr>
                <w:rFonts w:ascii="Arial" w:cs="Arial" w:eastAsia="Arial" w:hAnsi="Arial"/>
                <w:sz w:val="18"/>
                <w:szCs w:val="18"/>
                <w:color w:val="auto"/>
              </w:rPr>
              <w:t>0</w:t>
            </w:r>
          </w:p>
        </w:tc>
      </w:tr>
      <w:tr>
        <w:trPr>
          <w:trHeight w:val="219"/>
        </w:trPr>
        <w:tc>
          <w:tcPr>
            <w:tcW w:w="3500" w:type="dxa"/>
            <w:vAlign w:val="bottom"/>
            <w:tcBorders>
              <w:bottom w:val="single" w:sz="8" w:color="999999"/>
            </w:tcBorders>
          </w:tcPr>
          <w:p>
            <w:pPr>
              <w:ind w:left="60"/>
              <w:spacing w:after="0"/>
              <w:rPr>
                <w:sz w:val="20"/>
                <w:szCs w:val="20"/>
                <w:color w:val="auto"/>
              </w:rPr>
            </w:pPr>
            <w:r>
              <w:rPr>
                <w:rFonts w:ascii="Arial" w:cs="Arial" w:eastAsia="Arial" w:hAnsi="Arial"/>
                <w:sz w:val="15"/>
                <w:szCs w:val="15"/>
                <w:b w:val="1"/>
                <w:bCs w:val="1"/>
                <w:color w:val="auto"/>
              </w:rPr>
              <w:t>Asian</w:t>
            </w:r>
          </w:p>
        </w:tc>
        <w:tc>
          <w:tcPr>
            <w:tcW w:w="1640" w:type="dxa"/>
            <w:vAlign w:val="bottom"/>
            <w:tcBorders>
              <w:bottom w:val="single" w:sz="8" w:color="999999"/>
            </w:tcBorders>
          </w:tcPr>
          <w:p>
            <w:pPr>
              <w:jc w:val="right"/>
              <w:ind w:right="155"/>
              <w:spacing w:after="0"/>
              <w:rPr>
                <w:sz w:val="20"/>
                <w:szCs w:val="20"/>
                <w:color w:val="auto"/>
              </w:rPr>
            </w:pPr>
            <w:r>
              <w:rPr>
                <w:rFonts w:ascii="Arial" w:cs="Arial" w:eastAsia="Arial" w:hAnsi="Arial"/>
                <w:sz w:val="18"/>
                <w:szCs w:val="18"/>
                <w:color w:val="auto"/>
              </w:rPr>
              <w:t>1</w:t>
            </w:r>
          </w:p>
        </w:tc>
        <w:tc>
          <w:tcPr>
            <w:tcW w:w="1700" w:type="dxa"/>
            <w:vAlign w:val="bottom"/>
            <w:tcBorders>
              <w:bottom w:val="single" w:sz="8" w:color="999999"/>
            </w:tcBorders>
          </w:tcPr>
          <w:p>
            <w:pPr>
              <w:jc w:val="right"/>
              <w:ind w:right="673"/>
              <w:spacing w:after="0"/>
              <w:rPr>
                <w:sz w:val="20"/>
                <w:szCs w:val="20"/>
                <w:color w:val="auto"/>
              </w:rPr>
            </w:pPr>
            <w:r>
              <w:rPr>
                <w:rFonts w:ascii="Arial" w:cs="Arial" w:eastAsia="Arial" w:hAnsi="Arial"/>
                <w:sz w:val="18"/>
                <w:szCs w:val="18"/>
                <w:color w:val="auto"/>
              </w:rPr>
              <w:t>0</w:t>
            </w:r>
          </w:p>
        </w:tc>
        <w:tc>
          <w:tcPr>
            <w:tcW w:w="1400" w:type="dxa"/>
            <w:vAlign w:val="bottom"/>
            <w:tcBorders>
              <w:bottom w:val="single" w:sz="8" w:color="999999"/>
            </w:tcBorders>
          </w:tcPr>
          <w:p>
            <w:pPr>
              <w:jc w:val="right"/>
              <w:ind w:right="373"/>
              <w:spacing w:after="0"/>
              <w:rPr>
                <w:sz w:val="20"/>
                <w:szCs w:val="20"/>
                <w:color w:val="auto"/>
              </w:rPr>
            </w:pPr>
            <w:r>
              <w:rPr>
                <w:rFonts w:ascii="Arial" w:cs="Arial" w:eastAsia="Arial" w:hAnsi="Arial"/>
                <w:sz w:val="18"/>
                <w:szCs w:val="18"/>
                <w:color w:val="auto"/>
              </w:rPr>
              <w:t>0</w:t>
            </w:r>
          </w:p>
        </w:tc>
        <w:tc>
          <w:tcPr>
            <w:tcW w:w="2620" w:type="dxa"/>
            <w:vAlign w:val="bottom"/>
            <w:tcBorders>
              <w:bottom w:val="single" w:sz="8" w:color="999999"/>
            </w:tcBorders>
          </w:tcPr>
          <w:p>
            <w:pPr>
              <w:jc w:val="right"/>
              <w:ind w:right="393"/>
              <w:spacing w:after="0"/>
              <w:rPr>
                <w:sz w:val="20"/>
                <w:szCs w:val="20"/>
                <w:color w:val="auto"/>
              </w:rPr>
            </w:pPr>
            <w:r>
              <w:rPr>
                <w:rFonts w:ascii="Arial" w:cs="Arial" w:eastAsia="Arial" w:hAnsi="Arial"/>
                <w:sz w:val="18"/>
                <w:szCs w:val="18"/>
                <w:color w:val="auto"/>
              </w:rPr>
              <w:t>0</w:t>
            </w:r>
          </w:p>
        </w:tc>
      </w:tr>
      <w:tr>
        <w:trPr>
          <w:trHeight w:val="219"/>
        </w:trPr>
        <w:tc>
          <w:tcPr>
            <w:tcW w:w="3500" w:type="dxa"/>
            <w:vAlign w:val="bottom"/>
            <w:tcBorders>
              <w:bottom w:val="single" w:sz="8" w:color="999999"/>
            </w:tcBorders>
          </w:tcPr>
          <w:p>
            <w:pPr>
              <w:ind w:left="60"/>
              <w:spacing w:after="0"/>
              <w:rPr>
                <w:sz w:val="20"/>
                <w:szCs w:val="20"/>
                <w:color w:val="auto"/>
              </w:rPr>
            </w:pPr>
            <w:r>
              <w:rPr>
                <w:rFonts w:ascii="Arial" w:cs="Arial" w:eastAsia="Arial" w:hAnsi="Arial"/>
                <w:sz w:val="15"/>
                <w:szCs w:val="15"/>
                <w:b w:val="1"/>
                <w:bCs w:val="1"/>
                <w:color w:val="auto"/>
              </w:rPr>
              <w:t>Hispanic or Latinx</w:t>
            </w:r>
          </w:p>
        </w:tc>
        <w:tc>
          <w:tcPr>
            <w:tcW w:w="1640" w:type="dxa"/>
            <w:vAlign w:val="bottom"/>
            <w:tcBorders>
              <w:bottom w:val="single" w:sz="8" w:color="999999"/>
            </w:tcBorders>
          </w:tcPr>
          <w:p>
            <w:pPr>
              <w:jc w:val="right"/>
              <w:ind w:right="155"/>
              <w:spacing w:after="0"/>
              <w:rPr>
                <w:sz w:val="20"/>
                <w:szCs w:val="20"/>
                <w:color w:val="auto"/>
              </w:rPr>
            </w:pPr>
            <w:r>
              <w:rPr>
                <w:rFonts w:ascii="Arial" w:cs="Arial" w:eastAsia="Arial" w:hAnsi="Arial"/>
                <w:sz w:val="18"/>
                <w:szCs w:val="18"/>
                <w:color w:val="auto"/>
              </w:rPr>
              <w:t>0</w:t>
            </w:r>
          </w:p>
        </w:tc>
        <w:tc>
          <w:tcPr>
            <w:tcW w:w="1700" w:type="dxa"/>
            <w:vAlign w:val="bottom"/>
            <w:tcBorders>
              <w:bottom w:val="single" w:sz="8" w:color="999999"/>
            </w:tcBorders>
          </w:tcPr>
          <w:p>
            <w:pPr>
              <w:jc w:val="right"/>
              <w:ind w:right="673"/>
              <w:spacing w:after="0"/>
              <w:rPr>
                <w:sz w:val="20"/>
                <w:szCs w:val="20"/>
                <w:color w:val="auto"/>
              </w:rPr>
            </w:pPr>
            <w:r>
              <w:rPr>
                <w:rFonts w:ascii="Arial" w:cs="Arial" w:eastAsia="Arial" w:hAnsi="Arial"/>
                <w:sz w:val="18"/>
                <w:szCs w:val="18"/>
                <w:color w:val="auto"/>
              </w:rPr>
              <w:t>0</w:t>
            </w:r>
          </w:p>
        </w:tc>
        <w:tc>
          <w:tcPr>
            <w:tcW w:w="1400" w:type="dxa"/>
            <w:vAlign w:val="bottom"/>
            <w:tcBorders>
              <w:bottom w:val="single" w:sz="8" w:color="999999"/>
            </w:tcBorders>
          </w:tcPr>
          <w:p>
            <w:pPr>
              <w:jc w:val="right"/>
              <w:ind w:right="373"/>
              <w:spacing w:after="0"/>
              <w:rPr>
                <w:sz w:val="20"/>
                <w:szCs w:val="20"/>
                <w:color w:val="auto"/>
              </w:rPr>
            </w:pPr>
            <w:r>
              <w:rPr>
                <w:rFonts w:ascii="Arial" w:cs="Arial" w:eastAsia="Arial" w:hAnsi="Arial"/>
                <w:sz w:val="18"/>
                <w:szCs w:val="18"/>
                <w:color w:val="auto"/>
              </w:rPr>
              <w:t>0</w:t>
            </w:r>
          </w:p>
        </w:tc>
        <w:tc>
          <w:tcPr>
            <w:tcW w:w="2620" w:type="dxa"/>
            <w:vAlign w:val="bottom"/>
            <w:tcBorders>
              <w:bottom w:val="single" w:sz="8" w:color="999999"/>
            </w:tcBorders>
          </w:tcPr>
          <w:p>
            <w:pPr>
              <w:jc w:val="right"/>
              <w:ind w:right="393"/>
              <w:spacing w:after="0"/>
              <w:rPr>
                <w:sz w:val="20"/>
                <w:szCs w:val="20"/>
                <w:color w:val="auto"/>
              </w:rPr>
            </w:pPr>
            <w:r>
              <w:rPr>
                <w:rFonts w:ascii="Arial" w:cs="Arial" w:eastAsia="Arial" w:hAnsi="Arial"/>
                <w:sz w:val="18"/>
                <w:szCs w:val="18"/>
                <w:color w:val="auto"/>
              </w:rPr>
              <w:t>0</w:t>
            </w:r>
          </w:p>
        </w:tc>
      </w:tr>
      <w:tr>
        <w:trPr>
          <w:trHeight w:val="219"/>
        </w:trPr>
        <w:tc>
          <w:tcPr>
            <w:tcW w:w="3500" w:type="dxa"/>
            <w:vAlign w:val="bottom"/>
            <w:tcBorders>
              <w:bottom w:val="single" w:sz="8" w:color="999999"/>
            </w:tcBorders>
          </w:tcPr>
          <w:p>
            <w:pPr>
              <w:ind w:left="60"/>
              <w:spacing w:after="0"/>
              <w:rPr>
                <w:sz w:val="20"/>
                <w:szCs w:val="20"/>
                <w:color w:val="auto"/>
              </w:rPr>
            </w:pPr>
            <w:r>
              <w:rPr>
                <w:rFonts w:ascii="Arial" w:cs="Arial" w:eastAsia="Arial" w:hAnsi="Arial"/>
                <w:sz w:val="15"/>
                <w:szCs w:val="15"/>
                <w:b w:val="1"/>
                <w:bCs w:val="1"/>
                <w:color w:val="auto"/>
              </w:rPr>
              <w:t>Native Hawaiian or Pacific Islander</w:t>
            </w:r>
          </w:p>
        </w:tc>
        <w:tc>
          <w:tcPr>
            <w:tcW w:w="1640" w:type="dxa"/>
            <w:vAlign w:val="bottom"/>
            <w:tcBorders>
              <w:bottom w:val="single" w:sz="8" w:color="999999"/>
            </w:tcBorders>
          </w:tcPr>
          <w:p>
            <w:pPr>
              <w:jc w:val="right"/>
              <w:ind w:right="155"/>
              <w:spacing w:after="0"/>
              <w:rPr>
                <w:sz w:val="20"/>
                <w:szCs w:val="20"/>
                <w:color w:val="auto"/>
              </w:rPr>
            </w:pPr>
            <w:r>
              <w:rPr>
                <w:rFonts w:ascii="Arial" w:cs="Arial" w:eastAsia="Arial" w:hAnsi="Arial"/>
                <w:sz w:val="18"/>
                <w:szCs w:val="18"/>
                <w:color w:val="auto"/>
              </w:rPr>
              <w:t>0</w:t>
            </w:r>
          </w:p>
        </w:tc>
        <w:tc>
          <w:tcPr>
            <w:tcW w:w="1700" w:type="dxa"/>
            <w:vAlign w:val="bottom"/>
            <w:tcBorders>
              <w:bottom w:val="single" w:sz="8" w:color="999999"/>
            </w:tcBorders>
          </w:tcPr>
          <w:p>
            <w:pPr>
              <w:jc w:val="right"/>
              <w:ind w:right="673"/>
              <w:spacing w:after="0"/>
              <w:rPr>
                <w:sz w:val="20"/>
                <w:szCs w:val="20"/>
                <w:color w:val="auto"/>
              </w:rPr>
            </w:pPr>
            <w:r>
              <w:rPr>
                <w:rFonts w:ascii="Arial" w:cs="Arial" w:eastAsia="Arial" w:hAnsi="Arial"/>
                <w:sz w:val="18"/>
                <w:szCs w:val="18"/>
                <w:color w:val="auto"/>
              </w:rPr>
              <w:t>0</w:t>
            </w:r>
          </w:p>
        </w:tc>
        <w:tc>
          <w:tcPr>
            <w:tcW w:w="1400" w:type="dxa"/>
            <w:vAlign w:val="bottom"/>
            <w:tcBorders>
              <w:bottom w:val="single" w:sz="8" w:color="999999"/>
            </w:tcBorders>
          </w:tcPr>
          <w:p>
            <w:pPr>
              <w:jc w:val="right"/>
              <w:ind w:right="373"/>
              <w:spacing w:after="0"/>
              <w:rPr>
                <w:sz w:val="20"/>
                <w:szCs w:val="20"/>
                <w:color w:val="auto"/>
              </w:rPr>
            </w:pPr>
            <w:r>
              <w:rPr>
                <w:rFonts w:ascii="Arial" w:cs="Arial" w:eastAsia="Arial" w:hAnsi="Arial"/>
                <w:sz w:val="18"/>
                <w:szCs w:val="18"/>
                <w:color w:val="auto"/>
              </w:rPr>
              <w:t>0</w:t>
            </w:r>
          </w:p>
        </w:tc>
        <w:tc>
          <w:tcPr>
            <w:tcW w:w="2620" w:type="dxa"/>
            <w:vAlign w:val="bottom"/>
            <w:tcBorders>
              <w:bottom w:val="single" w:sz="8" w:color="999999"/>
            </w:tcBorders>
          </w:tcPr>
          <w:p>
            <w:pPr>
              <w:jc w:val="right"/>
              <w:ind w:right="393"/>
              <w:spacing w:after="0"/>
              <w:rPr>
                <w:sz w:val="20"/>
                <w:szCs w:val="20"/>
                <w:color w:val="auto"/>
              </w:rPr>
            </w:pPr>
            <w:r>
              <w:rPr>
                <w:rFonts w:ascii="Arial" w:cs="Arial" w:eastAsia="Arial" w:hAnsi="Arial"/>
                <w:sz w:val="18"/>
                <w:szCs w:val="18"/>
                <w:color w:val="auto"/>
              </w:rPr>
              <w:t>0</w:t>
            </w:r>
          </w:p>
        </w:tc>
      </w:tr>
      <w:tr>
        <w:trPr>
          <w:trHeight w:val="219"/>
        </w:trPr>
        <w:tc>
          <w:tcPr>
            <w:tcW w:w="3500" w:type="dxa"/>
            <w:vAlign w:val="bottom"/>
            <w:tcBorders>
              <w:bottom w:val="single" w:sz="8" w:color="999999"/>
            </w:tcBorders>
          </w:tcPr>
          <w:p>
            <w:pPr>
              <w:ind w:left="60"/>
              <w:spacing w:after="0"/>
              <w:rPr>
                <w:sz w:val="20"/>
                <w:szCs w:val="20"/>
                <w:color w:val="auto"/>
              </w:rPr>
            </w:pPr>
            <w:r>
              <w:rPr>
                <w:rFonts w:ascii="Arial" w:cs="Arial" w:eastAsia="Arial" w:hAnsi="Arial"/>
                <w:sz w:val="15"/>
                <w:szCs w:val="15"/>
                <w:b w:val="1"/>
                <w:bCs w:val="1"/>
                <w:color w:val="auto"/>
              </w:rPr>
              <w:t>White</w:t>
            </w:r>
          </w:p>
        </w:tc>
        <w:tc>
          <w:tcPr>
            <w:tcW w:w="1640" w:type="dxa"/>
            <w:vAlign w:val="bottom"/>
            <w:tcBorders>
              <w:bottom w:val="single" w:sz="8" w:color="999999"/>
            </w:tcBorders>
          </w:tcPr>
          <w:p>
            <w:pPr>
              <w:jc w:val="right"/>
              <w:ind w:right="155"/>
              <w:spacing w:after="0"/>
              <w:rPr>
                <w:sz w:val="20"/>
                <w:szCs w:val="20"/>
                <w:color w:val="auto"/>
              </w:rPr>
            </w:pPr>
            <w:r>
              <w:rPr>
                <w:rFonts w:ascii="Arial" w:cs="Arial" w:eastAsia="Arial" w:hAnsi="Arial"/>
                <w:sz w:val="18"/>
                <w:szCs w:val="18"/>
                <w:color w:val="auto"/>
              </w:rPr>
              <w:t>1</w:t>
            </w:r>
          </w:p>
        </w:tc>
        <w:tc>
          <w:tcPr>
            <w:tcW w:w="1700" w:type="dxa"/>
            <w:vAlign w:val="bottom"/>
            <w:tcBorders>
              <w:bottom w:val="single" w:sz="8" w:color="999999"/>
            </w:tcBorders>
          </w:tcPr>
          <w:p>
            <w:pPr>
              <w:jc w:val="right"/>
              <w:ind w:right="673"/>
              <w:spacing w:after="0"/>
              <w:rPr>
                <w:sz w:val="20"/>
                <w:szCs w:val="20"/>
                <w:color w:val="auto"/>
              </w:rPr>
            </w:pPr>
            <w:r>
              <w:rPr>
                <w:rFonts w:ascii="Arial" w:cs="Arial" w:eastAsia="Arial" w:hAnsi="Arial"/>
                <w:sz w:val="18"/>
                <w:szCs w:val="18"/>
                <w:color w:val="auto"/>
              </w:rPr>
              <w:t>5</w:t>
            </w:r>
          </w:p>
        </w:tc>
        <w:tc>
          <w:tcPr>
            <w:tcW w:w="1400" w:type="dxa"/>
            <w:vAlign w:val="bottom"/>
            <w:tcBorders>
              <w:bottom w:val="single" w:sz="8" w:color="999999"/>
            </w:tcBorders>
          </w:tcPr>
          <w:p>
            <w:pPr>
              <w:jc w:val="right"/>
              <w:ind w:right="373"/>
              <w:spacing w:after="0"/>
              <w:rPr>
                <w:sz w:val="20"/>
                <w:szCs w:val="20"/>
                <w:color w:val="auto"/>
              </w:rPr>
            </w:pPr>
            <w:r>
              <w:rPr>
                <w:rFonts w:ascii="Arial" w:cs="Arial" w:eastAsia="Arial" w:hAnsi="Arial"/>
                <w:sz w:val="18"/>
                <w:szCs w:val="18"/>
                <w:color w:val="auto"/>
              </w:rPr>
              <w:t>0</w:t>
            </w:r>
          </w:p>
        </w:tc>
        <w:tc>
          <w:tcPr>
            <w:tcW w:w="2620" w:type="dxa"/>
            <w:vAlign w:val="bottom"/>
            <w:tcBorders>
              <w:bottom w:val="single" w:sz="8" w:color="999999"/>
            </w:tcBorders>
          </w:tcPr>
          <w:p>
            <w:pPr>
              <w:jc w:val="right"/>
              <w:ind w:right="393"/>
              <w:spacing w:after="0"/>
              <w:rPr>
                <w:sz w:val="20"/>
                <w:szCs w:val="20"/>
                <w:color w:val="auto"/>
              </w:rPr>
            </w:pPr>
            <w:r>
              <w:rPr>
                <w:rFonts w:ascii="Arial" w:cs="Arial" w:eastAsia="Arial" w:hAnsi="Arial"/>
                <w:sz w:val="18"/>
                <w:szCs w:val="18"/>
                <w:color w:val="auto"/>
              </w:rPr>
              <w:t>0</w:t>
            </w:r>
          </w:p>
        </w:tc>
      </w:tr>
      <w:tr>
        <w:trPr>
          <w:trHeight w:val="219"/>
        </w:trPr>
        <w:tc>
          <w:tcPr>
            <w:tcW w:w="3500" w:type="dxa"/>
            <w:vAlign w:val="bottom"/>
            <w:tcBorders>
              <w:bottom w:val="single" w:sz="8" w:color="999999"/>
            </w:tcBorders>
          </w:tcPr>
          <w:p>
            <w:pPr>
              <w:ind w:left="60"/>
              <w:spacing w:after="0"/>
              <w:rPr>
                <w:sz w:val="20"/>
                <w:szCs w:val="20"/>
                <w:color w:val="auto"/>
              </w:rPr>
            </w:pPr>
            <w:r>
              <w:rPr>
                <w:rFonts w:ascii="Arial" w:cs="Arial" w:eastAsia="Arial" w:hAnsi="Arial"/>
                <w:sz w:val="15"/>
                <w:szCs w:val="15"/>
                <w:b w:val="1"/>
                <w:bCs w:val="1"/>
                <w:color w:val="auto"/>
              </w:rPr>
              <w:t>Two or More Races or Ethnicities</w:t>
            </w:r>
          </w:p>
        </w:tc>
        <w:tc>
          <w:tcPr>
            <w:tcW w:w="1640" w:type="dxa"/>
            <w:vAlign w:val="bottom"/>
            <w:tcBorders>
              <w:bottom w:val="single" w:sz="8" w:color="999999"/>
            </w:tcBorders>
          </w:tcPr>
          <w:p>
            <w:pPr>
              <w:jc w:val="right"/>
              <w:ind w:right="155"/>
              <w:spacing w:after="0"/>
              <w:rPr>
                <w:sz w:val="20"/>
                <w:szCs w:val="20"/>
                <w:color w:val="auto"/>
              </w:rPr>
            </w:pPr>
            <w:r>
              <w:rPr>
                <w:rFonts w:ascii="Arial" w:cs="Arial" w:eastAsia="Arial" w:hAnsi="Arial"/>
                <w:sz w:val="18"/>
                <w:szCs w:val="18"/>
                <w:color w:val="auto"/>
              </w:rPr>
              <w:t>0</w:t>
            </w:r>
          </w:p>
        </w:tc>
        <w:tc>
          <w:tcPr>
            <w:tcW w:w="1700" w:type="dxa"/>
            <w:vAlign w:val="bottom"/>
            <w:tcBorders>
              <w:bottom w:val="single" w:sz="8" w:color="999999"/>
            </w:tcBorders>
          </w:tcPr>
          <w:p>
            <w:pPr>
              <w:jc w:val="right"/>
              <w:ind w:right="673"/>
              <w:spacing w:after="0"/>
              <w:rPr>
                <w:sz w:val="20"/>
                <w:szCs w:val="20"/>
                <w:color w:val="auto"/>
              </w:rPr>
            </w:pPr>
            <w:r>
              <w:rPr>
                <w:rFonts w:ascii="Arial" w:cs="Arial" w:eastAsia="Arial" w:hAnsi="Arial"/>
                <w:sz w:val="18"/>
                <w:szCs w:val="18"/>
                <w:color w:val="auto"/>
              </w:rPr>
              <w:t>0</w:t>
            </w:r>
          </w:p>
        </w:tc>
        <w:tc>
          <w:tcPr>
            <w:tcW w:w="1400" w:type="dxa"/>
            <w:vAlign w:val="bottom"/>
            <w:tcBorders>
              <w:bottom w:val="single" w:sz="8" w:color="999999"/>
            </w:tcBorders>
          </w:tcPr>
          <w:p>
            <w:pPr>
              <w:jc w:val="right"/>
              <w:ind w:right="373"/>
              <w:spacing w:after="0"/>
              <w:rPr>
                <w:sz w:val="20"/>
                <w:szCs w:val="20"/>
                <w:color w:val="auto"/>
              </w:rPr>
            </w:pPr>
            <w:r>
              <w:rPr>
                <w:rFonts w:ascii="Arial" w:cs="Arial" w:eastAsia="Arial" w:hAnsi="Arial"/>
                <w:sz w:val="18"/>
                <w:szCs w:val="18"/>
                <w:color w:val="auto"/>
              </w:rPr>
              <w:t>0</w:t>
            </w:r>
          </w:p>
        </w:tc>
        <w:tc>
          <w:tcPr>
            <w:tcW w:w="2620" w:type="dxa"/>
            <w:vAlign w:val="bottom"/>
            <w:tcBorders>
              <w:bottom w:val="single" w:sz="8" w:color="999999"/>
            </w:tcBorders>
          </w:tcPr>
          <w:p>
            <w:pPr>
              <w:jc w:val="right"/>
              <w:ind w:right="393"/>
              <w:spacing w:after="0"/>
              <w:rPr>
                <w:sz w:val="20"/>
                <w:szCs w:val="20"/>
                <w:color w:val="auto"/>
              </w:rPr>
            </w:pPr>
            <w:r>
              <w:rPr>
                <w:rFonts w:ascii="Arial" w:cs="Arial" w:eastAsia="Arial" w:hAnsi="Arial"/>
                <w:sz w:val="18"/>
                <w:szCs w:val="18"/>
                <w:color w:val="auto"/>
              </w:rPr>
              <w:t>0</w:t>
            </w:r>
          </w:p>
        </w:tc>
      </w:tr>
      <w:tr>
        <w:trPr>
          <w:trHeight w:val="219"/>
        </w:trPr>
        <w:tc>
          <w:tcPr>
            <w:tcW w:w="3500" w:type="dxa"/>
            <w:vAlign w:val="bottom"/>
            <w:tcBorders>
              <w:bottom w:val="single" w:sz="8" w:color="999999"/>
            </w:tcBorders>
          </w:tcPr>
          <w:p>
            <w:pPr>
              <w:ind w:left="60"/>
              <w:spacing w:after="0"/>
              <w:rPr>
                <w:sz w:val="20"/>
                <w:szCs w:val="20"/>
                <w:color w:val="auto"/>
              </w:rPr>
            </w:pPr>
            <w:r>
              <w:rPr>
                <w:rFonts w:ascii="Arial" w:cs="Arial" w:eastAsia="Arial" w:hAnsi="Arial"/>
                <w:sz w:val="15"/>
                <w:szCs w:val="15"/>
                <w:b w:val="1"/>
                <w:bCs w:val="1"/>
                <w:color w:val="auto"/>
              </w:rPr>
              <w:t>LGBTQ+</w:t>
            </w:r>
          </w:p>
        </w:tc>
        <w:tc>
          <w:tcPr>
            <w:tcW w:w="1640" w:type="dxa"/>
            <w:vAlign w:val="bottom"/>
            <w:tcBorders>
              <w:bottom w:val="single" w:sz="8" w:color="999999"/>
            </w:tcBorders>
          </w:tcPr>
          <w:p>
            <w:pPr>
              <w:spacing w:after="0"/>
              <w:rPr>
                <w:sz w:val="19"/>
                <w:szCs w:val="19"/>
                <w:color w:val="auto"/>
              </w:rPr>
            </w:pPr>
          </w:p>
        </w:tc>
        <w:tc>
          <w:tcPr>
            <w:tcW w:w="1700" w:type="dxa"/>
            <w:vAlign w:val="bottom"/>
            <w:tcBorders>
              <w:bottom w:val="single" w:sz="8" w:color="999999"/>
            </w:tcBorders>
          </w:tcPr>
          <w:p>
            <w:pPr>
              <w:spacing w:after="0"/>
              <w:rPr>
                <w:sz w:val="19"/>
                <w:szCs w:val="19"/>
                <w:color w:val="auto"/>
              </w:rPr>
            </w:pPr>
          </w:p>
        </w:tc>
        <w:tc>
          <w:tcPr>
            <w:tcW w:w="1400" w:type="dxa"/>
            <w:vAlign w:val="bottom"/>
            <w:tcBorders>
              <w:bottom w:val="single" w:sz="8" w:color="999999"/>
            </w:tcBorders>
          </w:tcPr>
          <w:p>
            <w:pPr>
              <w:jc w:val="right"/>
              <w:ind w:right="633"/>
              <w:spacing w:after="0"/>
              <w:rPr>
                <w:sz w:val="20"/>
                <w:szCs w:val="20"/>
                <w:color w:val="auto"/>
              </w:rPr>
            </w:pPr>
            <w:r>
              <w:rPr>
                <w:rFonts w:ascii="Arial" w:cs="Arial" w:eastAsia="Arial" w:hAnsi="Arial"/>
                <w:sz w:val="18"/>
                <w:szCs w:val="18"/>
                <w:color w:val="auto"/>
              </w:rPr>
              <w:t>0</w:t>
            </w:r>
          </w:p>
        </w:tc>
        <w:tc>
          <w:tcPr>
            <w:tcW w:w="2620" w:type="dxa"/>
            <w:vAlign w:val="bottom"/>
            <w:tcBorders>
              <w:bottom w:val="single" w:sz="8" w:color="999999"/>
            </w:tcBorders>
          </w:tcPr>
          <w:p>
            <w:pPr>
              <w:spacing w:after="0"/>
              <w:rPr>
                <w:sz w:val="19"/>
                <w:szCs w:val="19"/>
                <w:color w:val="auto"/>
              </w:rPr>
            </w:pPr>
          </w:p>
        </w:tc>
      </w:tr>
      <w:tr>
        <w:trPr>
          <w:trHeight w:val="219"/>
        </w:trPr>
        <w:tc>
          <w:tcPr>
            <w:tcW w:w="3500" w:type="dxa"/>
            <w:vAlign w:val="bottom"/>
            <w:tcBorders>
              <w:bottom w:val="single" w:sz="8" w:color="00548B"/>
            </w:tcBorders>
          </w:tcPr>
          <w:p>
            <w:pPr>
              <w:ind w:left="60"/>
              <w:spacing w:after="0"/>
              <w:rPr>
                <w:sz w:val="20"/>
                <w:szCs w:val="20"/>
                <w:color w:val="auto"/>
              </w:rPr>
            </w:pPr>
            <w:r>
              <w:rPr>
                <w:rFonts w:ascii="Arial" w:cs="Arial" w:eastAsia="Arial" w:hAnsi="Arial"/>
                <w:sz w:val="15"/>
                <w:szCs w:val="15"/>
                <w:b w:val="1"/>
                <w:bCs w:val="1"/>
                <w:color w:val="auto"/>
              </w:rPr>
              <w:t>Did Not Disclose Demographic Background</w:t>
            </w:r>
          </w:p>
        </w:tc>
        <w:tc>
          <w:tcPr>
            <w:tcW w:w="1640" w:type="dxa"/>
            <w:vAlign w:val="bottom"/>
            <w:tcBorders>
              <w:bottom w:val="single" w:sz="8" w:color="00548B"/>
            </w:tcBorders>
          </w:tcPr>
          <w:p>
            <w:pPr>
              <w:spacing w:after="0"/>
              <w:rPr>
                <w:sz w:val="19"/>
                <w:szCs w:val="19"/>
                <w:color w:val="auto"/>
              </w:rPr>
            </w:pPr>
          </w:p>
        </w:tc>
        <w:tc>
          <w:tcPr>
            <w:tcW w:w="1700" w:type="dxa"/>
            <w:vAlign w:val="bottom"/>
            <w:tcBorders>
              <w:bottom w:val="single" w:sz="8" w:color="00548B"/>
            </w:tcBorders>
          </w:tcPr>
          <w:p>
            <w:pPr>
              <w:spacing w:after="0"/>
              <w:rPr>
                <w:sz w:val="19"/>
                <w:szCs w:val="19"/>
                <w:color w:val="auto"/>
              </w:rPr>
            </w:pPr>
          </w:p>
        </w:tc>
        <w:tc>
          <w:tcPr>
            <w:tcW w:w="1400" w:type="dxa"/>
            <w:vAlign w:val="bottom"/>
            <w:tcBorders>
              <w:bottom w:val="single" w:sz="8" w:color="00548B"/>
            </w:tcBorders>
          </w:tcPr>
          <w:p>
            <w:pPr>
              <w:jc w:val="right"/>
              <w:ind w:right="633"/>
              <w:spacing w:after="0"/>
              <w:rPr>
                <w:sz w:val="20"/>
                <w:szCs w:val="20"/>
                <w:color w:val="auto"/>
              </w:rPr>
            </w:pPr>
            <w:r>
              <w:rPr>
                <w:rFonts w:ascii="Arial" w:cs="Arial" w:eastAsia="Arial" w:hAnsi="Arial"/>
                <w:sz w:val="18"/>
                <w:szCs w:val="18"/>
                <w:color w:val="auto"/>
              </w:rPr>
              <w:t>0</w:t>
            </w:r>
          </w:p>
        </w:tc>
        <w:tc>
          <w:tcPr>
            <w:tcW w:w="2620" w:type="dxa"/>
            <w:vAlign w:val="bottom"/>
            <w:tcBorders>
              <w:bottom w:val="single" w:sz="8" w:color="00548B"/>
            </w:tcBorders>
          </w:tcPr>
          <w:p>
            <w:pPr>
              <w:spacing w:after="0"/>
              <w:rPr>
                <w:sz w:val="19"/>
                <w:szCs w:val="19"/>
                <w:color w:val="auto"/>
              </w:rPr>
            </w:pPr>
          </w:p>
        </w:tc>
      </w:tr>
      <w:tr>
        <w:trPr>
          <w:trHeight w:val="358"/>
        </w:trPr>
        <w:tc>
          <w:tcPr>
            <w:tcW w:w="35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700" w:type="dxa"/>
            <w:vAlign w:val="bottom"/>
          </w:tcPr>
          <w:p>
            <w:pPr>
              <w:jc w:val="right"/>
              <w:ind w:right="1273"/>
              <w:spacing w:after="0"/>
              <w:rPr>
                <w:sz w:val="20"/>
                <w:szCs w:val="20"/>
                <w:color w:val="auto"/>
              </w:rPr>
            </w:pPr>
            <w:r>
              <w:rPr>
                <w:rFonts w:ascii="Arial" w:cs="Arial" w:eastAsia="Arial" w:hAnsi="Arial"/>
                <w:sz w:val="18"/>
                <w:szCs w:val="18"/>
                <w:color w:val="00548B"/>
              </w:rPr>
              <w:t>4</w:t>
            </w:r>
          </w:p>
        </w:tc>
        <w:tc>
          <w:tcPr>
            <w:tcW w:w="1400" w:type="dxa"/>
            <w:vAlign w:val="bottom"/>
          </w:tcPr>
          <w:p>
            <w:pPr>
              <w:spacing w:after="0"/>
              <w:rPr>
                <w:sz w:val="24"/>
                <w:szCs w:val="24"/>
                <w:color w:val="auto"/>
              </w:rPr>
            </w:pPr>
          </w:p>
        </w:tc>
        <w:tc>
          <w:tcPr>
            <w:tcW w:w="2620" w:type="dxa"/>
            <w:vAlign w:val="bottom"/>
          </w:tcPr>
          <w:p>
            <w:pPr>
              <w:spacing w:after="0"/>
              <w:rPr>
                <w:sz w:val="24"/>
                <w:szCs w:val="24"/>
                <w:color w:val="auto"/>
              </w:rPr>
            </w:pPr>
          </w:p>
        </w:tc>
      </w:tr>
    </w:tbl>
    <w:p>
      <w:pPr>
        <w:sectPr>
          <w:pgSz w:w="11900" w:h="16838" w:orient="portrait"/>
          <w:cols w:equalWidth="0" w:num="1">
            <w:col w:w="11060"/>
          </w:cols>
          <w:pgMar w:left="320" w:top="454" w:right="5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Presented below is information regarding the directors of the Company.</w:t>
      </w:r>
    </w:p>
    <w:p>
      <w:pPr>
        <w:spacing w:after="0" w:line="16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N</w:t>
      </w:r>
      <w:r>
        <w:rPr>
          <w:rFonts w:ascii="Arial" w:cs="Arial" w:eastAsia="Arial" w:hAnsi="Arial"/>
          <w:sz w:val="14"/>
          <w:szCs w:val="14"/>
          <w:b w:val="1"/>
          <w:bCs w:val="1"/>
          <w:color w:val="00548B"/>
        </w:rPr>
        <w:t>OMINEES TO</w:t>
      </w:r>
      <w:r>
        <w:rPr>
          <w:rFonts w:ascii="Arial" w:cs="Arial" w:eastAsia="Arial" w:hAnsi="Arial"/>
          <w:sz w:val="18"/>
          <w:szCs w:val="18"/>
          <w:b w:val="1"/>
          <w:bCs w:val="1"/>
          <w:color w:val="00548B"/>
        </w:rPr>
        <w:t xml:space="preserve"> B</w:t>
      </w:r>
      <w:r>
        <w:rPr>
          <w:rFonts w:ascii="Arial" w:cs="Arial" w:eastAsia="Arial" w:hAnsi="Arial"/>
          <w:sz w:val="14"/>
          <w:szCs w:val="14"/>
          <w:b w:val="1"/>
          <w:bCs w:val="1"/>
          <w:color w:val="00548B"/>
        </w:rPr>
        <w:t>OARD OF</w:t>
      </w:r>
      <w:r>
        <w:rPr>
          <w:rFonts w:ascii="Arial" w:cs="Arial" w:eastAsia="Arial" w:hAnsi="Arial"/>
          <w:sz w:val="18"/>
          <w:szCs w:val="18"/>
          <w:b w:val="1"/>
          <w:bCs w:val="1"/>
          <w:color w:val="00548B"/>
        </w:rPr>
        <w:t xml:space="preserve"> D</w:t>
      </w:r>
      <w:r>
        <w:rPr>
          <w:rFonts w:ascii="Arial" w:cs="Arial" w:eastAsia="Arial" w:hAnsi="Arial"/>
          <w:sz w:val="14"/>
          <w:szCs w:val="14"/>
          <w:b w:val="1"/>
          <w:bCs w:val="1"/>
          <w:color w:val="00548B"/>
        </w:rPr>
        <w:t>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34925</wp:posOffset>
            </wp:positionV>
            <wp:extent cx="6889750" cy="10471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89750" cy="1047115"/>
                    </a:xfrm>
                    <a:prstGeom prst="rect">
                      <a:avLst/>
                    </a:prstGeom>
                    <a:noFill/>
                  </pic:spPr>
                </pic:pic>
              </a:graphicData>
            </a:graphic>
          </wp:anchor>
        </w:drawing>
      </w:r>
    </w:p>
    <w:p>
      <w:pPr>
        <w:spacing w:after="0" w:line="323" w:lineRule="exact"/>
        <w:rPr>
          <w:sz w:val="20"/>
          <w:szCs w:val="20"/>
          <w:color w:val="auto"/>
        </w:rPr>
      </w:pPr>
    </w:p>
    <w:p>
      <w:pPr>
        <w:ind w:left="1840"/>
        <w:spacing w:after="0"/>
        <w:rPr>
          <w:sz w:val="20"/>
          <w:szCs w:val="20"/>
          <w:color w:val="auto"/>
        </w:rPr>
      </w:pPr>
      <w:r>
        <w:rPr>
          <w:rFonts w:ascii="Arial" w:cs="Arial" w:eastAsia="Arial" w:hAnsi="Arial"/>
          <w:sz w:val="16"/>
          <w:szCs w:val="16"/>
          <w:b w:val="1"/>
          <w:bCs w:val="1"/>
          <w:color w:val="D8D8D8"/>
        </w:rPr>
        <w:t>John McCartney</w:t>
      </w:r>
    </w:p>
    <w:p>
      <w:pPr>
        <w:spacing w:after="0" w:line="24" w:lineRule="exact"/>
        <w:rPr>
          <w:sz w:val="20"/>
          <w:szCs w:val="20"/>
          <w:color w:val="auto"/>
        </w:rPr>
      </w:pPr>
    </w:p>
    <w:p>
      <w:pPr>
        <w:ind w:left="1840"/>
        <w:spacing w:after="0"/>
        <w:rPr>
          <w:sz w:val="20"/>
          <w:szCs w:val="20"/>
          <w:color w:val="auto"/>
        </w:rPr>
      </w:pPr>
      <w:r>
        <w:rPr>
          <w:rFonts w:ascii="Arial" w:cs="Arial" w:eastAsia="Arial" w:hAnsi="Arial"/>
          <w:sz w:val="14"/>
          <w:szCs w:val="14"/>
          <w:color w:val="D8D8D8"/>
        </w:rPr>
        <w:t>Director since October 2004</w:t>
      </w:r>
    </w:p>
    <w:p>
      <w:pPr>
        <w:ind w:left="1840"/>
        <w:spacing w:after="0" w:line="237" w:lineRule="auto"/>
        <w:rPr>
          <w:sz w:val="20"/>
          <w:szCs w:val="20"/>
          <w:color w:val="auto"/>
        </w:rPr>
      </w:pPr>
      <w:r>
        <w:rPr>
          <w:rFonts w:ascii="Arial" w:cs="Arial" w:eastAsia="Arial" w:hAnsi="Arial"/>
          <w:sz w:val="14"/>
          <w:szCs w:val="14"/>
          <w:color w:val="D8D8D8"/>
        </w:rPr>
        <w:t>Non-executive Chairman of the Board (May 2010)</w:t>
      </w:r>
    </w:p>
    <w:p>
      <w:pPr>
        <w:ind w:left="1840"/>
        <w:spacing w:after="0"/>
        <w:rPr>
          <w:sz w:val="20"/>
          <w:szCs w:val="20"/>
          <w:color w:val="auto"/>
        </w:rPr>
      </w:pPr>
      <w:r>
        <w:rPr>
          <w:rFonts w:ascii="Arial" w:cs="Arial" w:eastAsia="Arial" w:hAnsi="Arial"/>
          <w:sz w:val="14"/>
          <w:szCs w:val="14"/>
          <w:color w:val="D8D8D8"/>
        </w:rPr>
        <w:t>Nominating and Corporate Governance Committee (Chair)</w:t>
      </w:r>
    </w:p>
    <w:p>
      <w:pPr>
        <w:ind w:left="1840"/>
        <w:spacing w:after="0"/>
        <w:rPr>
          <w:sz w:val="20"/>
          <w:szCs w:val="20"/>
          <w:color w:val="auto"/>
        </w:rPr>
      </w:pPr>
      <w:r>
        <w:rPr>
          <w:rFonts w:ascii="Arial" w:cs="Arial" w:eastAsia="Arial" w:hAnsi="Arial"/>
          <w:sz w:val="14"/>
          <w:szCs w:val="14"/>
          <w:color w:val="D8D8D8"/>
        </w:rPr>
        <w:t>Audit Committee (Member)</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Professional Experience</w:t>
      </w:r>
    </w:p>
    <w:p>
      <w:pPr>
        <w:spacing w:after="0" w:line="22" w:lineRule="exact"/>
        <w:rPr>
          <w:sz w:val="20"/>
          <w:szCs w:val="20"/>
          <w:color w:val="auto"/>
        </w:rPr>
      </w:pPr>
    </w:p>
    <w:p>
      <w:pPr>
        <w:jc w:val="both"/>
        <w:ind w:left="300"/>
        <w:spacing w:after="0" w:line="246" w:lineRule="auto"/>
        <w:rPr>
          <w:sz w:val="20"/>
          <w:szCs w:val="20"/>
          <w:color w:val="auto"/>
        </w:rPr>
      </w:pPr>
      <w:r>
        <w:rPr>
          <w:rFonts w:ascii="Arial" w:cs="Arial" w:eastAsia="Arial" w:hAnsi="Arial"/>
          <w:sz w:val="16"/>
          <w:szCs w:val="16"/>
          <w:color w:val="auto"/>
        </w:rPr>
        <w:t>Mr. McCartney joined the executive management team of US Robotics in March 1984 as Vice President and Chief Financial Officer. At US Robotics, he served in various executive capacities, including as Executive Vice President, International, until serving as President and Chief Operating Officer from January 1996 until its merger with 3Com Corporation in June 1997. From June 1997 to March 1998, Mr. McCartney held the position of President of 3Com Corporation’s Client Access Unit.</w:t>
      </w:r>
    </w:p>
    <w:p>
      <w:pPr>
        <w:spacing w:after="0" w:line="143"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Board Service</w:t>
      </w:r>
    </w:p>
    <w:p>
      <w:pPr>
        <w:spacing w:after="0" w:line="22" w:lineRule="exact"/>
        <w:rPr>
          <w:sz w:val="20"/>
          <w:szCs w:val="20"/>
          <w:color w:val="auto"/>
        </w:rPr>
      </w:pPr>
    </w:p>
    <w:p>
      <w:pPr>
        <w:jc w:val="both"/>
        <w:ind w:left="300"/>
        <w:spacing w:after="0" w:line="244" w:lineRule="auto"/>
        <w:rPr>
          <w:sz w:val="20"/>
          <w:szCs w:val="20"/>
          <w:color w:val="auto"/>
        </w:rPr>
      </w:pPr>
      <w:r>
        <w:rPr>
          <w:rFonts w:ascii="Arial" w:cs="Arial" w:eastAsia="Arial" w:hAnsi="Arial"/>
          <w:sz w:val="16"/>
          <w:szCs w:val="16"/>
          <w:color w:val="auto"/>
        </w:rPr>
        <w:t>Mr. McCartney has served on the board of Datatec Limited, a publicly traded networking technology and services company since 2007, where he currently is a member of its nominations committee. Mr. McCartney also serves as a director of EQT, Corp., a natural gas exploration and production company and as a member of its public policy and corporate responsibility, and corporate governance committees. During the last five years, Mr. McCartney previously served on the boards of Transco, Inc. a Chicago-based company that provides solutions to customers in the electric utility industry, Westcon Group, Inc., a specialty distributor of networking and communications equipment, Rice Energy Inc., a publicly traded independent natural gas and oil company, and Covance Inc., a publicly traded drug development services company. In addition, Mr. McCartney served as Chairman of the board of trustees of Davidson College from 2004 to 2008.</w:t>
      </w:r>
    </w:p>
    <w:p>
      <w:pPr>
        <w:spacing w:after="0" w:line="160"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Education</w:t>
      </w:r>
    </w:p>
    <w:p>
      <w:pPr>
        <w:spacing w:after="0" w:line="2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Mr. McCartney received a B.A. in Philosophy from Davidson College and an M.B.A. from The Wharton School of the University of Pennsylvania.</w:t>
      </w:r>
    </w:p>
    <w:p>
      <w:pPr>
        <w:spacing w:after="0" w:line="155"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Individual Contributions</w:t>
      </w:r>
    </w:p>
    <w:p>
      <w:pPr>
        <w:spacing w:after="0" w:line="22" w:lineRule="exact"/>
        <w:rPr>
          <w:sz w:val="20"/>
          <w:szCs w:val="20"/>
          <w:color w:val="auto"/>
        </w:rPr>
      </w:pPr>
    </w:p>
    <w:p>
      <w:pPr>
        <w:jc w:val="both"/>
        <w:ind w:left="300"/>
        <w:spacing w:after="0" w:line="246" w:lineRule="auto"/>
        <w:rPr>
          <w:sz w:val="20"/>
          <w:szCs w:val="20"/>
          <w:color w:val="auto"/>
        </w:rPr>
      </w:pPr>
      <w:r>
        <w:rPr>
          <w:rFonts w:ascii="Arial" w:cs="Arial" w:eastAsia="Arial" w:hAnsi="Arial"/>
          <w:sz w:val="16"/>
          <w:szCs w:val="16"/>
          <w:color w:val="auto"/>
        </w:rPr>
        <w:t>Mr. McCartney has served as chairman and vice chairman of the boards of a number of public and private organizations, including companies with a focus on healthcare and drug development and an institution of higher education. Mr. McCartney, a former Certified Public Accountant, brings to the Huron board, and the audit committee in particular, his prior experience as chief financial officer and chief operating officer of a public company, which has enabled him to contribute to Huron’s development into a prominent consultancy.</w:t>
      </w:r>
    </w:p>
    <w:p>
      <w:pPr>
        <w:spacing w:after="0" w:line="13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00548B"/>
        </w:rPr>
        <w:t>5</w:t>
      </w:r>
    </w:p>
    <w:p>
      <w:pPr>
        <w:sectPr>
          <w:pgSz w:w="11900" w:h="16838" w:orient="portrait"/>
          <w:cols w:equalWidth="0" w:num="1">
            <w:col w:w="10940"/>
          </w:cols>
          <w:pgMar w:left="320" w:top="454" w:right="6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200660</wp:posOffset>
            </wp:positionV>
            <wp:extent cx="6889750" cy="9880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89750" cy="988060"/>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left="1840"/>
        <w:spacing w:after="0"/>
        <w:rPr>
          <w:sz w:val="20"/>
          <w:szCs w:val="20"/>
          <w:color w:val="auto"/>
        </w:rPr>
      </w:pPr>
      <w:r>
        <w:rPr>
          <w:rFonts w:ascii="Arial" w:cs="Arial" w:eastAsia="Arial" w:hAnsi="Arial"/>
          <w:sz w:val="16"/>
          <w:szCs w:val="16"/>
          <w:b w:val="1"/>
          <w:bCs w:val="1"/>
          <w:color w:val="D8D8D8"/>
        </w:rPr>
        <w:t>Ekta Singh-Bushell</w:t>
      </w:r>
    </w:p>
    <w:p>
      <w:pPr>
        <w:spacing w:after="0" w:line="24" w:lineRule="exact"/>
        <w:rPr>
          <w:sz w:val="20"/>
          <w:szCs w:val="20"/>
          <w:color w:val="auto"/>
        </w:rPr>
      </w:pPr>
    </w:p>
    <w:p>
      <w:pPr>
        <w:ind w:left="1840"/>
        <w:spacing w:after="0"/>
        <w:rPr>
          <w:sz w:val="20"/>
          <w:szCs w:val="20"/>
          <w:color w:val="auto"/>
        </w:rPr>
      </w:pPr>
      <w:r>
        <w:rPr>
          <w:rFonts w:ascii="Arial" w:cs="Arial" w:eastAsia="Arial" w:hAnsi="Arial"/>
          <w:sz w:val="14"/>
          <w:szCs w:val="14"/>
          <w:color w:val="D8D8D8"/>
        </w:rPr>
        <w:t>Director since May 2019</w:t>
      </w:r>
    </w:p>
    <w:p>
      <w:pPr>
        <w:ind w:left="1840"/>
        <w:spacing w:after="0" w:line="237" w:lineRule="auto"/>
        <w:rPr>
          <w:sz w:val="20"/>
          <w:szCs w:val="20"/>
          <w:color w:val="auto"/>
        </w:rPr>
      </w:pPr>
      <w:r>
        <w:rPr>
          <w:rFonts w:ascii="Arial" w:cs="Arial" w:eastAsia="Arial" w:hAnsi="Arial"/>
          <w:sz w:val="14"/>
          <w:szCs w:val="14"/>
          <w:color w:val="D8D8D8"/>
        </w:rPr>
        <w:t>Technology and Information Security Committee (Chair)</w:t>
      </w:r>
    </w:p>
    <w:p>
      <w:pPr>
        <w:ind w:left="1840"/>
        <w:spacing w:after="0"/>
        <w:rPr>
          <w:sz w:val="20"/>
          <w:szCs w:val="20"/>
          <w:color w:val="auto"/>
        </w:rPr>
      </w:pPr>
      <w:r>
        <w:rPr>
          <w:rFonts w:ascii="Arial" w:cs="Arial" w:eastAsia="Arial" w:hAnsi="Arial"/>
          <w:sz w:val="14"/>
          <w:szCs w:val="14"/>
          <w:color w:val="D8D8D8"/>
        </w:rPr>
        <w:t>Compensation Committee (Member)</w:t>
      </w:r>
    </w:p>
    <w:p>
      <w:pPr>
        <w:ind w:left="1840"/>
        <w:spacing w:after="0"/>
        <w:rPr>
          <w:sz w:val="20"/>
          <w:szCs w:val="20"/>
          <w:color w:val="auto"/>
        </w:rPr>
      </w:pPr>
      <w:r>
        <w:rPr>
          <w:rFonts w:ascii="Arial" w:cs="Arial" w:eastAsia="Arial" w:hAnsi="Arial"/>
          <w:sz w:val="14"/>
          <w:szCs w:val="14"/>
          <w:color w:val="D8D8D8"/>
        </w:rPr>
        <w:t>Nominating and Corporate Governance Committee (Member)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Professional Experience</w:t>
      </w:r>
    </w:p>
    <w:p>
      <w:pPr>
        <w:spacing w:after="0" w:line="22" w:lineRule="exact"/>
        <w:rPr>
          <w:sz w:val="20"/>
          <w:szCs w:val="20"/>
          <w:color w:val="auto"/>
        </w:rPr>
      </w:pPr>
    </w:p>
    <w:p>
      <w:pPr>
        <w:jc w:val="both"/>
        <w:ind w:left="300"/>
        <w:spacing w:after="0" w:line="245" w:lineRule="auto"/>
        <w:rPr>
          <w:sz w:val="20"/>
          <w:szCs w:val="20"/>
          <w:color w:val="auto"/>
        </w:rPr>
      </w:pPr>
      <w:r>
        <w:rPr>
          <w:rFonts w:ascii="Arial" w:cs="Arial" w:eastAsia="Arial" w:hAnsi="Arial"/>
          <w:sz w:val="16"/>
          <w:szCs w:val="16"/>
          <w:color w:val="auto"/>
        </w:rPr>
        <w:t>Ms. Singh-Bushell was the Chief Operating Officer, Executive Office at the Federal Reserve Bank of New York from 2016-2017. Prior to that, she spent over 17 years at Ernst &amp; Young (“EY”), where she served in various leadership roles, including Global Coordinating Partner, Americas Innovation &amp; Digital Strategy Leader, Global/Americas Tech Ops Executive, Global Information Security Officer and Northeast Advisory People Leader. During her tenure at EY she led transformations of companies across multiple industries through technological and digital change. Cranfield University nominated her to the 2017 Female FTSE Index: 100 Women to Watch, and in 2013, the Council of Urban Professionals recognized her contributions with a Catalyst Change Agent award.</w:t>
      </w:r>
    </w:p>
    <w:p>
      <w:pPr>
        <w:spacing w:after="0" w:line="143"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Board Service</w:t>
      </w:r>
    </w:p>
    <w:p>
      <w:pPr>
        <w:spacing w:after="0" w:line="22" w:lineRule="exact"/>
        <w:rPr>
          <w:sz w:val="20"/>
          <w:szCs w:val="20"/>
          <w:color w:val="auto"/>
        </w:rPr>
      </w:pPr>
    </w:p>
    <w:p>
      <w:pPr>
        <w:jc w:val="both"/>
        <w:ind w:left="300"/>
        <w:spacing w:after="0" w:line="244" w:lineRule="auto"/>
        <w:rPr>
          <w:sz w:val="20"/>
          <w:szCs w:val="20"/>
          <w:color w:val="auto"/>
        </w:rPr>
      </w:pPr>
      <w:r>
        <w:rPr>
          <w:rFonts w:ascii="Arial" w:cs="Arial" w:eastAsia="Arial" w:hAnsi="Arial"/>
          <w:sz w:val="16"/>
          <w:szCs w:val="16"/>
          <w:color w:val="auto"/>
        </w:rPr>
        <w:t>Ms. Singh-Bushell has served on the boards of NET 1 UEPS Technologies, Inc., a publicly traded financial technologies company, since 2018 (currently as Chair of the audit committee and member of the nominating and governance, and social and ethics committees), Designer Brands Inc., a publicly traded footwear and accessories company, since 2018 (currently as a member of the audit and nominating and governance committees), TTEC Holdings, Inc., a publicly traded consumer experience technology and services company, since 2017 (currently as a member of the audit and nominating and governance committees), and as the lead independent director of Datatec Limited, a publicly traded networking technology and services company, since 2018 (currently as a member of the audit, risk &amp; compliance, remunerations and nominations committees). Ms. Singh-Bushell advises SAAS startups and has served as a strategic adviser to MissionOG since 2020 and DecisionGPS, LLC since 2015.</w:t>
      </w:r>
    </w:p>
    <w:p>
      <w:pPr>
        <w:spacing w:after="0" w:line="147"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Education</w:t>
      </w:r>
    </w:p>
    <w:p>
      <w:pPr>
        <w:spacing w:after="0" w:line="22" w:lineRule="exact"/>
        <w:rPr>
          <w:sz w:val="20"/>
          <w:szCs w:val="20"/>
          <w:color w:val="auto"/>
        </w:rPr>
      </w:pPr>
    </w:p>
    <w:p>
      <w:pPr>
        <w:jc w:val="both"/>
        <w:ind w:left="300"/>
        <w:spacing w:after="0" w:line="248" w:lineRule="auto"/>
        <w:rPr>
          <w:sz w:val="20"/>
          <w:szCs w:val="20"/>
          <w:color w:val="auto"/>
        </w:rPr>
      </w:pPr>
      <w:r>
        <w:rPr>
          <w:rFonts w:ascii="Arial" w:cs="Arial" w:eastAsia="Arial" w:hAnsi="Arial"/>
          <w:sz w:val="16"/>
          <w:szCs w:val="16"/>
          <w:color w:val="auto"/>
        </w:rPr>
        <w:t>Ms. Singh-Bushell received a Masters in Electrical Engineering &amp; Computer Science from the University of California, Berkeley and a Bachelors of Engineering from the University of Poona, India. In addition, Ms. Singh-Bushell is a licensed Certified Public Accountant and holds advanced international certifications in ESG, corporate governance, information systems security, and audit.</w:t>
      </w:r>
    </w:p>
    <w:p>
      <w:pPr>
        <w:spacing w:after="0" w:line="154"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Individual Contributions</w:t>
      </w:r>
    </w:p>
    <w:p>
      <w:pPr>
        <w:spacing w:after="0" w:line="22" w:lineRule="exact"/>
        <w:rPr>
          <w:sz w:val="20"/>
          <w:szCs w:val="20"/>
          <w:color w:val="auto"/>
        </w:rPr>
      </w:pPr>
    </w:p>
    <w:p>
      <w:pPr>
        <w:jc w:val="both"/>
        <w:ind w:left="300"/>
        <w:spacing w:after="0" w:line="246" w:lineRule="auto"/>
        <w:rPr>
          <w:sz w:val="20"/>
          <w:szCs w:val="20"/>
          <w:color w:val="auto"/>
        </w:rPr>
      </w:pPr>
      <w:r>
        <w:rPr>
          <w:rFonts w:ascii="Arial" w:cs="Arial" w:eastAsia="Arial" w:hAnsi="Arial"/>
          <w:sz w:val="16"/>
          <w:szCs w:val="16"/>
          <w:color w:val="auto"/>
        </w:rPr>
        <w:t>Ms. Singh-Bushell’s extensive experience managing and leading a global professional services firm, advising senior executives around the globe, and serving on public company boards from various industries, coupled with her knowledge of technology, finance, and cybersecurity, enables her to bring a broad range of capabilities to the Huron board. She also offers a unique perspective through her diverse global management expertise, age and gender diversity and proven track record working on transformations in the digital and technology space.</w:t>
      </w:r>
    </w:p>
    <w:p>
      <w:pPr>
        <w:spacing w:after="0" w:line="13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00548B"/>
        </w:rPr>
        <w:t>6</w:t>
      </w:r>
    </w:p>
    <w:p>
      <w:pPr>
        <w:sectPr>
          <w:pgSz w:w="11900" w:h="16838" w:orient="portrait"/>
          <w:cols w:equalWidth="0" w:num="1">
            <w:col w:w="10940"/>
          </w:cols>
          <w:pgMar w:left="320" w:top="454"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200660</wp:posOffset>
            </wp:positionV>
            <wp:extent cx="6889750" cy="9880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89750" cy="988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40"/>
        <w:spacing w:after="0"/>
        <w:rPr>
          <w:sz w:val="20"/>
          <w:szCs w:val="20"/>
          <w:color w:val="auto"/>
        </w:rPr>
      </w:pPr>
      <w:r>
        <w:rPr>
          <w:rFonts w:ascii="Arial" w:cs="Arial" w:eastAsia="Arial" w:hAnsi="Arial"/>
          <w:sz w:val="16"/>
          <w:szCs w:val="16"/>
          <w:b w:val="1"/>
          <w:bCs w:val="1"/>
          <w:color w:val="D8D8D8"/>
        </w:rPr>
        <w:t>Peter K. Markell</w:t>
      </w:r>
    </w:p>
    <w:p>
      <w:pPr>
        <w:spacing w:after="0" w:line="25" w:lineRule="exact"/>
        <w:rPr>
          <w:sz w:val="20"/>
          <w:szCs w:val="20"/>
          <w:color w:val="auto"/>
        </w:rPr>
      </w:pPr>
    </w:p>
    <w:p>
      <w:pPr>
        <w:ind w:left="1840"/>
        <w:spacing w:after="0"/>
        <w:rPr>
          <w:sz w:val="20"/>
          <w:szCs w:val="20"/>
          <w:color w:val="auto"/>
        </w:rPr>
      </w:pPr>
      <w:r>
        <w:rPr>
          <w:rFonts w:ascii="Arial" w:cs="Arial" w:eastAsia="Arial" w:hAnsi="Arial"/>
          <w:sz w:val="14"/>
          <w:szCs w:val="14"/>
          <w:color w:val="D8D8D8"/>
        </w:rPr>
        <w:t>Director since March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Professional Experience</w:t>
      </w:r>
    </w:p>
    <w:p>
      <w:pPr>
        <w:spacing w:after="0" w:line="22" w:lineRule="exact"/>
        <w:rPr>
          <w:sz w:val="20"/>
          <w:szCs w:val="20"/>
          <w:color w:val="auto"/>
        </w:rPr>
      </w:pPr>
    </w:p>
    <w:p>
      <w:pPr>
        <w:jc w:val="both"/>
        <w:ind w:left="300"/>
        <w:spacing w:after="0" w:line="245" w:lineRule="auto"/>
        <w:rPr>
          <w:sz w:val="20"/>
          <w:szCs w:val="20"/>
          <w:color w:val="auto"/>
        </w:rPr>
      </w:pPr>
      <w:r>
        <w:rPr>
          <w:rFonts w:ascii="Arial" w:cs="Arial" w:eastAsia="Arial" w:hAnsi="Arial"/>
          <w:sz w:val="16"/>
          <w:szCs w:val="16"/>
          <w:color w:val="auto"/>
        </w:rPr>
        <w:t>Mr. Markell served as the Executive Vice President of Administration and Finance, CFO and Treasurer at Mass General Brigham from 1999 until his retirement in March 2021, where his responsibilities included financial oversight of $14 billion in operations with assets of approximately $21 billion, and management within the areas of Corporate Finance, Research Management, Information Systems, Real Estate, Treasury and Human Resources. Prior to his roles as an executive at Mass General Brigham, Mr. Markell was an Audit Partner at Ernst &amp; Young and served as Interim Chief Financial Officer at Massachusetts General Hospital.</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Board Service</w:t>
      </w:r>
    </w:p>
    <w:p>
      <w:pPr>
        <w:spacing w:after="0" w:line="22" w:lineRule="exact"/>
        <w:rPr>
          <w:sz w:val="20"/>
          <w:szCs w:val="20"/>
          <w:color w:val="auto"/>
        </w:rPr>
      </w:pPr>
    </w:p>
    <w:p>
      <w:pPr>
        <w:jc w:val="both"/>
        <w:ind w:left="300"/>
        <w:spacing w:after="0" w:line="248" w:lineRule="auto"/>
        <w:rPr>
          <w:sz w:val="20"/>
          <w:szCs w:val="20"/>
          <w:color w:val="auto"/>
        </w:rPr>
      </w:pPr>
      <w:r>
        <w:rPr>
          <w:rFonts w:ascii="Arial" w:cs="Arial" w:eastAsia="Arial" w:hAnsi="Arial"/>
          <w:sz w:val="16"/>
          <w:szCs w:val="16"/>
          <w:color w:val="auto"/>
        </w:rPr>
        <w:t>Mr. Markell has served on the board of Eastern Bank since 2006 where he currently is a member of its audit committee, risk management committee and nominating and corporate governance committee and is currently Chair of the compensation committee. During the last five years, Mr. Markell has served on the Board of Trustees of Boston College, including serving as Chair.</w:t>
      </w:r>
    </w:p>
    <w:p>
      <w:pPr>
        <w:spacing w:after="0" w:line="141"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Education</w:t>
      </w:r>
    </w:p>
    <w:p>
      <w:pPr>
        <w:spacing w:after="0" w:line="2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Mr. Markell is a Certified Public Accountant and earned his B.S./B.A. with concentrations in Accounting and Finance from Boston College.</w:t>
      </w:r>
    </w:p>
    <w:p>
      <w:pPr>
        <w:spacing w:after="0" w:line="168"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Individual Contributions</w:t>
      </w:r>
    </w:p>
    <w:p>
      <w:pPr>
        <w:spacing w:after="0" w:line="22" w:lineRule="exact"/>
        <w:rPr>
          <w:sz w:val="20"/>
          <w:szCs w:val="20"/>
          <w:color w:val="auto"/>
        </w:rPr>
      </w:pPr>
    </w:p>
    <w:p>
      <w:pPr>
        <w:jc w:val="both"/>
        <w:ind w:left="300"/>
        <w:spacing w:after="0" w:line="246" w:lineRule="auto"/>
        <w:rPr>
          <w:sz w:val="20"/>
          <w:szCs w:val="20"/>
          <w:color w:val="auto"/>
        </w:rPr>
      </w:pPr>
      <w:r>
        <w:rPr>
          <w:rFonts w:ascii="Arial" w:cs="Arial" w:eastAsia="Arial" w:hAnsi="Arial"/>
          <w:sz w:val="16"/>
          <w:szCs w:val="16"/>
          <w:color w:val="auto"/>
        </w:rPr>
        <w:t>Mr. Markell, a Certified Public Accountant, brings to the Huron board, and the audit committee in particular, his prior experience as chief financial officer and chief administrative officer of a large hospital as well as his prior board service to a major U.S. college which will enable him to contribute to Huron’s Healthcare and Education industries. Mr. Markell is based in Boston, where he will be in close proximity to Huron’s Innosight Strategy and Innovation team located in Lexington, Massachusetts.</w:t>
      </w:r>
    </w:p>
    <w:p>
      <w:pPr>
        <w:spacing w:after="0" w:line="13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00548B"/>
        </w:rPr>
        <w:t>7</w:t>
      </w:r>
    </w:p>
    <w:p>
      <w:pPr>
        <w:sectPr>
          <w:pgSz w:w="11900" w:h="16838" w:orient="portrait"/>
          <w:cols w:equalWidth="0" w:num="1">
            <w:col w:w="10940"/>
          </w:cols>
          <w:pgMar w:left="320" w:top="454" w:right="6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D</w:t>
      </w:r>
      <w:r>
        <w:rPr>
          <w:rFonts w:ascii="Arial" w:cs="Arial" w:eastAsia="Arial" w:hAnsi="Arial"/>
          <w:sz w:val="14"/>
          <w:szCs w:val="14"/>
          <w:b w:val="1"/>
          <w:bCs w:val="1"/>
          <w:color w:val="00548B"/>
        </w:rPr>
        <w:t>IRECTORS</w:t>
      </w:r>
      <w:r>
        <w:rPr>
          <w:rFonts w:ascii="Arial" w:cs="Arial" w:eastAsia="Arial" w:hAnsi="Arial"/>
          <w:sz w:val="18"/>
          <w:szCs w:val="18"/>
          <w:b w:val="1"/>
          <w:bCs w:val="1"/>
          <w:color w:val="00548B"/>
        </w:rPr>
        <w:t xml:space="preserve"> N</w:t>
      </w:r>
      <w:r>
        <w:rPr>
          <w:rFonts w:ascii="Arial" w:cs="Arial" w:eastAsia="Arial" w:hAnsi="Arial"/>
          <w:sz w:val="14"/>
          <w:szCs w:val="14"/>
          <w:b w:val="1"/>
          <w:bCs w:val="1"/>
          <w:color w:val="00548B"/>
        </w:rPr>
        <w:t>OT</w:t>
      </w:r>
      <w:r>
        <w:rPr>
          <w:rFonts w:ascii="Arial" w:cs="Arial" w:eastAsia="Arial" w:hAnsi="Arial"/>
          <w:sz w:val="18"/>
          <w:szCs w:val="18"/>
          <w:b w:val="1"/>
          <w:bCs w:val="1"/>
          <w:color w:val="00548B"/>
        </w:rPr>
        <w:t xml:space="preserve"> S</w:t>
      </w:r>
      <w:r>
        <w:rPr>
          <w:rFonts w:ascii="Arial" w:cs="Arial" w:eastAsia="Arial" w:hAnsi="Arial"/>
          <w:sz w:val="14"/>
          <w:szCs w:val="14"/>
          <w:b w:val="1"/>
          <w:bCs w:val="1"/>
          <w:color w:val="00548B"/>
        </w:rPr>
        <w:t>TANDING FOR</w:t>
      </w:r>
      <w:r>
        <w:rPr>
          <w:rFonts w:ascii="Arial" w:cs="Arial" w:eastAsia="Arial" w:hAnsi="Arial"/>
          <w:sz w:val="18"/>
          <w:szCs w:val="18"/>
          <w:b w:val="1"/>
          <w:bCs w:val="1"/>
          <w:color w:val="00548B"/>
        </w:rPr>
        <w:t xml:space="preserve"> E</w:t>
      </w:r>
      <w:r>
        <w:rPr>
          <w:rFonts w:ascii="Arial" w:cs="Arial" w:eastAsia="Arial" w:hAnsi="Arial"/>
          <w:sz w:val="14"/>
          <w:szCs w:val="14"/>
          <w:b w:val="1"/>
          <w:bCs w:val="1"/>
          <w:color w:val="00548B"/>
        </w:rPr>
        <w:t>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34925</wp:posOffset>
            </wp:positionV>
            <wp:extent cx="6889750" cy="10471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89750" cy="104711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1840"/>
        <w:spacing w:after="0"/>
        <w:rPr>
          <w:sz w:val="20"/>
          <w:szCs w:val="20"/>
          <w:color w:val="auto"/>
        </w:rPr>
      </w:pPr>
      <w:r>
        <w:rPr>
          <w:rFonts w:ascii="Arial" w:cs="Arial" w:eastAsia="Arial" w:hAnsi="Arial"/>
          <w:sz w:val="16"/>
          <w:szCs w:val="16"/>
          <w:b w:val="1"/>
          <w:bCs w:val="1"/>
          <w:color w:val="D8D8D8"/>
        </w:rPr>
        <w:t>James H. Roth</w:t>
      </w:r>
    </w:p>
    <w:p>
      <w:pPr>
        <w:spacing w:after="0" w:line="24" w:lineRule="exact"/>
        <w:rPr>
          <w:sz w:val="20"/>
          <w:szCs w:val="20"/>
          <w:color w:val="auto"/>
        </w:rPr>
      </w:pPr>
    </w:p>
    <w:p>
      <w:pPr>
        <w:ind w:left="1840"/>
        <w:spacing w:after="0"/>
        <w:rPr>
          <w:sz w:val="20"/>
          <w:szCs w:val="20"/>
          <w:color w:val="auto"/>
        </w:rPr>
      </w:pPr>
      <w:r>
        <w:rPr>
          <w:rFonts w:ascii="Arial" w:cs="Arial" w:eastAsia="Arial" w:hAnsi="Arial"/>
          <w:sz w:val="14"/>
          <w:szCs w:val="14"/>
          <w:color w:val="D8D8D8"/>
        </w:rPr>
        <w:t>Director since November 2009</w:t>
      </w:r>
    </w:p>
    <w:p>
      <w:pPr>
        <w:ind w:left="1840"/>
        <w:spacing w:after="0"/>
        <w:rPr>
          <w:sz w:val="20"/>
          <w:szCs w:val="20"/>
          <w:color w:val="auto"/>
        </w:rPr>
      </w:pPr>
      <w:r>
        <w:rPr>
          <w:rFonts w:ascii="Arial" w:cs="Arial" w:eastAsia="Arial" w:hAnsi="Arial"/>
          <w:sz w:val="14"/>
          <w:szCs w:val="14"/>
          <w:color w:val="D8D8D8"/>
        </w:rPr>
        <w:t>Chief Executive Officer of Huron Consulting Group Inc. and Huron Consulting Services LLC (July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Professional Experience</w:t>
      </w:r>
    </w:p>
    <w:p>
      <w:pPr>
        <w:spacing w:after="0" w:line="22" w:lineRule="exact"/>
        <w:rPr>
          <w:sz w:val="20"/>
          <w:szCs w:val="20"/>
          <w:color w:val="auto"/>
        </w:rPr>
      </w:pPr>
    </w:p>
    <w:p>
      <w:pPr>
        <w:jc w:val="both"/>
        <w:ind w:left="300"/>
        <w:spacing w:after="0" w:line="244" w:lineRule="auto"/>
        <w:rPr>
          <w:sz w:val="20"/>
          <w:szCs w:val="20"/>
          <w:color w:val="auto"/>
        </w:rPr>
      </w:pPr>
      <w:r>
        <w:rPr>
          <w:rFonts w:ascii="Arial" w:cs="Arial" w:eastAsia="Arial" w:hAnsi="Arial"/>
          <w:sz w:val="16"/>
          <w:szCs w:val="16"/>
          <w:color w:val="auto"/>
        </w:rPr>
        <w:t>As a founding member of Huron, Mr. Roth guided and grew Huron’s Higher Education consulting practice to a position of preeminence in the industry. He has more than 35 years of consulting experience working with many of the premier research universities and academic medical centers. Under his leadership as CEO, Huron has been named one of Forbes’ Best Management Consulting Firms, one of Forbes’ America’s Best Employers and by Consulting magazine as one of the Best Firms to Work For. He served as President of Huron from March 2011 to February 2019. He also served as Vice President, Health and Education Consulting for the Company from January 2007 until July 2009. Since Huron’s inception in 2002, until he became CEO, Mr. Roth was a managing director and practice leader of the Company’s Higher Education consulting practice, which he grew into one of our largest organically grown practices within the Company.</w:t>
      </w:r>
    </w:p>
    <w:p>
      <w:pPr>
        <w:spacing w:after="0" w:line="147"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Board Service</w:t>
      </w:r>
    </w:p>
    <w:p>
      <w:pPr>
        <w:spacing w:after="0" w:line="22" w:lineRule="exact"/>
        <w:rPr>
          <w:sz w:val="20"/>
          <w:szCs w:val="20"/>
          <w:color w:val="auto"/>
        </w:rPr>
      </w:pPr>
    </w:p>
    <w:p>
      <w:pPr>
        <w:jc w:val="both"/>
        <w:ind w:left="300"/>
        <w:spacing w:after="0" w:line="245" w:lineRule="auto"/>
        <w:rPr>
          <w:sz w:val="20"/>
          <w:szCs w:val="20"/>
          <w:color w:val="auto"/>
        </w:rPr>
      </w:pPr>
      <w:r>
        <w:rPr>
          <w:rFonts w:ascii="Arial" w:cs="Arial" w:eastAsia="Arial" w:hAnsi="Arial"/>
          <w:sz w:val="16"/>
          <w:szCs w:val="16"/>
          <w:color w:val="auto"/>
        </w:rPr>
        <w:t>Mr. Roth has served on the boards of Shorelight Holdings LLC, a U.S.-based company focused on partnering with leading nonprofit universities to increase access and retention of international students and boost institutional growth since 2014, and Lurie Children’s Pediatric Anesthesia Associates, a Chicago-based medical group practice, since 2019. During the last five years, Mr. Roth previously served on the board of Keypath Education Holdings, LLC, a leading provider of comprehensive marketing and enrollment management services to colleges and universities and of Aviv REIT, a self-administered real estate investment trust specializing in skilled nursing facilities.</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Education</w:t>
      </w:r>
    </w:p>
    <w:p>
      <w:pPr>
        <w:spacing w:after="0" w:line="2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Mr. Roth received a B.A. in Political Science and Economics from Vanderbilt University and an M.B.A. from Southern Methodist University.</w:t>
      </w:r>
    </w:p>
    <w:p>
      <w:pPr>
        <w:spacing w:after="0" w:line="168"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Individual Contributions</w:t>
      </w:r>
    </w:p>
    <w:p>
      <w:pPr>
        <w:spacing w:after="0" w:line="22" w:lineRule="exact"/>
        <w:rPr>
          <w:sz w:val="20"/>
          <w:szCs w:val="20"/>
          <w:color w:val="auto"/>
        </w:rPr>
      </w:pPr>
    </w:p>
    <w:p>
      <w:pPr>
        <w:jc w:val="both"/>
        <w:ind w:left="300"/>
        <w:spacing w:after="0" w:line="246" w:lineRule="auto"/>
        <w:rPr>
          <w:sz w:val="20"/>
          <w:szCs w:val="20"/>
          <w:color w:val="auto"/>
        </w:rPr>
      </w:pPr>
      <w:r>
        <w:rPr>
          <w:rFonts w:ascii="Arial" w:cs="Arial" w:eastAsia="Arial" w:hAnsi="Arial"/>
          <w:sz w:val="16"/>
          <w:szCs w:val="16"/>
          <w:color w:val="auto"/>
        </w:rPr>
        <w:t xml:space="preserve">Through his distinguished career as both an officer and consultant at Huron, Mr. Roth brings to the board his hands-on perspective of the strategy and operations of institutions of higher education and academic medical centers, including their research facilities. Twice named by </w:t>
      </w:r>
      <w:r>
        <w:rPr>
          <w:rFonts w:ascii="Arial" w:cs="Arial" w:eastAsia="Arial" w:hAnsi="Arial"/>
          <w:sz w:val="16"/>
          <w:szCs w:val="16"/>
          <w:i w:val="1"/>
          <w:iCs w:val="1"/>
          <w:color w:val="auto"/>
        </w:rPr>
        <w:t>Consulting</w:t>
      </w:r>
      <w:r>
        <w:rPr>
          <w:rFonts w:ascii="Arial" w:cs="Arial" w:eastAsia="Arial" w:hAnsi="Arial"/>
          <w:sz w:val="16"/>
          <w:szCs w:val="16"/>
          <w:color w:val="auto"/>
        </w:rPr>
        <w:t xml:space="preserve"> magazine as one of the Top 25 Most Influential Consultants, Mr. Roth contributes to the board a unique understanding of the Huron organization, the consulting business, and the businesses of our clients.</w:t>
      </w:r>
    </w:p>
    <w:p>
      <w:pPr>
        <w:spacing w:after="0" w:line="13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00548B"/>
        </w:rPr>
        <w:t>8</w:t>
      </w:r>
    </w:p>
    <w:p>
      <w:pPr>
        <w:sectPr>
          <w:pgSz w:w="11900" w:h="16838" w:orient="portrait"/>
          <w:cols w:equalWidth="0" w:num="1">
            <w:col w:w="10940"/>
          </w:cols>
          <w:pgMar w:left="320" w:top="454"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200660</wp:posOffset>
            </wp:positionV>
            <wp:extent cx="6889750" cy="10471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89750" cy="104711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1840"/>
        <w:spacing w:after="0"/>
        <w:rPr>
          <w:sz w:val="20"/>
          <w:szCs w:val="20"/>
          <w:color w:val="auto"/>
        </w:rPr>
      </w:pPr>
      <w:r>
        <w:rPr>
          <w:rFonts w:ascii="Arial" w:cs="Arial" w:eastAsia="Arial" w:hAnsi="Arial"/>
          <w:sz w:val="16"/>
          <w:szCs w:val="16"/>
          <w:b w:val="1"/>
          <w:bCs w:val="1"/>
          <w:color w:val="D8D8D8"/>
        </w:rPr>
        <w:t>H. Eugene Lockhart</w:t>
      </w:r>
    </w:p>
    <w:p>
      <w:pPr>
        <w:spacing w:after="0" w:line="24" w:lineRule="exact"/>
        <w:rPr>
          <w:sz w:val="20"/>
          <w:szCs w:val="20"/>
          <w:color w:val="auto"/>
        </w:rPr>
      </w:pPr>
    </w:p>
    <w:p>
      <w:pPr>
        <w:ind w:left="1840"/>
        <w:spacing w:after="0"/>
        <w:rPr>
          <w:sz w:val="20"/>
          <w:szCs w:val="20"/>
          <w:color w:val="auto"/>
        </w:rPr>
      </w:pPr>
      <w:r>
        <w:rPr>
          <w:rFonts w:ascii="Arial" w:cs="Arial" w:eastAsia="Arial" w:hAnsi="Arial"/>
          <w:sz w:val="14"/>
          <w:szCs w:val="14"/>
          <w:color w:val="D8D8D8"/>
        </w:rPr>
        <w:t>Director since December 2006</w:t>
      </w:r>
    </w:p>
    <w:p>
      <w:pPr>
        <w:ind w:left="1840"/>
        <w:spacing w:after="0" w:line="237" w:lineRule="auto"/>
        <w:rPr>
          <w:sz w:val="20"/>
          <w:szCs w:val="20"/>
          <w:color w:val="auto"/>
        </w:rPr>
      </w:pPr>
      <w:r>
        <w:rPr>
          <w:rFonts w:ascii="Arial" w:cs="Arial" w:eastAsia="Arial" w:hAnsi="Arial"/>
          <w:sz w:val="14"/>
          <w:szCs w:val="14"/>
          <w:color w:val="D8D8D8"/>
        </w:rPr>
        <w:t>Audit Committee (Chair)</w:t>
      </w:r>
    </w:p>
    <w:p>
      <w:pPr>
        <w:ind w:left="1840"/>
        <w:spacing w:after="0"/>
        <w:rPr>
          <w:sz w:val="20"/>
          <w:szCs w:val="20"/>
          <w:color w:val="auto"/>
        </w:rPr>
      </w:pPr>
      <w:r>
        <w:rPr>
          <w:rFonts w:ascii="Arial" w:cs="Arial" w:eastAsia="Arial" w:hAnsi="Arial"/>
          <w:sz w:val="14"/>
          <w:szCs w:val="14"/>
          <w:color w:val="D8D8D8"/>
        </w:rPr>
        <w:t>Compensation Committee (Member)</w:t>
      </w:r>
    </w:p>
    <w:p>
      <w:pPr>
        <w:ind w:left="1840"/>
        <w:spacing w:after="0"/>
        <w:rPr>
          <w:sz w:val="20"/>
          <w:szCs w:val="20"/>
          <w:color w:val="auto"/>
        </w:rPr>
      </w:pPr>
      <w:r>
        <w:rPr>
          <w:rFonts w:ascii="Arial" w:cs="Arial" w:eastAsia="Arial" w:hAnsi="Arial"/>
          <w:sz w:val="14"/>
          <w:szCs w:val="14"/>
          <w:color w:val="D8D8D8"/>
        </w:rPr>
        <w:t>Technology and Information Security Committee (Member)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Professional Experience</w:t>
      </w:r>
    </w:p>
    <w:p>
      <w:pPr>
        <w:spacing w:after="0" w:line="22" w:lineRule="exact"/>
        <w:rPr>
          <w:sz w:val="20"/>
          <w:szCs w:val="20"/>
          <w:color w:val="auto"/>
        </w:rPr>
      </w:pPr>
    </w:p>
    <w:p>
      <w:pPr>
        <w:jc w:val="both"/>
        <w:ind w:left="300"/>
        <w:spacing w:after="0" w:line="244" w:lineRule="auto"/>
        <w:rPr>
          <w:sz w:val="20"/>
          <w:szCs w:val="20"/>
          <w:color w:val="auto"/>
        </w:rPr>
      </w:pPr>
      <w:r>
        <w:rPr>
          <w:rFonts w:ascii="Arial" w:cs="Arial" w:eastAsia="Arial" w:hAnsi="Arial"/>
          <w:sz w:val="16"/>
          <w:szCs w:val="16"/>
          <w:color w:val="auto"/>
        </w:rPr>
        <w:t>Since October 2014, Mr. Lockhart has been the founder, Chairman and Managing Partner of MissionOG LLC, a venture capital firm with significant operational and investment experience across the financial services and payments industries. Since July 2020, Mr. Lockhart has served as a Senior Advisor to Blackstone across the firm’s business, with a focus on Blackstone Growth and Blackstone Tactical Opportunities. He also served as Special Adviser at General Atlantic LLC, a leading global growth investment firm, from 2012 to 2019. From 2002 until 2012, Mr. Lockhart was a venture partner at Oak Investment Partners, a venture capital firm. Through these investment firms, Mr. Lockhart has been actively involved in overseeing the management of high growth companies, including NetSpend, Argus Information, Metro Bank PLC, CLIP, DemystData, Factor Trust, Avant, BillDesk, and others. Prior leadership positions include President of Global Retail Bank at Bank of America, President and Chief Executive Officer of MasterCard International, and CEO of Midland Bank plc.</w:t>
      </w:r>
    </w:p>
    <w:p>
      <w:pPr>
        <w:spacing w:after="0" w:line="146"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Board Service</w:t>
      </w:r>
    </w:p>
    <w:p>
      <w:pPr>
        <w:spacing w:after="0" w:line="22" w:lineRule="exact"/>
        <w:rPr>
          <w:sz w:val="20"/>
          <w:szCs w:val="20"/>
          <w:color w:val="auto"/>
        </w:rPr>
      </w:pPr>
    </w:p>
    <w:p>
      <w:pPr>
        <w:jc w:val="both"/>
        <w:ind w:left="300"/>
        <w:spacing w:after="0" w:line="245" w:lineRule="auto"/>
        <w:rPr>
          <w:sz w:val="20"/>
          <w:szCs w:val="20"/>
          <w:color w:val="auto"/>
        </w:rPr>
      </w:pPr>
      <w:r>
        <w:rPr>
          <w:rFonts w:ascii="Arial" w:cs="Arial" w:eastAsia="Arial" w:hAnsi="Arial"/>
          <w:sz w:val="16"/>
          <w:szCs w:val="16"/>
          <w:color w:val="auto"/>
        </w:rPr>
        <w:t>Mr. Lockhart has served on the board of Alkami Technology, Inc., a digital banking systems provider, since May 2021. During the last five years, Mr. Lockhart previously served on the boards of Metro Bank PLC, a publicly traded retail bank operating in the U.K.; Community Choice Financial, a neighborhood-based financial services company; and Aaron’s, Inc., a lease-to-own retailer of furnishings, electronics and appliances. Additionally, Mr. Lockhart has previously served on numerous philanthropic boards, including as Chair of the Thomas Jefferson Foundation (Monticello) and as the Chairman of the Darden School Foundation at the University of Virginia.</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Education</w:t>
      </w:r>
    </w:p>
    <w:p>
      <w:pPr>
        <w:spacing w:after="0" w:line="22" w:lineRule="exact"/>
        <w:rPr>
          <w:sz w:val="20"/>
          <w:szCs w:val="20"/>
          <w:color w:val="auto"/>
        </w:rPr>
      </w:pPr>
    </w:p>
    <w:p>
      <w:pPr>
        <w:jc w:val="both"/>
        <w:ind w:left="300" w:right="20"/>
        <w:spacing w:after="0" w:line="253" w:lineRule="auto"/>
        <w:rPr>
          <w:sz w:val="20"/>
          <w:szCs w:val="20"/>
          <w:color w:val="auto"/>
        </w:rPr>
      </w:pPr>
      <w:r>
        <w:rPr>
          <w:rFonts w:ascii="Arial" w:cs="Arial" w:eastAsia="Arial" w:hAnsi="Arial"/>
          <w:sz w:val="16"/>
          <w:szCs w:val="16"/>
          <w:color w:val="auto"/>
        </w:rPr>
        <w:t>Mr. Lockhart received a B.S. in Mechanical Engineering from the University of Virginia and an M.B.A. from The Darden Graduate School of Business at the University of Virginia. In addition, Mr. Lockhart is a Certified Public Accountant, licensed in the Commonwealth of Virginia.</w:t>
      </w:r>
    </w:p>
    <w:p>
      <w:pPr>
        <w:spacing w:after="0" w:line="151"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Individual Contributions</w:t>
      </w:r>
    </w:p>
    <w:p>
      <w:pPr>
        <w:spacing w:after="0" w:line="22" w:lineRule="exact"/>
        <w:rPr>
          <w:sz w:val="20"/>
          <w:szCs w:val="20"/>
          <w:color w:val="auto"/>
        </w:rPr>
      </w:pPr>
    </w:p>
    <w:p>
      <w:pPr>
        <w:jc w:val="both"/>
        <w:ind w:left="300"/>
        <w:spacing w:after="0" w:line="246" w:lineRule="auto"/>
        <w:rPr>
          <w:sz w:val="20"/>
          <w:szCs w:val="20"/>
          <w:color w:val="auto"/>
        </w:rPr>
      </w:pPr>
      <w:r>
        <w:rPr>
          <w:rFonts w:ascii="Arial" w:cs="Arial" w:eastAsia="Arial" w:hAnsi="Arial"/>
          <w:sz w:val="16"/>
          <w:szCs w:val="16"/>
          <w:color w:val="auto"/>
        </w:rPr>
        <w:t>Mr. Lockhart brings to Huron’s board his considerable experience overseeing and growing companies in which he represents venture capital investors, his experience as chief executive officer of leading corporations, and his service on the boards of companies and foundations in such fields as healthcare, education, pharmaceuticals, and financial services. In addition, as a former executive and chairman of some of the most visible companies in the world, Mr. Lockhart contributes a broad array of contacts to Huron.</w:t>
      </w:r>
    </w:p>
    <w:p>
      <w:pPr>
        <w:spacing w:after="0" w:line="13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00548B"/>
        </w:rPr>
        <w:t>9</w:t>
      </w:r>
    </w:p>
    <w:p>
      <w:pPr>
        <w:sectPr>
          <w:pgSz w:w="11900" w:h="16838" w:orient="portrait"/>
          <w:cols w:equalWidth="0" w:num="1">
            <w:col w:w="10940"/>
          </w:cols>
          <w:pgMar w:left="320" w:top="454" w:right="6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200660</wp:posOffset>
            </wp:positionV>
            <wp:extent cx="6889750" cy="10471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89750" cy="104711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1840"/>
        <w:spacing w:after="0"/>
        <w:rPr>
          <w:sz w:val="20"/>
          <w:szCs w:val="20"/>
          <w:color w:val="auto"/>
        </w:rPr>
      </w:pPr>
      <w:r>
        <w:rPr>
          <w:rFonts w:ascii="Arial" w:cs="Arial" w:eastAsia="Arial" w:hAnsi="Arial"/>
          <w:sz w:val="16"/>
          <w:szCs w:val="16"/>
          <w:b w:val="1"/>
          <w:bCs w:val="1"/>
          <w:color w:val="D8D8D8"/>
        </w:rPr>
        <w:t>Hugh E. Sawyer</w:t>
      </w:r>
    </w:p>
    <w:p>
      <w:pPr>
        <w:spacing w:after="0" w:line="24" w:lineRule="exact"/>
        <w:rPr>
          <w:sz w:val="20"/>
          <w:szCs w:val="20"/>
          <w:color w:val="auto"/>
        </w:rPr>
      </w:pPr>
    </w:p>
    <w:p>
      <w:pPr>
        <w:ind w:left="1840"/>
        <w:spacing w:after="0"/>
        <w:rPr>
          <w:sz w:val="20"/>
          <w:szCs w:val="20"/>
          <w:color w:val="auto"/>
        </w:rPr>
      </w:pPr>
      <w:r>
        <w:rPr>
          <w:rFonts w:ascii="Arial" w:cs="Arial" w:eastAsia="Arial" w:hAnsi="Arial"/>
          <w:sz w:val="14"/>
          <w:szCs w:val="14"/>
          <w:color w:val="D8D8D8"/>
        </w:rPr>
        <w:t>Director since February 2018</w:t>
      </w:r>
    </w:p>
    <w:p>
      <w:pPr>
        <w:ind w:left="1840"/>
        <w:spacing w:after="0" w:line="237" w:lineRule="auto"/>
        <w:rPr>
          <w:sz w:val="20"/>
          <w:szCs w:val="20"/>
          <w:color w:val="auto"/>
        </w:rPr>
      </w:pPr>
      <w:r>
        <w:rPr>
          <w:rFonts w:ascii="Arial" w:cs="Arial" w:eastAsia="Arial" w:hAnsi="Arial"/>
          <w:sz w:val="14"/>
          <w:szCs w:val="14"/>
          <w:color w:val="D8D8D8"/>
        </w:rPr>
        <w:t>Audit Committee (Member)</w:t>
      </w:r>
    </w:p>
    <w:p>
      <w:pPr>
        <w:ind w:left="1840"/>
        <w:spacing w:after="0"/>
        <w:rPr>
          <w:sz w:val="20"/>
          <w:szCs w:val="20"/>
          <w:color w:val="auto"/>
        </w:rPr>
      </w:pPr>
      <w:r>
        <w:rPr>
          <w:rFonts w:ascii="Arial" w:cs="Arial" w:eastAsia="Arial" w:hAnsi="Arial"/>
          <w:sz w:val="14"/>
          <w:szCs w:val="14"/>
          <w:color w:val="D8D8D8"/>
        </w:rPr>
        <w:t>Compensation Committee (Member)</w:t>
      </w:r>
    </w:p>
    <w:p>
      <w:pPr>
        <w:ind w:left="1840"/>
        <w:spacing w:after="0"/>
        <w:rPr>
          <w:sz w:val="20"/>
          <w:szCs w:val="20"/>
          <w:color w:val="auto"/>
        </w:rPr>
      </w:pPr>
      <w:r>
        <w:rPr>
          <w:rFonts w:ascii="Arial" w:cs="Arial" w:eastAsia="Arial" w:hAnsi="Arial"/>
          <w:sz w:val="14"/>
          <w:szCs w:val="14"/>
          <w:color w:val="D8D8D8"/>
        </w:rPr>
        <w:t>Nominating and Corporate Governance Committee (Member)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Professional Experience</w:t>
      </w:r>
    </w:p>
    <w:p>
      <w:pPr>
        <w:spacing w:after="0" w:line="22" w:lineRule="exact"/>
        <w:rPr>
          <w:sz w:val="20"/>
          <w:szCs w:val="20"/>
          <w:color w:val="auto"/>
        </w:rPr>
      </w:pPr>
    </w:p>
    <w:p>
      <w:pPr>
        <w:jc w:val="both"/>
        <w:ind w:left="300"/>
        <w:spacing w:after="0" w:line="243" w:lineRule="auto"/>
        <w:rPr>
          <w:sz w:val="20"/>
          <w:szCs w:val="20"/>
          <w:color w:val="auto"/>
        </w:rPr>
      </w:pPr>
      <w:r>
        <w:rPr>
          <w:rFonts w:ascii="Arial" w:cs="Arial" w:eastAsia="Arial" w:hAnsi="Arial"/>
          <w:sz w:val="16"/>
          <w:szCs w:val="16"/>
          <w:color w:val="auto"/>
        </w:rPr>
        <w:t>Mr. Sawyer served as the President and Chief Executive Officer of Regis Corporation beginning in April 2017, a corporation that owns, franchises and operates beauty salons worldwide. Mr. Sawyer retired from Regis in October 2020. Mr. Sawyer previously served as a managing director at Huron, starting in January 2010, and led the Operational Improvement Service Line for Huron’s Business Advisory Practice. He has more than 35 years of experience leading operational improvements, turnarounds, mergers and acquisitions and strategic transformations for both public and private companies across a diverse group of industries. While at Huron, he served as Interim President and CEO of JHT Holdings, Inc., a provider of specialized transportation and logistics services, from January 2010 to March 2012; as the Chief Administrative Officer of Fisker Automotive Inc. (now known as Fisker Inc.), a manufacturer of hybrid electric vehicles, from January 2013 to March 2013; as Chief Restructuring Officer of Fisker Automotive from March 2013 to October 2013; and as Interim President of Euramax International, Inc., a global manufacturer of building products, from February 2014 to August 2015. Including Regis, he has served as the president or chief executive officer of nine companies, including Wells Fargo Armored Service Corporation, The Cunningham Group, Inc., National Linen Service, Inc., Aegis Communications Group, Inc., Allied Holdings, Inc., and Legendary Holdings, Inc.</w:t>
      </w:r>
    </w:p>
    <w:p>
      <w:pPr>
        <w:spacing w:after="0" w:line="151"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Board Service</w:t>
      </w:r>
    </w:p>
    <w:p>
      <w:pPr>
        <w:spacing w:after="0" w:line="22" w:lineRule="exact"/>
        <w:rPr>
          <w:sz w:val="20"/>
          <w:szCs w:val="20"/>
          <w:color w:val="auto"/>
        </w:rPr>
      </w:pPr>
    </w:p>
    <w:p>
      <w:pPr>
        <w:jc w:val="both"/>
        <w:ind w:left="300"/>
        <w:spacing w:after="0" w:line="248" w:lineRule="auto"/>
        <w:rPr>
          <w:sz w:val="20"/>
          <w:szCs w:val="20"/>
          <w:color w:val="auto"/>
        </w:rPr>
      </w:pPr>
      <w:r>
        <w:rPr>
          <w:rFonts w:ascii="Arial" w:cs="Arial" w:eastAsia="Arial" w:hAnsi="Arial"/>
          <w:sz w:val="16"/>
          <w:szCs w:val="16"/>
          <w:color w:val="auto"/>
        </w:rPr>
        <w:t>During the last five years, Mr. Sawyer previously served on the boards of Regis Corporation, JHT Holdings, Inc., Energy Future Competitive Holdings Company LLC and its subsidiary, Texas Competitive Electric Holdings Company LLC, and on the board of managing trustees of the Edison Mission Energy Reorganization Trust.</w:t>
      </w:r>
    </w:p>
    <w:p>
      <w:pPr>
        <w:spacing w:after="0" w:line="141"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Education</w:t>
      </w:r>
    </w:p>
    <w:p>
      <w:pPr>
        <w:spacing w:after="0" w:line="2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Mr. Sawyer received a B.A. in English with honors from the University of Florida.</w:t>
      </w:r>
    </w:p>
    <w:p>
      <w:pPr>
        <w:spacing w:after="0" w:line="168"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Individual Contributions</w:t>
      </w:r>
    </w:p>
    <w:p>
      <w:pPr>
        <w:spacing w:after="0" w:line="22" w:lineRule="exact"/>
        <w:rPr>
          <w:sz w:val="20"/>
          <w:szCs w:val="20"/>
          <w:color w:val="auto"/>
        </w:rPr>
      </w:pPr>
    </w:p>
    <w:p>
      <w:pPr>
        <w:jc w:val="both"/>
        <w:ind w:left="300"/>
        <w:spacing w:after="0" w:line="246" w:lineRule="auto"/>
        <w:rPr>
          <w:sz w:val="20"/>
          <w:szCs w:val="20"/>
          <w:color w:val="auto"/>
        </w:rPr>
      </w:pPr>
      <w:r>
        <w:rPr>
          <w:rFonts w:ascii="Arial" w:cs="Arial" w:eastAsia="Arial" w:hAnsi="Arial"/>
          <w:sz w:val="16"/>
          <w:szCs w:val="16"/>
          <w:color w:val="auto"/>
        </w:rPr>
        <w:t>Mr. Sawyer has a proven history of providing transformational leadership to companies in a broad range of industries, including consumer retail, utilities, healthcare, transportation and logistics, CRM solutions and telecommunications, automotive, and real estate development. Mr. Sawyer also has an extensive governance background as a board member for numerous businesses with sophisticated constituents facing complex circumstances, and has brought this experience with him to the Huron board.</w:t>
      </w:r>
    </w:p>
    <w:p>
      <w:pPr>
        <w:spacing w:after="0" w:line="13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00548B"/>
        </w:rPr>
        <w:t>10</w:t>
      </w:r>
    </w:p>
    <w:p>
      <w:pPr>
        <w:sectPr>
          <w:pgSz w:w="11900" w:h="16838" w:orient="portrait"/>
          <w:cols w:equalWidth="0" w:num="1">
            <w:col w:w="10940"/>
          </w:cols>
          <w:pgMar w:left="320" w:top="454" w:right="6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200660</wp:posOffset>
            </wp:positionV>
            <wp:extent cx="6889750" cy="10471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89750" cy="104711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1840"/>
        <w:spacing w:after="0"/>
        <w:rPr>
          <w:sz w:val="20"/>
          <w:szCs w:val="20"/>
          <w:color w:val="auto"/>
        </w:rPr>
      </w:pPr>
      <w:r>
        <w:rPr>
          <w:rFonts w:ascii="Arial" w:cs="Arial" w:eastAsia="Arial" w:hAnsi="Arial"/>
          <w:sz w:val="16"/>
          <w:szCs w:val="16"/>
          <w:b w:val="1"/>
          <w:bCs w:val="1"/>
          <w:color w:val="D8D8D8"/>
        </w:rPr>
        <w:t>Debra Zumwalt</w:t>
      </w:r>
    </w:p>
    <w:p>
      <w:pPr>
        <w:spacing w:after="0" w:line="24" w:lineRule="exact"/>
        <w:rPr>
          <w:sz w:val="20"/>
          <w:szCs w:val="20"/>
          <w:color w:val="auto"/>
        </w:rPr>
      </w:pPr>
    </w:p>
    <w:p>
      <w:pPr>
        <w:ind w:left="1840"/>
        <w:spacing w:after="0"/>
        <w:rPr>
          <w:sz w:val="20"/>
          <w:szCs w:val="20"/>
          <w:color w:val="auto"/>
        </w:rPr>
      </w:pPr>
      <w:r>
        <w:rPr>
          <w:rFonts w:ascii="Arial" w:cs="Arial" w:eastAsia="Arial" w:hAnsi="Arial"/>
          <w:sz w:val="14"/>
          <w:szCs w:val="14"/>
          <w:color w:val="D8D8D8"/>
        </w:rPr>
        <w:t>Director since October 2014</w:t>
      </w:r>
    </w:p>
    <w:p>
      <w:pPr>
        <w:ind w:left="1840"/>
        <w:spacing w:after="0" w:line="237" w:lineRule="auto"/>
        <w:rPr>
          <w:sz w:val="20"/>
          <w:szCs w:val="20"/>
          <w:color w:val="auto"/>
        </w:rPr>
      </w:pPr>
      <w:r>
        <w:rPr>
          <w:rFonts w:ascii="Arial" w:cs="Arial" w:eastAsia="Arial" w:hAnsi="Arial"/>
          <w:sz w:val="14"/>
          <w:szCs w:val="14"/>
          <w:color w:val="D8D8D8"/>
        </w:rPr>
        <w:t>Compensation Committee (Chair)</w:t>
      </w:r>
    </w:p>
    <w:p>
      <w:pPr>
        <w:ind w:left="1840"/>
        <w:spacing w:after="0"/>
        <w:rPr>
          <w:sz w:val="20"/>
          <w:szCs w:val="20"/>
          <w:color w:val="auto"/>
        </w:rPr>
      </w:pPr>
      <w:r>
        <w:rPr>
          <w:rFonts w:ascii="Arial" w:cs="Arial" w:eastAsia="Arial" w:hAnsi="Arial"/>
          <w:sz w:val="14"/>
          <w:szCs w:val="14"/>
          <w:color w:val="D8D8D8"/>
        </w:rPr>
        <w:t>Nominating and Corporate Governance Committee (Member)</w:t>
      </w:r>
    </w:p>
    <w:p>
      <w:pPr>
        <w:ind w:left="1840"/>
        <w:spacing w:after="0"/>
        <w:rPr>
          <w:sz w:val="20"/>
          <w:szCs w:val="20"/>
          <w:color w:val="auto"/>
        </w:rPr>
      </w:pPr>
      <w:r>
        <w:rPr>
          <w:rFonts w:ascii="Arial" w:cs="Arial" w:eastAsia="Arial" w:hAnsi="Arial"/>
          <w:sz w:val="14"/>
          <w:szCs w:val="14"/>
          <w:color w:val="D8D8D8"/>
        </w:rPr>
        <w:t>Technology and Information Security Committee (Member)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Professional Experience</w:t>
      </w:r>
    </w:p>
    <w:p>
      <w:pPr>
        <w:spacing w:after="0" w:line="22" w:lineRule="exact"/>
        <w:rPr>
          <w:sz w:val="20"/>
          <w:szCs w:val="20"/>
          <w:color w:val="auto"/>
        </w:rPr>
      </w:pPr>
    </w:p>
    <w:p>
      <w:pPr>
        <w:jc w:val="both"/>
        <w:ind w:left="300"/>
        <w:spacing w:after="0" w:line="243" w:lineRule="auto"/>
        <w:rPr>
          <w:sz w:val="20"/>
          <w:szCs w:val="20"/>
          <w:color w:val="auto"/>
        </w:rPr>
      </w:pPr>
      <w:r>
        <w:rPr>
          <w:rFonts w:ascii="Arial" w:cs="Arial" w:eastAsia="Arial" w:hAnsi="Arial"/>
          <w:sz w:val="16"/>
          <w:szCs w:val="16"/>
          <w:color w:val="auto"/>
        </w:rPr>
        <w:t>Since 2001, Ms. Zumwalt has been the Vice President and General Counsel of Stanford University and is in charge of the legal services provided to the University and its affiliated hospitals with combined annual revenues of over $12 billion. Ms. Zumwalt is a member of the University Cabinet and provides governance, legal and strategic advice to the boards of the University, Stanford Health Care, Lucile Packard Children’s Hospital at Stanford, and Stanford Management Company, which manages over $30 billion in assets. Ms. Zumwalt is also a member of the board of overseers for SLAC National Accelerator Laboratory at Stanford, and a director of SUMIT Holding International, LLC, SUMIT Insurance Company Ltd. and PEAC, a holding company and insurance companies providing insurance coverage for the Stanford hospitals and physicians. From 1993 to 2001, Ms. Zumwalt was a partner at Pillsbury Winthrop LLP, where she specialized in complex civil litigation and higher education law, and served as managing partner of the Silicon Valley office and a member of the firm’s governing board. Previously, from 1987 to 1993, Ms. Zumwalt was Senior University Counsel at Stanford, responsible for advising and representing the University in connection with congressional hearings, criminal and civil investigations, negotiations and litigation matters. Prior to joining Stanford in 1987, Ms. Zumwalt worked as litigation counsel for Chevron Chemical Company and as a litigation associate for Pillsbury Winthrop LLP in San Francisco.</w:t>
      </w:r>
    </w:p>
    <w:p>
      <w:pPr>
        <w:spacing w:after="0" w:line="151"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Board Service</w:t>
      </w:r>
    </w:p>
    <w:p>
      <w:pPr>
        <w:spacing w:after="0" w:line="22" w:lineRule="exact"/>
        <w:rPr>
          <w:sz w:val="20"/>
          <w:szCs w:val="20"/>
          <w:color w:val="auto"/>
        </w:rPr>
      </w:pPr>
    </w:p>
    <w:p>
      <w:pPr>
        <w:jc w:val="both"/>
        <w:ind w:left="300" w:right="20"/>
        <w:spacing w:after="0" w:line="253" w:lineRule="auto"/>
        <w:rPr>
          <w:sz w:val="20"/>
          <w:szCs w:val="20"/>
          <w:color w:val="auto"/>
        </w:rPr>
      </w:pPr>
      <w:r>
        <w:rPr>
          <w:rFonts w:ascii="Arial" w:cs="Arial" w:eastAsia="Arial" w:hAnsi="Arial"/>
          <w:sz w:val="16"/>
          <w:szCs w:val="16"/>
          <w:color w:val="auto"/>
        </w:rPr>
        <w:t>Ms. Zumwalt currently serves on the board of Exponent, Inc., a publicly traded engineering and scientific consulting company and on the board of the American University of Afghanistan. Ms. Zumwalt previously served on other nonprofit boards in education and legal services.</w:t>
      </w:r>
    </w:p>
    <w:p>
      <w:pPr>
        <w:spacing w:after="0" w:line="137"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Education</w:t>
      </w:r>
    </w:p>
    <w:p>
      <w:pPr>
        <w:spacing w:after="0" w:line="2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Ms. Zumwalt received a B.S. in Political Science from Arizona State University and a J.D. from Stanford Law School.</w:t>
      </w:r>
    </w:p>
    <w:p>
      <w:pPr>
        <w:spacing w:after="0" w:line="168"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Individual Contributions</w:t>
      </w:r>
    </w:p>
    <w:p>
      <w:pPr>
        <w:spacing w:after="0" w:line="22" w:lineRule="exact"/>
        <w:rPr>
          <w:sz w:val="20"/>
          <w:szCs w:val="20"/>
          <w:color w:val="auto"/>
        </w:rPr>
      </w:pPr>
    </w:p>
    <w:p>
      <w:pPr>
        <w:jc w:val="both"/>
        <w:ind w:left="300"/>
        <w:spacing w:after="0" w:line="246" w:lineRule="auto"/>
        <w:rPr>
          <w:sz w:val="20"/>
          <w:szCs w:val="20"/>
          <w:color w:val="auto"/>
        </w:rPr>
      </w:pPr>
      <w:r>
        <w:rPr>
          <w:rFonts w:ascii="Arial" w:cs="Arial" w:eastAsia="Arial" w:hAnsi="Arial"/>
          <w:sz w:val="16"/>
          <w:szCs w:val="16"/>
          <w:color w:val="auto"/>
        </w:rPr>
        <w:t>Given the many roles she serves in connection with her position as chief legal officer of a university with three affiliated hospitals, Ms. Zumwalt is uniquely qualified to share with the Huron board her experience with navigating the challenges faced by both higher education and healthcare organizations. Ms. Zumwalt also contributes to the Huron board a perspective on the law and governance through her background as a former partner of a well-renowned law firm and her current membership on the boards of corporate and academic organizations.</w:t>
      </w:r>
    </w:p>
    <w:p>
      <w:pPr>
        <w:spacing w:after="0" w:line="13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00548B"/>
        </w:rPr>
        <w:t>11</w:t>
      </w:r>
    </w:p>
    <w:p>
      <w:pPr>
        <w:sectPr>
          <w:pgSz w:w="11900" w:h="16838" w:orient="portrait"/>
          <w:cols w:equalWidth="0" w:num="1">
            <w:col w:w="10940"/>
          </w:cols>
          <w:pgMar w:left="320" w:top="454" w:right="6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D</w:t>
      </w:r>
      <w:r>
        <w:rPr>
          <w:rFonts w:ascii="Arial" w:cs="Arial" w:eastAsia="Arial" w:hAnsi="Arial"/>
          <w:sz w:val="14"/>
          <w:szCs w:val="14"/>
          <w:b w:val="1"/>
          <w:bCs w:val="1"/>
          <w:color w:val="00548B"/>
        </w:rPr>
        <w:t>IRECTOR</w:t>
      </w:r>
      <w:r>
        <w:rPr>
          <w:rFonts w:ascii="Arial" w:cs="Arial" w:eastAsia="Arial" w:hAnsi="Arial"/>
          <w:sz w:val="18"/>
          <w:szCs w:val="18"/>
          <w:b w:val="1"/>
          <w:bCs w:val="1"/>
          <w:color w:val="00548B"/>
        </w:rPr>
        <w:t xml:space="preserve"> I</w:t>
      </w:r>
      <w:r>
        <w:rPr>
          <w:rFonts w:ascii="Arial" w:cs="Arial" w:eastAsia="Arial" w:hAnsi="Arial"/>
          <w:sz w:val="14"/>
          <w:szCs w:val="14"/>
          <w:b w:val="1"/>
          <w:bCs w:val="1"/>
          <w:color w:val="00548B"/>
        </w:rPr>
        <w:t>NDEPENDENCE</w:t>
      </w:r>
    </w:p>
    <w:p>
      <w:pPr>
        <w:spacing w:after="0" w:line="17" w:lineRule="exact"/>
        <w:rPr>
          <w:sz w:val="20"/>
          <w:szCs w:val="20"/>
          <w:color w:val="auto"/>
        </w:rPr>
      </w:pPr>
    </w:p>
    <w:p>
      <w:pPr>
        <w:jc w:val="both"/>
        <w:ind w:left="200"/>
        <w:spacing w:after="0" w:line="243" w:lineRule="auto"/>
        <w:rPr>
          <w:sz w:val="20"/>
          <w:szCs w:val="20"/>
          <w:color w:val="auto"/>
        </w:rPr>
      </w:pPr>
      <w:r>
        <w:rPr>
          <w:rFonts w:ascii="Arial" w:cs="Arial" w:eastAsia="Arial" w:hAnsi="Arial"/>
          <w:sz w:val="16"/>
          <w:szCs w:val="16"/>
          <w:color w:val="auto"/>
        </w:rPr>
        <w:t>Our board of directors makes an annual determination regarding the independence of each of our directors. The board also makes this determination for new director nominees. The board of directors has determined that each of Messrs. Lockhart, McCartney, Sawyer and Markell and Ms. Zumwalt and Ms. Singh-Bushell is “independent” as defined in the applicable listing standards of The NASDAQ Stock Market Inc. (“NASDAQ”). In making its determination, the board of directors considered the standards of independence set forth in the NASDAQ Corporate Governance Listing Standards and all relevant facts and circumstances to ascertain whether there was any relationship between a director and the Company that, in the opinion of the board of directors, would interfere with the exercise of independent judgment in carrying out the responsibilities of the director or any material relationship with the Company (either directly, or as a partner, stockholder or officer of an organization that has a relationship with the Company). In determining that Ms. Zumwalt is independent, the board of directors conducted a thorough review of payments made by Stanford University, which employs Ms. Zumwalt, to the Company for consulting services provided by the Company. After taking into consideration that revenues from Stanford University comprised 0.07% of Huron’s revenues for the year 2021, 0.08% of Huron’s revenues for the year 2020, and 0.08% of Huron’s revenues for the year 2019, the board of directors determined that this relationship would not interfere with Ms. Zumwalt’s exercise of independent judgment in carrying out her responsibilities as a director.</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21"/>
          <w:szCs w:val="21"/>
          <w:b w:val="1"/>
          <w:bCs w:val="1"/>
          <w:color w:val="00548B"/>
        </w:rPr>
        <w:t>CORPORATE GOVERNANCE</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B</w:t>
      </w:r>
      <w:r>
        <w:rPr>
          <w:rFonts w:ascii="Arial" w:cs="Arial" w:eastAsia="Arial" w:hAnsi="Arial"/>
          <w:sz w:val="14"/>
          <w:szCs w:val="14"/>
          <w:b w:val="1"/>
          <w:bCs w:val="1"/>
          <w:color w:val="00548B"/>
        </w:rPr>
        <w:t>OARD</w:t>
      </w:r>
      <w:r>
        <w:rPr>
          <w:rFonts w:ascii="Arial" w:cs="Arial" w:eastAsia="Arial" w:hAnsi="Arial"/>
          <w:sz w:val="18"/>
          <w:szCs w:val="18"/>
          <w:b w:val="1"/>
          <w:bCs w:val="1"/>
          <w:color w:val="00548B"/>
        </w:rPr>
        <w:t xml:space="preserve"> C</w:t>
      </w:r>
      <w:r>
        <w:rPr>
          <w:rFonts w:ascii="Arial" w:cs="Arial" w:eastAsia="Arial" w:hAnsi="Arial"/>
          <w:sz w:val="14"/>
          <w:szCs w:val="14"/>
          <w:b w:val="1"/>
          <w:bCs w:val="1"/>
          <w:color w:val="00548B"/>
        </w:rPr>
        <w:t>OMPOSITION</w:t>
      </w:r>
      <w:r>
        <w:rPr>
          <w:rFonts w:ascii="Arial" w:cs="Arial" w:eastAsia="Arial" w:hAnsi="Arial"/>
          <w:sz w:val="18"/>
          <w:szCs w:val="18"/>
          <w:b w:val="1"/>
          <w:bCs w:val="1"/>
          <w:color w:val="00548B"/>
        </w:rPr>
        <w:t>, L</w:t>
      </w:r>
      <w:r>
        <w:rPr>
          <w:rFonts w:ascii="Arial" w:cs="Arial" w:eastAsia="Arial" w:hAnsi="Arial"/>
          <w:sz w:val="14"/>
          <w:szCs w:val="14"/>
          <w:b w:val="1"/>
          <w:bCs w:val="1"/>
          <w:color w:val="00548B"/>
        </w:rPr>
        <w:t>EADERSHIP</w:t>
      </w:r>
      <w:r>
        <w:rPr>
          <w:rFonts w:ascii="Arial" w:cs="Arial" w:eastAsia="Arial" w:hAnsi="Arial"/>
          <w:sz w:val="18"/>
          <w:szCs w:val="18"/>
          <w:b w:val="1"/>
          <w:bCs w:val="1"/>
          <w:color w:val="00548B"/>
        </w:rPr>
        <w:t xml:space="preserve"> S</w:t>
      </w:r>
      <w:r>
        <w:rPr>
          <w:rFonts w:ascii="Arial" w:cs="Arial" w:eastAsia="Arial" w:hAnsi="Arial"/>
          <w:sz w:val="14"/>
          <w:szCs w:val="14"/>
          <w:b w:val="1"/>
          <w:bCs w:val="1"/>
          <w:color w:val="00548B"/>
        </w:rPr>
        <w:t>TRUCTURE AND</w:t>
      </w:r>
      <w:r>
        <w:rPr>
          <w:rFonts w:ascii="Arial" w:cs="Arial" w:eastAsia="Arial" w:hAnsi="Arial"/>
          <w:sz w:val="18"/>
          <w:szCs w:val="18"/>
          <w:b w:val="1"/>
          <w:bCs w:val="1"/>
          <w:color w:val="00548B"/>
        </w:rPr>
        <w:t xml:space="preserve"> R</w:t>
      </w:r>
      <w:r>
        <w:rPr>
          <w:rFonts w:ascii="Arial" w:cs="Arial" w:eastAsia="Arial" w:hAnsi="Arial"/>
          <w:sz w:val="14"/>
          <w:szCs w:val="14"/>
          <w:b w:val="1"/>
          <w:bCs w:val="1"/>
          <w:color w:val="00548B"/>
        </w:rPr>
        <w:t>ISK</w:t>
      </w:r>
      <w:r>
        <w:rPr>
          <w:rFonts w:ascii="Arial" w:cs="Arial" w:eastAsia="Arial" w:hAnsi="Arial"/>
          <w:sz w:val="18"/>
          <w:szCs w:val="18"/>
          <w:b w:val="1"/>
          <w:bCs w:val="1"/>
          <w:color w:val="00548B"/>
        </w:rPr>
        <w:t xml:space="preserve"> O</w:t>
      </w:r>
      <w:r>
        <w:rPr>
          <w:rFonts w:ascii="Arial" w:cs="Arial" w:eastAsia="Arial" w:hAnsi="Arial"/>
          <w:sz w:val="14"/>
          <w:szCs w:val="14"/>
          <w:b w:val="1"/>
          <w:bCs w:val="1"/>
          <w:color w:val="00548B"/>
        </w:rPr>
        <w:t>VERSIGHT</w:t>
      </w:r>
    </w:p>
    <w:p>
      <w:pPr>
        <w:spacing w:after="0" w:line="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B</w:t>
      </w:r>
      <w:r>
        <w:rPr>
          <w:rFonts w:ascii="Arial" w:cs="Arial" w:eastAsia="Arial" w:hAnsi="Arial"/>
          <w:sz w:val="14"/>
          <w:szCs w:val="14"/>
          <w:b w:val="1"/>
          <w:bCs w:val="1"/>
          <w:color w:val="00548B"/>
        </w:rPr>
        <w:t>OARD</w:t>
      </w:r>
      <w:r>
        <w:rPr>
          <w:rFonts w:ascii="Arial" w:cs="Arial" w:eastAsia="Arial" w:hAnsi="Arial"/>
          <w:sz w:val="18"/>
          <w:szCs w:val="18"/>
          <w:b w:val="1"/>
          <w:bCs w:val="1"/>
          <w:color w:val="00548B"/>
        </w:rPr>
        <w:t xml:space="preserve"> C</w:t>
      </w:r>
      <w:r>
        <w:rPr>
          <w:rFonts w:ascii="Arial" w:cs="Arial" w:eastAsia="Arial" w:hAnsi="Arial"/>
          <w:sz w:val="14"/>
          <w:szCs w:val="14"/>
          <w:b w:val="1"/>
          <w:bCs w:val="1"/>
          <w:color w:val="00548B"/>
        </w:rPr>
        <w:t>OMPOSITION</w:t>
      </w:r>
    </w:p>
    <w:p>
      <w:pPr>
        <w:jc w:val="both"/>
        <w:ind w:left="200"/>
        <w:spacing w:after="0" w:line="244" w:lineRule="auto"/>
        <w:rPr>
          <w:sz w:val="20"/>
          <w:szCs w:val="20"/>
          <w:color w:val="auto"/>
        </w:rPr>
      </w:pPr>
      <w:r>
        <w:rPr>
          <w:rFonts w:ascii="Arial" w:cs="Arial" w:eastAsia="Arial" w:hAnsi="Arial"/>
          <w:sz w:val="16"/>
          <w:szCs w:val="16"/>
          <w:color w:val="auto"/>
        </w:rPr>
        <w:t>The Nominating and Corporate Governance Committee, in conjunction with the Chair and the full board, is actively evaluating the future composition of the board in light of the age, tenure and experience of its current members. This multi-year refresh process is intended to ensure that the board has the best mix of knowledge, skills, diversity, industry expertise and business acumen, derived from high quality professional experience, to evaluate and support the Company’s strategy going forward. The Nominating and Corporate Governance Committee believes that its current directors, several of whom have extensive experience leading and managing professional service businesses, provide significant insight into the Company and its operations and provide valuable contributions to the board. The Nominating and Corporate Governance Committee also recognizes the potential benefits of the fresh perspectives that highly qualified new directors might bring to the board as well as the benefits of increased innovation and creativity that is fostered by greater diversity on the board.</w:t>
      </w:r>
    </w:p>
    <w:p>
      <w:pPr>
        <w:spacing w:after="0" w:line="166" w:lineRule="exact"/>
        <w:rPr>
          <w:sz w:val="20"/>
          <w:szCs w:val="20"/>
          <w:color w:val="auto"/>
        </w:rPr>
      </w:pPr>
    </w:p>
    <w:p>
      <w:pPr>
        <w:jc w:val="both"/>
        <w:ind w:left="200"/>
        <w:spacing w:after="0" w:line="245" w:lineRule="auto"/>
        <w:rPr>
          <w:sz w:val="20"/>
          <w:szCs w:val="20"/>
          <w:color w:val="auto"/>
        </w:rPr>
      </w:pPr>
      <w:r>
        <w:rPr>
          <w:rFonts w:ascii="Arial" w:cs="Arial" w:eastAsia="Arial" w:hAnsi="Arial"/>
          <w:sz w:val="16"/>
          <w:szCs w:val="16"/>
          <w:color w:val="auto"/>
        </w:rPr>
        <w:t>On March 16, 2022, we announced that the board elected Mr. Peter Markell as a director of the Company. (See page 7 for Mr. Markell’s biography.) The board believes Mr. Markell’s recent experience as a senior executive of one of the world’s leading academic medical centers and the chair and board member of a highly regarded research university, as well as his prior experience as a partner at a global professional services firm make him uniquely qualified to contribute to the Huron board. Further, his ability to serve as a designated financial expert will bring added strength and depth to the Audit Committee. Additionally, in anticipation of C. Mark Hussey’s new role as Chief Executive Officer effective January 1, 2023, it is the board’s intention to elect him to the board during 2022.</w:t>
      </w:r>
    </w:p>
    <w:p>
      <w:pPr>
        <w:spacing w:after="0" w:line="163" w:lineRule="exact"/>
        <w:rPr>
          <w:sz w:val="20"/>
          <w:szCs w:val="20"/>
          <w:color w:val="auto"/>
        </w:rPr>
      </w:pPr>
    </w:p>
    <w:p>
      <w:pPr>
        <w:jc w:val="both"/>
        <w:ind w:left="200"/>
        <w:spacing w:after="0" w:line="244" w:lineRule="auto"/>
        <w:rPr>
          <w:sz w:val="20"/>
          <w:szCs w:val="20"/>
          <w:color w:val="auto"/>
        </w:rPr>
      </w:pPr>
      <w:r>
        <w:rPr>
          <w:rFonts w:ascii="Arial" w:cs="Arial" w:eastAsia="Arial" w:hAnsi="Arial"/>
          <w:sz w:val="16"/>
          <w:szCs w:val="16"/>
          <w:color w:val="auto"/>
        </w:rPr>
        <w:t>In conjunction with our board refreshment process, the board has considered certain other governance matters which are of concern to some shareholders. The board recognizes that Mr. McCartney and Mr. Lockhart are relatively long-tenured directors, having served 17 years and 15 years on the board, respectively. The Nominating and Governance Committee and the full board have reviewed this matter with specific regard to whether their length of service impacts their independence. It is the full board’s considered judgment that both Mr. McCartney’s and Mr. Lockhart’s independence has not been compromised by their tenure. The board also believes that both directors provide valuable institutional knowledge and significant insight to the Company, garnered through their extensive and relevant experience as active advisors and current board members of other high-growth companies. The board also recognizes that it has added four new directors over the past eight years who provide new perspectives on the firm’s strategy and operations.</w:t>
      </w:r>
    </w:p>
    <w:p>
      <w:pPr>
        <w:spacing w:after="0" w:line="180" w:lineRule="exact"/>
        <w:rPr>
          <w:sz w:val="20"/>
          <w:szCs w:val="20"/>
          <w:color w:val="auto"/>
        </w:rPr>
      </w:pPr>
    </w:p>
    <w:p>
      <w:pPr>
        <w:jc w:val="both"/>
        <w:ind w:left="200"/>
        <w:spacing w:after="0" w:line="248" w:lineRule="auto"/>
        <w:rPr>
          <w:sz w:val="20"/>
          <w:szCs w:val="20"/>
          <w:color w:val="auto"/>
        </w:rPr>
      </w:pPr>
      <w:r>
        <w:rPr>
          <w:rFonts w:ascii="Arial" w:cs="Arial" w:eastAsia="Arial" w:hAnsi="Arial"/>
          <w:sz w:val="16"/>
          <w:szCs w:val="16"/>
          <w:color w:val="auto"/>
        </w:rPr>
        <w:t>As of the date of this proxy, Ms. Ekta Singh-Bushell serves on the boards of five publicly traded companies. The board recognizes that the voting guidelines of certain of our shareholders consider this incidence of board service as “overboarded.” The Nominating and Governance Committee and the full board examined Ms. Singh-</w:t>
      </w:r>
    </w:p>
    <w:p>
      <w:pPr>
        <w:spacing w:after="0" w:line="13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12</w:t>
      </w:r>
    </w:p>
    <w:p>
      <w:pPr>
        <w:sectPr>
          <w:pgSz w:w="11900" w:h="16838" w:orient="portrait"/>
          <w:cols w:equalWidth="0" w:num="1">
            <w:col w:w="11040"/>
          </w:cols>
          <w:pgMar w:left="320" w:top="454" w:right="5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200"/>
        <w:spacing w:after="0" w:line="245" w:lineRule="auto"/>
        <w:rPr>
          <w:sz w:val="20"/>
          <w:szCs w:val="20"/>
          <w:color w:val="auto"/>
        </w:rPr>
      </w:pPr>
      <w:r>
        <w:rPr>
          <w:rFonts w:ascii="Arial" w:cs="Arial" w:eastAsia="Arial" w:hAnsi="Arial"/>
          <w:sz w:val="16"/>
          <w:szCs w:val="16"/>
          <w:color w:val="auto"/>
        </w:rPr>
        <w:t>Bushell’s performance in the context of her commitments when considering her renomination for election. It is the board’s considered opinion that Ms. Singh-Bushell’s performance as a director at Huron has been active and diligent and in no way impeded by other commitments. She brings to the Huron board important expertise in digital and cybersecurity and contributes extensively on all other matters which the board addresses. Moreover, the Committee determined that the knowledge and experience that Ms. Singh-Bushell gains from these additional commitments provide an important dimension to our board, especially in the financial and technology sectors, that are directly relevant to Huron’s growth strategy.</w:t>
      </w:r>
    </w:p>
    <w:p>
      <w:pPr>
        <w:spacing w:after="0" w:line="178" w:lineRule="exact"/>
        <w:rPr>
          <w:sz w:val="20"/>
          <w:szCs w:val="20"/>
          <w:color w:val="auto"/>
        </w:rPr>
      </w:pPr>
    </w:p>
    <w:p>
      <w:pPr>
        <w:jc w:val="both"/>
        <w:ind w:left="200"/>
        <w:spacing w:after="0" w:line="244" w:lineRule="auto"/>
        <w:rPr>
          <w:sz w:val="20"/>
          <w:szCs w:val="20"/>
          <w:color w:val="auto"/>
        </w:rPr>
      </w:pPr>
      <w:r>
        <w:rPr>
          <w:rFonts w:ascii="Arial" w:cs="Arial" w:eastAsia="Arial" w:hAnsi="Arial"/>
          <w:sz w:val="16"/>
          <w:szCs w:val="16"/>
          <w:color w:val="auto"/>
        </w:rPr>
        <w:t>The Nominating and Corporate Governance Committee will continue to consider a variety of factors as it works to enhance the composition of the board, increase diversity, reduce average tenure and ensure structured and orderly board succession through a process of both board member additions and retirements. As a result, during the next several years, the board may occasionally expand or contract as the refresh process is executed. It is the expressed desire of the board that it continue to remain relatively small in number and composed principally of non-executive directors. The Nominating and Governance Committee believes that Mr. Markell possesses an exceptional skill set and will be an outstanding addition to our board. However, the Committee also recognizes that Mr. Markell’s election, while bringing fresh perspectives, does not address our other stated objectives of bringing enhanced age, gender, or racial and/or ethnic diversity to the board. We remain actively engaged in our board refreshment process and expect to add at least one additional director in the coming quarters.</w:t>
      </w:r>
    </w:p>
    <w:p>
      <w:pPr>
        <w:spacing w:after="0" w:line="166"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color w:val="auto"/>
        </w:rPr>
        <w:t>The Nominating and Corporate Governance Committee will consider as director candidates qualified individuals recommended by stockholders through the process described below and, although it has not done so in the past, may consider candidates identified by professional search firms.</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B</w:t>
      </w:r>
      <w:r>
        <w:rPr>
          <w:rFonts w:ascii="Arial" w:cs="Arial" w:eastAsia="Arial" w:hAnsi="Arial"/>
          <w:sz w:val="14"/>
          <w:szCs w:val="14"/>
          <w:b w:val="1"/>
          <w:bCs w:val="1"/>
          <w:color w:val="00548B"/>
        </w:rPr>
        <w:t>OARD</w:t>
      </w:r>
      <w:r>
        <w:rPr>
          <w:rFonts w:ascii="Arial" w:cs="Arial" w:eastAsia="Arial" w:hAnsi="Arial"/>
          <w:sz w:val="18"/>
          <w:szCs w:val="18"/>
          <w:b w:val="1"/>
          <w:bCs w:val="1"/>
          <w:color w:val="00548B"/>
        </w:rPr>
        <w:t xml:space="preserve"> L</w:t>
      </w:r>
      <w:r>
        <w:rPr>
          <w:rFonts w:ascii="Arial" w:cs="Arial" w:eastAsia="Arial" w:hAnsi="Arial"/>
          <w:sz w:val="14"/>
          <w:szCs w:val="14"/>
          <w:b w:val="1"/>
          <w:bCs w:val="1"/>
          <w:color w:val="00548B"/>
        </w:rPr>
        <w:t>EADERSHIP</w:t>
      </w:r>
    </w:p>
    <w:p>
      <w:pPr>
        <w:spacing w:after="0" w:line="17" w:lineRule="exact"/>
        <w:rPr>
          <w:sz w:val="20"/>
          <w:szCs w:val="20"/>
          <w:color w:val="auto"/>
        </w:rPr>
      </w:pPr>
    </w:p>
    <w:p>
      <w:pPr>
        <w:jc w:val="both"/>
        <w:ind w:left="200"/>
        <w:spacing w:after="0" w:line="245" w:lineRule="auto"/>
        <w:rPr>
          <w:sz w:val="20"/>
          <w:szCs w:val="20"/>
          <w:color w:val="auto"/>
        </w:rPr>
      </w:pPr>
      <w:r>
        <w:rPr>
          <w:rFonts w:ascii="Arial" w:cs="Arial" w:eastAsia="Arial" w:hAnsi="Arial"/>
          <w:sz w:val="16"/>
          <w:szCs w:val="16"/>
          <w:color w:val="auto"/>
        </w:rPr>
        <w:t>Huron formally separated the roles of chairman of the board and chief executive officer in 2010. Our Non-executive Chairman is John McCartney and our Chief Executive Officer is James H. Roth. As Non-executive Chairman, Mr. McCartney, in consultation with Mr. Roth, develops the agendas for board meetings, determines the appropriate scheduling for board meetings, assesses the quality, quantity and timeliness of information provided from management to the board, assists the Nominating and Corporate Governance Committee in monitoring and implementing our Corporate Governance Guidelines and otherwise takes steps to ensure that the board is acting in the long-term best interests of the Company. Mr. McCartney also chairs executive sessions of the board.</w:t>
      </w:r>
    </w:p>
    <w:p>
      <w:pPr>
        <w:spacing w:after="0" w:line="176" w:lineRule="exact"/>
        <w:rPr>
          <w:sz w:val="20"/>
          <w:szCs w:val="20"/>
          <w:color w:val="auto"/>
        </w:rPr>
      </w:pPr>
    </w:p>
    <w:p>
      <w:pPr>
        <w:jc w:val="both"/>
        <w:ind w:left="200"/>
        <w:spacing w:after="0" w:line="244" w:lineRule="auto"/>
        <w:rPr>
          <w:sz w:val="20"/>
          <w:szCs w:val="20"/>
          <w:color w:val="auto"/>
        </w:rPr>
      </w:pPr>
      <w:r>
        <w:rPr>
          <w:rFonts w:ascii="Arial" w:cs="Arial" w:eastAsia="Arial" w:hAnsi="Arial"/>
          <w:sz w:val="16"/>
          <w:szCs w:val="16"/>
          <w:color w:val="auto"/>
        </w:rPr>
        <w:t>The board has determined that our current board leadership structure is appropriate for the Company, as it believes the separation of powers is beneficial for our organization. The board recognizes that Mr. McCartney has served as Non-executive Chairman since 2010 and, in conjunction with the overall board refreshment process, has discussed whether the election of a new board chair might be in the best interests of the Company. In light of the impending CEO leadership transition (which is discussed on page 20 of this proxy) and after extensive discussion and consultation with Mr. Roth and Mr. Hussey, the board has concluded that it is not in the best interests of the Company to have simultaneous changes in CEO and board leadership. It is the board’s present intention that, subject to his re-election by the shareholders at the upcoming annual meeting, Mr. McCartney will continue to serve as Non-executive Chairman for some period after Mr. Hussey becomes CEO but will step down as Non-executive Chairman prior to the expiration of his upcoming term in May 2025. In addition, effective at the 2022 annual meeting, Ms. Ekta Singh-Bushell will replace Mr. McCartney as chair of the Nominating and Governance Committee.</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13</w:t>
      </w:r>
    </w:p>
    <w:p>
      <w:pPr>
        <w:sectPr>
          <w:pgSz w:w="11900" w:h="16838" w:orient="portrait"/>
          <w:cols w:equalWidth="0" w:num="1">
            <w:col w:w="11040"/>
          </w:cols>
          <w:pgMar w:left="320" w:top="454" w:right="5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R</w:t>
      </w:r>
      <w:r>
        <w:rPr>
          <w:rFonts w:ascii="Arial" w:cs="Arial" w:eastAsia="Arial" w:hAnsi="Arial"/>
          <w:sz w:val="14"/>
          <w:szCs w:val="14"/>
          <w:b w:val="1"/>
          <w:bCs w:val="1"/>
          <w:color w:val="00548B"/>
        </w:rPr>
        <w:t>ISK</w:t>
      </w:r>
      <w:r>
        <w:rPr>
          <w:rFonts w:ascii="Arial" w:cs="Arial" w:eastAsia="Arial" w:hAnsi="Arial"/>
          <w:sz w:val="18"/>
          <w:szCs w:val="18"/>
          <w:b w:val="1"/>
          <w:bCs w:val="1"/>
          <w:color w:val="00548B"/>
        </w:rPr>
        <w:t xml:space="preserve"> O</w:t>
      </w:r>
      <w:r>
        <w:rPr>
          <w:rFonts w:ascii="Arial" w:cs="Arial" w:eastAsia="Arial" w:hAnsi="Arial"/>
          <w:sz w:val="14"/>
          <w:szCs w:val="14"/>
          <w:b w:val="1"/>
          <w:bCs w:val="1"/>
          <w:color w:val="00548B"/>
        </w:rPr>
        <w:t>VERSIGHT</w:t>
      </w:r>
    </w:p>
    <w:p>
      <w:pPr>
        <w:spacing w:after="0" w:line="17" w:lineRule="exact"/>
        <w:rPr>
          <w:sz w:val="20"/>
          <w:szCs w:val="20"/>
          <w:color w:val="auto"/>
        </w:rPr>
      </w:pPr>
    </w:p>
    <w:p>
      <w:pPr>
        <w:jc w:val="both"/>
        <w:ind w:left="200"/>
        <w:spacing w:after="0" w:line="248" w:lineRule="auto"/>
        <w:rPr>
          <w:sz w:val="20"/>
          <w:szCs w:val="20"/>
          <w:color w:val="auto"/>
        </w:rPr>
      </w:pPr>
      <w:r>
        <w:rPr>
          <w:rFonts w:ascii="Arial" w:cs="Arial" w:eastAsia="Arial" w:hAnsi="Arial"/>
          <w:sz w:val="16"/>
          <w:szCs w:val="16"/>
          <w:color w:val="auto"/>
        </w:rPr>
        <w:t>One of the board’s responsibilities is to review the adequacy of the Company’s systems for compliance with all applicable laws and regulations, for safeguarding the Company’s assets and for managing the major risks it faces. The board executes its responsibility for risk management directly and through its committees in a variety of ways, including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126365</wp:posOffset>
            </wp:positionV>
            <wp:extent cx="5006975" cy="6003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006975" cy="600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14</w:t>
      </w:r>
    </w:p>
    <w:p>
      <w:pPr>
        <w:sectPr>
          <w:pgSz w:w="11900" w:h="16838" w:orient="portrait"/>
          <w:cols w:equalWidth="0" w:num="1">
            <w:col w:w="11040"/>
          </w:cols>
          <w:pgMar w:left="320" w:top="454" w:right="5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B</w:t>
      </w:r>
      <w:r>
        <w:rPr>
          <w:rFonts w:ascii="Arial" w:cs="Arial" w:eastAsia="Arial" w:hAnsi="Arial"/>
          <w:sz w:val="14"/>
          <w:szCs w:val="14"/>
          <w:b w:val="1"/>
          <w:bCs w:val="1"/>
          <w:color w:val="00548B"/>
        </w:rPr>
        <w:t>OARD</w:t>
      </w:r>
      <w:r>
        <w:rPr>
          <w:rFonts w:ascii="Arial" w:cs="Arial" w:eastAsia="Arial" w:hAnsi="Arial"/>
          <w:sz w:val="18"/>
          <w:szCs w:val="18"/>
          <w:b w:val="1"/>
          <w:bCs w:val="1"/>
          <w:color w:val="00548B"/>
        </w:rPr>
        <w:t xml:space="preserve"> M</w:t>
      </w:r>
      <w:r>
        <w:rPr>
          <w:rFonts w:ascii="Arial" w:cs="Arial" w:eastAsia="Arial" w:hAnsi="Arial"/>
          <w:sz w:val="14"/>
          <w:szCs w:val="14"/>
          <w:b w:val="1"/>
          <w:bCs w:val="1"/>
          <w:color w:val="00548B"/>
        </w:rPr>
        <w:t>EETINGS AND</w:t>
      </w:r>
      <w:r>
        <w:rPr>
          <w:rFonts w:ascii="Arial" w:cs="Arial" w:eastAsia="Arial" w:hAnsi="Arial"/>
          <w:sz w:val="18"/>
          <w:szCs w:val="18"/>
          <w:b w:val="1"/>
          <w:bCs w:val="1"/>
          <w:color w:val="00548B"/>
        </w:rPr>
        <w:t xml:space="preserve"> C</w:t>
      </w:r>
      <w:r>
        <w:rPr>
          <w:rFonts w:ascii="Arial" w:cs="Arial" w:eastAsia="Arial" w:hAnsi="Arial"/>
          <w:sz w:val="14"/>
          <w:szCs w:val="14"/>
          <w:b w:val="1"/>
          <w:bCs w:val="1"/>
          <w:color w:val="00548B"/>
        </w:rPr>
        <w:t>OMMITTEES</w:t>
      </w:r>
    </w:p>
    <w:p>
      <w:pPr>
        <w:spacing w:after="0" w:line="17"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color w:val="auto"/>
        </w:rPr>
        <w:t>The board of directors conducts its business through meetings of the full board, actions taken by written consent in lieu of meetings, and by the actions of its committees. During 2021, the board of directors held eleven meetings.</w:t>
      </w:r>
    </w:p>
    <w:p>
      <w:pPr>
        <w:spacing w:after="0" w:line="171" w:lineRule="exact"/>
        <w:rPr>
          <w:sz w:val="20"/>
          <w:szCs w:val="20"/>
          <w:color w:val="auto"/>
        </w:rPr>
      </w:pPr>
    </w:p>
    <w:p>
      <w:pPr>
        <w:jc w:val="both"/>
        <w:ind w:left="200"/>
        <w:spacing w:after="0" w:line="245" w:lineRule="auto"/>
        <w:rPr>
          <w:sz w:val="20"/>
          <w:szCs w:val="20"/>
          <w:color w:val="auto"/>
        </w:rPr>
      </w:pPr>
      <w:r>
        <w:rPr>
          <w:rFonts w:ascii="Arial" w:cs="Arial" w:eastAsia="Arial" w:hAnsi="Arial"/>
          <w:sz w:val="16"/>
          <w:szCs w:val="16"/>
          <w:color w:val="auto"/>
        </w:rPr>
        <w:t>During 2021, each board member attended at least 75% of the aggregate number of board meetings and meetings of all the committees on which the director served. In addition, the Huron board standard practice is for all members of the board to attend each committee meeting, whether or not they serve on that committee, and for which only the committee members receive an attendance fee. Although the Company does not have a formal policy regarding director attendance at our annual meetings, we encourage directors to attend. All of the directors attended the 2021 Annual Meeting of Stockholders.</w:t>
      </w:r>
    </w:p>
    <w:p>
      <w:pPr>
        <w:spacing w:after="0" w:line="164" w:lineRule="exact"/>
        <w:rPr>
          <w:sz w:val="20"/>
          <w:szCs w:val="20"/>
          <w:color w:val="auto"/>
        </w:rPr>
      </w:pPr>
    </w:p>
    <w:p>
      <w:pPr>
        <w:jc w:val="both"/>
        <w:ind w:left="200"/>
        <w:spacing w:after="0" w:line="245" w:lineRule="auto"/>
        <w:rPr>
          <w:sz w:val="20"/>
          <w:szCs w:val="20"/>
          <w:color w:val="auto"/>
        </w:rPr>
      </w:pPr>
      <w:r>
        <w:rPr>
          <w:rFonts w:ascii="Arial" w:cs="Arial" w:eastAsia="Arial" w:hAnsi="Arial"/>
          <w:sz w:val="16"/>
          <w:szCs w:val="16"/>
          <w:color w:val="auto"/>
        </w:rPr>
        <w:t xml:space="preserve">The board of directors operates in part through its four committees: Audit, Compensation, Nominating and Corporate Governance and Technology and Information Security. All committee members are “independent” as defined in the applicable listing standards of NASDAQ. In addition, all Compensation Committee members are “non-employee directors” within the meaning of Rule 16b-3 under the Securities Exchange Act of 1934 (the “1934 Act”) and “outside directors” within the meaning of Section 162(m) of the Internal Revenue Code of 1986, as amended (the “Code”). All Audit Committee members meet the criteria for independence set forth in SEC Rule 10A-3(b)(1). A detailed discussion of each committee’s mission, composition and responsibilities is contained within the committee charters available in the Investor Relations section of the Company’s website at </w:t>
      </w:r>
      <w:r>
        <w:rPr>
          <w:rFonts w:ascii="Arial" w:cs="Arial" w:eastAsia="Arial" w:hAnsi="Arial"/>
          <w:sz w:val="16"/>
          <w:szCs w:val="16"/>
          <w:i w:val="1"/>
          <w:iCs w:val="1"/>
          <w:color w:val="auto"/>
        </w:rPr>
        <w:t>www.huronconsultinggroup.com</w:t>
      </w:r>
      <w:r>
        <w:rPr>
          <w:rFonts w:ascii="Arial" w:cs="Arial" w:eastAsia="Arial" w:hAnsi="Arial"/>
          <w:sz w:val="16"/>
          <w:szCs w:val="16"/>
          <w:color w:val="auto"/>
        </w:rPr>
        <w:t>.</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Audit Committee</w:t>
      </w:r>
    </w:p>
    <w:p>
      <w:pPr>
        <w:spacing w:after="0" w:line="17" w:lineRule="exact"/>
        <w:rPr>
          <w:sz w:val="20"/>
          <w:szCs w:val="20"/>
          <w:color w:val="auto"/>
        </w:rPr>
      </w:pPr>
    </w:p>
    <w:p>
      <w:pPr>
        <w:jc w:val="both"/>
        <w:ind w:left="200"/>
        <w:spacing w:after="0" w:line="244" w:lineRule="auto"/>
        <w:rPr>
          <w:sz w:val="20"/>
          <w:szCs w:val="20"/>
          <w:color w:val="auto"/>
        </w:rPr>
      </w:pPr>
      <w:r>
        <w:rPr>
          <w:rFonts w:ascii="Arial" w:cs="Arial" w:eastAsia="Arial" w:hAnsi="Arial"/>
          <w:sz w:val="16"/>
          <w:szCs w:val="16"/>
          <w:color w:val="auto"/>
        </w:rPr>
        <w:t>The Audit Committee responsibilities include overseeing our accounting and financial reporting processes, the audits of our financial statements, and the Company’s internal controls over financial reporting. The Audit Committee is also responsible for the appointment, compensation, retention, oversight and evaluation of the work of any registered public accounting firm engaged for the purpose of preparing or issuing an audit report or performing audit, review or attest services for us. As such, the Audit Committee approves audit and permitted non-audit services and applicable fees. The Audit Committee met seven times in 2021. The members of the Audit Committee are Messrs. Lockhart (Chair), McCartney and Sawyer. The board of directors has determined that each Audit Committee member has sufficient knowledge in financial and auditing matters to serve on the Audit Committee. The board of directors has also determined that each of Messrs. Lockhart, McCartney and Sawyer is an “audit committee financial expert,” as defined by the applicable securities regulations, and that each member of the Audit Committee satisfies the applicable NASDAQ listing standards for audit committee membership. It is the intention of the board to appoint Mr. Markell to the Audit Committee prior to the Annual Meeting.</w:t>
      </w:r>
    </w:p>
    <w:p>
      <w:pPr>
        <w:spacing w:after="0" w:line="178"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color w:val="auto"/>
        </w:rPr>
        <w:t>The Report of the Audit Committee for the fiscal year ended December 31, 2021 appears below under the caption “PROPOSAL 3—RATIFICATION OF APPOINTMENT OF INDEPENDENT REGISTERED PUBLIC ACCOUNTING FIRM—Report of the Audit Committee.”</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Compensation Committee</w:t>
      </w:r>
    </w:p>
    <w:p>
      <w:pPr>
        <w:spacing w:after="0" w:line="17" w:lineRule="exact"/>
        <w:rPr>
          <w:sz w:val="20"/>
          <w:szCs w:val="20"/>
          <w:color w:val="auto"/>
        </w:rPr>
      </w:pPr>
    </w:p>
    <w:p>
      <w:pPr>
        <w:jc w:val="both"/>
        <w:ind w:left="200"/>
        <w:spacing w:after="0" w:line="246" w:lineRule="auto"/>
        <w:rPr>
          <w:sz w:val="20"/>
          <w:szCs w:val="20"/>
          <w:color w:val="auto"/>
        </w:rPr>
      </w:pPr>
      <w:r>
        <w:rPr>
          <w:rFonts w:ascii="Arial" w:cs="Arial" w:eastAsia="Arial" w:hAnsi="Arial"/>
          <w:sz w:val="16"/>
          <w:szCs w:val="16"/>
          <w:color w:val="auto"/>
        </w:rPr>
        <w:t>Pursuant to its charter, the Compensation Committee responsibilities include overseeing our compensation and benefit plans, including all compensation arrangements for executive officers and directors, each of which the Compensation Committee reviews annually and makes changes as it deems appropriate. The Compensation Committee met seven times in 2021. The members of the Compensation Committee are Ms. Zumwalt (Chair), Mr. Lockhart, Mr. Sawyer and Ms. Singh-Bushell.</w:t>
      </w:r>
    </w:p>
    <w:p>
      <w:pPr>
        <w:spacing w:after="0" w:line="163" w:lineRule="exact"/>
        <w:rPr>
          <w:sz w:val="20"/>
          <w:szCs w:val="20"/>
          <w:color w:val="auto"/>
        </w:rPr>
      </w:pPr>
    </w:p>
    <w:p>
      <w:pPr>
        <w:jc w:val="both"/>
        <w:ind w:left="200"/>
        <w:spacing w:after="0" w:line="244" w:lineRule="auto"/>
        <w:rPr>
          <w:sz w:val="20"/>
          <w:szCs w:val="20"/>
          <w:color w:val="auto"/>
        </w:rPr>
      </w:pPr>
      <w:r>
        <w:rPr>
          <w:rFonts w:ascii="Arial" w:cs="Arial" w:eastAsia="Arial" w:hAnsi="Arial"/>
          <w:sz w:val="16"/>
          <w:szCs w:val="16"/>
          <w:color w:val="auto"/>
        </w:rPr>
        <w:t>Management assists the Compensation Committee in the performance of its duties as described in more detail below under “EXECUTIVE COMPENSATION—Compensation Discussion and Analysis—Role of Management.” In addition, during 2021, the CEO participated in all of the Compensation Committee’s meetings and in all of the executive sessions, except for those in which the Compensation Committee considered the CEO’s performance, compensation and incentives. The Compensation Committee engaged the firm of Pay Governance LLC as its outside compensation advisor to assist the Compensation Committee in the execution of its charter. The support provided by the advisor is described in more detail below under “EXECUTIVE COMPENSATION—Compensation Discussion and Analysis—Role of Compensation Advisor.” The Report of the Compensation Committee on Executive Compensation appears below under the caption “EXECUTIVE COMPENSATION—Compensation Committee Report.”</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15</w:t>
      </w:r>
    </w:p>
    <w:p>
      <w:pPr>
        <w:sectPr>
          <w:pgSz w:w="11900" w:h="16838" w:orient="portrait"/>
          <w:cols w:equalWidth="0" w:num="1">
            <w:col w:w="11040"/>
          </w:cols>
          <w:pgMar w:left="320" w:top="454" w:right="5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Nominating and Corporate Governance Committee</w:t>
      </w:r>
    </w:p>
    <w:p>
      <w:pPr>
        <w:spacing w:after="0" w:line="17" w:lineRule="exact"/>
        <w:rPr>
          <w:sz w:val="20"/>
          <w:szCs w:val="20"/>
          <w:color w:val="auto"/>
        </w:rPr>
      </w:pPr>
    </w:p>
    <w:p>
      <w:pPr>
        <w:jc w:val="both"/>
        <w:ind w:left="200"/>
        <w:spacing w:after="0" w:line="248" w:lineRule="auto"/>
        <w:rPr>
          <w:sz w:val="20"/>
          <w:szCs w:val="20"/>
          <w:color w:val="auto"/>
        </w:rPr>
      </w:pPr>
      <w:r>
        <w:rPr>
          <w:rFonts w:ascii="Arial" w:cs="Arial" w:eastAsia="Arial" w:hAnsi="Arial"/>
          <w:sz w:val="16"/>
          <w:szCs w:val="16"/>
          <w:color w:val="auto"/>
        </w:rPr>
        <w:t>The Nominating and Corporate Governance Committee responsibilities include identifying and recommending to the board of directors appropriate director nominee candidates and providing oversight with respect to corporate governance and corporate social responsibility matters. The Nominating and Corporate Governance Committee met four times in 2021.</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members of the Nominating and Corporate Governance Committee are Mr. McCartney (Chair), Ms. Zumwalt, Ms. Singh-Bushell and Mr. Sawyer.</w:t>
      </w:r>
    </w:p>
    <w:p>
      <w:pPr>
        <w:spacing w:after="0" w:line="175" w:lineRule="exact"/>
        <w:rPr>
          <w:sz w:val="20"/>
          <w:szCs w:val="20"/>
          <w:color w:val="auto"/>
        </w:rPr>
      </w:pPr>
    </w:p>
    <w:p>
      <w:pPr>
        <w:jc w:val="both"/>
        <w:ind w:left="200"/>
        <w:spacing w:after="0" w:line="245" w:lineRule="auto"/>
        <w:rPr>
          <w:sz w:val="20"/>
          <w:szCs w:val="20"/>
          <w:color w:val="auto"/>
        </w:rPr>
      </w:pPr>
      <w:r>
        <w:rPr>
          <w:rFonts w:ascii="Arial" w:cs="Arial" w:eastAsia="Arial" w:hAnsi="Arial"/>
          <w:sz w:val="16"/>
          <w:szCs w:val="16"/>
          <w:color w:val="auto"/>
        </w:rPr>
        <w:t>Directors may be nominated by the board of directors or by stockholders in accordance with the bylaws of the Company. The Nominating and Corporate Governance Committee will review all candidates for nomination to the board of directors, including those proposed by stockholders as provided below. The Nominating and Corporate Governance Committee reviews the person’s judgment, experience, independence, understanding of the Company’s business or other related industries, and such other factors as the Nominating and Corporate Governance Committee determines are relevant in light of the needs of the board of directors and the Company. The Nominating and Corporate Governance Committee selects qualified candidates and reviews its recommendations with the board of directors, which will decide whether to invite the candidate to be a nominee for election to the board of directors.</w:t>
      </w:r>
    </w:p>
    <w:p>
      <w:pPr>
        <w:spacing w:after="0" w:line="163" w:lineRule="exact"/>
        <w:rPr>
          <w:sz w:val="20"/>
          <w:szCs w:val="20"/>
          <w:color w:val="auto"/>
        </w:rPr>
      </w:pPr>
    </w:p>
    <w:p>
      <w:pPr>
        <w:jc w:val="both"/>
        <w:ind w:left="200"/>
        <w:spacing w:after="0" w:line="245" w:lineRule="auto"/>
        <w:rPr>
          <w:sz w:val="20"/>
          <w:szCs w:val="20"/>
          <w:color w:val="auto"/>
        </w:rPr>
      </w:pPr>
      <w:r>
        <w:rPr>
          <w:rFonts w:ascii="Arial" w:cs="Arial" w:eastAsia="Arial" w:hAnsi="Arial"/>
          <w:sz w:val="16"/>
          <w:szCs w:val="16"/>
          <w:color w:val="auto"/>
        </w:rPr>
        <w:t xml:space="preserve">For a stockholder to submit a candidate for consideration by the Nominating and Corporate Governance Committee, a stockholder must notify the Company’s Corporate Secretary. In addition, the Company’s bylaws permit stockholders to nominate directors at a stockholders’ meeting. To make a director nomination at the annual meeting, a stockholder must notify the Company’s Corporate Secretary within the time periods specified under “SUBMISSION OF STOCKHOLDER PROPOSALS” below. Notices should be sent to: Corporate Secretary, Huron Consulting Group Inc., 550 West Van Buren Street, 17th Floor, Chicago, Illinois 60607, or </w:t>
      </w:r>
      <w:r>
        <w:rPr>
          <w:rFonts w:ascii="Arial" w:cs="Arial" w:eastAsia="Arial" w:hAnsi="Arial"/>
          <w:sz w:val="16"/>
          <w:szCs w:val="16"/>
          <w:i w:val="1"/>
          <w:iCs w:val="1"/>
          <w:color w:val="auto"/>
        </w:rPr>
        <w:t>corporatesecretary@hcg.com</w:t>
      </w:r>
      <w:r>
        <w:rPr>
          <w:rFonts w:ascii="Arial" w:cs="Arial" w:eastAsia="Arial" w:hAnsi="Arial"/>
          <w:sz w:val="16"/>
          <w:szCs w:val="16"/>
          <w:color w:val="auto"/>
        </w:rPr>
        <w:t>. In either case, the notice must meet all of the requirements contained in the bylaws.</w:t>
      </w:r>
    </w:p>
    <w:p>
      <w:pPr>
        <w:spacing w:after="0" w:line="1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Technology and Information Security Committee</w:t>
      </w:r>
    </w:p>
    <w:p>
      <w:pPr>
        <w:spacing w:after="0" w:line="17" w:lineRule="exact"/>
        <w:rPr>
          <w:sz w:val="20"/>
          <w:szCs w:val="20"/>
          <w:color w:val="auto"/>
        </w:rPr>
      </w:pPr>
    </w:p>
    <w:p>
      <w:pPr>
        <w:jc w:val="both"/>
        <w:ind w:left="200"/>
        <w:spacing w:after="0" w:line="246" w:lineRule="auto"/>
        <w:rPr>
          <w:sz w:val="20"/>
          <w:szCs w:val="20"/>
          <w:color w:val="auto"/>
        </w:rPr>
      </w:pPr>
      <w:r>
        <w:rPr>
          <w:rFonts w:ascii="Arial" w:cs="Arial" w:eastAsia="Arial" w:hAnsi="Arial"/>
          <w:sz w:val="16"/>
          <w:szCs w:val="16"/>
          <w:color w:val="auto"/>
        </w:rPr>
        <w:t>The Technology and Information Security Committee responsibilities include reviewing the Company’s technology-related strategies and significant technology-related initiatives and operations, overseeing major technology-related risks, including information security, data protection and cybersecurity, and monitoring and evaluating existing and future trends in technology that may affect the Company’s strategic plan. The Technology and Information Security Committee met five times in 2021.</w:t>
      </w:r>
    </w:p>
    <w:p>
      <w:pPr>
        <w:spacing w:after="0" w:line="163" w:lineRule="exact"/>
        <w:rPr>
          <w:sz w:val="20"/>
          <w:szCs w:val="20"/>
          <w:color w:val="auto"/>
        </w:rPr>
      </w:pPr>
    </w:p>
    <w:p>
      <w:pPr>
        <w:jc w:val="both"/>
        <w:ind w:left="200"/>
        <w:spacing w:after="0" w:line="245" w:lineRule="auto"/>
        <w:rPr>
          <w:sz w:val="20"/>
          <w:szCs w:val="20"/>
          <w:color w:val="auto"/>
        </w:rPr>
      </w:pPr>
      <w:r>
        <w:rPr>
          <w:rFonts w:ascii="Arial" w:cs="Arial" w:eastAsia="Arial" w:hAnsi="Arial"/>
          <w:sz w:val="16"/>
          <w:szCs w:val="16"/>
          <w:color w:val="auto"/>
        </w:rPr>
        <w:t>The members of the Technology and Information Security Committee are Ms. Singh-Bushell (Chair), Mr. Lockhart and Ms. Zumwalt. The committee members have significant knowledge and experience in technology and information security related strategies, operations, risk management and governance through their extensive professional experience and board service. The committee members also draw upon the skills and insight of the full board and regularly liaise with the Company’s Chief Information Officer. It is the intention of the board to appoint Mr. Markell to the Technology and Information Security Committee prior to the Annual Meeting.</w:t>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D</w:t>
      </w:r>
      <w:r>
        <w:rPr>
          <w:rFonts w:ascii="Arial" w:cs="Arial" w:eastAsia="Arial" w:hAnsi="Arial"/>
          <w:sz w:val="14"/>
          <w:szCs w:val="14"/>
          <w:b w:val="1"/>
          <w:bCs w:val="1"/>
          <w:color w:val="00548B"/>
        </w:rPr>
        <w:t>IRECTOR</w:t>
      </w:r>
      <w:r>
        <w:rPr>
          <w:rFonts w:ascii="Arial" w:cs="Arial" w:eastAsia="Arial" w:hAnsi="Arial"/>
          <w:sz w:val="18"/>
          <w:szCs w:val="18"/>
          <w:b w:val="1"/>
          <w:bCs w:val="1"/>
          <w:color w:val="00548B"/>
        </w:rPr>
        <w:t xml:space="preserve"> R</w:t>
      </w:r>
      <w:r>
        <w:rPr>
          <w:rFonts w:ascii="Arial" w:cs="Arial" w:eastAsia="Arial" w:hAnsi="Arial"/>
          <w:sz w:val="14"/>
          <w:szCs w:val="14"/>
          <w:b w:val="1"/>
          <w:bCs w:val="1"/>
          <w:color w:val="00548B"/>
        </w:rPr>
        <w:t>ESIGNATION</w:t>
      </w:r>
      <w:r>
        <w:rPr>
          <w:rFonts w:ascii="Arial" w:cs="Arial" w:eastAsia="Arial" w:hAnsi="Arial"/>
          <w:sz w:val="18"/>
          <w:szCs w:val="18"/>
          <w:b w:val="1"/>
          <w:bCs w:val="1"/>
          <w:color w:val="00548B"/>
        </w:rPr>
        <w:t xml:space="preserve"> P</w:t>
      </w:r>
      <w:r>
        <w:rPr>
          <w:rFonts w:ascii="Arial" w:cs="Arial" w:eastAsia="Arial" w:hAnsi="Arial"/>
          <w:sz w:val="14"/>
          <w:szCs w:val="14"/>
          <w:b w:val="1"/>
          <w:bCs w:val="1"/>
          <w:color w:val="00548B"/>
        </w:rPr>
        <w:t>OLICY</w:t>
      </w:r>
    </w:p>
    <w:p>
      <w:pPr>
        <w:spacing w:after="0" w:line="17" w:lineRule="exact"/>
        <w:rPr>
          <w:sz w:val="20"/>
          <w:szCs w:val="20"/>
          <w:color w:val="auto"/>
        </w:rPr>
      </w:pPr>
    </w:p>
    <w:p>
      <w:pPr>
        <w:jc w:val="both"/>
        <w:ind w:left="200"/>
        <w:spacing w:after="0" w:line="245" w:lineRule="auto"/>
        <w:rPr>
          <w:sz w:val="20"/>
          <w:szCs w:val="20"/>
          <w:color w:val="auto"/>
        </w:rPr>
      </w:pPr>
      <w:r>
        <w:rPr>
          <w:rFonts w:ascii="Arial" w:cs="Arial" w:eastAsia="Arial" w:hAnsi="Arial"/>
          <w:sz w:val="16"/>
          <w:szCs w:val="16"/>
          <w:color w:val="auto"/>
        </w:rPr>
        <w:t>The Company’s Corporate Governance Guidelines provide that in an uncontested election, any nominee for director who receives a greater number of votes “withheld” from his or her election than “for” his or her election shall promptly tender his or her resignation to the board of directors following certification of the election results, subject to acceptance by the board of directors. For purposes of this policy, (i) an “uncontested” election is one in which the number of persons properly nominated for election as directors as of the date that is ten (10) days before the record date for determining stockholders entitled to notice of or to vote at such meeting is not greater than the number of directors to be elected, and (ii) broker non-votes will not be counted as either votes “withheld” from or “for” such person’s election.</w:t>
      </w:r>
    </w:p>
    <w:p>
      <w:pPr>
        <w:spacing w:after="0" w:line="176" w:lineRule="exact"/>
        <w:rPr>
          <w:sz w:val="20"/>
          <w:szCs w:val="20"/>
          <w:color w:val="auto"/>
        </w:rPr>
      </w:pPr>
    </w:p>
    <w:p>
      <w:pPr>
        <w:jc w:val="both"/>
        <w:ind w:left="200"/>
        <w:spacing w:after="0" w:line="248" w:lineRule="auto"/>
        <w:rPr>
          <w:sz w:val="20"/>
          <w:szCs w:val="20"/>
          <w:color w:val="auto"/>
        </w:rPr>
      </w:pPr>
      <w:r>
        <w:rPr>
          <w:rFonts w:ascii="Arial" w:cs="Arial" w:eastAsia="Arial" w:hAnsi="Arial"/>
          <w:sz w:val="16"/>
          <w:szCs w:val="16"/>
          <w:color w:val="auto"/>
        </w:rPr>
        <w:t>The Nominating and Corporate Governance Committee shall make a recommendation to the board of directors as to whether to accept or reject the tendered resignation, or whether other action should be taken. The board of directors shall determine whether to accept or reject the tendered resignation, or whether other action should be taken, in its sole discretion, and publicly disclose its decision regarding the tendered resignation</w:t>
      </w:r>
    </w:p>
    <w:p>
      <w:pPr>
        <w:spacing w:after="0" w:line="13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16</w:t>
      </w:r>
    </w:p>
    <w:p>
      <w:pPr>
        <w:sectPr>
          <w:pgSz w:w="11900" w:h="16838" w:orient="portrait"/>
          <w:cols w:equalWidth="0" w:num="1">
            <w:col w:w="11040"/>
          </w:cols>
          <w:pgMar w:left="320" w:top="454" w:right="5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200"/>
        <w:spacing w:after="0" w:line="248" w:lineRule="auto"/>
        <w:rPr>
          <w:sz w:val="20"/>
          <w:szCs w:val="20"/>
          <w:color w:val="auto"/>
        </w:rPr>
      </w:pPr>
      <w:r>
        <w:rPr>
          <w:rFonts w:ascii="Arial" w:cs="Arial" w:eastAsia="Arial" w:hAnsi="Arial"/>
          <w:sz w:val="16"/>
          <w:szCs w:val="16"/>
          <w:color w:val="auto"/>
        </w:rPr>
        <w:t>within ninety (90) days from the date of the certification of the election results. The Nominating and Corporate Governance Committee in making its recommendation and the board of directors in making its decision may each consider any factors or other information that they consider appropriate and relevant.</w:t>
      </w:r>
    </w:p>
    <w:p>
      <w:pPr>
        <w:spacing w:after="0" w:line="174" w:lineRule="exact"/>
        <w:rPr>
          <w:sz w:val="20"/>
          <w:szCs w:val="20"/>
          <w:color w:val="auto"/>
        </w:rPr>
      </w:pPr>
    </w:p>
    <w:p>
      <w:pPr>
        <w:jc w:val="both"/>
        <w:ind w:left="200"/>
        <w:spacing w:after="0" w:line="245" w:lineRule="auto"/>
        <w:rPr>
          <w:sz w:val="20"/>
          <w:szCs w:val="20"/>
          <w:color w:val="auto"/>
        </w:rPr>
      </w:pPr>
      <w:r>
        <w:rPr>
          <w:rFonts w:ascii="Arial" w:cs="Arial" w:eastAsia="Arial" w:hAnsi="Arial"/>
          <w:sz w:val="16"/>
          <w:szCs w:val="16"/>
          <w:color w:val="auto"/>
        </w:rPr>
        <w:t>If any director’s resignation is not accepted by the board of directors, such director shall continue to serve until such director’s successor is duly elected and qualified, or until such director’s earlier death, resignation, retirement, disqualification or removal. If a director’s resignation is accepted by the board of directors pursuant to this policy, then the board of directors, in its sole discretion, may fill any resulting vacancy pursuant to the provisions of Section 2 of Article III of the bylaws of the Company or may decrease the size of the board of directors pursuant to Section 1 of Article III of the bylaws of the Company.</w:t>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D</w:t>
      </w:r>
      <w:r>
        <w:rPr>
          <w:rFonts w:ascii="Arial" w:cs="Arial" w:eastAsia="Arial" w:hAnsi="Arial"/>
          <w:sz w:val="14"/>
          <w:szCs w:val="14"/>
          <w:b w:val="1"/>
          <w:bCs w:val="1"/>
          <w:color w:val="00548B"/>
        </w:rPr>
        <w:t>IVERSITY OF</w:t>
      </w:r>
      <w:r>
        <w:rPr>
          <w:rFonts w:ascii="Arial" w:cs="Arial" w:eastAsia="Arial" w:hAnsi="Arial"/>
          <w:sz w:val="18"/>
          <w:szCs w:val="18"/>
          <w:b w:val="1"/>
          <w:bCs w:val="1"/>
          <w:color w:val="00548B"/>
        </w:rPr>
        <w:t xml:space="preserve"> B</w:t>
      </w:r>
      <w:r>
        <w:rPr>
          <w:rFonts w:ascii="Arial" w:cs="Arial" w:eastAsia="Arial" w:hAnsi="Arial"/>
          <w:sz w:val="14"/>
          <w:szCs w:val="14"/>
          <w:b w:val="1"/>
          <w:bCs w:val="1"/>
          <w:color w:val="00548B"/>
        </w:rPr>
        <w:t>OARD</w:t>
      </w:r>
      <w:r>
        <w:rPr>
          <w:rFonts w:ascii="Arial" w:cs="Arial" w:eastAsia="Arial" w:hAnsi="Arial"/>
          <w:sz w:val="18"/>
          <w:szCs w:val="18"/>
          <w:b w:val="1"/>
          <w:bCs w:val="1"/>
          <w:color w:val="00548B"/>
        </w:rPr>
        <w:t xml:space="preserve"> S</w:t>
      </w:r>
      <w:r>
        <w:rPr>
          <w:rFonts w:ascii="Arial" w:cs="Arial" w:eastAsia="Arial" w:hAnsi="Arial"/>
          <w:sz w:val="14"/>
          <w:szCs w:val="14"/>
          <w:b w:val="1"/>
          <w:bCs w:val="1"/>
          <w:color w:val="00548B"/>
        </w:rPr>
        <w:t>KILLS AND</w:t>
      </w:r>
      <w:r>
        <w:rPr>
          <w:rFonts w:ascii="Arial" w:cs="Arial" w:eastAsia="Arial" w:hAnsi="Arial"/>
          <w:sz w:val="18"/>
          <w:szCs w:val="18"/>
          <w:b w:val="1"/>
          <w:bCs w:val="1"/>
          <w:color w:val="00548B"/>
        </w:rPr>
        <w:t xml:space="preserve"> E</w:t>
      </w:r>
      <w:r>
        <w:rPr>
          <w:rFonts w:ascii="Arial" w:cs="Arial" w:eastAsia="Arial" w:hAnsi="Arial"/>
          <w:sz w:val="14"/>
          <w:szCs w:val="14"/>
          <w:b w:val="1"/>
          <w:bCs w:val="1"/>
          <w:color w:val="00548B"/>
        </w:rPr>
        <w:t>XPERIENCE</w:t>
      </w:r>
    </w:p>
    <w:p>
      <w:pPr>
        <w:spacing w:after="0" w:line="17" w:lineRule="exact"/>
        <w:rPr>
          <w:sz w:val="20"/>
          <w:szCs w:val="20"/>
          <w:color w:val="auto"/>
        </w:rPr>
      </w:pPr>
    </w:p>
    <w:p>
      <w:pPr>
        <w:jc w:val="both"/>
        <w:ind w:left="200"/>
        <w:spacing w:after="0" w:line="244" w:lineRule="auto"/>
        <w:rPr>
          <w:sz w:val="20"/>
          <w:szCs w:val="20"/>
          <w:color w:val="auto"/>
        </w:rPr>
      </w:pPr>
      <w:r>
        <w:rPr>
          <w:rFonts w:ascii="Arial" w:cs="Arial" w:eastAsia="Arial" w:hAnsi="Arial"/>
          <w:sz w:val="16"/>
          <w:szCs w:val="16"/>
          <w:color w:val="auto"/>
        </w:rPr>
        <w:t>The Nominating and Corporate Governance Committee, in discussing board composition, has focused on diversity of experience and perspectives in relation to guiding and overseeing the development of the business. Consistent with the Company’s longstanding focus on diversity and inclusion, the committee believes it should reflect over time a diversity of gender, race, ethnicity and age. Although Huron does not have a formal policy on board member diversity and the committee follows no strict criteria when making decisions, the committee believes that considering diversity is aligned with the board’s objective of enhancing composition to most effectively evaluate and support the Company’s strategy going forward. In addition to the considerations mentioned above under the “Nominating and Corporate Governance Committee” section, the Nominating and Corporate Governance Committee seeks candidates with prior management experience, experience on public company boards and in relevant industries and the candidate’s ability to bring diversity to the board, which includes diverse viewpoints and perspectives.</w:t>
      </w:r>
    </w:p>
    <w:p>
      <w:pPr>
        <w:spacing w:after="0" w:line="1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C</w:t>
      </w:r>
      <w:r>
        <w:rPr>
          <w:rFonts w:ascii="Arial" w:cs="Arial" w:eastAsia="Arial" w:hAnsi="Arial"/>
          <w:sz w:val="14"/>
          <w:szCs w:val="14"/>
          <w:b w:val="1"/>
          <w:bCs w:val="1"/>
          <w:color w:val="00548B"/>
        </w:rPr>
        <w:t>OMPENSATION OF</w:t>
      </w:r>
      <w:r>
        <w:rPr>
          <w:rFonts w:ascii="Arial" w:cs="Arial" w:eastAsia="Arial" w:hAnsi="Arial"/>
          <w:sz w:val="18"/>
          <w:szCs w:val="18"/>
          <w:b w:val="1"/>
          <w:bCs w:val="1"/>
          <w:color w:val="00548B"/>
        </w:rPr>
        <w:t xml:space="preserve"> D</w:t>
      </w:r>
      <w:r>
        <w:rPr>
          <w:rFonts w:ascii="Arial" w:cs="Arial" w:eastAsia="Arial" w:hAnsi="Arial"/>
          <w:sz w:val="14"/>
          <w:szCs w:val="14"/>
          <w:b w:val="1"/>
          <w:bCs w:val="1"/>
          <w:color w:val="00548B"/>
        </w:rPr>
        <w:t>IRECTORS</w:t>
      </w:r>
    </w:p>
    <w:p>
      <w:pPr>
        <w:spacing w:after="0" w:line="17" w:lineRule="exact"/>
        <w:rPr>
          <w:sz w:val="20"/>
          <w:szCs w:val="20"/>
          <w:color w:val="auto"/>
        </w:rPr>
      </w:pPr>
    </w:p>
    <w:p>
      <w:pPr>
        <w:jc w:val="both"/>
        <w:ind w:left="200"/>
        <w:spacing w:after="0" w:line="246" w:lineRule="auto"/>
        <w:rPr>
          <w:sz w:val="20"/>
          <w:szCs w:val="20"/>
          <w:color w:val="auto"/>
        </w:rPr>
      </w:pPr>
      <w:r>
        <w:rPr>
          <w:rFonts w:ascii="Arial" w:cs="Arial" w:eastAsia="Arial" w:hAnsi="Arial"/>
          <w:sz w:val="16"/>
          <w:szCs w:val="16"/>
          <w:color w:val="auto"/>
        </w:rPr>
        <w:t>The Huron non-employee director compensation program is designed to enhance our ability to attract and retain highly qualified directors and to align their interests with the long-term interests of our stockholders. The program consists of both a cash component, designed to compensate non-employee directors for their service on the board and its committees, and an equity component, designed to align the interests of non-employee directors and stockholders. Mr. Roth receives no compensation for his service on the board.</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director compensation program is comprised of the following elements:</w:t>
      </w:r>
    </w:p>
    <w:p>
      <w:pPr>
        <w:spacing w:after="0" w:line="220" w:lineRule="exact"/>
        <w:rPr>
          <w:sz w:val="20"/>
          <w:szCs w:val="20"/>
          <w:color w:val="auto"/>
        </w:rPr>
      </w:pPr>
    </w:p>
    <w:tbl>
      <w:tblPr>
        <w:tblLayout w:type="fixed"/>
        <w:tblInd w:w="330" w:type="dxa"/>
        <w:tblCellMar>
          <w:top w:w="0" w:type="dxa"/>
          <w:left w:w="0" w:type="dxa"/>
          <w:bottom w:w="0" w:type="dxa"/>
          <w:right w:w="0" w:type="dxa"/>
        </w:tblCellMar>
      </w:tblPr>
      <w:tr>
        <w:trPr>
          <w:trHeight w:val="199"/>
        </w:trPr>
        <w:tc>
          <w:tcPr>
            <w:tcW w:w="5340" w:type="dxa"/>
            <w:vAlign w:val="bottom"/>
            <w:tcBorders>
              <w:top w:val="single" w:sz="8" w:color="00548B"/>
              <w:left w:val="single" w:sz="8" w:color="00548B"/>
              <w:right w:val="single" w:sz="8" w:color="999999"/>
            </w:tcBorders>
            <w:shd w:val="clear" w:color="auto" w:fill="00548B"/>
          </w:tcPr>
          <w:p>
            <w:pPr>
              <w:ind w:left="140"/>
              <w:spacing w:after="0"/>
              <w:rPr>
                <w:sz w:val="20"/>
                <w:szCs w:val="20"/>
                <w:color w:val="auto"/>
              </w:rPr>
            </w:pPr>
            <w:r>
              <w:rPr>
                <w:rFonts w:ascii="Arial" w:cs="Arial" w:eastAsia="Arial" w:hAnsi="Arial"/>
                <w:sz w:val="16"/>
                <w:szCs w:val="16"/>
                <w:b w:val="1"/>
                <w:bCs w:val="1"/>
                <w:color w:val="E5E5E5"/>
              </w:rPr>
              <w:t>Compensation Element</w:t>
            </w:r>
          </w:p>
        </w:tc>
        <w:tc>
          <w:tcPr>
            <w:tcW w:w="5300" w:type="dxa"/>
            <w:vAlign w:val="bottom"/>
            <w:tcBorders>
              <w:top w:val="single" w:sz="8" w:color="00548B"/>
              <w:right w:val="single" w:sz="8" w:color="00548B"/>
            </w:tcBorders>
            <w:shd w:val="clear" w:color="auto" w:fill="00548B"/>
          </w:tcPr>
          <w:p>
            <w:pPr>
              <w:ind w:left="2160"/>
              <w:spacing w:after="0"/>
              <w:rPr>
                <w:sz w:val="20"/>
                <w:szCs w:val="20"/>
                <w:color w:val="auto"/>
              </w:rPr>
            </w:pPr>
            <w:r>
              <w:rPr>
                <w:rFonts w:ascii="Arial" w:cs="Arial" w:eastAsia="Arial" w:hAnsi="Arial"/>
                <w:sz w:val="16"/>
                <w:szCs w:val="16"/>
                <w:b w:val="1"/>
                <w:bCs w:val="1"/>
                <w:color w:val="E5E5E5"/>
              </w:rPr>
              <w:t>Compensation</w:t>
            </w:r>
          </w:p>
        </w:tc>
        <w:tc>
          <w:tcPr>
            <w:tcW w:w="0" w:type="dxa"/>
            <w:vAlign w:val="bottom"/>
          </w:tcPr>
          <w:p>
            <w:pPr>
              <w:spacing w:after="0"/>
              <w:rPr>
                <w:sz w:val="1"/>
                <w:szCs w:val="1"/>
                <w:color w:val="auto"/>
              </w:rPr>
            </w:pPr>
          </w:p>
        </w:tc>
      </w:tr>
      <w:tr>
        <w:trPr>
          <w:trHeight w:val="188"/>
        </w:trPr>
        <w:tc>
          <w:tcPr>
            <w:tcW w:w="5340" w:type="dxa"/>
            <w:vAlign w:val="bottom"/>
            <w:tcBorders>
              <w:left w:val="single" w:sz="8" w:color="00548B"/>
              <w:right w:val="single" w:sz="8" w:color="999999"/>
            </w:tcBorders>
          </w:tcPr>
          <w:p>
            <w:pPr>
              <w:spacing w:after="0"/>
              <w:rPr>
                <w:sz w:val="16"/>
                <w:szCs w:val="16"/>
                <w:color w:val="auto"/>
              </w:rPr>
            </w:pPr>
          </w:p>
        </w:tc>
        <w:tc>
          <w:tcPr>
            <w:tcW w:w="5300" w:type="dxa"/>
            <w:vAlign w:val="bottom"/>
            <w:tcBorders>
              <w:right w:val="single" w:sz="8" w:color="00548B"/>
            </w:tcBorders>
          </w:tcPr>
          <w:p>
            <w:pPr>
              <w:ind w:left="180"/>
              <w:spacing w:after="0"/>
              <w:rPr>
                <w:sz w:val="20"/>
                <w:szCs w:val="20"/>
                <w:color w:val="auto"/>
              </w:rPr>
            </w:pPr>
            <w:r>
              <w:rPr>
                <w:rFonts w:ascii="Arial" w:cs="Arial" w:eastAsia="Arial" w:hAnsi="Arial"/>
                <w:sz w:val="16"/>
                <w:szCs w:val="16"/>
                <w:color w:val="auto"/>
              </w:rPr>
              <w:t>Non-executive Chairman - $235,000</w:t>
            </w:r>
          </w:p>
        </w:tc>
        <w:tc>
          <w:tcPr>
            <w:tcW w:w="0" w:type="dxa"/>
            <w:vAlign w:val="bottom"/>
          </w:tcPr>
          <w:p>
            <w:pPr>
              <w:spacing w:after="0"/>
              <w:rPr>
                <w:sz w:val="1"/>
                <w:szCs w:val="1"/>
                <w:color w:val="auto"/>
              </w:rPr>
            </w:pPr>
          </w:p>
        </w:tc>
      </w:tr>
      <w:tr>
        <w:trPr>
          <w:trHeight w:val="186"/>
        </w:trPr>
        <w:tc>
          <w:tcPr>
            <w:tcW w:w="5340" w:type="dxa"/>
            <w:vAlign w:val="bottom"/>
            <w:tcBorders>
              <w:left w:val="single" w:sz="8" w:color="00548B"/>
              <w:right w:val="single" w:sz="8" w:color="999999"/>
            </w:tcBorders>
          </w:tcPr>
          <w:p>
            <w:pPr>
              <w:ind w:left="140"/>
              <w:spacing w:after="0"/>
              <w:rPr>
                <w:sz w:val="20"/>
                <w:szCs w:val="20"/>
                <w:color w:val="auto"/>
              </w:rPr>
            </w:pPr>
            <w:r>
              <w:rPr>
                <w:rFonts w:ascii="Arial" w:cs="Arial" w:eastAsia="Arial" w:hAnsi="Arial"/>
                <w:sz w:val="16"/>
                <w:szCs w:val="16"/>
                <w:color w:val="auto"/>
              </w:rPr>
              <w:t>Annual cash retainer (1)</w:t>
            </w:r>
          </w:p>
        </w:tc>
        <w:tc>
          <w:tcPr>
            <w:tcW w:w="5300" w:type="dxa"/>
            <w:vAlign w:val="bottom"/>
            <w:tcBorders>
              <w:right w:val="single" w:sz="8" w:color="00548B"/>
            </w:tcBorders>
          </w:tcPr>
          <w:p>
            <w:pPr>
              <w:ind w:left="180"/>
              <w:spacing w:after="0"/>
              <w:rPr>
                <w:sz w:val="20"/>
                <w:szCs w:val="20"/>
                <w:color w:val="auto"/>
              </w:rPr>
            </w:pPr>
            <w:r>
              <w:rPr>
                <w:rFonts w:ascii="Arial" w:cs="Arial" w:eastAsia="Arial" w:hAnsi="Arial"/>
                <w:sz w:val="16"/>
                <w:szCs w:val="16"/>
                <w:color w:val="auto"/>
              </w:rPr>
              <w:t>Vice Chairman - $85,000 (6)</w:t>
            </w:r>
          </w:p>
        </w:tc>
        <w:tc>
          <w:tcPr>
            <w:tcW w:w="0" w:type="dxa"/>
            <w:vAlign w:val="bottom"/>
          </w:tcPr>
          <w:p>
            <w:pPr>
              <w:spacing w:after="0"/>
              <w:rPr>
                <w:sz w:val="1"/>
                <w:szCs w:val="1"/>
                <w:color w:val="auto"/>
              </w:rPr>
            </w:pPr>
          </w:p>
        </w:tc>
      </w:tr>
      <w:tr>
        <w:trPr>
          <w:trHeight w:val="195"/>
        </w:trPr>
        <w:tc>
          <w:tcPr>
            <w:tcW w:w="5340" w:type="dxa"/>
            <w:vAlign w:val="bottom"/>
            <w:tcBorders>
              <w:left w:val="single" w:sz="8" w:color="00548B"/>
              <w:bottom w:val="single" w:sz="8" w:color="999999"/>
              <w:right w:val="single" w:sz="8" w:color="999999"/>
            </w:tcBorders>
          </w:tcPr>
          <w:p>
            <w:pPr>
              <w:spacing w:after="0"/>
              <w:rPr>
                <w:sz w:val="16"/>
                <w:szCs w:val="16"/>
                <w:color w:val="auto"/>
              </w:rPr>
            </w:pPr>
          </w:p>
        </w:tc>
        <w:tc>
          <w:tcPr>
            <w:tcW w:w="5300" w:type="dxa"/>
            <w:vAlign w:val="bottom"/>
            <w:tcBorders>
              <w:bottom w:val="single" w:sz="8" w:color="999999"/>
              <w:right w:val="single" w:sz="8" w:color="00548B"/>
            </w:tcBorders>
          </w:tcPr>
          <w:p>
            <w:pPr>
              <w:ind w:left="180"/>
              <w:spacing w:after="0"/>
              <w:rPr>
                <w:sz w:val="20"/>
                <w:szCs w:val="20"/>
                <w:color w:val="auto"/>
              </w:rPr>
            </w:pPr>
            <w:r>
              <w:rPr>
                <w:rFonts w:ascii="Arial" w:cs="Arial" w:eastAsia="Arial" w:hAnsi="Arial"/>
                <w:sz w:val="16"/>
                <w:szCs w:val="16"/>
                <w:color w:val="auto"/>
              </w:rPr>
              <w:t>Other non-employee directors - $60,000</w:t>
            </w:r>
          </w:p>
        </w:tc>
        <w:tc>
          <w:tcPr>
            <w:tcW w:w="0" w:type="dxa"/>
            <w:vAlign w:val="bottom"/>
          </w:tcPr>
          <w:p>
            <w:pPr>
              <w:spacing w:after="0"/>
              <w:rPr>
                <w:sz w:val="1"/>
                <w:szCs w:val="1"/>
                <w:color w:val="auto"/>
              </w:rPr>
            </w:pPr>
          </w:p>
        </w:tc>
      </w:tr>
      <w:tr>
        <w:trPr>
          <w:trHeight w:val="182"/>
        </w:trPr>
        <w:tc>
          <w:tcPr>
            <w:tcW w:w="5340" w:type="dxa"/>
            <w:vAlign w:val="bottom"/>
            <w:tcBorders>
              <w:left w:val="single" w:sz="8" w:color="00548B"/>
              <w:bottom w:val="single" w:sz="8" w:color="999999"/>
              <w:right w:val="single" w:sz="8" w:color="999999"/>
            </w:tcBorders>
          </w:tcPr>
          <w:p>
            <w:pPr>
              <w:ind w:left="140"/>
              <w:spacing w:after="0" w:line="182" w:lineRule="exact"/>
              <w:rPr>
                <w:sz w:val="20"/>
                <w:szCs w:val="20"/>
                <w:color w:val="auto"/>
              </w:rPr>
            </w:pPr>
            <w:r>
              <w:rPr>
                <w:rFonts w:ascii="Arial" w:cs="Arial" w:eastAsia="Arial" w:hAnsi="Arial"/>
                <w:sz w:val="16"/>
                <w:szCs w:val="16"/>
                <w:color w:val="auto"/>
              </w:rPr>
              <w:t>Annual restricted stock grant</w:t>
            </w:r>
          </w:p>
        </w:tc>
        <w:tc>
          <w:tcPr>
            <w:tcW w:w="5300" w:type="dxa"/>
            <w:vAlign w:val="bottom"/>
            <w:tcBorders>
              <w:bottom w:val="single" w:sz="8" w:color="999999"/>
              <w:right w:val="single" w:sz="8" w:color="00548B"/>
            </w:tcBorders>
          </w:tcPr>
          <w:p>
            <w:pPr>
              <w:ind w:left="180"/>
              <w:spacing w:after="0" w:line="182" w:lineRule="exact"/>
              <w:rPr>
                <w:sz w:val="20"/>
                <w:szCs w:val="20"/>
                <w:color w:val="auto"/>
              </w:rPr>
            </w:pPr>
            <w:r>
              <w:rPr>
                <w:rFonts w:ascii="Arial" w:cs="Arial" w:eastAsia="Arial" w:hAnsi="Arial"/>
                <w:sz w:val="16"/>
                <w:szCs w:val="16"/>
                <w:color w:val="auto"/>
              </w:rPr>
              <w:t>$170,000 in the form of restricted stock (2)</w:t>
            </w:r>
          </w:p>
        </w:tc>
        <w:tc>
          <w:tcPr>
            <w:tcW w:w="0" w:type="dxa"/>
            <w:vAlign w:val="bottom"/>
          </w:tcPr>
          <w:p>
            <w:pPr>
              <w:spacing w:after="0"/>
              <w:rPr>
                <w:sz w:val="1"/>
                <w:szCs w:val="1"/>
                <w:color w:val="auto"/>
              </w:rPr>
            </w:pPr>
          </w:p>
        </w:tc>
      </w:tr>
      <w:tr>
        <w:trPr>
          <w:trHeight w:val="179"/>
        </w:trPr>
        <w:tc>
          <w:tcPr>
            <w:tcW w:w="5340" w:type="dxa"/>
            <w:vAlign w:val="bottom"/>
            <w:tcBorders>
              <w:left w:val="single" w:sz="8" w:color="00548B"/>
              <w:bottom w:val="single" w:sz="8" w:color="999999"/>
              <w:right w:val="single" w:sz="8" w:color="999999"/>
            </w:tcBorders>
          </w:tcPr>
          <w:p>
            <w:pPr>
              <w:ind w:left="140"/>
              <w:spacing w:after="0" w:line="180" w:lineRule="exact"/>
              <w:rPr>
                <w:sz w:val="20"/>
                <w:szCs w:val="20"/>
                <w:color w:val="auto"/>
              </w:rPr>
            </w:pPr>
            <w:r>
              <w:rPr>
                <w:rFonts w:ascii="Arial" w:cs="Arial" w:eastAsia="Arial" w:hAnsi="Arial"/>
                <w:sz w:val="16"/>
                <w:szCs w:val="16"/>
                <w:color w:val="auto"/>
              </w:rPr>
              <w:t>Initial grant to a new non-employee director</w:t>
            </w:r>
          </w:p>
        </w:tc>
        <w:tc>
          <w:tcPr>
            <w:tcW w:w="5300" w:type="dxa"/>
            <w:vAlign w:val="bottom"/>
            <w:tcBorders>
              <w:bottom w:val="single" w:sz="8" w:color="999999"/>
              <w:right w:val="single" w:sz="8" w:color="00548B"/>
            </w:tcBorders>
          </w:tcPr>
          <w:p>
            <w:pPr>
              <w:ind w:left="180"/>
              <w:spacing w:after="0" w:line="180" w:lineRule="exact"/>
              <w:rPr>
                <w:sz w:val="20"/>
                <w:szCs w:val="20"/>
                <w:color w:val="auto"/>
              </w:rPr>
            </w:pPr>
            <w:r>
              <w:rPr>
                <w:rFonts w:ascii="Arial" w:cs="Arial" w:eastAsia="Arial" w:hAnsi="Arial"/>
                <w:sz w:val="16"/>
                <w:szCs w:val="16"/>
                <w:color w:val="auto"/>
              </w:rPr>
              <w:t>Restricted stock grant equal to $200,000 (3)</w:t>
            </w:r>
          </w:p>
        </w:tc>
        <w:tc>
          <w:tcPr>
            <w:tcW w:w="0" w:type="dxa"/>
            <w:vAlign w:val="bottom"/>
          </w:tcPr>
          <w:p>
            <w:pPr>
              <w:spacing w:after="0"/>
              <w:rPr>
                <w:sz w:val="1"/>
                <w:szCs w:val="1"/>
                <w:color w:val="auto"/>
              </w:rPr>
            </w:pPr>
          </w:p>
        </w:tc>
      </w:tr>
      <w:tr>
        <w:trPr>
          <w:trHeight w:val="181"/>
        </w:trPr>
        <w:tc>
          <w:tcPr>
            <w:tcW w:w="5340" w:type="dxa"/>
            <w:vAlign w:val="bottom"/>
            <w:tcBorders>
              <w:left w:val="single" w:sz="8" w:color="00548B"/>
              <w:right w:val="single" w:sz="8" w:color="999999"/>
            </w:tcBorders>
          </w:tcPr>
          <w:p>
            <w:pPr>
              <w:spacing w:after="0"/>
              <w:rPr>
                <w:sz w:val="15"/>
                <w:szCs w:val="15"/>
                <w:color w:val="auto"/>
              </w:rPr>
            </w:pPr>
          </w:p>
        </w:tc>
        <w:tc>
          <w:tcPr>
            <w:tcW w:w="5300" w:type="dxa"/>
            <w:vAlign w:val="bottom"/>
            <w:tcBorders>
              <w:right w:val="single" w:sz="8" w:color="00548B"/>
            </w:tcBorders>
          </w:tcPr>
          <w:p>
            <w:pPr>
              <w:ind w:left="180"/>
              <w:spacing w:after="0" w:line="181" w:lineRule="exact"/>
              <w:rPr>
                <w:sz w:val="20"/>
                <w:szCs w:val="20"/>
                <w:color w:val="auto"/>
              </w:rPr>
            </w:pPr>
            <w:r>
              <w:rPr>
                <w:rFonts w:ascii="Arial" w:cs="Arial" w:eastAsia="Arial" w:hAnsi="Arial"/>
                <w:sz w:val="16"/>
                <w:szCs w:val="16"/>
                <w:color w:val="auto"/>
              </w:rPr>
              <w:t>Audit - $15,000</w:t>
            </w:r>
          </w:p>
        </w:tc>
        <w:tc>
          <w:tcPr>
            <w:tcW w:w="0" w:type="dxa"/>
            <w:vAlign w:val="bottom"/>
          </w:tcPr>
          <w:p>
            <w:pPr>
              <w:spacing w:after="0"/>
              <w:rPr>
                <w:sz w:val="1"/>
                <w:szCs w:val="1"/>
                <w:color w:val="auto"/>
              </w:rPr>
            </w:pPr>
          </w:p>
        </w:tc>
      </w:tr>
      <w:tr>
        <w:trPr>
          <w:trHeight w:val="186"/>
        </w:trPr>
        <w:tc>
          <w:tcPr>
            <w:tcW w:w="5340" w:type="dxa"/>
            <w:vAlign w:val="bottom"/>
            <w:tcBorders>
              <w:left w:val="single" w:sz="8" w:color="00548B"/>
              <w:right w:val="single" w:sz="8" w:color="999999"/>
            </w:tcBorders>
            <w:vMerge w:val="restart"/>
          </w:tcPr>
          <w:p>
            <w:pPr>
              <w:ind w:left="140"/>
              <w:spacing w:after="0"/>
              <w:rPr>
                <w:sz w:val="20"/>
                <w:szCs w:val="20"/>
                <w:color w:val="auto"/>
              </w:rPr>
            </w:pPr>
            <w:r>
              <w:rPr>
                <w:rFonts w:ascii="Arial" w:cs="Arial" w:eastAsia="Arial" w:hAnsi="Arial"/>
                <w:sz w:val="16"/>
                <w:szCs w:val="16"/>
                <w:color w:val="auto"/>
              </w:rPr>
              <w:t>Annual committee chairperson retainer (4)</w:t>
            </w:r>
          </w:p>
        </w:tc>
        <w:tc>
          <w:tcPr>
            <w:tcW w:w="5300" w:type="dxa"/>
            <w:vAlign w:val="bottom"/>
            <w:tcBorders>
              <w:right w:val="single" w:sz="8" w:color="00548B"/>
            </w:tcBorders>
          </w:tcPr>
          <w:p>
            <w:pPr>
              <w:ind w:left="180"/>
              <w:spacing w:after="0"/>
              <w:rPr>
                <w:sz w:val="20"/>
                <w:szCs w:val="20"/>
                <w:color w:val="auto"/>
              </w:rPr>
            </w:pPr>
            <w:r>
              <w:rPr>
                <w:rFonts w:ascii="Arial" w:cs="Arial" w:eastAsia="Arial" w:hAnsi="Arial"/>
                <w:sz w:val="16"/>
                <w:szCs w:val="16"/>
                <w:color w:val="auto"/>
              </w:rPr>
              <w:t>Compensation - $15,000</w:t>
            </w:r>
          </w:p>
        </w:tc>
        <w:tc>
          <w:tcPr>
            <w:tcW w:w="0" w:type="dxa"/>
            <w:vAlign w:val="bottom"/>
          </w:tcPr>
          <w:p>
            <w:pPr>
              <w:spacing w:after="0"/>
              <w:rPr>
                <w:sz w:val="1"/>
                <w:szCs w:val="1"/>
                <w:color w:val="auto"/>
              </w:rPr>
            </w:pPr>
          </w:p>
        </w:tc>
      </w:tr>
      <w:tr>
        <w:trPr>
          <w:trHeight w:val="99"/>
        </w:trPr>
        <w:tc>
          <w:tcPr>
            <w:tcW w:w="5340" w:type="dxa"/>
            <w:vAlign w:val="bottom"/>
            <w:tcBorders>
              <w:left w:val="single" w:sz="8" w:color="00548B"/>
              <w:right w:val="single" w:sz="8" w:color="999999"/>
            </w:tcBorders>
            <w:vMerge w:val="continue"/>
          </w:tcPr>
          <w:p>
            <w:pPr>
              <w:spacing w:after="0"/>
              <w:rPr>
                <w:sz w:val="8"/>
                <w:szCs w:val="8"/>
                <w:color w:val="auto"/>
              </w:rPr>
            </w:pPr>
          </w:p>
        </w:tc>
        <w:tc>
          <w:tcPr>
            <w:tcW w:w="5300" w:type="dxa"/>
            <w:vAlign w:val="bottom"/>
            <w:tcBorders>
              <w:right w:val="single" w:sz="8" w:color="00548B"/>
            </w:tcBorders>
            <w:vMerge w:val="restart"/>
          </w:tcPr>
          <w:p>
            <w:pPr>
              <w:ind w:left="180"/>
              <w:spacing w:after="0"/>
              <w:rPr>
                <w:sz w:val="20"/>
                <w:szCs w:val="20"/>
                <w:color w:val="auto"/>
              </w:rPr>
            </w:pPr>
            <w:r>
              <w:rPr>
                <w:rFonts w:ascii="Arial" w:cs="Arial" w:eastAsia="Arial" w:hAnsi="Arial"/>
                <w:sz w:val="16"/>
                <w:szCs w:val="16"/>
                <w:color w:val="auto"/>
              </w:rPr>
              <w:t>Nominating and Corporate Governance - $10,000</w:t>
            </w:r>
          </w:p>
        </w:tc>
        <w:tc>
          <w:tcPr>
            <w:tcW w:w="0" w:type="dxa"/>
            <w:vAlign w:val="bottom"/>
          </w:tcPr>
          <w:p>
            <w:pPr>
              <w:spacing w:after="0"/>
              <w:rPr>
                <w:sz w:val="1"/>
                <w:szCs w:val="1"/>
                <w:color w:val="auto"/>
              </w:rPr>
            </w:pPr>
          </w:p>
        </w:tc>
      </w:tr>
      <w:tr>
        <w:trPr>
          <w:trHeight w:val="87"/>
        </w:trPr>
        <w:tc>
          <w:tcPr>
            <w:tcW w:w="5340" w:type="dxa"/>
            <w:vAlign w:val="bottom"/>
            <w:tcBorders>
              <w:left w:val="single" w:sz="8" w:color="00548B"/>
              <w:right w:val="single" w:sz="8" w:color="999999"/>
            </w:tcBorders>
          </w:tcPr>
          <w:p>
            <w:pPr>
              <w:spacing w:after="0"/>
              <w:rPr>
                <w:sz w:val="7"/>
                <w:szCs w:val="7"/>
                <w:color w:val="auto"/>
              </w:rPr>
            </w:pPr>
          </w:p>
        </w:tc>
        <w:tc>
          <w:tcPr>
            <w:tcW w:w="5300" w:type="dxa"/>
            <w:vAlign w:val="bottom"/>
            <w:tcBorders>
              <w:right w:val="single" w:sz="8" w:color="00548B"/>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5340" w:type="dxa"/>
            <w:vAlign w:val="bottom"/>
            <w:tcBorders>
              <w:left w:val="single" w:sz="8" w:color="00548B"/>
              <w:bottom w:val="single" w:sz="8" w:color="999999"/>
              <w:right w:val="single" w:sz="8" w:color="999999"/>
            </w:tcBorders>
          </w:tcPr>
          <w:p>
            <w:pPr>
              <w:spacing w:after="0"/>
              <w:rPr>
                <w:sz w:val="16"/>
                <w:szCs w:val="16"/>
                <w:color w:val="auto"/>
              </w:rPr>
            </w:pPr>
          </w:p>
        </w:tc>
        <w:tc>
          <w:tcPr>
            <w:tcW w:w="5300" w:type="dxa"/>
            <w:vAlign w:val="bottom"/>
            <w:tcBorders>
              <w:bottom w:val="single" w:sz="8" w:color="999999"/>
              <w:right w:val="single" w:sz="8" w:color="00548B"/>
            </w:tcBorders>
          </w:tcPr>
          <w:p>
            <w:pPr>
              <w:ind w:left="180"/>
              <w:spacing w:after="0"/>
              <w:rPr>
                <w:sz w:val="20"/>
                <w:szCs w:val="20"/>
                <w:color w:val="auto"/>
              </w:rPr>
            </w:pPr>
            <w:r>
              <w:rPr>
                <w:rFonts w:ascii="Arial" w:cs="Arial" w:eastAsia="Arial" w:hAnsi="Arial"/>
                <w:sz w:val="16"/>
                <w:szCs w:val="16"/>
                <w:color w:val="auto"/>
              </w:rPr>
              <w:t>Technology and Information Security Committee - $10,000</w:t>
            </w:r>
          </w:p>
        </w:tc>
        <w:tc>
          <w:tcPr>
            <w:tcW w:w="0" w:type="dxa"/>
            <w:vAlign w:val="bottom"/>
          </w:tcPr>
          <w:p>
            <w:pPr>
              <w:spacing w:after="0"/>
              <w:rPr>
                <w:sz w:val="1"/>
                <w:szCs w:val="1"/>
                <w:color w:val="auto"/>
              </w:rPr>
            </w:pPr>
          </w:p>
        </w:tc>
      </w:tr>
      <w:tr>
        <w:trPr>
          <w:trHeight w:val="182"/>
        </w:trPr>
        <w:tc>
          <w:tcPr>
            <w:tcW w:w="5340" w:type="dxa"/>
            <w:vAlign w:val="bottom"/>
            <w:tcBorders>
              <w:left w:val="single" w:sz="8" w:color="00548B"/>
              <w:bottom w:val="single" w:sz="8" w:color="999999"/>
              <w:right w:val="single" w:sz="8" w:color="999999"/>
            </w:tcBorders>
          </w:tcPr>
          <w:p>
            <w:pPr>
              <w:ind w:left="140"/>
              <w:spacing w:after="0" w:line="182" w:lineRule="exact"/>
              <w:rPr>
                <w:sz w:val="20"/>
                <w:szCs w:val="20"/>
                <w:color w:val="auto"/>
              </w:rPr>
            </w:pPr>
            <w:r>
              <w:rPr>
                <w:rFonts w:ascii="Arial" w:cs="Arial" w:eastAsia="Arial" w:hAnsi="Arial"/>
                <w:sz w:val="16"/>
                <w:szCs w:val="16"/>
                <w:color w:val="auto"/>
              </w:rPr>
              <w:t>Board and committee meeting fee</w:t>
            </w:r>
          </w:p>
        </w:tc>
        <w:tc>
          <w:tcPr>
            <w:tcW w:w="5300" w:type="dxa"/>
            <w:vAlign w:val="bottom"/>
            <w:tcBorders>
              <w:bottom w:val="single" w:sz="8" w:color="999999"/>
              <w:right w:val="single" w:sz="8" w:color="00548B"/>
            </w:tcBorders>
          </w:tcPr>
          <w:p>
            <w:pPr>
              <w:ind w:left="180"/>
              <w:spacing w:after="0" w:line="182" w:lineRule="exact"/>
              <w:rPr>
                <w:sz w:val="20"/>
                <w:szCs w:val="20"/>
                <w:color w:val="auto"/>
              </w:rPr>
            </w:pPr>
            <w:r>
              <w:rPr>
                <w:rFonts w:ascii="Arial" w:cs="Arial" w:eastAsia="Arial" w:hAnsi="Arial"/>
                <w:sz w:val="16"/>
                <w:szCs w:val="16"/>
                <w:color w:val="auto"/>
              </w:rPr>
              <w:t>$1,000 per meeting (4) (5)</w:t>
            </w:r>
          </w:p>
        </w:tc>
        <w:tc>
          <w:tcPr>
            <w:tcW w:w="0" w:type="dxa"/>
            <w:vAlign w:val="bottom"/>
          </w:tcPr>
          <w:p>
            <w:pPr>
              <w:spacing w:after="0"/>
              <w:rPr>
                <w:sz w:val="1"/>
                <w:szCs w:val="1"/>
                <w:color w:val="auto"/>
              </w:rPr>
            </w:pPr>
          </w:p>
        </w:tc>
      </w:tr>
      <w:tr>
        <w:trPr>
          <w:trHeight w:val="181"/>
        </w:trPr>
        <w:tc>
          <w:tcPr>
            <w:tcW w:w="5340" w:type="dxa"/>
            <w:vAlign w:val="bottom"/>
            <w:tcBorders>
              <w:left w:val="single" w:sz="8" w:color="00548B"/>
              <w:right w:val="single" w:sz="8" w:color="999999"/>
            </w:tcBorders>
            <w:vMerge w:val="restart"/>
          </w:tcPr>
          <w:p>
            <w:pPr>
              <w:ind w:left="140"/>
              <w:spacing w:after="0"/>
              <w:rPr>
                <w:sz w:val="20"/>
                <w:szCs w:val="20"/>
                <w:color w:val="auto"/>
              </w:rPr>
            </w:pPr>
            <w:r>
              <w:rPr>
                <w:rFonts w:ascii="Arial" w:cs="Arial" w:eastAsia="Arial" w:hAnsi="Arial"/>
                <w:sz w:val="16"/>
                <w:szCs w:val="16"/>
                <w:color w:val="auto"/>
              </w:rPr>
              <w:t>Stock ownership requirement</w:t>
            </w:r>
          </w:p>
        </w:tc>
        <w:tc>
          <w:tcPr>
            <w:tcW w:w="5300" w:type="dxa"/>
            <w:vAlign w:val="bottom"/>
            <w:tcBorders>
              <w:right w:val="single" w:sz="8" w:color="00548B"/>
            </w:tcBorders>
          </w:tcPr>
          <w:p>
            <w:pPr>
              <w:ind w:left="180"/>
              <w:spacing w:after="0" w:line="181" w:lineRule="exact"/>
              <w:rPr>
                <w:sz w:val="20"/>
                <w:szCs w:val="20"/>
                <w:color w:val="auto"/>
              </w:rPr>
            </w:pPr>
            <w:r>
              <w:rPr>
                <w:rFonts w:ascii="Arial" w:cs="Arial" w:eastAsia="Arial" w:hAnsi="Arial"/>
                <w:sz w:val="16"/>
                <w:szCs w:val="16"/>
                <w:color w:val="auto"/>
              </w:rPr>
              <w:t>Non-employee directors are expected to own Huron stock equal to five</w:t>
            </w:r>
          </w:p>
        </w:tc>
        <w:tc>
          <w:tcPr>
            <w:tcW w:w="0" w:type="dxa"/>
            <w:vAlign w:val="bottom"/>
          </w:tcPr>
          <w:p>
            <w:pPr>
              <w:spacing w:after="0"/>
              <w:rPr>
                <w:sz w:val="1"/>
                <w:szCs w:val="1"/>
                <w:color w:val="auto"/>
              </w:rPr>
            </w:pPr>
          </w:p>
        </w:tc>
      </w:tr>
      <w:tr>
        <w:trPr>
          <w:trHeight w:val="99"/>
        </w:trPr>
        <w:tc>
          <w:tcPr>
            <w:tcW w:w="5340" w:type="dxa"/>
            <w:vAlign w:val="bottom"/>
            <w:tcBorders>
              <w:left w:val="single" w:sz="8" w:color="00548B"/>
              <w:right w:val="single" w:sz="8" w:color="999999"/>
            </w:tcBorders>
            <w:vMerge w:val="continue"/>
          </w:tcPr>
          <w:p>
            <w:pPr>
              <w:spacing w:after="0"/>
              <w:rPr>
                <w:sz w:val="8"/>
                <w:szCs w:val="8"/>
                <w:color w:val="auto"/>
              </w:rPr>
            </w:pPr>
          </w:p>
        </w:tc>
        <w:tc>
          <w:tcPr>
            <w:tcW w:w="5300" w:type="dxa"/>
            <w:vAlign w:val="bottom"/>
            <w:tcBorders>
              <w:right w:val="single" w:sz="8" w:color="00548B"/>
            </w:tcBorders>
            <w:vMerge w:val="restart"/>
          </w:tcPr>
          <w:p>
            <w:pPr>
              <w:ind w:left="180"/>
              <w:spacing w:after="0"/>
              <w:rPr>
                <w:sz w:val="20"/>
                <w:szCs w:val="20"/>
                <w:color w:val="auto"/>
              </w:rPr>
            </w:pPr>
            <w:r>
              <w:rPr>
                <w:rFonts w:ascii="Arial" w:cs="Arial" w:eastAsia="Arial" w:hAnsi="Arial"/>
                <w:sz w:val="16"/>
                <w:szCs w:val="16"/>
                <w:color w:val="auto"/>
              </w:rPr>
              <w:t>times the annual cash retainer of $60,000</w:t>
            </w:r>
          </w:p>
        </w:tc>
        <w:tc>
          <w:tcPr>
            <w:tcW w:w="0" w:type="dxa"/>
            <w:vAlign w:val="bottom"/>
          </w:tcPr>
          <w:p>
            <w:pPr>
              <w:spacing w:after="0"/>
              <w:rPr>
                <w:sz w:val="1"/>
                <w:szCs w:val="1"/>
                <w:color w:val="auto"/>
              </w:rPr>
            </w:pPr>
          </w:p>
        </w:tc>
      </w:tr>
      <w:tr>
        <w:trPr>
          <w:trHeight w:val="85"/>
        </w:trPr>
        <w:tc>
          <w:tcPr>
            <w:tcW w:w="5340" w:type="dxa"/>
            <w:vAlign w:val="bottom"/>
            <w:tcBorders>
              <w:left w:val="single" w:sz="8" w:color="00548B"/>
              <w:bottom w:val="single" w:sz="8" w:color="00548B"/>
              <w:right w:val="single" w:sz="8" w:color="999999"/>
            </w:tcBorders>
          </w:tcPr>
          <w:p>
            <w:pPr>
              <w:spacing w:after="0"/>
              <w:rPr>
                <w:sz w:val="7"/>
                <w:szCs w:val="7"/>
                <w:color w:val="auto"/>
              </w:rPr>
            </w:pPr>
          </w:p>
        </w:tc>
        <w:tc>
          <w:tcPr>
            <w:tcW w:w="5300" w:type="dxa"/>
            <w:vAlign w:val="bottom"/>
            <w:tcBorders>
              <w:bottom w:val="single" w:sz="8" w:color="00548B"/>
              <w:right w:val="single" w:sz="8" w:color="00548B"/>
            </w:tcBorders>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left="740" w:hanging="541"/>
        <w:spacing w:after="0" w:line="246" w:lineRule="auto"/>
        <w:tabs>
          <w:tab w:leader="none" w:pos="7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non-executive members of the board of directors, in consideration of the continued impact of the COVID-19 pandemic on the Company and in alignment with cost-saving measures taken throughout the Company, waived their cash retainer fee for the first quarter of 2021 (which in the case of the non-executive Chairman is $58,750 and in the case of all other non-employee directors is $15,000), exclusive of meeting attendance fees, or committee chair fees.</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17</w:t>
      </w:r>
    </w:p>
    <w:p>
      <w:pPr>
        <w:sectPr>
          <w:pgSz w:w="11900" w:h="16838" w:orient="portrait"/>
          <w:cols w:equalWidth="0" w:num="1">
            <w:col w:w="11040"/>
          </w:cols>
          <w:pgMar w:left="320" w:top="454" w:right="5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740" w:hanging="541"/>
        <w:spacing w:after="0"/>
        <w:tabs>
          <w:tab w:leader="none" w:pos="740" w:val="left"/>
        </w:tabs>
        <w:numPr>
          <w:ilvl w:val="0"/>
          <w:numId w:val="7"/>
        </w:numPr>
        <w:rPr>
          <w:rFonts w:ascii="Arial" w:cs="Arial" w:eastAsia="Arial" w:hAnsi="Arial"/>
          <w:sz w:val="15"/>
          <w:szCs w:val="15"/>
          <w:color w:val="auto"/>
        </w:rPr>
      </w:pPr>
      <w:r>
        <w:rPr>
          <w:rFonts w:ascii="Arial" w:cs="Arial" w:eastAsia="Arial" w:hAnsi="Arial"/>
          <w:sz w:val="15"/>
          <w:szCs w:val="15"/>
          <w:color w:val="auto"/>
        </w:rPr>
        <w:t>Granted on the date of the Company’s annual meeting and priced based upon the closing stock price on the date of grant which vests ratably over</w:t>
      </w:r>
    </w:p>
    <w:p>
      <w:pPr>
        <w:spacing w:after="0" w:line="13" w:lineRule="exact"/>
        <w:rPr>
          <w:rFonts w:ascii="Arial" w:cs="Arial" w:eastAsia="Arial" w:hAnsi="Arial"/>
          <w:sz w:val="15"/>
          <w:szCs w:val="15"/>
          <w:color w:val="auto"/>
        </w:rPr>
      </w:pPr>
    </w:p>
    <w:p>
      <w:pPr>
        <w:ind w:left="740"/>
        <w:spacing w:after="0"/>
        <w:rPr>
          <w:rFonts w:ascii="Arial" w:cs="Arial" w:eastAsia="Arial" w:hAnsi="Arial"/>
          <w:sz w:val="15"/>
          <w:szCs w:val="15"/>
          <w:color w:val="auto"/>
        </w:rPr>
      </w:pPr>
      <w:r>
        <w:rPr>
          <w:rFonts w:ascii="Arial" w:cs="Arial" w:eastAsia="Arial" w:hAnsi="Arial"/>
          <w:sz w:val="16"/>
          <w:szCs w:val="16"/>
          <w:color w:val="auto"/>
        </w:rPr>
        <w:t>12 quarters. If a new non-employee director joins the board after the Company’s annual meeting, the award is prorated as follows:</w:t>
      </w:r>
    </w:p>
    <w:p>
      <w:pPr>
        <w:spacing w:after="0" w:line="121" w:lineRule="exact"/>
        <w:rPr>
          <w:rFonts w:ascii="Arial" w:cs="Arial" w:eastAsia="Arial" w:hAnsi="Arial"/>
          <w:sz w:val="15"/>
          <w:szCs w:val="15"/>
          <w:color w:val="auto"/>
        </w:rPr>
      </w:pPr>
    </w:p>
    <w:p>
      <w:pPr>
        <w:ind w:left="1260" w:hanging="529"/>
        <w:spacing w:after="0"/>
        <w:tabs>
          <w:tab w:leader="none" w:pos="1260" w:val="left"/>
        </w:tabs>
        <w:numPr>
          <w:ilvl w:val="1"/>
          <w:numId w:val="7"/>
        </w:numPr>
        <w:rPr>
          <w:rFonts w:ascii="Arial" w:cs="Arial" w:eastAsia="Arial" w:hAnsi="Arial"/>
          <w:sz w:val="16"/>
          <w:szCs w:val="16"/>
          <w:color w:val="auto"/>
        </w:rPr>
      </w:pPr>
      <w:r>
        <w:rPr>
          <w:rFonts w:ascii="Arial" w:cs="Arial" w:eastAsia="Arial" w:hAnsi="Arial"/>
          <w:sz w:val="16"/>
          <w:szCs w:val="16"/>
          <w:color w:val="auto"/>
        </w:rPr>
        <w:t>If the new director joins within six months of the Company’s annual meeting, the director will receive half of the annual grant.</w:t>
      </w:r>
    </w:p>
    <w:p>
      <w:pPr>
        <w:spacing w:after="0" w:line="15" w:lineRule="exact"/>
        <w:rPr>
          <w:rFonts w:ascii="Arial" w:cs="Arial" w:eastAsia="Arial" w:hAnsi="Arial"/>
          <w:sz w:val="16"/>
          <w:szCs w:val="16"/>
          <w:color w:val="auto"/>
        </w:rPr>
      </w:pPr>
    </w:p>
    <w:p>
      <w:pPr>
        <w:ind w:left="1260" w:hanging="529"/>
        <w:spacing w:after="0"/>
        <w:tabs>
          <w:tab w:leader="none" w:pos="1260" w:val="left"/>
        </w:tabs>
        <w:numPr>
          <w:ilvl w:val="1"/>
          <w:numId w:val="7"/>
        </w:numPr>
        <w:rPr>
          <w:rFonts w:ascii="Arial" w:cs="Arial" w:eastAsia="Arial" w:hAnsi="Arial"/>
          <w:sz w:val="16"/>
          <w:szCs w:val="16"/>
          <w:color w:val="auto"/>
        </w:rPr>
      </w:pPr>
      <w:r>
        <w:rPr>
          <w:rFonts w:ascii="Arial" w:cs="Arial" w:eastAsia="Arial" w:hAnsi="Arial"/>
          <w:sz w:val="16"/>
          <w:szCs w:val="16"/>
          <w:color w:val="auto"/>
        </w:rPr>
        <w:t>If the new director joins over six months after the Company’s annual meeting, no grant will be made.</w:t>
      </w:r>
    </w:p>
    <w:p>
      <w:pPr>
        <w:spacing w:after="0" w:line="135" w:lineRule="exact"/>
        <w:rPr>
          <w:rFonts w:ascii="Arial" w:cs="Arial" w:eastAsia="Arial" w:hAnsi="Arial"/>
          <w:sz w:val="16"/>
          <w:szCs w:val="16"/>
          <w:color w:val="auto"/>
        </w:rPr>
      </w:pPr>
    </w:p>
    <w:p>
      <w:pPr>
        <w:ind w:left="740" w:hanging="541"/>
        <w:spacing w:after="0"/>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Will vest ratably over 12 quarters.</w:t>
      </w:r>
    </w:p>
    <w:p>
      <w:pPr>
        <w:spacing w:after="0" w:line="214" w:lineRule="exact"/>
        <w:rPr>
          <w:rFonts w:ascii="Arial" w:cs="Arial" w:eastAsia="Arial" w:hAnsi="Arial"/>
          <w:sz w:val="16"/>
          <w:szCs w:val="16"/>
          <w:color w:val="auto"/>
        </w:rPr>
      </w:pPr>
    </w:p>
    <w:p>
      <w:pPr>
        <w:ind w:left="740" w:hanging="541"/>
        <w:spacing w:after="0"/>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Chairman of the board does not receive committee chair fees or board and committee meeting fees.</w:t>
      </w:r>
    </w:p>
    <w:p>
      <w:pPr>
        <w:spacing w:after="0" w:line="214" w:lineRule="exact"/>
        <w:rPr>
          <w:rFonts w:ascii="Arial" w:cs="Arial" w:eastAsia="Arial" w:hAnsi="Arial"/>
          <w:sz w:val="16"/>
          <w:szCs w:val="16"/>
          <w:color w:val="auto"/>
        </w:rPr>
      </w:pPr>
    </w:p>
    <w:p>
      <w:pPr>
        <w:ind w:left="740" w:hanging="541"/>
        <w:spacing w:after="0"/>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All directors are reimbursed for out-of-pocket expenses for attending board and committee meetings.</w:t>
      </w:r>
    </w:p>
    <w:p>
      <w:pPr>
        <w:spacing w:after="0" w:line="214" w:lineRule="exact"/>
        <w:rPr>
          <w:rFonts w:ascii="Arial" w:cs="Arial" w:eastAsia="Arial" w:hAnsi="Arial"/>
          <w:sz w:val="16"/>
          <w:szCs w:val="16"/>
          <w:color w:val="auto"/>
        </w:rPr>
      </w:pPr>
    </w:p>
    <w:p>
      <w:pPr>
        <w:ind w:left="740" w:hanging="541"/>
        <w:spacing w:after="0"/>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Currently, none of the board members are serving in the role of Vice Chairman.</w:t>
      </w:r>
    </w:p>
    <w:p>
      <w:pPr>
        <w:spacing w:after="0" w:line="188" w:lineRule="exact"/>
        <w:rPr>
          <w:sz w:val="20"/>
          <w:szCs w:val="20"/>
          <w:color w:val="auto"/>
        </w:rPr>
      </w:pPr>
    </w:p>
    <w:p>
      <w:pPr>
        <w:ind w:left="200" w:right="20"/>
        <w:spacing w:after="0" w:line="253" w:lineRule="auto"/>
        <w:rPr>
          <w:sz w:val="20"/>
          <w:szCs w:val="20"/>
          <w:color w:val="auto"/>
        </w:rPr>
      </w:pPr>
      <w:r>
        <w:rPr>
          <w:rFonts w:ascii="Arial" w:cs="Arial" w:eastAsia="Arial" w:hAnsi="Arial"/>
          <w:sz w:val="16"/>
          <w:szCs w:val="16"/>
          <w:color w:val="auto"/>
        </w:rPr>
        <w:t>Directors are eligible to participate in our deferred compensation plan, which is described under the caption “EXECUTIVE COMPENSATION—2021 Nonqualified Deferred Compensation.” One director participated from 2013 through 2018, and a second director elected to participate beginning in 2015.</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D</w:t>
      </w:r>
      <w:r>
        <w:rPr>
          <w:rFonts w:ascii="Arial" w:cs="Arial" w:eastAsia="Arial" w:hAnsi="Arial"/>
          <w:sz w:val="14"/>
          <w:szCs w:val="14"/>
          <w:b w:val="1"/>
          <w:bCs w:val="1"/>
          <w:color w:val="00548B"/>
        </w:rPr>
        <w:t>IRECTOR</w:t>
      </w:r>
      <w:r>
        <w:rPr>
          <w:rFonts w:ascii="Arial" w:cs="Arial" w:eastAsia="Arial" w:hAnsi="Arial"/>
          <w:sz w:val="18"/>
          <w:szCs w:val="18"/>
          <w:b w:val="1"/>
          <w:bCs w:val="1"/>
          <w:color w:val="00548B"/>
        </w:rPr>
        <w:t xml:space="preserve"> C</w:t>
      </w:r>
      <w:r>
        <w:rPr>
          <w:rFonts w:ascii="Arial" w:cs="Arial" w:eastAsia="Arial" w:hAnsi="Arial"/>
          <w:sz w:val="14"/>
          <w:szCs w:val="14"/>
          <w:b w:val="1"/>
          <w:bCs w:val="1"/>
          <w:color w:val="00548B"/>
        </w:rPr>
        <w:t>OMPENSATION</w:t>
      </w:r>
      <w:r>
        <w:rPr>
          <w:rFonts w:ascii="Arial" w:cs="Arial" w:eastAsia="Arial" w:hAnsi="Arial"/>
          <w:sz w:val="18"/>
          <w:szCs w:val="18"/>
          <w:b w:val="1"/>
          <w:bCs w:val="1"/>
          <w:color w:val="00548B"/>
        </w:rPr>
        <w:t xml:space="preserve"> T</w:t>
      </w:r>
      <w:r>
        <w:rPr>
          <w:rFonts w:ascii="Arial" w:cs="Arial" w:eastAsia="Arial" w:hAnsi="Arial"/>
          <w:sz w:val="14"/>
          <w:szCs w:val="14"/>
          <w:b w:val="1"/>
          <w:bCs w:val="1"/>
          <w:color w:val="00548B"/>
        </w:rPr>
        <w:t>ABLE</w:t>
      </w:r>
    </w:p>
    <w:p>
      <w:pPr>
        <w:spacing w:after="0" w:line="1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following table summarizes the fees paid and the aggregate grant date fair value of shares granted to each of the non-employee directors in 2021.</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Directors who are also officers or employees of the Company receive no compensation for duties performed as a director.</w:t>
      </w:r>
    </w:p>
    <w:p>
      <w:pPr>
        <w:spacing w:after="0" w:line="22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700" w:type="dxa"/>
            <w:vAlign w:val="bottom"/>
            <w:shd w:val="clear" w:color="auto" w:fill="00548B"/>
          </w:tcPr>
          <w:p>
            <w:pPr>
              <w:spacing w:after="0"/>
              <w:rPr>
                <w:sz w:val="14"/>
                <w:szCs w:val="14"/>
                <w:color w:val="auto"/>
              </w:rPr>
            </w:pPr>
          </w:p>
        </w:tc>
        <w:tc>
          <w:tcPr>
            <w:tcW w:w="2260" w:type="dxa"/>
            <w:vAlign w:val="bottom"/>
            <w:shd w:val="clear" w:color="auto" w:fill="00548B"/>
          </w:tcPr>
          <w:p>
            <w:pPr>
              <w:jc w:val="right"/>
              <w:ind w:right="442"/>
              <w:spacing w:after="0"/>
              <w:rPr>
                <w:sz w:val="20"/>
                <w:szCs w:val="20"/>
                <w:color w:val="auto"/>
              </w:rPr>
            </w:pPr>
            <w:r>
              <w:rPr>
                <w:rFonts w:ascii="Arial" w:cs="Arial" w:eastAsia="Arial" w:hAnsi="Arial"/>
                <w:sz w:val="14"/>
                <w:szCs w:val="14"/>
                <w:b w:val="1"/>
                <w:bCs w:val="1"/>
                <w:color w:val="D8D8D8"/>
              </w:rPr>
              <w:t>Fees Earned or</w:t>
            </w:r>
          </w:p>
        </w:tc>
        <w:tc>
          <w:tcPr>
            <w:tcW w:w="1760" w:type="dxa"/>
            <w:vAlign w:val="bottom"/>
            <w:shd w:val="clear" w:color="auto" w:fill="00548B"/>
          </w:tcPr>
          <w:p>
            <w:pPr>
              <w:jc w:val="right"/>
              <w:ind w:right="642"/>
              <w:spacing w:after="0"/>
              <w:rPr>
                <w:sz w:val="20"/>
                <w:szCs w:val="20"/>
                <w:color w:val="auto"/>
              </w:rPr>
            </w:pPr>
            <w:r>
              <w:rPr>
                <w:rFonts w:ascii="Arial" w:cs="Arial" w:eastAsia="Arial" w:hAnsi="Arial"/>
                <w:sz w:val="14"/>
                <w:szCs w:val="14"/>
                <w:b w:val="1"/>
                <w:bCs w:val="1"/>
                <w:color w:val="D8D8D8"/>
              </w:rPr>
              <w:t>Stock</w:t>
            </w:r>
          </w:p>
        </w:tc>
        <w:tc>
          <w:tcPr>
            <w:tcW w:w="1140" w:type="dxa"/>
            <w:vAlign w:val="bottom"/>
            <w:shd w:val="clear" w:color="auto" w:fill="00548B"/>
          </w:tcPr>
          <w:p>
            <w:pPr>
              <w:jc w:val="right"/>
              <w:ind w:right="242"/>
              <w:spacing w:after="0"/>
              <w:rPr>
                <w:sz w:val="20"/>
                <w:szCs w:val="20"/>
                <w:color w:val="auto"/>
              </w:rPr>
            </w:pPr>
            <w:r>
              <w:rPr>
                <w:rFonts w:ascii="Arial" w:cs="Arial" w:eastAsia="Arial" w:hAnsi="Arial"/>
                <w:sz w:val="14"/>
                <w:szCs w:val="14"/>
                <w:b w:val="1"/>
                <w:bCs w:val="1"/>
                <w:color w:val="D8D8D8"/>
              </w:rPr>
              <w:t>Total</w:t>
            </w:r>
          </w:p>
        </w:tc>
      </w:tr>
      <w:tr>
        <w:trPr>
          <w:trHeight w:val="199"/>
        </w:trPr>
        <w:tc>
          <w:tcPr>
            <w:tcW w:w="5700" w:type="dxa"/>
            <w:vAlign w:val="bottom"/>
            <w:shd w:val="clear" w:color="auto" w:fill="00548B"/>
          </w:tcPr>
          <w:p>
            <w:pPr>
              <w:ind w:left="80"/>
              <w:spacing w:after="0"/>
              <w:rPr>
                <w:sz w:val="20"/>
                <w:szCs w:val="20"/>
                <w:color w:val="auto"/>
              </w:rPr>
            </w:pPr>
            <w:r>
              <w:rPr>
                <w:rFonts w:ascii="Arial" w:cs="Arial" w:eastAsia="Arial" w:hAnsi="Arial"/>
                <w:sz w:val="14"/>
                <w:szCs w:val="14"/>
                <w:b w:val="1"/>
                <w:bCs w:val="1"/>
                <w:color w:val="D8D8D8"/>
              </w:rPr>
              <w:t>Name</w:t>
            </w:r>
          </w:p>
        </w:tc>
        <w:tc>
          <w:tcPr>
            <w:tcW w:w="2260" w:type="dxa"/>
            <w:vAlign w:val="bottom"/>
            <w:shd w:val="clear" w:color="auto" w:fill="00548B"/>
          </w:tcPr>
          <w:p>
            <w:pPr>
              <w:jc w:val="right"/>
              <w:ind w:right="322"/>
              <w:spacing w:after="0"/>
              <w:rPr>
                <w:sz w:val="20"/>
                <w:szCs w:val="20"/>
                <w:color w:val="auto"/>
              </w:rPr>
            </w:pPr>
            <w:r>
              <w:rPr>
                <w:rFonts w:ascii="Arial" w:cs="Arial" w:eastAsia="Arial" w:hAnsi="Arial"/>
                <w:sz w:val="14"/>
                <w:szCs w:val="14"/>
                <w:b w:val="1"/>
                <w:bCs w:val="1"/>
                <w:color w:val="D8D8D8"/>
              </w:rPr>
              <w:t>Paid in Cash ($) (4)</w:t>
            </w:r>
          </w:p>
        </w:tc>
        <w:tc>
          <w:tcPr>
            <w:tcW w:w="1760" w:type="dxa"/>
            <w:vAlign w:val="bottom"/>
            <w:shd w:val="clear" w:color="auto" w:fill="00548B"/>
          </w:tcPr>
          <w:p>
            <w:pPr>
              <w:jc w:val="right"/>
              <w:ind w:right="382"/>
              <w:spacing w:after="0"/>
              <w:rPr>
                <w:sz w:val="20"/>
                <w:szCs w:val="20"/>
                <w:color w:val="auto"/>
              </w:rPr>
            </w:pPr>
            <w:r>
              <w:rPr>
                <w:rFonts w:ascii="Arial" w:cs="Arial" w:eastAsia="Arial" w:hAnsi="Arial"/>
                <w:sz w:val="14"/>
                <w:szCs w:val="14"/>
                <w:b w:val="1"/>
                <w:bCs w:val="1"/>
                <w:color w:val="D8D8D8"/>
              </w:rPr>
              <w:t>Awards ($)(1)</w:t>
            </w:r>
          </w:p>
        </w:tc>
        <w:tc>
          <w:tcPr>
            <w:tcW w:w="1140" w:type="dxa"/>
            <w:vAlign w:val="bottom"/>
            <w:shd w:val="clear" w:color="auto" w:fill="00548B"/>
          </w:tcPr>
          <w:p>
            <w:pPr>
              <w:jc w:val="right"/>
              <w:ind w:right="242"/>
              <w:spacing w:after="0"/>
              <w:rPr>
                <w:sz w:val="20"/>
                <w:szCs w:val="20"/>
                <w:color w:val="auto"/>
              </w:rPr>
            </w:pPr>
            <w:r>
              <w:rPr>
                <w:rFonts w:ascii="Arial" w:cs="Arial" w:eastAsia="Arial" w:hAnsi="Arial"/>
                <w:sz w:val="14"/>
                <w:szCs w:val="14"/>
                <w:b w:val="1"/>
                <w:bCs w:val="1"/>
                <w:color w:val="D8D8D8"/>
              </w:rPr>
              <w:t>($)</w:t>
            </w:r>
          </w:p>
        </w:tc>
      </w:tr>
      <w:tr>
        <w:trPr>
          <w:trHeight w:val="186"/>
        </w:trPr>
        <w:tc>
          <w:tcPr>
            <w:tcW w:w="5700" w:type="dxa"/>
            <w:vAlign w:val="bottom"/>
            <w:tcBorders>
              <w:bottom w:val="single" w:sz="8" w:color="999999"/>
            </w:tcBorders>
          </w:tcPr>
          <w:p>
            <w:pPr>
              <w:ind w:left="40"/>
              <w:spacing w:after="0"/>
              <w:rPr>
                <w:sz w:val="20"/>
                <w:szCs w:val="20"/>
                <w:color w:val="auto"/>
              </w:rPr>
            </w:pPr>
            <w:r>
              <w:rPr>
                <w:rFonts w:ascii="Arial" w:cs="Arial" w:eastAsia="Arial" w:hAnsi="Arial"/>
                <w:sz w:val="16"/>
                <w:szCs w:val="16"/>
                <w:color w:val="auto"/>
              </w:rPr>
              <w:t>H. Eugene Lockhart (2)</w:t>
            </w:r>
          </w:p>
        </w:tc>
        <w:tc>
          <w:tcPr>
            <w:tcW w:w="2260" w:type="dxa"/>
            <w:vAlign w:val="bottom"/>
            <w:tcBorders>
              <w:bottom w:val="single" w:sz="8" w:color="999999"/>
            </w:tcBorders>
          </w:tcPr>
          <w:p>
            <w:pPr>
              <w:jc w:val="right"/>
              <w:ind w:right="522"/>
              <w:spacing w:after="0"/>
              <w:rPr>
                <w:sz w:val="20"/>
                <w:szCs w:val="20"/>
                <w:color w:val="auto"/>
              </w:rPr>
            </w:pPr>
            <w:r>
              <w:rPr>
                <w:rFonts w:ascii="Arial" w:cs="Arial" w:eastAsia="Arial" w:hAnsi="Arial"/>
                <w:sz w:val="16"/>
                <w:szCs w:val="16"/>
                <w:color w:val="auto"/>
              </w:rPr>
              <w:t>90,000</w:t>
            </w:r>
          </w:p>
        </w:tc>
        <w:tc>
          <w:tcPr>
            <w:tcW w:w="1760" w:type="dxa"/>
            <w:vAlign w:val="bottom"/>
            <w:tcBorders>
              <w:bottom w:val="single" w:sz="8" w:color="999999"/>
            </w:tcBorders>
          </w:tcPr>
          <w:p>
            <w:pPr>
              <w:jc w:val="right"/>
              <w:ind w:right="382"/>
              <w:spacing w:after="0"/>
              <w:rPr>
                <w:sz w:val="20"/>
                <w:szCs w:val="20"/>
                <w:color w:val="auto"/>
              </w:rPr>
            </w:pPr>
            <w:r>
              <w:rPr>
                <w:rFonts w:ascii="Arial" w:cs="Arial" w:eastAsia="Arial" w:hAnsi="Arial"/>
                <w:sz w:val="16"/>
                <w:szCs w:val="16"/>
                <w:color w:val="auto"/>
              </w:rPr>
              <w:t>169,980</w:t>
            </w:r>
          </w:p>
        </w:tc>
        <w:tc>
          <w:tcPr>
            <w:tcW w:w="1140" w:type="dxa"/>
            <w:vAlign w:val="bottom"/>
            <w:tcBorders>
              <w:bottom w:val="single" w:sz="8" w:color="999999"/>
            </w:tcBorders>
          </w:tcPr>
          <w:p>
            <w:pPr>
              <w:jc w:val="right"/>
              <w:ind w:right="22"/>
              <w:spacing w:after="0"/>
              <w:rPr>
                <w:sz w:val="20"/>
                <w:szCs w:val="20"/>
                <w:color w:val="auto"/>
              </w:rPr>
            </w:pPr>
            <w:r>
              <w:rPr>
                <w:rFonts w:ascii="Arial" w:cs="Arial" w:eastAsia="Arial" w:hAnsi="Arial"/>
                <w:sz w:val="16"/>
                <w:szCs w:val="16"/>
                <w:color w:val="auto"/>
              </w:rPr>
              <w:t>259,980</w:t>
            </w:r>
          </w:p>
        </w:tc>
      </w:tr>
      <w:tr>
        <w:trPr>
          <w:trHeight w:val="179"/>
        </w:trPr>
        <w:tc>
          <w:tcPr>
            <w:tcW w:w="5700" w:type="dxa"/>
            <w:vAlign w:val="bottom"/>
            <w:tcBorders>
              <w:bottom w:val="single" w:sz="8" w:color="999999"/>
            </w:tcBorders>
          </w:tcPr>
          <w:p>
            <w:pPr>
              <w:ind w:left="40"/>
              <w:spacing w:after="0" w:line="180" w:lineRule="exact"/>
              <w:rPr>
                <w:sz w:val="20"/>
                <w:szCs w:val="20"/>
                <w:color w:val="auto"/>
              </w:rPr>
            </w:pPr>
            <w:r>
              <w:rPr>
                <w:rFonts w:ascii="Arial" w:cs="Arial" w:eastAsia="Arial" w:hAnsi="Arial"/>
                <w:sz w:val="16"/>
                <w:szCs w:val="16"/>
                <w:color w:val="auto"/>
              </w:rPr>
              <w:t>Peter K. Markell (5)</w:t>
            </w:r>
          </w:p>
        </w:tc>
        <w:tc>
          <w:tcPr>
            <w:tcW w:w="2260" w:type="dxa"/>
            <w:vAlign w:val="bottom"/>
            <w:tcBorders>
              <w:bottom w:val="single" w:sz="8" w:color="999999"/>
            </w:tcBorders>
          </w:tcPr>
          <w:p>
            <w:pPr>
              <w:jc w:val="right"/>
              <w:ind w:right="522"/>
              <w:spacing w:after="0" w:line="180" w:lineRule="exact"/>
              <w:rPr>
                <w:sz w:val="20"/>
                <w:szCs w:val="20"/>
                <w:color w:val="auto"/>
              </w:rPr>
            </w:pPr>
            <w:r>
              <w:rPr>
                <w:rFonts w:ascii="Arial" w:cs="Arial" w:eastAsia="Arial" w:hAnsi="Arial"/>
                <w:sz w:val="16"/>
                <w:szCs w:val="16"/>
                <w:color w:val="auto"/>
              </w:rPr>
              <w:t>0</w:t>
            </w:r>
          </w:p>
        </w:tc>
        <w:tc>
          <w:tcPr>
            <w:tcW w:w="1760" w:type="dxa"/>
            <w:vAlign w:val="bottom"/>
            <w:tcBorders>
              <w:bottom w:val="single" w:sz="8" w:color="999999"/>
            </w:tcBorders>
          </w:tcPr>
          <w:p>
            <w:pPr>
              <w:jc w:val="right"/>
              <w:ind w:right="382"/>
              <w:spacing w:after="0" w:line="180" w:lineRule="exact"/>
              <w:rPr>
                <w:sz w:val="20"/>
                <w:szCs w:val="20"/>
                <w:color w:val="auto"/>
              </w:rPr>
            </w:pPr>
            <w:r>
              <w:rPr>
                <w:rFonts w:ascii="Arial" w:cs="Arial" w:eastAsia="Arial" w:hAnsi="Arial"/>
                <w:sz w:val="16"/>
                <w:szCs w:val="16"/>
                <w:color w:val="auto"/>
              </w:rPr>
              <w:t>0</w:t>
            </w:r>
          </w:p>
        </w:tc>
        <w:tc>
          <w:tcPr>
            <w:tcW w:w="1140" w:type="dxa"/>
            <w:vAlign w:val="bottom"/>
            <w:tcBorders>
              <w:bottom w:val="single" w:sz="8" w:color="999999"/>
            </w:tcBorders>
          </w:tcPr>
          <w:p>
            <w:pPr>
              <w:jc w:val="right"/>
              <w:ind w:right="22"/>
              <w:spacing w:after="0" w:line="180" w:lineRule="exact"/>
              <w:rPr>
                <w:sz w:val="20"/>
                <w:szCs w:val="20"/>
                <w:color w:val="auto"/>
              </w:rPr>
            </w:pPr>
            <w:r>
              <w:rPr>
                <w:rFonts w:ascii="Arial" w:cs="Arial" w:eastAsia="Arial" w:hAnsi="Arial"/>
                <w:sz w:val="16"/>
                <w:szCs w:val="16"/>
                <w:color w:val="auto"/>
              </w:rPr>
              <w:t>0</w:t>
            </w:r>
          </w:p>
        </w:tc>
      </w:tr>
      <w:tr>
        <w:trPr>
          <w:trHeight w:val="179"/>
        </w:trPr>
        <w:tc>
          <w:tcPr>
            <w:tcW w:w="5700" w:type="dxa"/>
            <w:vAlign w:val="bottom"/>
            <w:tcBorders>
              <w:bottom w:val="single" w:sz="8" w:color="999999"/>
            </w:tcBorders>
          </w:tcPr>
          <w:p>
            <w:pPr>
              <w:ind w:left="40"/>
              <w:spacing w:after="0" w:line="180" w:lineRule="exact"/>
              <w:rPr>
                <w:sz w:val="20"/>
                <w:szCs w:val="20"/>
                <w:color w:val="auto"/>
              </w:rPr>
            </w:pPr>
            <w:r>
              <w:rPr>
                <w:rFonts w:ascii="Arial" w:cs="Arial" w:eastAsia="Arial" w:hAnsi="Arial"/>
                <w:sz w:val="16"/>
                <w:szCs w:val="16"/>
                <w:color w:val="auto"/>
              </w:rPr>
              <w:t>John McCartney (2)(3)</w:t>
            </w:r>
          </w:p>
        </w:tc>
        <w:tc>
          <w:tcPr>
            <w:tcW w:w="2260" w:type="dxa"/>
            <w:vAlign w:val="bottom"/>
            <w:tcBorders>
              <w:bottom w:val="single" w:sz="8" w:color="999999"/>
            </w:tcBorders>
          </w:tcPr>
          <w:p>
            <w:pPr>
              <w:jc w:val="right"/>
              <w:ind w:right="522"/>
              <w:spacing w:after="0" w:line="180" w:lineRule="exact"/>
              <w:rPr>
                <w:sz w:val="20"/>
                <w:szCs w:val="20"/>
                <w:color w:val="auto"/>
              </w:rPr>
            </w:pPr>
            <w:r>
              <w:rPr>
                <w:rFonts w:ascii="Arial" w:cs="Arial" w:eastAsia="Arial" w:hAnsi="Arial"/>
                <w:sz w:val="16"/>
                <w:szCs w:val="16"/>
                <w:color w:val="auto"/>
              </w:rPr>
              <w:t>176,250</w:t>
            </w:r>
          </w:p>
        </w:tc>
        <w:tc>
          <w:tcPr>
            <w:tcW w:w="1760" w:type="dxa"/>
            <w:vAlign w:val="bottom"/>
            <w:tcBorders>
              <w:bottom w:val="single" w:sz="8" w:color="999999"/>
            </w:tcBorders>
          </w:tcPr>
          <w:p>
            <w:pPr>
              <w:jc w:val="right"/>
              <w:ind w:right="382"/>
              <w:spacing w:after="0" w:line="180" w:lineRule="exact"/>
              <w:rPr>
                <w:sz w:val="20"/>
                <w:szCs w:val="20"/>
                <w:color w:val="auto"/>
              </w:rPr>
            </w:pPr>
            <w:r>
              <w:rPr>
                <w:rFonts w:ascii="Arial" w:cs="Arial" w:eastAsia="Arial" w:hAnsi="Arial"/>
                <w:sz w:val="16"/>
                <w:szCs w:val="16"/>
                <w:color w:val="auto"/>
              </w:rPr>
              <w:t>169,980</w:t>
            </w:r>
          </w:p>
        </w:tc>
        <w:tc>
          <w:tcPr>
            <w:tcW w:w="1140" w:type="dxa"/>
            <w:vAlign w:val="bottom"/>
            <w:tcBorders>
              <w:bottom w:val="single" w:sz="8" w:color="999999"/>
            </w:tcBorders>
          </w:tcPr>
          <w:p>
            <w:pPr>
              <w:jc w:val="right"/>
              <w:ind w:right="22"/>
              <w:spacing w:after="0" w:line="180" w:lineRule="exact"/>
              <w:rPr>
                <w:sz w:val="20"/>
                <w:szCs w:val="20"/>
                <w:color w:val="auto"/>
              </w:rPr>
            </w:pPr>
            <w:r>
              <w:rPr>
                <w:rFonts w:ascii="Arial" w:cs="Arial" w:eastAsia="Arial" w:hAnsi="Arial"/>
                <w:sz w:val="16"/>
                <w:szCs w:val="16"/>
                <w:color w:val="auto"/>
              </w:rPr>
              <w:t>346,230</w:t>
            </w:r>
          </w:p>
        </w:tc>
      </w:tr>
      <w:tr>
        <w:trPr>
          <w:trHeight w:val="179"/>
        </w:trPr>
        <w:tc>
          <w:tcPr>
            <w:tcW w:w="5700" w:type="dxa"/>
            <w:vAlign w:val="bottom"/>
            <w:tcBorders>
              <w:bottom w:val="single" w:sz="8" w:color="999999"/>
            </w:tcBorders>
          </w:tcPr>
          <w:p>
            <w:pPr>
              <w:ind w:left="40"/>
              <w:spacing w:after="0" w:line="180" w:lineRule="exact"/>
              <w:rPr>
                <w:sz w:val="20"/>
                <w:szCs w:val="20"/>
                <w:color w:val="auto"/>
              </w:rPr>
            </w:pPr>
            <w:r>
              <w:rPr>
                <w:rFonts w:ascii="Arial" w:cs="Arial" w:eastAsia="Arial" w:hAnsi="Arial"/>
                <w:sz w:val="16"/>
                <w:szCs w:val="16"/>
                <w:color w:val="auto"/>
              </w:rPr>
              <w:t>Hugh E. Sawyer (2)</w:t>
            </w:r>
          </w:p>
        </w:tc>
        <w:tc>
          <w:tcPr>
            <w:tcW w:w="2260" w:type="dxa"/>
            <w:vAlign w:val="bottom"/>
            <w:tcBorders>
              <w:bottom w:val="single" w:sz="8" w:color="999999"/>
            </w:tcBorders>
          </w:tcPr>
          <w:p>
            <w:pPr>
              <w:jc w:val="right"/>
              <w:ind w:right="522"/>
              <w:spacing w:after="0" w:line="180" w:lineRule="exact"/>
              <w:rPr>
                <w:sz w:val="20"/>
                <w:szCs w:val="20"/>
                <w:color w:val="auto"/>
              </w:rPr>
            </w:pPr>
            <w:r>
              <w:rPr>
                <w:rFonts w:ascii="Arial" w:cs="Arial" w:eastAsia="Arial" w:hAnsi="Arial"/>
                <w:sz w:val="16"/>
                <w:szCs w:val="16"/>
                <w:color w:val="auto"/>
              </w:rPr>
              <w:t>65,000</w:t>
            </w:r>
          </w:p>
        </w:tc>
        <w:tc>
          <w:tcPr>
            <w:tcW w:w="1760" w:type="dxa"/>
            <w:vAlign w:val="bottom"/>
            <w:tcBorders>
              <w:bottom w:val="single" w:sz="8" w:color="999999"/>
            </w:tcBorders>
          </w:tcPr>
          <w:p>
            <w:pPr>
              <w:jc w:val="right"/>
              <w:ind w:right="382"/>
              <w:spacing w:after="0" w:line="180" w:lineRule="exact"/>
              <w:rPr>
                <w:sz w:val="20"/>
                <w:szCs w:val="20"/>
                <w:color w:val="auto"/>
              </w:rPr>
            </w:pPr>
            <w:r>
              <w:rPr>
                <w:rFonts w:ascii="Arial" w:cs="Arial" w:eastAsia="Arial" w:hAnsi="Arial"/>
                <w:sz w:val="16"/>
                <w:szCs w:val="16"/>
                <w:color w:val="auto"/>
              </w:rPr>
              <w:t>169,980</w:t>
            </w:r>
          </w:p>
        </w:tc>
        <w:tc>
          <w:tcPr>
            <w:tcW w:w="1140" w:type="dxa"/>
            <w:vAlign w:val="bottom"/>
            <w:tcBorders>
              <w:bottom w:val="single" w:sz="8" w:color="999999"/>
            </w:tcBorders>
          </w:tcPr>
          <w:p>
            <w:pPr>
              <w:jc w:val="right"/>
              <w:ind w:right="22"/>
              <w:spacing w:after="0" w:line="180" w:lineRule="exact"/>
              <w:rPr>
                <w:sz w:val="20"/>
                <w:szCs w:val="20"/>
                <w:color w:val="auto"/>
              </w:rPr>
            </w:pPr>
            <w:r>
              <w:rPr>
                <w:rFonts w:ascii="Arial" w:cs="Arial" w:eastAsia="Arial" w:hAnsi="Arial"/>
                <w:sz w:val="16"/>
                <w:szCs w:val="16"/>
                <w:color w:val="auto"/>
              </w:rPr>
              <w:t>234,980</w:t>
            </w:r>
          </w:p>
        </w:tc>
      </w:tr>
      <w:tr>
        <w:trPr>
          <w:trHeight w:val="179"/>
        </w:trPr>
        <w:tc>
          <w:tcPr>
            <w:tcW w:w="5700" w:type="dxa"/>
            <w:vAlign w:val="bottom"/>
            <w:tcBorders>
              <w:bottom w:val="single" w:sz="8" w:color="999999"/>
            </w:tcBorders>
          </w:tcPr>
          <w:p>
            <w:pPr>
              <w:ind w:left="40"/>
              <w:spacing w:after="0" w:line="180" w:lineRule="exact"/>
              <w:rPr>
                <w:sz w:val="20"/>
                <w:szCs w:val="20"/>
                <w:color w:val="auto"/>
              </w:rPr>
            </w:pPr>
            <w:r>
              <w:rPr>
                <w:rFonts w:ascii="Arial" w:cs="Arial" w:eastAsia="Arial" w:hAnsi="Arial"/>
                <w:sz w:val="16"/>
                <w:szCs w:val="16"/>
                <w:color w:val="auto"/>
              </w:rPr>
              <w:t>Ekta Singh-Bushell (2)</w:t>
            </w:r>
          </w:p>
        </w:tc>
        <w:tc>
          <w:tcPr>
            <w:tcW w:w="2260" w:type="dxa"/>
            <w:vAlign w:val="bottom"/>
            <w:tcBorders>
              <w:bottom w:val="single" w:sz="8" w:color="999999"/>
            </w:tcBorders>
          </w:tcPr>
          <w:p>
            <w:pPr>
              <w:jc w:val="right"/>
              <w:ind w:right="522"/>
              <w:spacing w:after="0" w:line="180" w:lineRule="exact"/>
              <w:rPr>
                <w:sz w:val="20"/>
                <w:szCs w:val="20"/>
                <w:color w:val="auto"/>
              </w:rPr>
            </w:pPr>
            <w:r>
              <w:rPr>
                <w:rFonts w:ascii="Arial" w:cs="Arial" w:eastAsia="Arial" w:hAnsi="Arial"/>
                <w:sz w:val="16"/>
                <w:szCs w:val="16"/>
                <w:color w:val="auto"/>
              </w:rPr>
              <w:t>82,000</w:t>
            </w:r>
          </w:p>
        </w:tc>
        <w:tc>
          <w:tcPr>
            <w:tcW w:w="1760" w:type="dxa"/>
            <w:vAlign w:val="bottom"/>
            <w:tcBorders>
              <w:bottom w:val="single" w:sz="8" w:color="999999"/>
            </w:tcBorders>
          </w:tcPr>
          <w:p>
            <w:pPr>
              <w:jc w:val="right"/>
              <w:ind w:right="382"/>
              <w:spacing w:after="0" w:line="180" w:lineRule="exact"/>
              <w:rPr>
                <w:sz w:val="20"/>
                <w:szCs w:val="20"/>
                <w:color w:val="auto"/>
              </w:rPr>
            </w:pPr>
            <w:r>
              <w:rPr>
                <w:rFonts w:ascii="Arial" w:cs="Arial" w:eastAsia="Arial" w:hAnsi="Arial"/>
                <w:sz w:val="16"/>
                <w:szCs w:val="16"/>
                <w:color w:val="auto"/>
              </w:rPr>
              <w:t>169,980</w:t>
            </w:r>
          </w:p>
        </w:tc>
        <w:tc>
          <w:tcPr>
            <w:tcW w:w="1140" w:type="dxa"/>
            <w:vAlign w:val="bottom"/>
            <w:tcBorders>
              <w:bottom w:val="single" w:sz="8" w:color="999999"/>
            </w:tcBorders>
          </w:tcPr>
          <w:p>
            <w:pPr>
              <w:jc w:val="right"/>
              <w:ind w:right="22"/>
              <w:spacing w:after="0" w:line="180" w:lineRule="exact"/>
              <w:rPr>
                <w:sz w:val="20"/>
                <w:szCs w:val="20"/>
                <w:color w:val="auto"/>
              </w:rPr>
            </w:pPr>
            <w:r>
              <w:rPr>
                <w:rFonts w:ascii="Arial" w:cs="Arial" w:eastAsia="Arial" w:hAnsi="Arial"/>
                <w:sz w:val="16"/>
                <w:szCs w:val="16"/>
                <w:color w:val="auto"/>
              </w:rPr>
              <w:t>251,980</w:t>
            </w:r>
          </w:p>
        </w:tc>
      </w:tr>
      <w:tr>
        <w:trPr>
          <w:trHeight w:val="179"/>
        </w:trPr>
        <w:tc>
          <w:tcPr>
            <w:tcW w:w="5700" w:type="dxa"/>
            <w:vAlign w:val="bottom"/>
            <w:tcBorders>
              <w:bottom w:val="single" w:sz="8" w:color="00548B"/>
            </w:tcBorders>
          </w:tcPr>
          <w:p>
            <w:pPr>
              <w:ind w:left="40"/>
              <w:spacing w:after="0" w:line="180" w:lineRule="exact"/>
              <w:rPr>
                <w:sz w:val="20"/>
                <w:szCs w:val="20"/>
                <w:color w:val="auto"/>
              </w:rPr>
            </w:pPr>
            <w:r>
              <w:rPr>
                <w:rFonts w:ascii="Arial" w:cs="Arial" w:eastAsia="Arial" w:hAnsi="Arial"/>
                <w:sz w:val="16"/>
                <w:szCs w:val="16"/>
                <w:color w:val="auto"/>
              </w:rPr>
              <w:t>Debra Zumwalt (2)</w:t>
            </w:r>
          </w:p>
        </w:tc>
        <w:tc>
          <w:tcPr>
            <w:tcW w:w="2260" w:type="dxa"/>
            <w:vAlign w:val="bottom"/>
            <w:tcBorders>
              <w:bottom w:val="single" w:sz="8" w:color="00548B"/>
            </w:tcBorders>
          </w:tcPr>
          <w:p>
            <w:pPr>
              <w:jc w:val="right"/>
              <w:ind w:right="522"/>
              <w:spacing w:after="0" w:line="180" w:lineRule="exact"/>
              <w:rPr>
                <w:sz w:val="20"/>
                <w:szCs w:val="20"/>
                <w:color w:val="auto"/>
              </w:rPr>
            </w:pPr>
            <w:r>
              <w:rPr>
                <w:rFonts w:ascii="Arial" w:cs="Arial" w:eastAsia="Arial" w:hAnsi="Arial"/>
                <w:sz w:val="16"/>
                <w:szCs w:val="16"/>
                <w:color w:val="auto"/>
              </w:rPr>
              <w:t>87,000</w:t>
            </w:r>
          </w:p>
        </w:tc>
        <w:tc>
          <w:tcPr>
            <w:tcW w:w="1760" w:type="dxa"/>
            <w:vAlign w:val="bottom"/>
            <w:tcBorders>
              <w:bottom w:val="single" w:sz="8" w:color="00548B"/>
            </w:tcBorders>
          </w:tcPr>
          <w:p>
            <w:pPr>
              <w:jc w:val="right"/>
              <w:ind w:right="382"/>
              <w:spacing w:after="0" w:line="180" w:lineRule="exact"/>
              <w:rPr>
                <w:sz w:val="20"/>
                <w:szCs w:val="20"/>
                <w:color w:val="auto"/>
              </w:rPr>
            </w:pPr>
            <w:r>
              <w:rPr>
                <w:rFonts w:ascii="Arial" w:cs="Arial" w:eastAsia="Arial" w:hAnsi="Arial"/>
                <w:sz w:val="16"/>
                <w:szCs w:val="16"/>
                <w:color w:val="auto"/>
              </w:rPr>
              <w:t>169,980</w:t>
            </w:r>
          </w:p>
        </w:tc>
        <w:tc>
          <w:tcPr>
            <w:tcW w:w="1140" w:type="dxa"/>
            <w:vAlign w:val="bottom"/>
            <w:tcBorders>
              <w:bottom w:val="single" w:sz="8" w:color="00548B"/>
            </w:tcBorders>
          </w:tcPr>
          <w:p>
            <w:pPr>
              <w:jc w:val="right"/>
              <w:ind w:right="22"/>
              <w:spacing w:after="0" w:line="180" w:lineRule="exact"/>
              <w:rPr>
                <w:sz w:val="20"/>
                <w:szCs w:val="20"/>
                <w:color w:val="auto"/>
              </w:rPr>
            </w:pPr>
            <w:r>
              <w:rPr>
                <w:rFonts w:ascii="Arial" w:cs="Arial" w:eastAsia="Arial" w:hAnsi="Arial"/>
                <w:sz w:val="16"/>
                <w:szCs w:val="16"/>
                <w:color w:val="auto"/>
              </w:rPr>
              <w:t>256,980</w:t>
            </w:r>
          </w:p>
        </w:tc>
      </w:tr>
    </w:tbl>
    <w:p>
      <w:pPr>
        <w:spacing w:after="0" w:line="215" w:lineRule="exact"/>
        <w:rPr>
          <w:sz w:val="20"/>
          <w:szCs w:val="20"/>
          <w:color w:val="auto"/>
        </w:rPr>
      </w:pPr>
    </w:p>
    <w:p>
      <w:pPr>
        <w:ind w:left="740" w:right="20" w:hanging="541"/>
        <w:spacing w:after="0" w:line="242" w:lineRule="auto"/>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This column represents the aggregate grant date fair value of shares granted to our directors in 2021. Grant date fair value is based on the closing price of Huron stock on the day of grant. Each of these grants vests ratably over the 12 calendar quarters following the grant.</w:t>
      </w:r>
    </w:p>
    <w:p>
      <w:pPr>
        <w:spacing w:after="0" w:line="1" w:lineRule="exact"/>
        <w:rPr>
          <w:rFonts w:ascii="Arial" w:cs="Arial" w:eastAsia="Arial" w:hAnsi="Arial"/>
          <w:sz w:val="16"/>
          <w:szCs w:val="16"/>
          <w:color w:val="auto"/>
        </w:rPr>
      </w:pPr>
    </w:p>
    <w:p>
      <w:pPr>
        <w:ind w:left="740" w:right="20" w:hanging="541"/>
        <w:spacing w:after="0" w:line="242" w:lineRule="auto"/>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At December 31, 2021, each of Messrs. Lockhart, McCartney, and Sawyer and Ms. Zumwalt held 4,955 shares of restricted common stock and Ms. Singh-Bushell held 5,633 shares of restricted common stock.</w:t>
      </w:r>
    </w:p>
    <w:p>
      <w:pPr>
        <w:spacing w:after="0" w:line="1" w:lineRule="exact"/>
        <w:rPr>
          <w:rFonts w:ascii="Arial" w:cs="Arial" w:eastAsia="Arial" w:hAnsi="Arial"/>
          <w:sz w:val="16"/>
          <w:szCs w:val="16"/>
          <w:color w:val="auto"/>
        </w:rPr>
      </w:pPr>
    </w:p>
    <w:p>
      <w:pPr>
        <w:ind w:left="740" w:right="20" w:hanging="541"/>
        <w:spacing w:after="0" w:line="242" w:lineRule="auto"/>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Mr. McCartney has access to office space at the Company’s principal business offices in Chicago. The Company does not incur any incremental costs in connection with the provision of this office space.</w:t>
      </w:r>
    </w:p>
    <w:p>
      <w:pPr>
        <w:spacing w:after="0" w:line="1" w:lineRule="exact"/>
        <w:rPr>
          <w:rFonts w:ascii="Arial" w:cs="Arial" w:eastAsia="Arial" w:hAnsi="Arial"/>
          <w:sz w:val="16"/>
          <w:szCs w:val="16"/>
          <w:color w:val="auto"/>
        </w:rPr>
      </w:pPr>
    </w:p>
    <w:p>
      <w:pPr>
        <w:jc w:val="both"/>
        <w:ind w:left="740" w:right="20" w:hanging="541"/>
        <w:spacing w:after="0" w:line="242" w:lineRule="auto"/>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cash board fees deferred by non-employee directors under our Deferred Compensation Plan, as further described under the heading “Deferred Compensation Plan” on page 37. During 2021, Ms. Zumwalt was the only non-employee director to make deferrals of her cash board fees in the Deferred Compensation Plan. Ms. Zumwalt and Mr. McCartney have account balances in the Deferred Compensation Plan. The earnings on Ms. Zumwalt’s and Mr. McCartney’s account balances in the Deferred Compensation Plan were $226,323 and $166,503, respectively, in 2021.</w:t>
      </w:r>
    </w:p>
    <w:p>
      <w:pPr>
        <w:spacing w:after="0" w:line="3" w:lineRule="exact"/>
        <w:rPr>
          <w:rFonts w:ascii="Arial" w:cs="Arial" w:eastAsia="Arial" w:hAnsi="Arial"/>
          <w:sz w:val="16"/>
          <w:szCs w:val="16"/>
          <w:color w:val="auto"/>
        </w:rPr>
      </w:pPr>
    </w:p>
    <w:p>
      <w:pPr>
        <w:ind w:left="740" w:hanging="541"/>
        <w:spacing w:after="0"/>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Mr. Markell was elected to the Board of Directors on March 16, 2022. He did not own any shares of Huron stock as of December 31, 2021.</w:t>
      </w:r>
    </w:p>
    <w:p>
      <w:pPr>
        <w:spacing w:after="0" w:line="14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00548B"/>
        </w:rPr>
        <w:t>18</w:t>
      </w:r>
    </w:p>
    <w:p>
      <w:pPr>
        <w:sectPr>
          <w:pgSz w:w="11900" w:h="16838" w:orient="portrait"/>
          <w:cols w:equalWidth="0" w:num="1">
            <w:col w:w="11060"/>
          </w:cols>
          <w:pgMar w:left="320" w:top="454" w:right="5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E</w:t>
      </w:r>
      <w:r>
        <w:rPr>
          <w:rFonts w:ascii="Arial" w:cs="Arial" w:eastAsia="Arial" w:hAnsi="Arial"/>
          <w:sz w:val="14"/>
          <w:szCs w:val="14"/>
          <w:b w:val="1"/>
          <w:bCs w:val="1"/>
          <w:color w:val="00548B"/>
        </w:rPr>
        <w:t>XECUTIVE</w:t>
      </w:r>
      <w:r>
        <w:rPr>
          <w:rFonts w:ascii="Arial" w:cs="Arial" w:eastAsia="Arial" w:hAnsi="Arial"/>
          <w:sz w:val="18"/>
          <w:szCs w:val="18"/>
          <w:b w:val="1"/>
          <w:bCs w:val="1"/>
          <w:color w:val="00548B"/>
        </w:rPr>
        <w:t xml:space="preserve"> O</w:t>
      </w:r>
      <w:r>
        <w:rPr>
          <w:rFonts w:ascii="Arial" w:cs="Arial" w:eastAsia="Arial" w:hAnsi="Arial"/>
          <w:sz w:val="14"/>
          <w:szCs w:val="14"/>
          <w:b w:val="1"/>
          <w:bCs w:val="1"/>
          <w:color w:val="00548B"/>
        </w:rPr>
        <w:t>FFICERS</w:t>
      </w:r>
    </w:p>
    <w:p>
      <w:pPr>
        <w:spacing w:after="0" w:line="1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Company’s executive officers are as follows: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880" w:type="dxa"/>
            <w:vAlign w:val="bottom"/>
            <w:shd w:val="clear" w:color="auto" w:fill="00548B"/>
          </w:tcPr>
          <w:p>
            <w:pPr>
              <w:ind w:left="80"/>
              <w:spacing w:after="0"/>
              <w:rPr>
                <w:sz w:val="20"/>
                <w:szCs w:val="20"/>
                <w:color w:val="auto"/>
              </w:rPr>
            </w:pPr>
            <w:r>
              <w:rPr>
                <w:rFonts w:ascii="Arial" w:cs="Arial" w:eastAsia="Arial" w:hAnsi="Arial"/>
                <w:sz w:val="14"/>
                <w:szCs w:val="14"/>
                <w:b w:val="1"/>
                <w:bCs w:val="1"/>
                <w:color w:val="D8D8D8"/>
              </w:rPr>
              <w:t>Name</w:t>
            </w:r>
          </w:p>
        </w:tc>
        <w:tc>
          <w:tcPr>
            <w:tcW w:w="900" w:type="dxa"/>
            <w:vAlign w:val="bottom"/>
            <w:shd w:val="clear" w:color="auto" w:fill="00548B"/>
          </w:tcPr>
          <w:p>
            <w:pPr>
              <w:jc w:val="right"/>
              <w:ind w:right="182"/>
              <w:spacing w:after="0"/>
              <w:rPr>
                <w:sz w:val="20"/>
                <w:szCs w:val="20"/>
                <w:color w:val="auto"/>
              </w:rPr>
            </w:pPr>
            <w:r>
              <w:rPr>
                <w:rFonts w:ascii="Arial" w:cs="Arial" w:eastAsia="Arial" w:hAnsi="Arial"/>
                <w:sz w:val="14"/>
                <w:szCs w:val="14"/>
                <w:b w:val="1"/>
                <w:bCs w:val="1"/>
                <w:color w:val="D8D8D8"/>
              </w:rPr>
              <w:t>Age</w:t>
            </w:r>
          </w:p>
        </w:tc>
        <w:tc>
          <w:tcPr>
            <w:tcW w:w="8080" w:type="dxa"/>
            <w:vAlign w:val="bottom"/>
            <w:shd w:val="clear" w:color="auto" w:fill="00548B"/>
          </w:tcPr>
          <w:p>
            <w:pPr>
              <w:ind w:left="160"/>
              <w:spacing w:after="0"/>
              <w:rPr>
                <w:sz w:val="20"/>
                <w:szCs w:val="20"/>
                <w:color w:val="auto"/>
              </w:rPr>
            </w:pPr>
            <w:r>
              <w:rPr>
                <w:rFonts w:ascii="Arial" w:cs="Arial" w:eastAsia="Arial" w:hAnsi="Arial"/>
                <w:sz w:val="14"/>
                <w:szCs w:val="14"/>
                <w:b w:val="1"/>
                <w:bCs w:val="1"/>
                <w:color w:val="D8D8D8"/>
              </w:rPr>
              <w:t>Position</w:t>
            </w:r>
          </w:p>
        </w:tc>
      </w:tr>
      <w:tr>
        <w:trPr>
          <w:trHeight w:val="186"/>
        </w:trPr>
        <w:tc>
          <w:tcPr>
            <w:tcW w:w="1880" w:type="dxa"/>
            <w:vAlign w:val="bottom"/>
            <w:tcBorders>
              <w:bottom w:val="single" w:sz="8" w:color="999999"/>
            </w:tcBorders>
          </w:tcPr>
          <w:p>
            <w:pPr>
              <w:ind w:left="80"/>
              <w:spacing w:after="0"/>
              <w:rPr>
                <w:sz w:val="20"/>
                <w:szCs w:val="20"/>
                <w:color w:val="auto"/>
              </w:rPr>
            </w:pPr>
            <w:r>
              <w:rPr>
                <w:rFonts w:ascii="Arial" w:cs="Arial" w:eastAsia="Arial" w:hAnsi="Arial"/>
                <w:sz w:val="16"/>
                <w:szCs w:val="16"/>
                <w:color w:val="auto"/>
              </w:rPr>
              <w:t>James H. Roth</w:t>
            </w:r>
          </w:p>
        </w:tc>
        <w:tc>
          <w:tcPr>
            <w:tcW w:w="900" w:type="dxa"/>
            <w:vAlign w:val="bottom"/>
            <w:tcBorders>
              <w:bottom w:val="single" w:sz="8" w:color="999999"/>
            </w:tcBorders>
          </w:tcPr>
          <w:p>
            <w:pPr>
              <w:jc w:val="right"/>
              <w:ind w:right="82"/>
              <w:spacing w:after="0"/>
              <w:rPr>
                <w:sz w:val="20"/>
                <w:szCs w:val="20"/>
                <w:color w:val="auto"/>
              </w:rPr>
            </w:pPr>
            <w:r>
              <w:rPr>
                <w:rFonts w:ascii="Arial" w:cs="Arial" w:eastAsia="Arial" w:hAnsi="Arial"/>
                <w:sz w:val="16"/>
                <w:szCs w:val="16"/>
                <w:color w:val="auto"/>
              </w:rPr>
              <w:t>64</w:t>
            </w:r>
          </w:p>
        </w:tc>
        <w:tc>
          <w:tcPr>
            <w:tcW w:w="8080" w:type="dxa"/>
            <w:vAlign w:val="bottom"/>
            <w:tcBorders>
              <w:bottom w:val="single" w:sz="8" w:color="999999"/>
            </w:tcBorders>
          </w:tcPr>
          <w:p>
            <w:pPr>
              <w:ind w:left="160"/>
              <w:spacing w:after="0"/>
              <w:rPr>
                <w:sz w:val="20"/>
                <w:szCs w:val="20"/>
                <w:color w:val="auto"/>
              </w:rPr>
            </w:pPr>
            <w:r>
              <w:rPr>
                <w:rFonts w:ascii="Arial" w:cs="Arial" w:eastAsia="Arial" w:hAnsi="Arial"/>
                <w:sz w:val="16"/>
                <w:szCs w:val="16"/>
                <w:color w:val="auto"/>
              </w:rPr>
              <w:t>Chief Executive Officer and Director</w:t>
            </w:r>
          </w:p>
        </w:tc>
      </w:tr>
      <w:tr>
        <w:trPr>
          <w:trHeight w:val="179"/>
        </w:trPr>
        <w:tc>
          <w:tcPr>
            <w:tcW w:w="1880" w:type="dxa"/>
            <w:vAlign w:val="bottom"/>
            <w:tcBorders>
              <w:bottom w:val="single" w:sz="8" w:color="999999"/>
            </w:tcBorders>
          </w:tcPr>
          <w:p>
            <w:pPr>
              <w:ind w:left="80"/>
              <w:spacing w:after="0" w:line="180" w:lineRule="exact"/>
              <w:rPr>
                <w:sz w:val="20"/>
                <w:szCs w:val="20"/>
                <w:color w:val="auto"/>
              </w:rPr>
            </w:pPr>
            <w:r>
              <w:rPr>
                <w:rFonts w:ascii="Arial" w:cs="Arial" w:eastAsia="Arial" w:hAnsi="Arial"/>
                <w:sz w:val="16"/>
                <w:szCs w:val="16"/>
                <w:color w:val="auto"/>
              </w:rPr>
              <w:t>C. Mark Hussey</w:t>
            </w:r>
          </w:p>
        </w:tc>
        <w:tc>
          <w:tcPr>
            <w:tcW w:w="900" w:type="dxa"/>
            <w:vAlign w:val="bottom"/>
            <w:tcBorders>
              <w:bottom w:val="single" w:sz="8" w:color="999999"/>
            </w:tcBorders>
          </w:tcPr>
          <w:p>
            <w:pPr>
              <w:jc w:val="right"/>
              <w:ind w:right="82"/>
              <w:spacing w:after="0" w:line="180" w:lineRule="exact"/>
              <w:rPr>
                <w:sz w:val="20"/>
                <w:szCs w:val="20"/>
                <w:color w:val="auto"/>
              </w:rPr>
            </w:pPr>
            <w:r>
              <w:rPr>
                <w:rFonts w:ascii="Arial" w:cs="Arial" w:eastAsia="Arial" w:hAnsi="Arial"/>
                <w:sz w:val="16"/>
                <w:szCs w:val="16"/>
                <w:color w:val="auto"/>
              </w:rPr>
              <w:t>61</w:t>
            </w:r>
          </w:p>
        </w:tc>
        <w:tc>
          <w:tcPr>
            <w:tcW w:w="8080" w:type="dxa"/>
            <w:vAlign w:val="bottom"/>
            <w:tcBorders>
              <w:bottom w:val="single" w:sz="8" w:color="999999"/>
            </w:tcBorders>
          </w:tcPr>
          <w:p>
            <w:pPr>
              <w:ind w:left="160"/>
              <w:spacing w:after="0" w:line="180" w:lineRule="exact"/>
              <w:rPr>
                <w:sz w:val="20"/>
                <w:szCs w:val="20"/>
                <w:color w:val="auto"/>
              </w:rPr>
            </w:pPr>
            <w:r>
              <w:rPr>
                <w:rFonts w:ascii="Arial" w:cs="Arial" w:eastAsia="Arial" w:hAnsi="Arial"/>
                <w:sz w:val="16"/>
                <w:szCs w:val="16"/>
                <w:color w:val="auto"/>
              </w:rPr>
              <w:t>President and Chief Operating Officer</w:t>
            </w:r>
          </w:p>
        </w:tc>
      </w:tr>
      <w:tr>
        <w:trPr>
          <w:trHeight w:val="179"/>
        </w:trPr>
        <w:tc>
          <w:tcPr>
            <w:tcW w:w="1880" w:type="dxa"/>
            <w:vAlign w:val="bottom"/>
            <w:tcBorders>
              <w:bottom w:val="single" w:sz="8" w:color="999999"/>
            </w:tcBorders>
          </w:tcPr>
          <w:p>
            <w:pPr>
              <w:ind w:left="80"/>
              <w:spacing w:after="0" w:line="180" w:lineRule="exact"/>
              <w:rPr>
                <w:sz w:val="20"/>
                <w:szCs w:val="20"/>
                <w:color w:val="auto"/>
              </w:rPr>
            </w:pPr>
            <w:r>
              <w:rPr>
                <w:rFonts w:ascii="Arial" w:cs="Arial" w:eastAsia="Arial" w:hAnsi="Arial"/>
                <w:sz w:val="16"/>
                <w:szCs w:val="16"/>
                <w:color w:val="auto"/>
              </w:rPr>
              <w:t>John D. Kelly</w:t>
            </w:r>
          </w:p>
        </w:tc>
        <w:tc>
          <w:tcPr>
            <w:tcW w:w="900" w:type="dxa"/>
            <w:vAlign w:val="bottom"/>
            <w:tcBorders>
              <w:bottom w:val="single" w:sz="8" w:color="999999"/>
            </w:tcBorders>
          </w:tcPr>
          <w:p>
            <w:pPr>
              <w:jc w:val="right"/>
              <w:ind w:right="82"/>
              <w:spacing w:after="0" w:line="180" w:lineRule="exact"/>
              <w:rPr>
                <w:sz w:val="20"/>
                <w:szCs w:val="20"/>
                <w:color w:val="auto"/>
              </w:rPr>
            </w:pPr>
            <w:r>
              <w:rPr>
                <w:rFonts w:ascii="Arial" w:cs="Arial" w:eastAsia="Arial" w:hAnsi="Arial"/>
                <w:sz w:val="16"/>
                <w:szCs w:val="16"/>
                <w:color w:val="auto"/>
              </w:rPr>
              <w:t>46</w:t>
            </w:r>
          </w:p>
        </w:tc>
        <w:tc>
          <w:tcPr>
            <w:tcW w:w="8080" w:type="dxa"/>
            <w:vAlign w:val="bottom"/>
            <w:tcBorders>
              <w:bottom w:val="single" w:sz="8" w:color="999999"/>
            </w:tcBorders>
          </w:tcPr>
          <w:p>
            <w:pPr>
              <w:ind w:left="160"/>
              <w:spacing w:after="0" w:line="180" w:lineRule="exact"/>
              <w:rPr>
                <w:sz w:val="20"/>
                <w:szCs w:val="20"/>
                <w:color w:val="auto"/>
              </w:rPr>
            </w:pPr>
            <w:r>
              <w:rPr>
                <w:rFonts w:ascii="Arial" w:cs="Arial" w:eastAsia="Arial" w:hAnsi="Arial"/>
                <w:sz w:val="16"/>
                <w:szCs w:val="16"/>
                <w:color w:val="auto"/>
              </w:rPr>
              <w:t>Executive Vice President, Chief Financial Officer and Treasurer</w:t>
            </w:r>
          </w:p>
        </w:tc>
      </w:tr>
      <w:tr>
        <w:trPr>
          <w:trHeight w:val="179"/>
        </w:trPr>
        <w:tc>
          <w:tcPr>
            <w:tcW w:w="1880" w:type="dxa"/>
            <w:vAlign w:val="bottom"/>
            <w:tcBorders>
              <w:bottom w:val="single" w:sz="8" w:color="00548B"/>
            </w:tcBorders>
          </w:tcPr>
          <w:p>
            <w:pPr>
              <w:ind w:left="80"/>
              <w:spacing w:after="0" w:line="180" w:lineRule="exact"/>
              <w:rPr>
                <w:sz w:val="20"/>
                <w:szCs w:val="20"/>
                <w:color w:val="auto"/>
              </w:rPr>
            </w:pPr>
            <w:r>
              <w:rPr>
                <w:rFonts w:ascii="Arial" w:cs="Arial" w:eastAsia="Arial" w:hAnsi="Arial"/>
                <w:sz w:val="16"/>
                <w:szCs w:val="16"/>
                <w:color w:val="auto"/>
              </w:rPr>
              <w:t>Ernest W. Torain, Jr.</w:t>
            </w:r>
          </w:p>
        </w:tc>
        <w:tc>
          <w:tcPr>
            <w:tcW w:w="900" w:type="dxa"/>
            <w:vAlign w:val="bottom"/>
            <w:tcBorders>
              <w:bottom w:val="single" w:sz="8" w:color="00548B"/>
            </w:tcBorders>
          </w:tcPr>
          <w:p>
            <w:pPr>
              <w:jc w:val="right"/>
              <w:ind w:right="82"/>
              <w:spacing w:after="0" w:line="180" w:lineRule="exact"/>
              <w:rPr>
                <w:sz w:val="20"/>
                <w:szCs w:val="20"/>
                <w:color w:val="auto"/>
              </w:rPr>
            </w:pPr>
            <w:r>
              <w:rPr>
                <w:rFonts w:ascii="Arial" w:cs="Arial" w:eastAsia="Arial" w:hAnsi="Arial"/>
                <w:sz w:val="16"/>
                <w:szCs w:val="16"/>
                <w:color w:val="auto"/>
              </w:rPr>
              <w:t>57</w:t>
            </w:r>
          </w:p>
        </w:tc>
        <w:tc>
          <w:tcPr>
            <w:tcW w:w="8080" w:type="dxa"/>
            <w:vAlign w:val="bottom"/>
            <w:tcBorders>
              <w:bottom w:val="single" w:sz="8" w:color="00548B"/>
            </w:tcBorders>
          </w:tcPr>
          <w:p>
            <w:pPr>
              <w:ind w:left="160"/>
              <w:spacing w:after="0" w:line="180" w:lineRule="exact"/>
              <w:rPr>
                <w:sz w:val="20"/>
                <w:szCs w:val="20"/>
                <w:color w:val="auto"/>
              </w:rPr>
            </w:pPr>
            <w:r>
              <w:rPr>
                <w:rFonts w:ascii="Arial" w:cs="Arial" w:eastAsia="Arial" w:hAnsi="Arial"/>
                <w:sz w:val="16"/>
                <w:szCs w:val="16"/>
                <w:color w:val="auto"/>
              </w:rPr>
              <w:t>Executive Vice President, General Counsel and Corporate Secretary</w:t>
            </w:r>
          </w:p>
        </w:tc>
      </w:tr>
    </w:tbl>
    <w:p>
      <w:pPr>
        <w:spacing w:after="0" w:line="167" w:lineRule="exact"/>
        <w:rPr>
          <w:sz w:val="20"/>
          <w:szCs w:val="20"/>
          <w:color w:val="auto"/>
        </w:rPr>
      </w:pPr>
    </w:p>
    <w:p>
      <w:pPr>
        <w:ind w:left="200"/>
        <w:spacing w:after="0"/>
        <w:rPr>
          <w:sz w:val="20"/>
          <w:szCs w:val="20"/>
          <w:color w:val="auto"/>
        </w:rPr>
      </w:pPr>
      <w:r>
        <w:rPr>
          <w:rFonts w:ascii="Arial" w:cs="Arial" w:eastAsia="Arial" w:hAnsi="Arial"/>
          <w:sz w:val="15"/>
          <w:szCs w:val="15"/>
          <w:i w:val="1"/>
          <w:iCs w:val="1"/>
          <w:color w:val="auto"/>
        </w:rPr>
        <w:t>James H. Roth</w:t>
      </w:r>
      <w:r>
        <w:rPr>
          <w:rFonts w:ascii="Arial" w:cs="Arial" w:eastAsia="Arial" w:hAnsi="Arial"/>
          <w:sz w:val="15"/>
          <w:szCs w:val="15"/>
          <w:color w:val="auto"/>
        </w:rPr>
        <w:t>’s biographical information is provided above under the caption “Directors Not Standing for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139065</wp:posOffset>
            </wp:positionV>
            <wp:extent cx="810260" cy="10471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10260" cy="1047115"/>
                    </a:xfrm>
                    <a:prstGeom prst="rect">
                      <a:avLst/>
                    </a:prstGeom>
                    <a:noFill/>
                  </pic:spPr>
                </pic:pic>
              </a:graphicData>
            </a:graphic>
          </wp:anchor>
        </w:drawing>
      </w:r>
    </w:p>
    <w:p>
      <w:pPr>
        <w:spacing w:after="0" w:line="327" w:lineRule="exact"/>
        <w:rPr>
          <w:sz w:val="20"/>
          <w:szCs w:val="20"/>
          <w:color w:val="auto"/>
        </w:rPr>
      </w:pPr>
    </w:p>
    <w:p>
      <w:pPr>
        <w:ind w:left="1840"/>
        <w:spacing w:after="0"/>
        <w:rPr>
          <w:sz w:val="20"/>
          <w:szCs w:val="20"/>
          <w:color w:val="auto"/>
        </w:rPr>
      </w:pPr>
      <w:r>
        <w:rPr>
          <w:rFonts w:ascii="Arial" w:cs="Arial" w:eastAsia="Arial" w:hAnsi="Arial"/>
          <w:sz w:val="16"/>
          <w:szCs w:val="16"/>
          <w:b w:val="1"/>
          <w:bCs w:val="1"/>
          <w:color w:val="auto"/>
        </w:rPr>
        <w:t>C. Mark Hussey, President and Chief Operating Officer</w:t>
      </w:r>
    </w:p>
    <w:p>
      <w:pPr>
        <w:spacing w:after="0" w:line="22" w:lineRule="exact"/>
        <w:rPr>
          <w:sz w:val="20"/>
          <w:szCs w:val="20"/>
          <w:color w:val="auto"/>
        </w:rPr>
      </w:pPr>
    </w:p>
    <w:p>
      <w:pPr>
        <w:jc w:val="both"/>
        <w:ind w:left="1840" w:right="20"/>
        <w:spacing w:after="0" w:line="261" w:lineRule="auto"/>
        <w:rPr>
          <w:sz w:val="20"/>
          <w:szCs w:val="20"/>
          <w:color w:val="auto"/>
        </w:rPr>
      </w:pPr>
      <w:r>
        <w:rPr>
          <w:rFonts w:ascii="Arial" w:cs="Arial" w:eastAsia="Arial" w:hAnsi="Arial"/>
          <w:sz w:val="15"/>
          <w:szCs w:val="15"/>
          <w:i w:val="1"/>
          <w:iCs w:val="1"/>
          <w:color w:val="auto"/>
        </w:rPr>
        <w:t xml:space="preserve">C. Mark Hussey </w:t>
      </w:r>
      <w:r>
        <w:rPr>
          <w:rFonts w:ascii="Arial" w:cs="Arial" w:eastAsia="Arial" w:hAnsi="Arial"/>
          <w:sz w:val="15"/>
          <w:szCs w:val="15"/>
          <w:color w:val="auto"/>
        </w:rPr>
        <w:t>was appointed President of Huron in February 2019 and was appointed Chief Operating Officer of Huron in</w:t>
      </w:r>
      <w:r>
        <w:rPr>
          <w:rFonts w:ascii="Arial" w:cs="Arial" w:eastAsia="Arial" w:hAnsi="Arial"/>
          <w:sz w:val="15"/>
          <w:szCs w:val="15"/>
          <w:i w:val="1"/>
          <w:iCs w:val="1"/>
          <w:color w:val="auto"/>
        </w:rPr>
        <w:t xml:space="preserve"> </w:t>
      </w:r>
      <w:r>
        <w:rPr>
          <w:rFonts w:ascii="Arial" w:cs="Arial" w:eastAsia="Arial" w:hAnsi="Arial"/>
          <w:sz w:val="15"/>
          <w:szCs w:val="15"/>
          <w:color w:val="auto"/>
        </w:rPr>
        <w:t>February 2014. He served as an Executive Vice President from July 2011 until February 2019. He had served as Chief Financial Officer from July 2011 until January 2017, and served as Huron’s Treasurer from July 2011 until February 2016. Prior to joining Huron, from 2002 to 2011, Mr. Hussey served as Chief Financial Officer at Crosscom National, LLC, a privately held professional IT services organization deploying and servicing in-store technology solutions for large, national retailers. In that role, he was responsible for all finance and administrative functions for the company. Prior to that, from 2000 until 2002, he served as Executive Vice President and Chief Financial Officer, North America, at Information Resources,Inc. During his career, Mr. Hussey has held</w:t>
      </w:r>
    </w:p>
    <w:p>
      <w:pPr>
        <w:spacing w:after="0" w:line="3" w:lineRule="exact"/>
        <w:rPr>
          <w:sz w:val="20"/>
          <w:szCs w:val="20"/>
          <w:color w:val="auto"/>
        </w:rPr>
      </w:pPr>
    </w:p>
    <w:p>
      <w:pPr>
        <w:jc w:val="both"/>
        <w:ind w:left="200" w:right="20"/>
        <w:spacing w:after="0" w:line="246" w:lineRule="auto"/>
        <w:rPr>
          <w:sz w:val="20"/>
          <w:szCs w:val="20"/>
          <w:color w:val="auto"/>
        </w:rPr>
      </w:pPr>
      <w:r>
        <w:rPr>
          <w:rFonts w:ascii="Arial" w:cs="Arial" w:eastAsia="Arial" w:hAnsi="Arial"/>
          <w:sz w:val="16"/>
          <w:szCs w:val="16"/>
          <w:color w:val="auto"/>
        </w:rPr>
        <w:t>senior finance, accounting and investor relations positions at entities such as EZLinks Golf, Inc., Dominick’s Finer Foods, Inc., and the Quaker Oats Company. Mr. Hussey received a B.S. in Accountancy from the University of Illinois, Urbana-Champaign and an M.B.A. in Finance from the University of Chicago Graduate School of Business. He holds professional designations as a Chartered Financial Analyst, Certified Management Accountant, and Certified Public Accountant.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127635</wp:posOffset>
            </wp:positionV>
            <wp:extent cx="810260" cy="10471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10260" cy="104711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ind w:left="1840"/>
        <w:spacing w:after="0"/>
        <w:rPr>
          <w:sz w:val="20"/>
          <w:szCs w:val="20"/>
          <w:color w:val="auto"/>
        </w:rPr>
      </w:pPr>
      <w:r>
        <w:rPr>
          <w:rFonts w:ascii="Arial" w:cs="Arial" w:eastAsia="Arial" w:hAnsi="Arial"/>
          <w:sz w:val="16"/>
          <w:szCs w:val="16"/>
          <w:b w:val="1"/>
          <w:bCs w:val="1"/>
          <w:color w:val="auto"/>
        </w:rPr>
        <w:t>John D. Kelly, Executive Vice President, Chief Financial Officer and Treasurer</w:t>
      </w:r>
    </w:p>
    <w:p>
      <w:pPr>
        <w:spacing w:after="0" w:line="17" w:lineRule="exact"/>
        <w:rPr>
          <w:sz w:val="20"/>
          <w:szCs w:val="20"/>
          <w:color w:val="auto"/>
        </w:rPr>
      </w:pPr>
    </w:p>
    <w:p>
      <w:pPr>
        <w:jc w:val="both"/>
        <w:ind w:left="1840" w:right="20"/>
        <w:spacing w:after="0" w:line="224" w:lineRule="auto"/>
        <w:rPr>
          <w:sz w:val="20"/>
          <w:szCs w:val="20"/>
          <w:color w:val="auto"/>
        </w:rPr>
      </w:pPr>
      <w:r>
        <w:rPr>
          <w:rFonts w:ascii="Arial" w:cs="Arial" w:eastAsia="Arial" w:hAnsi="Arial"/>
          <w:sz w:val="15"/>
          <w:szCs w:val="15"/>
          <w:i w:val="1"/>
          <w:iCs w:val="1"/>
          <w:color w:val="auto"/>
        </w:rPr>
        <w:t xml:space="preserve">John D. Kelly </w:t>
      </w:r>
      <w:r>
        <w:rPr>
          <w:rFonts w:ascii="Arial" w:cs="Arial" w:eastAsia="Arial" w:hAnsi="Arial"/>
          <w:sz w:val="15"/>
          <w:szCs w:val="15"/>
          <w:color w:val="auto"/>
        </w:rPr>
        <w:t>was appointed Executive Vice President and Chief Financial Officer of Huron effective January 3, 2017. He has served as</w:t>
      </w:r>
      <w:r>
        <w:rPr>
          <w:rFonts w:ascii="Arial" w:cs="Arial" w:eastAsia="Arial" w:hAnsi="Arial"/>
          <w:sz w:val="15"/>
          <w:szCs w:val="15"/>
          <w:i w:val="1"/>
          <w:iCs w:val="1"/>
          <w:color w:val="auto"/>
        </w:rPr>
        <w:t xml:space="preserve"> </w:t>
      </w:r>
      <w:r>
        <w:rPr>
          <w:rFonts w:ascii="Arial" w:cs="Arial" w:eastAsia="Arial" w:hAnsi="Arial"/>
          <w:sz w:val="15"/>
          <w:szCs w:val="15"/>
          <w:color w:val="auto"/>
        </w:rPr>
        <w:t>Huron’s Treasurer since February 2016. He had served as Chief Accounting Officer of Huron from February 2015 until January 2017, and had served as Corporate Vice President from November 2012 until his appointment as Executive Vice President. Previously, Mr. Kelly had served as Controller of Huron from November 2012 until February 2015, and prior to that served as Assistant Controller from October 2009. Mr. Kelly served as Huron’s Assistant Treasurer from February 2015 until February 2016. Prior to joining Huron’s Finance and Accounting department, Mr. Kelly was a Director in the Company’s Disputes and Investigations practice for three years, serving clients in the manufacturing and services industries. Before he joined the Company in December 2006, Mr. Kelly had held several positions within</w:t>
      </w:r>
    </w:p>
    <w:p>
      <w:pPr>
        <w:spacing w:after="0" w:line="3" w:lineRule="exact"/>
        <w:rPr>
          <w:sz w:val="20"/>
          <w:szCs w:val="20"/>
          <w:color w:val="auto"/>
        </w:rPr>
      </w:pPr>
    </w:p>
    <w:p>
      <w:pPr>
        <w:jc w:val="both"/>
        <w:ind w:left="200" w:right="20"/>
        <w:spacing w:after="0" w:line="231" w:lineRule="auto"/>
        <w:rPr>
          <w:sz w:val="20"/>
          <w:szCs w:val="20"/>
          <w:color w:val="auto"/>
        </w:rPr>
      </w:pPr>
      <w:r>
        <w:rPr>
          <w:rFonts w:ascii="Arial" w:cs="Arial" w:eastAsia="Arial" w:hAnsi="Arial"/>
          <w:sz w:val="15"/>
          <w:szCs w:val="15"/>
          <w:color w:val="auto"/>
        </w:rPr>
        <w:t>Deloitte &amp; Touche’s Assurance and Advisory Services group, most recently as a Senior Manager. He received both a B.S. and M.S. in Accounting from the University of Notre Dame. Mr. Kelly is a Certified Public Accountant (Illinois). Commencing in February 2020, Mr. Kelly was appointed as a member of the Board of Directors of Shorelight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141605</wp:posOffset>
            </wp:positionV>
            <wp:extent cx="810260" cy="10471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10260" cy="104711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ind w:left="1840"/>
        <w:spacing w:after="0"/>
        <w:rPr>
          <w:sz w:val="20"/>
          <w:szCs w:val="20"/>
          <w:color w:val="auto"/>
        </w:rPr>
      </w:pPr>
      <w:r>
        <w:rPr>
          <w:rFonts w:ascii="Arial" w:cs="Arial" w:eastAsia="Arial" w:hAnsi="Arial"/>
          <w:sz w:val="16"/>
          <w:szCs w:val="16"/>
          <w:b w:val="1"/>
          <w:bCs w:val="1"/>
          <w:color w:val="auto"/>
        </w:rPr>
        <w:t>Ernest W. Torain, Jr., Executive Vice President, General Counsel and Corporate Secretary</w:t>
      </w:r>
    </w:p>
    <w:p>
      <w:pPr>
        <w:spacing w:after="0" w:line="22" w:lineRule="exact"/>
        <w:rPr>
          <w:sz w:val="20"/>
          <w:szCs w:val="20"/>
          <w:color w:val="auto"/>
        </w:rPr>
      </w:pPr>
    </w:p>
    <w:p>
      <w:pPr>
        <w:jc w:val="both"/>
        <w:ind w:left="1840" w:right="20"/>
        <w:spacing w:after="0" w:line="262" w:lineRule="auto"/>
        <w:rPr>
          <w:sz w:val="20"/>
          <w:szCs w:val="20"/>
          <w:color w:val="auto"/>
        </w:rPr>
      </w:pPr>
      <w:r>
        <w:rPr>
          <w:rFonts w:ascii="Arial" w:cs="Arial" w:eastAsia="Arial" w:hAnsi="Arial"/>
          <w:sz w:val="15"/>
          <w:szCs w:val="15"/>
          <w:i w:val="1"/>
          <w:iCs w:val="1"/>
          <w:color w:val="auto"/>
        </w:rPr>
        <w:t xml:space="preserve">Ernest W. Torain, Jr. </w:t>
      </w:r>
      <w:r>
        <w:rPr>
          <w:rFonts w:ascii="Arial" w:cs="Arial" w:eastAsia="Arial" w:hAnsi="Arial"/>
          <w:sz w:val="15"/>
          <w:szCs w:val="15"/>
          <w:color w:val="auto"/>
        </w:rPr>
        <w:t>was appointed Executive Vice President, General Counsel and Corporate Secretary effective March 1, 2020.</w:t>
      </w:r>
      <w:r>
        <w:rPr>
          <w:rFonts w:ascii="Arial" w:cs="Arial" w:eastAsia="Arial" w:hAnsi="Arial"/>
          <w:sz w:val="15"/>
          <w:szCs w:val="15"/>
          <w:i w:val="1"/>
          <w:iCs w:val="1"/>
          <w:color w:val="auto"/>
        </w:rPr>
        <w:t xml:space="preserve"> </w:t>
      </w:r>
      <w:r>
        <w:rPr>
          <w:rFonts w:ascii="Arial" w:cs="Arial" w:eastAsia="Arial" w:hAnsi="Arial"/>
          <w:sz w:val="15"/>
          <w:szCs w:val="15"/>
          <w:color w:val="auto"/>
        </w:rPr>
        <w:t>Before joining Huron, from September 2010 to February 2020, Mr. Torain was in-house counsel at Illinois Tool Works Inc. (ITW), a public manufacturer of industrial equipment, in a variety of roles, most recently serving as Associate General Counsel. At ITW, Mr. Torain counseled business executives in a variety of areas, including mergers and acquisitions, litigation, intellectual property and general commercial matters. Prior to joining ITW, he spent more than six years at Vedder Price P.C., from 2004-2010, where he was a shareholder in the firm’s securities and capital markets practice. Prior to Vedder Price, Mr. Torain spent more than seven</w:t>
      </w:r>
    </w:p>
    <w:p>
      <w:pPr>
        <w:jc w:val="both"/>
        <w:ind w:left="200" w:right="20"/>
        <w:spacing w:after="0" w:line="246" w:lineRule="auto"/>
        <w:rPr>
          <w:sz w:val="20"/>
          <w:szCs w:val="20"/>
          <w:color w:val="auto"/>
        </w:rPr>
      </w:pPr>
      <w:r>
        <w:rPr>
          <w:rFonts w:ascii="Arial" w:cs="Arial" w:eastAsia="Arial" w:hAnsi="Arial"/>
          <w:sz w:val="16"/>
          <w:szCs w:val="16"/>
          <w:color w:val="auto"/>
        </w:rPr>
        <w:t>years at Katten Muchin Rosenman LLP from 1998-2004 including as a partner from 2001-2004 in the firm’s securities and M&amp;A practices. He received his J.D. from the University of Michigan Law School and received his A.B. in economics from Dartmouth College. He is a member of The Executive Leadership Council and The Economic Club of Chicago. Commencing in February 2021, Mr. Torain was appointed as a member of the Board of Directors of Chicago Humanities Festival.</w:t>
      </w:r>
    </w:p>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00548B"/>
        </w:rPr>
        <w:t>19</w:t>
      </w:r>
    </w:p>
    <w:p>
      <w:pPr>
        <w:sectPr>
          <w:pgSz w:w="11900" w:h="16838" w:orient="portrait"/>
          <w:cols w:equalWidth="0" w:num="1">
            <w:col w:w="11060"/>
          </w:cols>
          <w:pgMar w:left="320" w:top="454" w:right="5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2023 CEO T</w:t>
      </w:r>
      <w:r>
        <w:rPr>
          <w:rFonts w:ascii="Arial" w:cs="Arial" w:eastAsia="Arial" w:hAnsi="Arial"/>
          <w:sz w:val="14"/>
          <w:szCs w:val="14"/>
          <w:b w:val="1"/>
          <w:bCs w:val="1"/>
          <w:color w:val="00548B"/>
        </w:rPr>
        <w:t>RANSITION</w:t>
      </w:r>
    </w:p>
    <w:p>
      <w:pPr>
        <w:spacing w:after="0" w:line="17" w:lineRule="exact"/>
        <w:rPr>
          <w:sz w:val="20"/>
          <w:szCs w:val="20"/>
          <w:color w:val="auto"/>
        </w:rPr>
      </w:pPr>
    </w:p>
    <w:p>
      <w:pPr>
        <w:jc w:val="both"/>
        <w:ind w:left="200"/>
        <w:spacing w:after="0" w:line="248" w:lineRule="auto"/>
        <w:rPr>
          <w:sz w:val="20"/>
          <w:szCs w:val="20"/>
          <w:color w:val="auto"/>
        </w:rPr>
      </w:pPr>
      <w:r>
        <w:rPr>
          <w:rFonts w:ascii="Arial" w:cs="Arial" w:eastAsia="Arial" w:hAnsi="Arial"/>
          <w:sz w:val="16"/>
          <w:szCs w:val="16"/>
          <w:color w:val="auto"/>
        </w:rPr>
        <w:t>On March 21, 2022, the Company announced that the board of directors implemented a leadership transition plan, appointing Mr. Hussey as chief executive officer effective January 1, 2023, following the retirement of Mr. Roth from the role after a distinguished 20-year career with Huron, including having served 13 years as chief executive officer.</w:t>
      </w:r>
    </w:p>
    <w:p>
      <w:pPr>
        <w:spacing w:after="0" w:line="174" w:lineRule="exact"/>
        <w:rPr>
          <w:sz w:val="20"/>
          <w:szCs w:val="20"/>
          <w:color w:val="auto"/>
        </w:rPr>
      </w:pPr>
    </w:p>
    <w:p>
      <w:pPr>
        <w:jc w:val="both"/>
        <w:ind w:left="200"/>
        <w:spacing w:after="0" w:line="245" w:lineRule="auto"/>
        <w:rPr>
          <w:sz w:val="20"/>
          <w:szCs w:val="20"/>
          <w:color w:val="auto"/>
        </w:rPr>
      </w:pPr>
      <w:r>
        <w:rPr>
          <w:rFonts w:ascii="Arial" w:cs="Arial" w:eastAsia="Arial" w:hAnsi="Arial"/>
          <w:sz w:val="16"/>
          <w:szCs w:val="16"/>
          <w:color w:val="auto"/>
        </w:rPr>
        <w:t>The board recognizes that the development of management succession plans and the oversight of the execution of those plans once enacted is one of its primary responsibilities. As such, the board has consistently addressed management succession as part of its regular processes. These actions have included developing emergency succession plans, identifying potential senior leadership succession candidates, assessing such candidates’ readiness to assume greater responsibilities, and identifying developmental opportunities for potential candidates. Examples of the output of these actions include the promotion of Mr. Hussey to president in 2019 and chief operating officer in 2017 and the promotion of Mr. Kelly to chief financial officer in 2017.</w:t>
      </w:r>
    </w:p>
    <w:p>
      <w:pPr>
        <w:spacing w:after="0" w:line="164"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color w:val="auto"/>
        </w:rPr>
        <w:t>In 2020, the board advanced its assessment of potential successors for the CEO position, including considering an external search, which, after deliberate discussion, was ultimately rejected.</w:t>
      </w:r>
    </w:p>
    <w:p>
      <w:pPr>
        <w:spacing w:after="0" w:line="157" w:lineRule="exact"/>
        <w:rPr>
          <w:sz w:val="20"/>
          <w:szCs w:val="20"/>
          <w:color w:val="auto"/>
        </w:rPr>
      </w:pPr>
    </w:p>
    <w:p>
      <w:pPr>
        <w:jc w:val="both"/>
        <w:ind w:left="200"/>
        <w:spacing w:after="0" w:line="245" w:lineRule="auto"/>
        <w:rPr>
          <w:sz w:val="20"/>
          <w:szCs w:val="20"/>
          <w:color w:val="auto"/>
        </w:rPr>
      </w:pPr>
      <w:r>
        <w:rPr>
          <w:rFonts w:ascii="Arial" w:cs="Arial" w:eastAsia="Arial" w:hAnsi="Arial"/>
          <w:sz w:val="16"/>
          <w:szCs w:val="16"/>
          <w:color w:val="auto"/>
        </w:rPr>
        <w:t>The board long considered Mr. Hussey an extremely strong candidate for the CEO position given his significant leadership skills and deep knowledge of the company’s operations, personnel, investors and clients, developed during his management of the day-to-day operations and finances of the business in his various roles at Huron. At numerous meetings during 2021, the board discussed Mr. Hussey’s readiness to assume the role and the expected positive reaction from the managing directors and broader Huron team to his potential appointment. At the completion of these discussions, it was the board’s unanimous opinion that Mr. Hussey should succeed Mr. Roth when the latter chose to step aside.</w:t>
      </w:r>
    </w:p>
    <w:p>
      <w:pPr>
        <w:spacing w:after="0" w:line="178" w:lineRule="exact"/>
        <w:rPr>
          <w:sz w:val="20"/>
          <w:szCs w:val="20"/>
          <w:color w:val="auto"/>
        </w:rPr>
      </w:pPr>
    </w:p>
    <w:p>
      <w:pPr>
        <w:jc w:val="both"/>
        <w:ind w:left="200"/>
        <w:spacing w:after="0" w:line="246" w:lineRule="auto"/>
        <w:rPr>
          <w:sz w:val="20"/>
          <w:szCs w:val="20"/>
          <w:color w:val="auto"/>
        </w:rPr>
      </w:pPr>
      <w:r>
        <w:rPr>
          <w:rFonts w:ascii="Arial" w:cs="Arial" w:eastAsia="Arial" w:hAnsi="Arial"/>
          <w:sz w:val="16"/>
          <w:szCs w:val="16"/>
          <w:color w:val="auto"/>
        </w:rPr>
        <w:t>On March 21, 2022, the Company announced the board’s execution of its leadership transition plan and appointed Mr. Hussey to become chief executive officer, effective January 1, 2023, following Mr. Roth’s retirement from the role. In anticipation of his new role as Chief Executive Officer effective January 1, 2023, it is also the board’s intention to elect Mr. Hussey to the board during 2022. The board has complete confidence in Mr. Hussey’s ability to lead the company forward to achieve it strategic objectives.</w:t>
      </w:r>
    </w:p>
    <w:p>
      <w:pPr>
        <w:spacing w:after="0" w:line="163" w:lineRule="exact"/>
        <w:rPr>
          <w:sz w:val="20"/>
          <w:szCs w:val="20"/>
          <w:color w:val="auto"/>
        </w:rPr>
      </w:pPr>
    </w:p>
    <w:p>
      <w:pPr>
        <w:jc w:val="both"/>
        <w:ind w:left="200"/>
        <w:spacing w:after="0" w:line="244" w:lineRule="auto"/>
        <w:rPr>
          <w:sz w:val="20"/>
          <w:szCs w:val="20"/>
          <w:color w:val="auto"/>
        </w:rPr>
      </w:pPr>
      <w:r>
        <w:rPr>
          <w:rFonts w:ascii="Arial" w:cs="Arial" w:eastAsia="Arial" w:hAnsi="Arial"/>
          <w:sz w:val="16"/>
          <w:szCs w:val="16"/>
          <w:color w:val="auto"/>
        </w:rPr>
        <w:t>One of the key attributes of Huron’s long-term success and client-focused culture is an active presence in the marketplace. Our managing directors regularly address the issues and challenges of our clients and actively identify new business opportunities with current and potential clients. Throughout his career, Mr. Roth has been and remains extremely active with Huron’s clients, especially in the higher education and healthcare industries. He is a highly regarded thought leader and trusted advisor to the senior leadership at some of the world’s most renowned organizations. The board, Mr. Hussey and Mr. Roth all believe that Mr. Roth can and should make significant contributions to Huron’s success through continued client service, and Mr. Roth is eager to do so. Therefore, it is the board’s intention, effective January 1, 2023, to elect Mr. Roth, Vice Chairman, Client Services, a non-executive position focused on serving clients across industries and enhancing Huron’s market presence, among other activities.</w:t>
      </w:r>
    </w:p>
    <w:p>
      <w:pPr>
        <w:spacing w:after="0" w:line="14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D</w:t>
      </w:r>
      <w:r>
        <w:rPr>
          <w:rFonts w:ascii="Arial" w:cs="Arial" w:eastAsia="Arial" w:hAnsi="Arial"/>
          <w:sz w:val="14"/>
          <w:szCs w:val="14"/>
          <w:b w:val="1"/>
          <w:bCs w:val="1"/>
          <w:color w:val="00548B"/>
        </w:rPr>
        <w:t>ELINQUENT</w:t>
      </w:r>
      <w:r>
        <w:rPr>
          <w:rFonts w:ascii="Arial" w:cs="Arial" w:eastAsia="Arial" w:hAnsi="Arial"/>
          <w:sz w:val="18"/>
          <w:szCs w:val="18"/>
          <w:b w:val="1"/>
          <w:bCs w:val="1"/>
          <w:color w:val="00548B"/>
        </w:rPr>
        <w:t xml:space="preserve"> S</w:t>
      </w:r>
      <w:r>
        <w:rPr>
          <w:rFonts w:ascii="Arial" w:cs="Arial" w:eastAsia="Arial" w:hAnsi="Arial"/>
          <w:sz w:val="14"/>
          <w:szCs w:val="14"/>
          <w:b w:val="1"/>
          <w:bCs w:val="1"/>
          <w:color w:val="00548B"/>
        </w:rPr>
        <w:t>ECTION</w:t>
      </w:r>
      <w:r>
        <w:rPr>
          <w:rFonts w:ascii="Arial" w:cs="Arial" w:eastAsia="Arial" w:hAnsi="Arial"/>
          <w:sz w:val="18"/>
          <w:szCs w:val="18"/>
          <w:b w:val="1"/>
          <w:bCs w:val="1"/>
          <w:color w:val="00548B"/>
        </w:rPr>
        <w:t xml:space="preserve"> 16(a) R</w:t>
      </w:r>
      <w:r>
        <w:rPr>
          <w:rFonts w:ascii="Arial" w:cs="Arial" w:eastAsia="Arial" w:hAnsi="Arial"/>
          <w:sz w:val="14"/>
          <w:szCs w:val="14"/>
          <w:b w:val="1"/>
          <w:bCs w:val="1"/>
          <w:color w:val="00548B"/>
        </w:rPr>
        <w:t>EPORTS</w:t>
      </w:r>
    </w:p>
    <w:p>
      <w:pPr>
        <w:spacing w:after="0" w:line="17" w:lineRule="exact"/>
        <w:rPr>
          <w:sz w:val="20"/>
          <w:szCs w:val="20"/>
          <w:color w:val="auto"/>
        </w:rPr>
      </w:pPr>
    </w:p>
    <w:p>
      <w:pPr>
        <w:jc w:val="both"/>
        <w:ind w:left="200"/>
        <w:spacing w:after="0" w:line="245" w:lineRule="auto"/>
        <w:rPr>
          <w:sz w:val="20"/>
          <w:szCs w:val="20"/>
          <w:color w:val="auto"/>
        </w:rPr>
      </w:pPr>
      <w:r>
        <w:rPr>
          <w:rFonts w:ascii="Arial" w:cs="Arial" w:eastAsia="Arial" w:hAnsi="Arial"/>
          <w:sz w:val="16"/>
          <w:szCs w:val="16"/>
          <w:color w:val="auto"/>
        </w:rPr>
        <w:t>Pursuant to Section 16(a) of the 1934 Act, the Company’s directors, executive officers and persons who beneficially own 10% or more of our common stock (the “Section 16 Reporting Persons”) are required to report their initial ownership of common stock and subsequent changes in that ownership to the SEC. Section 16 Reporting Persons are required to furnish the Company with copies of all Section 16(a) forms that they file. Based upon our review of forms filed by the Section 16 Reporting Persons pursuant to the 1934 Act, we identified one late filing in 2021 by James H. Roth, the Company’s Chief Executive Officer and member of the Board of Directors of Huron.</w:t>
      </w:r>
    </w:p>
    <w:p>
      <w:pPr>
        <w:spacing w:after="0" w:line="15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S</w:t>
      </w:r>
      <w:r>
        <w:rPr>
          <w:rFonts w:ascii="Arial" w:cs="Arial" w:eastAsia="Arial" w:hAnsi="Arial"/>
          <w:sz w:val="14"/>
          <w:szCs w:val="14"/>
          <w:b w:val="1"/>
          <w:bCs w:val="1"/>
          <w:color w:val="00548B"/>
        </w:rPr>
        <w:t>TOCK</w:t>
      </w:r>
      <w:r>
        <w:rPr>
          <w:rFonts w:ascii="Arial" w:cs="Arial" w:eastAsia="Arial" w:hAnsi="Arial"/>
          <w:sz w:val="18"/>
          <w:szCs w:val="18"/>
          <w:b w:val="1"/>
          <w:bCs w:val="1"/>
          <w:color w:val="00548B"/>
        </w:rPr>
        <w:t xml:space="preserve"> O</w:t>
      </w:r>
      <w:r>
        <w:rPr>
          <w:rFonts w:ascii="Arial" w:cs="Arial" w:eastAsia="Arial" w:hAnsi="Arial"/>
          <w:sz w:val="14"/>
          <w:szCs w:val="14"/>
          <w:b w:val="1"/>
          <w:bCs w:val="1"/>
          <w:color w:val="00548B"/>
        </w:rPr>
        <w:t>WNERSHIP OF</w:t>
      </w:r>
      <w:r>
        <w:rPr>
          <w:rFonts w:ascii="Arial" w:cs="Arial" w:eastAsia="Arial" w:hAnsi="Arial"/>
          <w:sz w:val="18"/>
          <w:szCs w:val="18"/>
          <w:b w:val="1"/>
          <w:bCs w:val="1"/>
          <w:color w:val="00548B"/>
        </w:rPr>
        <w:t xml:space="preserve"> C</w:t>
      </w:r>
      <w:r>
        <w:rPr>
          <w:rFonts w:ascii="Arial" w:cs="Arial" w:eastAsia="Arial" w:hAnsi="Arial"/>
          <w:sz w:val="14"/>
          <w:szCs w:val="14"/>
          <w:b w:val="1"/>
          <w:bCs w:val="1"/>
          <w:color w:val="00548B"/>
        </w:rPr>
        <w:t>ERTAIN</w:t>
      </w:r>
      <w:r>
        <w:rPr>
          <w:rFonts w:ascii="Arial" w:cs="Arial" w:eastAsia="Arial" w:hAnsi="Arial"/>
          <w:sz w:val="18"/>
          <w:szCs w:val="18"/>
          <w:b w:val="1"/>
          <w:bCs w:val="1"/>
          <w:color w:val="00548B"/>
        </w:rPr>
        <w:t xml:space="preserve"> B</w:t>
      </w:r>
      <w:r>
        <w:rPr>
          <w:rFonts w:ascii="Arial" w:cs="Arial" w:eastAsia="Arial" w:hAnsi="Arial"/>
          <w:sz w:val="14"/>
          <w:szCs w:val="14"/>
          <w:b w:val="1"/>
          <w:bCs w:val="1"/>
          <w:color w:val="00548B"/>
        </w:rPr>
        <w:t>ENEFICIAL</w:t>
      </w:r>
      <w:r>
        <w:rPr>
          <w:rFonts w:ascii="Arial" w:cs="Arial" w:eastAsia="Arial" w:hAnsi="Arial"/>
          <w:sz w:val="18"/>
          <w:szCs w:val="18"/>
          <w:b w:val="1"/>
          <w:bCs w:val="1"/>
          <w:color w:val="00548B"/>
        </w:rPr>
        <w:t xml:space="preserve"> O</w:t>
      </w:r>
      <w:r>
        <w:rPr>
          <w:rFonts w:ascii="Arial" w:cs="Arial" w:eastAsia="Arial" w:hAnsi="Arial"/>
          <w:sz w:val="14"/>
          <w:szCs w:val="14"/>
          <w:b w:val="1"/>
          <w:bCs w:val="1"/>
          <w:color w:val="00548B"/>
        </w:rPr>
        <w:t>WNERS AND</w:t>
      </w:r>
      <w:r>
        <w:rPr>
          <w:rFonts w:ascii="Arial" w:cs="Arial" w:eastAsia="Arial" w:hAnsi="Arial"/>
          <w:sz w:val="18"/>
          <w:szCs w:val="18"/>
          <w:b w:val="1"/>
          <w:bCs w:val="1"/>
          <w:color w:val="00548B"/>
        </w:rPr>
        <w:t xml:space="preserve"> M</w:t>
      </w:r>
      <w:r>
        <w:rPr>
          <w:rFonts w:ascii="Arial" w:cs="Arial" w:eastAsia="Arial" w:hAnsi="Arial"/>
          <w:sz w:val="14"/>
          <w:szCs w:val="14"/>
          <w:b w:val="1"/>
          <w:bCs w:val="1"/>
          <w:color w:val="00548B"/>
        </w:rPr>
        <w:t>ANAGEMENT</w:t>
      </w:r>
    </w:p>
    <w:p>
      <w:pPr>
        <w:spacing w:after="0" w:line="1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following table sets forth, as of the Record Date, certain information regarding the beneficial ownership of our common stock by:</w:t>
      </w:r>
    </w:p>
    <w:p>
      <w:pPr>
        <w:spacing w:after="0" w:line="215" w:lineRule="exact"/>
        <w:rPr>
          <w:sz w:val="20"/>
          <w:szCs w:val="20"/>
          <w:color w:val="auto"/>
        </w:rPr>
      </w:pPr>
    </w:p>
    <w:p>
      <w:pPr>
        <w:ind w:left="1060" w:hanging="435"/>
        <w:spacing w:after="0"/>
        <w:tabs>
          <w:tab w:leader="none" w:pos="1060" w:val="left"/>
        </w:tabs>
        <w:numPr>
          <w:ilvl w:val="0"/>
          <w:numId w:val="9"/>
        </w:numPr>
        <w:rPr>
          <w:rFonts w:ascii="Arial" w:cs="Arial" w:eastAsia="Arial" w:hAnsi="Arial"/>
          <w:sz w:val="16"/>
          <w:szCs w:val="16"/>
          <w:color w:val="00548B"/>
        </w:rPr>
      </w:pPr>
      <w:r>
        <w:rPr>
          <w:rFonts w:ascii="Arial" w:cs="Arial" w:eastAsia="Arial" w:hAnsi="Arial"/>
          <w:sz w:val="16"/>
          <w:szCs w:val="16"/>
          <w:color w:val="auto"/>
        </w:rPr>
        <w:t>each person known by us to beneficially own 5% or more of our common stock;</w:t>
      </w:r>
    </w:p>
    <w:p>
      <w:pPr>
        <w:spacing w:after="0" w:line="2" w:lineRule="exact"/>
        <w:rPr>
          <w:rFonts w:ascii="Arial" w:cs="Arial" w:eastAsia="Arial" w:hAnsi="Arial"/>
          <w:sz w:val="16"/>
          <w:szCs w:val="16"/>
          <w:color w:val="00548B"/>
        </w:rPr>
      </w:pPr>
    </w:p>
    <w:p>
      <w:pPr>
        <w:ind w:left="1060" w:hanging="435"/>
        <w:spacing w:after="0"/>
        <w:tabs>
          <w:tab w:leader="none" w:pos="1060" w:val="left"/>
        </w:tabs>
        <w:numPr>
          <w:ilvl w:val="0"/>
          <w:numId w:val="9"/>
        </w:numPr>
        <w:rPr>
          <w:rFonts w:ascii="Arial" w:cs="Arial" w:eastAsia="Arial" w:hAnsi="Arial"/>
          <w:sz w:val="16"/>
          <w:szCs w:val="16"/>
          <w:color w:val="00548B"/>
        </w:rPr>
      </w:pPr>
      <w:r>
        <w:rPr>
          <w:rFonts w:ascii="Arial" w:cs="Arial" w:eastAsia="Arial" w:hAnsi="Arial"/>
          <w:sz w:val="16"/>
          <w:szCs w:val="16"/>
          <w:color w:val="auto"/>
        </w:rPr>
        <w:t>each of our named executive officers;</w:t>
      </w:r>
    </w:p>
    <w:p>
      <w:pPr>
        <w:spacing w:after="0" w:line="2" w:lineRule="exact"/>
        <w:rPr>
          <w:rFonts w:ascii="Arial" w:cs="Arial" w:eastAsia="Arial" w:hAnsi="Arial"/>
          <w:sz w:val="16"/>
          <w:szCs w:val="16"/>
          <w:color w:val="00548B"/>
        </w:rPr>
      </w:pPr>
    </w:p>
    <w:p>
      <w:pPr>
        <w:ind w:left="1060" w:hanging="435"/>
        <w:spacing w:after="0"/>
        <w:tabs>
          <w:tab w:leader="none" w:pos="1060" w:val="left"/>
        </w:tabs>
        <w:numPr>
          <w:ilvl w:val="0"/>
          <w:numId w:val="9"/>
        </w:numPr>
        <w:rPr>
          <w:rFonts w:ascii="Arial" w:cs="Arial" w:eastAsia="Arial" w:hAnsi="Arial"/>
          <w:sz w:val="16"/>
          <w:szCs w:val="16"/>
          <w:color w:val="00548B"/>
        </w:rPr>
      </w:pPr>
      <w:r>
        <w:rPr>
          <w:rFonts w:ascii="Arial" w:cs="Arial" w:eastAsia="Arial" w:hAnsi="Arial"/>
          <w:sz w:val="16"/>
          <w:szCs w:val="16"/>
          <w:color w:val="auto"/>
        </w:rPr>
        <w:t>each member of our board of directors; and</w:t>
      </w:r>
    </w:p>
    <w:p>
      <w:pPr>
        <w:spacing w:after="0" w:line="2" w:lineRule="exact"/>
        <w:rPr>
          <w:rFonts w:ascii="Arial" w:cs="Arial" w:eastAsia="Arial" w:hAnsi="Arial"/>
          <w:sz w:val="16"/>
          <w:szCs w:val="16"/>
          <w:color w:val="00548B"/>
        </w:rPr>
      </w:pPr>
    </w:p>
    <w:p>
      <w:pPr>
        <w:ind w:left="1060" w:hanging="435"/>
        <w:spacing w:after="0"/>
        <w:tabs>
          <w:tab w:leader="none" w:pos="1060" w:val="left"/>
        </w:tabs>
        <w:numPr>
          <w:ilvl w:val="0"/>
          <w:numId w:val="9"/>
        </w:numPr>
        <w:rPr>
          <w:rFonts w:ascii="Arial" w:cs="Arial" w:eastAsia="Arial" w:hAnsi="Arial"/>
          <w:sz w:val="16"/>
          <w:szCs w:val="16"/>
          <w:color w:val="00548B"/>
        </w:rPr>
      </w:pPr>
      <w:r>
        <w:rPr>
          <w:rFonts w:ascii="Arial" w:cs="Arial" w:eastAsia="Arial" w:hAnsi="Arial"/>
          <w:sz w:val="16"/>
          <w:szCs w:val="16"/>
          <w:color w:val="auto"/>
        </w:rPr>
        <w:t>all directors and executive officers as a group.</w:t>
      </w:r>
    </w:p>
    <w:p>
      <w:pPr>
        <w:spacing w:after="0" w:line="14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20</w:t>
      </w:r>
    </w:p>
    <w:p>
      <w:pPr>
        <w:sectPr>
          <w:pgSz w:w="11900" w:h="16838" w:orient="portrait"/>
          <w:cols w:equalWidth="0" w:num="1">
            <w:col w:w="11040"/>
          </w:cols>
          <w:pgMar w:left="320" w:top="454" w:right="5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200" w:right="20"/>
        <w:spacing w:after="0" w:line="245" w:lineRule="auto"/>
        <w:rPr>
          <w:sz w:val="20"/>
          <w:szCs w:val="20"/>
          <w:color w:val="auto"/>
        </w:rPr>
      </w:pPr>
      <w:r>
        <w:rPr>
          <w:rFonts w:ascii="Arial" w:cs="Arial" w:eastAsia="Arial" w:hAnsi="Arial"/>
          <w:sz w:val="16"/>
          <w:szCs w:val="16"/>
          <w:color w:val="auto"/>
        </w:rPr>
        <w:t>Beneficial ownership is determined according to the rules of the Securities and Exchange Commission (the “SEC”) and generally means that a person has beneficial ownership of a security if he or she possesses sole or shared voting or investment power of that security and includes options that are currently exercisable or exercisable within 60 days as of the record date. Each director, officer or 5% or more stockholder, as the case may be, has furnished us with information with respect to beneficial ownership. Except as otherwise indicated, beneficial owners of common stock listed below, based on the information each of them has given to us, have sole investment and voting power with respect to their shares, except where community property laws may apply.</w:t>
      </w:r>
    </w:p>
    <w:p>
      <w:pPr>
        <w:spacing w:after="0" w:line="199" w:lineRule="exact"/>
        <w:rPr>
          <w:sz w:val="20"/>
          <w:szCs w:val="20"/>
          <w:color w:val="auto"/>
        </w:rPr>
      </w:pPr>
    </w:p>
    <w:tbl>
      <w:tblPr>
        <w:tblLayout w:type="fixed"/>
        <w:tblInd w:w="20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160" w:type="dxa"/>
            <w:vAlign w:val="bottom"/>
            <w:shd w:val="clear" w:color="auto" w:fill="00548B"/>
          </w:tcPr>
          <w:p>
            <w:pPr>
              <w:spacing w:after="0"/>
              <w:rPr>
                <w:sz w:val="14"/>
                <w:szCs w:val="14"/>
                <w:color w:val="auto"/>
              </w:rPr>
            </w:pPr>
          </w:p>
        </w:tc>
        <w:tc>
          <w:tcPr>
            <w:tcW w:w="7240" w:type="dxa"/>
            <w:vAlign w:val="bottom"/>
            <w:shd w:val="clear" w:color="auto" w:fill="00548B"/>
          </w:tcPr>
          <w:p>
            <w:pPr>
              <w:spacing w:after="0"/>
              <w:rPr>
                <w:sz w:val="14"/>
                <w:szCs w:val="14"/>
                <w:color w:val="auto"/>
              </w:rPr>
            </w:pPr>
          </w:p>
        </w:tc>
        <w:tc>
          <w:tcPr>
            <w:tcW w:w="2760" w:type="dxa"/>
            <w:vAlign w:val="bottom"/>
            <w:shd w:val="clear" w:color="auto" w:fill="00548B"/>
          </w:tcPr>
          <w:p>
            <w:pPr>
              <w:jc w:val="right"/>
              <w:spacing w:after="0"/>
              <w:rPr>
                <w:sz w:val="20"/>
                <w:szCs w:val="20"/>
                <w:color w:val="auto"/>
              </w:rPr>
            </w:pPr>
            <w:r>
              <w:rPr>
                <w:rFonts w:ascii="Arial" w:cs="Arial" w:eastAsia="Arial" w:hAnsi="Arial"/>
                <w:sz w:val="14"/>
                <w:szCs w:val="14"/>
                <w:b w:val="1"/>
                <w:bCs w:val="1"/>
                <w:color w:val="D8D8D8"/>
              </w:rPr>
              <w:t>Beneficial Ownership</w:t>
            </w:r>
          </w:p>
        </w:tc>
        <w:tc>
          <w:tcPr>
            <w:tcW w:w="680" w:type="dxa"/>
            <w:vAlign w:val="bottom"/>
            <w:shd w:val="clear" w:color="auto" w:fill="00548B"/>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400" w:type="dxa"/>
            <w:vAlign w:val="bottom"/>
            <w:gridSpan w:val="2"/>
            <w:vMerge w:val="restart"/>
            <w:shd w:val="clear" w:color="auto" w:fill="00548B"/>
          </w:tcPr>
          <w:p>
            <w:pPr>
              <w:spacing w:after="0"/>
              <w:rPr>
                <w:sz w:val="20"/>
                <w:szCs w:val="20"/>
                <w:color w:val="auto"/>
              </w:rPr>
            </w:pPr>
            <w:r>
              <w:rPr>
                <w:rFonts w:ascii="Arial" w:cs="Arial" w:eastAsia="Arial" w:hAnsi="Arial"/>
                <w:sz w:val="14"/>
                <w:szCs w:val="14"/>
                <w:b w:val="1"/>
                <w:bCs w:val="1"/>
                <w:color w:val="D8D8D8"/>
              </w:rPr>
              <w:t>Name of beneficial owner (1)</w:t>
            </w:r>
          </w:p>
        </w:tc>
        <w:tc>
          <w:tcPr>
            <w:tcW w:w="2760" w:type="dxa"/>
            <w:vAlign w:val="bottom"/>
            <w:shd w:val="clear" w:color="auto" w:fill="00548B"/>
          </w:tcPr>
          <w:p>
            <w:pPr>
              <w:jc w:val="right"/>
              <w:ind w:right="1281"/>
              <w:spacing w:after="0"/>
              <w:rPr>
                <w:sz w:val="20"/>
                <w:szCs w:val="20"/>
                <w:color w:val="auto"/>
              </w:rPr>
            </w:pPr>
            <w:r>
              <w:rPr>
                <w:rFonts w:ascii="Arial" w:cs="Arial" w:eastAsia="Arial" w:hAnsi="Arial"/>
                <w:sz w:val="14"/>
                <w:szCs w:val="14"/>
                <w:b w:val="1"/>
                <w:bCs w:val="1"/>
                <w:color w:val="D8D8D8"/>
              </w:rPr>
              <w:t>Shares</w:t>
            </w:r>
          </w:p>
        </w:tc>
        <w:tc>
          <w:tcPr>
            <w:tcW w:w="680" w:type="dxa"/>
            <w:vAlign w:val="bottom"/>
            <w:vMerge w:val="restart"/>
            <w:shd w:val="clear" w:color="auto" w:fill="00548B"/>
          </w:tcPr>
          <w:p>
            <w:pPr>
              <w:jc w:val="right"/>
              <w:ind w:right="401"/>
              <w:spacing w:after="0"/>
              <w:rPr>
                <w:sz w:val="20"/>
                <w:szCs w:val="20"/>
                <w:color w:val="auto"/>
              </w:rPr>
            </w:pPr>
            <w:r>
              <w:rPr>
                <w:rFonts w:ascii="Arial" w:cs="Arial" w:eastAsia="Arial" w:hAnsi="Arial"/>
                <w:sz w:val="14"/>
                <w:szCs w:val="14"/>
                <w:b w:val="1"/>
                <w:bCs w:val="1"/>
                <w:color w:val="D8D8D8"/>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0" w:type="dxa"/>
            <w:vAlign w:val="bottom"/>
            <w:gridSpan w:val="2"/>
            <w:vMerge w:val="continue"/>
            <w:shd w:val="clear" w:color="auto" w:fill="00548B"/>
          </w:tcPr>
          <w:p>
            <w:pPr>
              <w:spacing w:after="0"/>
              <w:rPr>
                <w:sz w:val="12"/>
                <w:szCs w:val="12"/>
                <w:color w:val="auto"/>
              </w:rPr>
            </w:pPr>
          </w:p>
        </w:tc>
        <w:tc>
          <w:tcPr>
            <w:tcW w:w="2760" w:type="dxa"/>
            <w:vAlign w:val="bottom"/>
            <w:shd w:val="clear" w:color="auto" w:fill="00548B"/>
          </w:tcPr>
          <w:p>
            <w:pPr>
              <w:spacing w:after="0"/>
              <w:rPr>
                <w:sz w:val="12"/>
                <w:szCs w:val="12"/>
                <w:color w:val="auto"/>
              </w:rPr>
            </w:pPr>
          </w:p>
        </w:tc>
        <w:tc>
          <w:tcPr>
            <w:tcW w:w="680" w:type="dxa"/>
            <w:vAlign w:val="bottom"/>
            <w:vMerge w:val="continue"/>
            <w:shd w:val="clear" w:color="auto" w:fill="00548B"/>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400" w:type="dxa"/>
            <w:vAlign w:val="bottom"/>
            <w:tcBorders>
              <w:bottom w:val="single" w:sz="8" w:color="999999"/>
            </w:tcBorders>
            <w:gridSpan w:val="2"/>
          </w:tcPr>
          <w:p>
            <w:pPr>
              <w:spacing w:after="0"/>
              <w:rPr>
                <w:sz w:val="20"/>
                <w:szCs w:val="20"/>
                <w:color w:val="auto"/>
              </w:rPr>
            </w:pPr>
            <w:r>
              <w:rPr>
                <w:rFonts w:ascii="Arial" w:cs="Arial" w:eastAsia="Arial" w:hAnsi="Arial"/>
                <w:sz w:val="16"/>
                <w:szCs w:val="16"/>
                <w:b w:val="1"/>
                <w:bCs w:val="1"/>
                <w:color w:val="00548B"/>
              </w:rPr>
              <w:t>Beneficial owners of 5% or more:</w:t>
            </w:r>
          </w:p>
        </w:tc>
        <w:tc>
          <w:tcPr>
            <w:tcW w:w="2760" w:type="dxa"/>
            <w:vAlign w:val="bottom"/>
            <w:tcBorders>
              <w:bottom w:val="single" w:sz="8" w:color="999999"/>
            </w:tcBorders>
          </w:tcPr>
          <w:p>
            <w:pPr>
              <w:spacing w:after="0"/>
              <w:rPr>
                <w:sz w:val="16"/>
                <w:szCs w:val="16"/>
                <w:color w:val="auto"/>
              </w:rPr>
            </w:pPr>
          </w:p>
        </w:tc>
        <w:tc>
          <w:tcPr>
            <w:tcW w:w="680" w:type="dxa"/>
            <w:vAlign w:val="bottom"/>
            <w:tcBorders>
              <w:bottom w:val="single" w:sz="8" w:color="999999"/>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60" w:type="dxa"/>
            <w:vAlign w:val="bottom"/>
            <w:tcBorders>
              <w:bottom w:val="single" w:sz="8" w:color="999999"/>
            </w:tcBorders>
          </w:tcPr>
          <w:p>
            <w:pPr>
              <w:spacing w:after="0"/>
              <w:rPr>
                <w:sz w:val="15"/>
                <w:szCs w:val="15"/>
                <w:color w:val="auto"/>
              </w:rPr>
            </w:pPr>
          </w:p>
        </w:tc>
        <w:tc>
          <w:tcPr>
            <w:tcW w:w="7240" w:type="dxa"/>
            <w:vAlign w:val="bottom"/>
            <w:tcBorders>
              <w:bottom w:val="single" w:sz="8" w:color="999999"/>
            </w:tcBorders>
          </w:tcPr>
          <w:p>
            <w:pPr>
              <w:ind w:left="140"/>
              <w:spacing w:after="0" w:line="180" w:lineRule="exact"/>
              <w:rPr>
                <w:sz w:val="20"/>
                <w:szCs w:val="20"/>
                <w:color w:val="auto"/>
              </w:rPr>
            </w:pPr>
            <w:r>
              <w:rPr>
                <w:rFonts w:ascii="Arial" w:cs="Arial" w:eastAsia="Arial" w:hAnsi="Arial"/>
                <w:sz w:val="16"/>
                <w:szCs w:val="16"/>
                <w:color w:val="auto"/>
              </w:rPr>
              <w:t>The Vanguard Group, Inc. (2)</w:t>
            </w:r>
          </w:p>
        </w:tc>
        <w:tc>
          <w:tcPr>
            <w:tcW w:w="2760" w:type="dxa"/>
            <w:vAlign w:val="bottom"/>
            <w:tcBorders>
              <w:bottom w:val="single" w:sz="8" w:color="999999"/>
            </w:tcBorders>
          </w:tcPr>
          <w:p>
            <w:pPr>
              <w:jc w:val="right"/>
              <w:ind w:right="1121"/>
              <w:spacing w:after="0" w:line="180" w:lineRule="exact"/>
              <w:rPr>
                <w:sz w:val="20"/>
                <w:szCs w:val="20"/>
                <w:color w:val="auto"/>
              </w:rPr>
            </w:pPr>
            <w:r>
              <w:rPr>
                <w:rFonts w:ascii="Arial" w:cs="Arial" w:eastAsia="Arial" w:hAnsi="Arial"/>
                <w:sz w:val="16"/>
                <w:szCs w:val="16"/>
                <w:color w:val="auto"/>
              </w:rPr>
              <w:t>2,020,217</w:t>
            </w:r>
          </w:p>
        </w:tc>
        <w:tc>
          <w:tcPr>
            <w:tcW w:w="680" w:type="dxa"/>
            <w:vAlign w:val="bottom"/>
            <w:tcBorders>
              <w:bottom w:val="single" w:sz="8" w:color="999999"/>
            </w:tcBorders>
          </w:tcPr>
          <w:p>
            <w:pPr>
              <w:jc w:val="right"/>
              <w:ind w:right="261"/>
              <w:spacing w:after="0" w:line="180" w:lineRule="exact"/>
              <w:rPr>
                <w:sz w:val="20"/>
                <w:szCs w:val="20"/>
                <w:color w:val="auto"/>
              </w:rPr>
            </w:pPr>
            <w:r>
              <w:rPr>
                <w:rFonts w:ascii="Arial" w:cs="Arial" w:eastAsia="Arial" w:hAnsi="Arial"/>
                <w:sz w:val="16"/>
                <w:szCs w:val="16"/>
                <w:color w:val="auto"/>
              </w:rPr>
              <w:t>9.22</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60" w:type="dxa"/>
            <w:vAlign w:val="bottom"/>
            <w:tcBorders>
              <w:bottom w:val="single" w:sz="8" w:color="999999"/>
            </w:tcBorders>
          </w:tcPr>
          <w:p>
            <w:pPr>
              <w:spacing w:after="0"/>
              <w:rPr>
                <w:sz w:val="15"/>
                <w:szCs w:val="15"/>
                <w:color w:val="auto"/>
              </w:rPr>
            </w:pPr>
          </w:p>
        </w:tc>
        <w:tc>
          <w:tcPr>
            <w:tcW w:w="7240" w:type="dxa"/>
            <w:vAlign w:val="bottom"/>
            <w:tcBorders>
              <w:bottom w:val="single" w:sz="8" w:color="999999"/>
            </w:tcBorders>
          </w:tcPr>
          <w:p>
            <w:pPr>
              <w:ind w:left="140"/>
              <w:spacing w:after="0" w:line="180" w:lineRule="exact"/>
              <w:rPr>
                <w:sz w:val="20"/>
                <w:szCs w:val="20"/>
                <w:color w:val="auto"/>
              </w:rPr>
            </w:pPr>
            <w:r>
              <w:rPr>
                <w:rFonts w:ascii="Arial" w:cs="Arial" w:eastAsia="Arial" w:hAnsi="Arial"/>
                <w:sz w:val="16"/>
                <w:szCs w:val="16"/>
                <w:color w:val="auto"/>
              </w:rPr>
              <w:t>Wellington Management Group LLP (3)</w:t>
            </w:r>
          </w:p>
        </w:tc>
        <w:tc>
          <w:tcPr>
            <w:tcW w:w="2760" w:type="dxa"/>
            <w:vAlign w:val="bottom"/>
            <w:tcBorders>
              <w:bottom w:val="single" w:sz="8" w:color="999999"/>
            </w:tcBorders>
          </w:tcPr>
          <w:p>
            <w:pPr>
              <w:jc w:val="right"/>
              <w:ind w:right="1121"/>
              <w:spacing w:after="0" w:line="180" w:lineRule="exact"/>
              <w:rPr>
                <w:sz w:val="20"/>
                <w:szCs w:val="20"/>
                <w:color w:val="auto"/>
              </w:rPr>
            </w:pPr>
            <w:r>
              <w:rPr>
                <w:rFonts w:ascii="Arial" w:cs="Arial" w:eastAsia="Arial" w:hAnsi="Arial"/>
                <w:sz w:val="16"/>
                <w:szCs w:val="16"/>
                <w:color w:val="auto"/>
              </w:rPr>
              <w:t>1,528,614</w:t>
            </w:r>
          </w:p>
        </w:tc>
        <w:tc>
          <w:tcPr>
            <w:tcW w:w="680" w:type="dxa"/>
            <w:vAlign w:val="bottom"/>
            <w:tcBorders>
              <w:bottom w:val="single" w:sz="8" w:color="999999"/>
            </w:tcBorders>
          </w:tcPr>
          <w:p>
            <w:pPr>
              <w:jc w:val="right"/>
              <w:ind w:right="261"/>
              <w:spacing w:after="0" w:line="180" w:lineRule="exact"/>
              <w:rPr>
                <w:sz w:val="20"/>
                <w:szCs w:val="20"/>
                <w:color w:val="auto"/>
              </w:rPr>
            </w:pPr>
            <w:r>
              <w:rPr>
                <w:rFonts w:ascii="Arial" w:cs="Arial" w:eastAsia="Arial" w:hAnsi="Arial"/>
                <w:sz w:val="16"/>
                <w:szCs w:val="16"/>
                <w:color w:val="auto"/>
              </w:rPr>
              <w:t>6.97</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60" w:type="dxa"/>
            <w:vAlign w:val="bottom"/>
            <w:tcBorders>
              <w:bottom w:val="single" w:sz="8" w:color="999999"/>
            </w:tcBorders>
          </w:tcPr>
          <w:p>
            <w:pPr>
              <w:spacing w:after="0"/>
              <w:rPr>
                <w:sz w:val="15"/>
                <w:szCs w:val="15"/>
                <w:color w:val="auto"/>
              </w:rPr>
            </w:pPr>
          </w:p>
        </w:tc>
        <w:tc>
          <w:tcPr>
            <w:tcW w:w="7240" w:type="dxa"/>
            <w:vAlign w:val="bottom"/>
            <w:tcBorders>
              <w:bottom w:val="single" w:sz="8" w:color="999999"/>
            </w:tcBorders>
          </w:tcPr>
          <w:p>
            <w:pPr>
              <w:ind w:left="140"/>
              <w:spacing w:after="0" w:line="180" w:lineRule="exact"/>
              <w:rPr>
                <w:sz w:val="20"/>
                <w:szCs w:val="20"/>
                <w:color w:val="auto"/>
              </w:rPr>
            </w:pPr>
            <w:r>
              <w:rPr>
                <w:rFonts w:ascii="Arial" w:cs="Arial" w:eastAsia="Arial" w:hAnsi="Arial"/>
                <w:sz w:val="16"/>
                <w:szCs w:val="16"/>
                <w:color w:val="auto"/>
              </w:rPr>
              <w:t>T. Rowe Price Associates, Inc. (4)</w:t>
            </w:r>
          </w:p>
        </w:tc>
        <w:tc>
          <w:tcPr>
            <w:tcW w:w="2760" w:type="dxa"/>
            <w:vAlign w:val="bottom"/>
            <w:tcBorders>
              <w:bottom w:val="single" w:sz="8" w:color="999999"/>
            </w:tcBorders>
          </w:tcPr>
          <w:p>
            <w:pPr>
              <w:jc w:val="right"/>
              <w:ind w:right="1121"/>
              <w:spacing w:after="0" w:line="180" w:lineRule="exact"/>
              <w:rPr>
                <w:sz w:val="20"/>
                <w:szCs w:val="20"/>
                <w:color w:val="auto"/>
              </w:rPr>
            </w:pPr>
            <w:r>
              <w:rPr>
                <w:rFonts w:ascii="Arial" w:cs="Arial" w:eastAsia="Arial" w:hAnsi="Arial"/>
                <w:sz w:val="16"/>
                <w:szCs w:val="16"/>
                <w:color w:val="auto"/>
              </w:rPr>
              <w:t>1,528,241</w:t>
            </w:r>
          </w:p>
        </w:tc>
        <w:tc>
          <w:tcPr>
            <w:tcW w:w="680" w:type="dxa"/>
            <w:vAlign w:val="bottom"/>
            <w:tcBorders>
              <w:bottom w:val="single" w:sz="8" w:color="999999"/>
            </w:tcBorders>
          </w:tcPr>
          <w:p>
            <w:pPr>
              <w:jc w:val="right"/>
              <w:ind w:right="261"/>
              <w:spacing w:after="0" w:line="180" w:lineRule="exact"/>
              <w:rPr>
                <w:sz w:val="20"/>
                <w:szCs w:val="20"/>
                <w:color w:val="auto"/>
              </w:rPr>
            </w:pPr>
            <w:r>
              <w:rPr>
                <w:rFonts w:ascii="Arial" w:cs="Arial" w:eastAsia="Arial" w:hAnsi="Arial"/>
                <w:sz w:val="16"/>
                <w:szCs w:val="16"/>
                <w:color w:val="auto"/>
              </w:rPr>
              <w:t>6.90</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60" w:type="dxa"/>
            <w:vAlign w:val="bottom"/>
            <w:tcBorders>
              <w:bottom w:val="single" w:sz="8" w:color="999999"/>
            </w:tcBorders>
          </w:tcPr>
          <w:p>
            <w:pPr>
              <w:spacing w:after="0"/>
              <w:rPr>
                <w:sz w:val="15"/>
                <w:szCs w:val="15"/>
                <w:color w:val="auto"/>
              </w:rPr>
            </w:pPr>
          </w:p>
        </w:tc>
        <w:tc>
          <w:tcPr>
            <w:tcW w:w="7240" w:type="dxa"/>
            <w:vAlign w:val="bottom"/>
            <w:tcBorders>
              <w:bottom w:val="single" w:sz="8" w:color="999999"/>
            </w:tcBorders>
          </w:tcPr>
          <w:p>
            <w:pPr>
              <w:ind w:left="140"/>
              <w:spacing w:after="0" w:line="180" w:lineRule="exact"/>
              <w:rPr>
                <w:sz w:val="20"/>
                <w:szCs w:val="20"/>
                <w:color w:val="auto"/>
              </w:rPr>
            </w:pPr>
            <w:r>
              <w:rPr>
                <w:rFonts w:ascii="Arial" w:cs="Arial" w:eastAsia="Arial" w:hAnsi="Arial"/>
                <w:sz w:val="16"/>
                <w:szCs w:val="16"/>
                <w:color w:val="auto"/>
              </w:rPr>
              <w:t>BlackRock, Inc. (5)</w:t>
            </w:r>
          </w:p>
        </w:tc>
        <w:tc>
          <w:tcPr>
            <w:tcW w:w="2760" w:type="dxa"/>
            <w:vAlign w:val="bottom"/>
            <w:tcBorders>
              <w:bottom w:val="single" w:sz="8" w:color="999999"/>
            </w:tcBorders>
          </w:tcPr>
          <w:p>
            <w:pPr>
              <w:jc w:val="right"/>
              <w:ind w:right="1121"/>
              <w:spacing w:after="0" w:line="180" w:lineRule="exact"/>
              <w:rPr>
                <w:sz w:val="20"/>
                <w:szCs w:val="20"/>
                <w:color w:val="auto"/>
              </w:rPr>
            </w:pPr>
            <w:r>
              <w:rPr>
                <w:rFonts w:ascii="Arial" w:cs="Arial" w:eastAsia="Arial" w:hAnsi="Arial"/>
                <w:sz w:val="16"/>
                <w:szCs w:val="16"/>
                <w:color w:val="auto"/>
              </w:rPr>
              <w:t>1,493,763</w:t>
            </w:r>
          </w:p>
        </w:tc>
        <w:tc>
          <w:tcPr>
            <w:tcW w:w="680" w:type="dxa"/>
            <w:vAlign w:val="bottom"/>
            <w:tcBorders>
              <w:bottom w:val="single" w:sz="8" w:color="999999"/>
            </w:tcBorders>
          </w:tcPr>
          <w:p>
            <w:pPr>
              <w:jc w:val="right"/>
              <w:ind w:right="261"/>
              <w:spacing w:after="0" w:line="180" w:lineRule="exact"/>
              <w:rPr>
                <w:sz w:val="20"/>
                <w:szCs w:val="20"/>
                <w:color w:val="auto"/>
              </w:rPr>
            </w:pPr>
            <w:r>
              <w:rPr>
                <w:rFonts w:ascii="Arial" w:cs="Arial" w:eastAsia="Arial" w:hAnsi="Arial"/>
                <w:sz w:val="16"/>
                <w:szCs w:val="16"/>
                <w:color w:val="auto"/>
              </w:rPr>
              <w:t>6.80</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400" w:type="dxa"/>
            <w:vAlign w:val="bottom"/>
            <w:tcBorders>
              <w:bottom w:val="single" w:sz="8" w:color="999999"/>
            </w:tcBorders>
            <w:gridSpan w:val="2"/>
          </w:tcPr>
          <w:p>
            <w:pPr>
              <w:spacing w:after="0" w:line="180" w:lineRule="exact"/>
              <w:rPr>
                <w:sz w:val="20"/>
                <w:szCs w:val="20"/>
                <w:color w:val="auto"/>
              </w:rPr>
            </w:pPr>
            <w:r>
              <w:rPr>
                <w:rFonts w:ascii="Arial" w:cs="Arial" w:eastAsia="Arial" w:hAnsi="Arial"/>
                <w:sz w:val="16"/>
                <w:szCs w:val="16"/>
                <w:b w:val="1"/>
                <w:bCs w:val="1"/>
                <w:color w:val="00548B"/>
              </w:rPr>
              <w:t>Directors and Executive Officers:</w:t>
            </w:r>
          </w:p>
        </w:tc>
        <w:tc>
          <w:tcPr>
            <w:tcW w:w="2760" w:type="dxa"/>
            <w:vAlign w:val="bottom"/>
            <w:tcBorders>
              <w:bottom w:val="single" w:sz="8" w:color="999999"/>
            </w:tcBorders>
          </w:tcPr>
          <w:p>
            <w:pPr>
              <w:spacing w:after="0"/>
              <w:rPr>
                <w:sz w:val="15"/>
                <w:szCs w:val="15"/>
                <w:color w:val="auto"/>
              </w:rPr>
            </w:pPr>
          </w:p>
        </w:tc>
        <w:tc>
          <w:tcPr>
            <w:tcW w:w="680" w:type="dxa"/>
            <w:vAlign w:val="bottom"/>
            <w:tcBorders>
              <w:bottom w:val="single" w:sz="8" w:color="999999"/>
            </w:tcBorders>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60" w:type="dxa"/>
            <w:vAlign w:val="bottom"/>
            <w:tcBorders>
              <w:bottom w:val="single" w:sz="8" w:color="999999"/>
            </w:tcBorders>
          </w:tcPr>
          <w:p>
            <w:pPr>
              <w:spacing w:after="0"/>
              <w:rPr>
                <w:sz w:val="15"/>
                <w:szCs w:val="15"/>
                <w:color w:val="auto"/>
              </w:rPr>
            </w:pPr>
          </w:p>
        </w:tc>
        <w:tc>
          <w:tcPr>
            <w:tcW w:w="7240" w:type="dxa"/>
            <w:vAlign w:val="bottom"/>
            <w:tcBorders>
              <w:bottom w:val="single" w:sz="8" w:color="999999"/>
            </w:tcBorders>
          </w:tcPr>
          <w:p>
            <w:pPr>
              <w:ind w:left="140"/>
              <w:spacing w:after="0" w:line="180" w:lineRule="exact"/>
              <w:rPr>
                <w:sz w:val="20"/>
                <w:szCs w:val="20"/>
                <w:color w:val="auto"/>
              </w:rPr>
            </w:pPr>
            <w:r>
              <w:rPr>
                <w:rFonts w:ascii="Arial" w:cs="Arial" w:eastAsia="Arial" w:hAnsi="Arial"/>
                <w:sz w:val="16"/>
                <w:szCs w:val="16"/>
                <w:color w:val="auto"/>
              </w:rPr>
              <w:t>C. Mark Hussey (6)</w:t>
            </w:r>
          </w:p>
        </w:tc>
        <w:tc>
          <w:tcPr>
            <w:tcW w:w="2760" w:type="dxa"/>
            <w:vAlign w:val="bottom"/>
            <w:tcBorders>
              <w:bottom w:val="single" w:sz="8" w:color="999999"/>
            </w:tcBorders>
          </w:tcPr>
          <w:p>
            <w:pPr>
              <w:jc w:val="right"/>
              <w:ind w:right="1121"/>
              <w:spacing w:after="0" w:line="180" w:lineRule="exact"/>
              <w:rPr>
                <w:sz w:val="20"/>
                <w:szCs w:val="20"/>
                <w:color w:val="auto"/>
              </w:rPr>
            </w:pPr>
            <w:r>
              <w:rPr>
                <w:rFonts w:ascii="Arial" w:cs="Arial" w:eastAsia="Arial" w:hAnsi="Arial"/>
                <w:sz w:val="16"/>
                <w:szCs w:val="16"/>
                <w:color w:val="auto"/>
              </w:rPr>
              <w:t>94,059</w:t>
            </w:r>
          </w:p>
        </w:tc>
        <w:tc>
          <w:tcPr>
            <w:tcW w:w="680" w:type="dxa"/>
            <w:vAlign w:val="bottom"/>
            <w:tcBorders>
              <w:bottom w:val="single" w:sz="8" w:color="999999"/>
            </w:tcBorders>
          </w:tcPr>
          <w:p>
            <w:pPr>
              <w:jc w:val="right"/>
              <w:ind w:right="261"/>
              <w:spacing w:after="0" w:line="180"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60" w:type="dxa"/>
            <w:vAlign w:val="bottom"/>
            <w:tcBorders>
              <w:bottom w:val="single" w:sz="8" w:color="999999"/>
            </w:tcBorders>
          </w:tcPr>
          <w:p>
            <w:pPr>
              <w:spacing w:after="0"/>
              <w:rPr>
                <w:sz w:val="15"/>
                <w:szCs w:val="15"/>
                <w:color w:val="auto"/>
              </w:rPr>
            </w:pPr>
          </w:p>
        </w:tc>
        <w:tc>
          <w:tcPr>
            <w:tcW w:w="7240" w:type="dxa"/>
            <w:vAlign w:val="bottom"/>
            <w:tcBorders>
              <w:bottom w:val="single" w:sz="8" w:color="999999"/>
            </w:tcBorders>
          </w:tcPr>
          <w:p>
            <w:pPr>
              <w:ind w:left="140"/>
              <w:spacing w:after="0" w:line="180" w:lineRule="exact"/>
              <w:rPr>
                <w:sz w:val="20"/>
                <w:szCs w:val="20"/>
                <w:color w:val="auto"/>
              </w:rPr>
            </w:pPr>
            <w:r>
              <w:rPr>
                <w:rFonts w:ascii="Arial" w:cs="Arial" w:eastAsia="Arial" w:hAnsi="Arial"/>
                <w:sz w:val="16"/>
                <w:szCs w:val="16"/>
                <w:color w:val="auto"/>
              </w:rPr>
              <w:t>John D. Kelly (7)</w:t>
            </w:r>
          </w:p>
        </w:tc>
        <w:tc>
          <w:tcPr>
            <w:tcW w:w="2760" w:type="dxa"/>
            <w:vAlign w:val="bottom"/>
            <w:tcBorders>
              <w:bottom w:val="single" w:sz="8" w:color="999999"/>
            </w:tcBorders>
          </w:tcPr>
          <w:p>
            <w:pPr>
              <w:jc w:val="right"/>
              <w:ind w:right="1121"/>
              <w:spacing w:after="0" w:line="180" w:lineRule="exact"/>
              <w:rPr>
                <w:sz w:val="20"/>
                <w:szCs w:val="20"/>
                <w:color w:val="auto"/>
              </w:rPr>
            </w:pPr>
            <w:r>
              <w:rPr>
                <w:rFonts w:ascii="Arial" w:cs="Arial" w:eastAsia="Arial" w:hAnsi="Arial"/>
                <w:sz w:val="16"/>
                <w:szCs w:val="16"/>
                <w:color w:val="auto"/>
              </w:rPr>
              <w:t>38,385</w:t>
            </w:r>
          </w:p>
        </w:tc>
        <w:tc>
          <w:tcPr>
            <w:tcW w:w="680" w:type="dxa"/>
            <w:vAlign w:val="bottom"/>
            <w:tcBorders>
              <w:bottom w:val="single" w:sz="8" w:color="999999"/>
            </w:tcBorders>
          </w:tcPr>
          <w:p>
            <w:pPr>
              <w:jc w:val="right"/>
              <w:ind w:right="261"/>
              <w:spacing w:after="0" w:line="180"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60" w:type="dxa"/>
            <w:vAlign w:val="bottom"/>
            <w:tcBorders>
              <w:bottom w:val="single" w:sz="8" w:color="999999"/>
            </w:tcBorders>
          </w:tcPr>
          <w:p>
            <w:pPr>
              <w:spacing w:after="0"/>
              <w:rPr>
                <w:sz w:val="15"/>
                <w:szCs w:val="15"/>
                <w:color w:val="auto"/>
              </w:rPr>
            </w:pPr>
          </w:p>
        </w:tc>
        <w:tc>
          <w:tcPr>
            <w:tcW w:w="7240" w:type="dxa"/>
            <w:vAlign w:val="bottom"/>
            <w:tcBorders>
              <w:bottom w:val="single" w:sz="8" w:color="999999"/>
            </w:tcBorders>
          </w:tcPr>
          <w:p>
            <w:pPr>
              <w:ind w:left="140"/>
              <w:spacing w:after="0" w:line="180" w:lineRule="exact"/>
              <w:rPr>
                <w:sz w:val="20"/>
                <w:szCs w:val="20"/>
                <w:color w:val="auto"/>
              </w:rPr>
            </w:pPr>
            <w:r>
              <w:rPr>
                <w:rFonts w:ascii="Arial" w:cs="Arial" w:eastAsia="Arial" w:hAnsi="Arial"/>
                <w:sz w:val="16"/>
                <w:szCs w:val="16"/>
                <w:color w:val="auto"/>
              </w:rPr>
              <w:t>H. Eugene Lockhart (8)</w:t>
            </w:r>
          </w:p>
        </w:tc>
        <w:tc>
          <w:tcPr>
            <w:tcW w:w="2760" w:type="dxa"/>
            <w:vAlign w:val="bottom"/>
            <w:tcBorders>
              <w:bottom w:val="single" w:sz="8" w:color="999999"/>
            </w:tcBorders>
          </w:tcPr>
          <w:p>
            <w:pPr>
              <w:jc w:val="right"/>
              <w:ind w:right="1121"/>
              <w:spacing w:after="0" w:line="180" w:lineRule="exact"/>
              <w:rPr>
                <w:sz w:val="20"/>
                <w:szCs w:val="20"/>
                <w:color w:val="auto"/>
              </w:rPr>
            </w:pPr>
            <w:r>
              <w:rPr>
                <w:rFonts w:ascii="Arial" w:cs="Arial" w:eastAsia="Arial" w:hAnsi="Arial"/>
                <w:sz w:val="16"/>
                <w:szCs w:val="16"/>
                <w:color w:val="auto"/>
              </w:rPr>
              <w:t>36,690</w:t>
            </w:r>
          </w:p>
        </w:tc>
        <w:tc>
          <w:tcPr>
            <w:tcW w:w="680" w:type="dxa"/>
            <w:vAlign w:val="bottom"/>
            <w:tcBorders>
              <w:bottom w:val="single" w:sz="8" w:color="999999"/>
            </w:tcBorders>
          </w:tcPr>
          <w:p>
            <w:pPr>
              <w:jc w:val="right"/>
              <w:ind w:right="261"/>
              <w:spacing w:after="0" w:line="180"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60" w:type="dxa"/>
            <w:vAlign w:val="bottom"/>
            <w:tcBorders>
              <w:bottom w:val="single" w:sz="8" w:color="999999"/>
            </w:tcBorders>
          </w:tcPr>
          <w:p>
            <w:pPr>
              <w:spacing w:after="0"/>
              <w:rPr>
                <w:sz w:val="15"/>
                <w:szCs w:val="15"/>
                <w:color w:val="auto"/>
              </w:rPr>
            </w:pPr>
          </w:p>
        </w:tc>
        <w:tc>
          <w:tcPr>
            <w:tcW w:w="7240" w:type="dxa"/>
            <w:vAlign w:val="bottom"/>
            <w:tcBorders>
              <w:bottom w:val="single" w:sz="8" w:color="999999"/>
            </w:tcBorders>
          </w:tcPr>
          <w:p>
            <w:pPr>
              <w:ind w:left="140"/>
              <w:spacing w:after="0" w:line="180" w:lineRule="exact"/>
              <w:rPr>
                <w:sz w:val="20"/>
                <w:szCs w:val="20"/>
                <w:color w:val="auto"/>
              </w:rPr>
            </w:pPr>
            <w:r>
              <w:rPr>
                <w:rFonts w:ascii="Arial" w:cs="Arial" w:eastAsia="Arial" w:hAnsi="Arial"/>
                <w:sz w:val="16"/>
                <w:szCs w:val="16"/>
                <w:color w:val="auto"/>
              </w:rPr>
              <w:t>Peter K. Markell (9)</w:t>
            </w:r>
          </w:p>
        </w:tc>
        <w:tc>
          <w:tcPr>
            <w:tcW w:w="2760" w:type="dxa"/>
            <w:vAlign w:val="bottom"/>
            <w:tcBorders>
              <w:bottom w:val="single" w:sz="8" w:color="999999"/>
            </w:tcBorders>
          </w:tcPr>
          <w:p>
            <w:pPr>
              <w:jc w:val="right"/>
              <w:ind w:right="1121"/>
              <w:spacing w:after="0" w:line="180" w:lineRule="exact"/>
              <w:rPr>
                <w:sz w:val="20"/>
                <w:szCs w:val="20"/>
                <w:color w:val="auto"/>
              </w:rPr>
            </w:pPr>
            <w:r>
              <w:rPr>
                <w:rFonts w:ascii="Arial" w:cs="Arial" w:eastAsia="Arial" w:hAnsi="Arial"/>
                <w:sz w:val="16"/>
                <w:szCs w:val="16"/>
                <w:color w:val="auto"/>
              </w:rPr>
              <w:t>0</w:t>
            </w:r>
          </w:p>
        </w:tc>
        <w:tc>
          <w:tcPr>
            <w:tcW w:w="680" w:type="dxa"/>
            <w:vAlign w:val="bottom"/>
            <w:tcBorders>
              <w:bottom w:val="single" w:sz="8" w:color="999999"/>
            </w:tcBorders>
          </w:tcPr>
          <w:p>
            <w:pPr>
              <w:jc w:val="right"/>
              <w:ind w:right="261"/>
              <w:spacing w:after="0" w:line="180"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60" w:type="dxa"/>
            <w:vAlign w:val="bottom"/>
            <w:tcBorders>
              <w:bottom w:val="single" w:sz="8" w:color="999999"/>
            </w:tcBorders>
          </w:tcPr>
          <w:p>
            <w:pPr>
              <w:spacing w:after="0"/>
              <w:rPr>
                <w:sz w:val="15"/>
                <w:szCs w:val="15"/>
                <w:color w:val="auto"/>
              </w:rPr>
            </w:pPr>
          </w:p>
        </w:tc>
        <w:tc>
          <w:tcPr>
            <w:tcW w:w="7240" w:type="dxa"/>
            <w:vAlign w:val="bottom"/>
            <w:tcBorders>
              <w:bottom w:val="single" w:sz="8" w:color="999999"/>
            </w:tcBorders>
          </w:tcPr>
          <w:p>
            <w:pPr>
              <w:ind w:left="140"/>
              <w:spacing w:after="0" w:line="180" w:lineRule="exact"/>
              <w:rPr>
                <w:sz w:val="20"/>
                <w:szCs w:val="20"/>
                <w:color w:val="auto"/>
              </w:rPr>
            </w:pPr>
            <w:r>
              <w:rPr>
                <w:rFonts w:ascii="Arial" w:cs="Arial" w:eastAsia="Arial" w:hAnsi="Arial"/>
                <w:sz w:val="16"/>
                <w:szCs w:val="16"/>
                <w:color w:val="auto"/>
              </w:rPr>
              <w:t>John McCartney (10)</w:t>
            </w:r>
          </w:p>
        </w:tc>
        <w:tc>
          <w:tcPr>
            <w:tcW w:w="2760" w:type="dxa"/>
            <w:vAlign w:val="bottom"/>
            <w:tcBorders>
              <w:bottom w:val="single" w:sz="8" w:color="999999"/>
            </w:tcBorders>
          </w:tcPr>
          <w:p>
            <w:pPr>
              <w:jc w:val="right"/>
              <w:ind w:right="1121"/>
              <w:spacing w:after="0" w:line="180" w:lineRule="exact"/>
              <w:rPr>
                <w:sz w:val="20"/>
                <w:szCs w:val="20"/>
                <w:color w:val="auto"/>
              </w:rPr>
            </w:pPr>
            <w:r>
              <w:rPr>
                <w:rFonts w:ascii="Arial" w:cs="Arial" w:eastAsia="Arial" w:hAnsi="Arial"/>
                <w:sz w:val="16"/>
                <w:szCs w:val="16"/>
                <w:color w:val="auto"/>
              </w:rPr>
              <w:t>67,267</w:t>
            </w:r>
          </w:p>
        </w:tc>
        <w:tc>
          <w:tcPr>
            <w:tcW w:w="680" w:type="dxa"/>
            <w:vAlign w:val="bottom"/>
            <w:tcBorders>
              <w:bottom w:val="single" w:sz="8" w:color="999999"/>
            </w:tcBorders>
          </w:tcPr>
          <w:p>
            <w:pPr>
              <w:jc w:val="right"/>
              <w:ind w:right="261"/>
              <w:spacing w:after="0" w:line="180"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60" w:type="dxa"/>
            <w:vAlign w:val="bottom"/>
            <w:tcBorders>
              <w:bottom w:val="single" w:sz="8" w:color="999999"/>
            </w:tcBorders>
          </w:tcPr>
          <w:p>
            <w:pPr>
              <w:spacing w:after="0"/>
              <w:rPr>
                <w:sz w:val="15"/>
                <w:szCs w:val="15"/>
                <w:color w:val="auto"/>
              </w:rPr>
            </w:pPr>
          </w:p>
        </w:tc>
        <w:tc>
          <w:tcPr>
            <w:tcW w:w="7240" w:type="dxa"/>
            <w:vAlign w:val="bottom"/>
            <w:tcBorders>
              <w:bottom w:val="single" w:sz="8" w:color="999999"/>
            </w:tcBorders>
          </w:tcPr>
          <w:p>
            <w:pPr>
              <w:ind w:left="140"/>
              <w:spacing w:after="0" w:line="180" w:lineRule="exact"/>
              <w:rPr>
                <w:sz w:val="20"/>
                <w:szCs w:val="20"/>
                <w:color w:val="auto"/>
              </w:rPr>
            </w:pPr>
            <w:r>
              <w:rPr>
                <w:rFonts w:ascii="Arial" w:cs="Arial" w:eastAsia="Arial" w:hAnsi="Arial"/>
                <w:sz w:val="16"/>
                <w:szCs w:val="16"/>
                <w:color w:val="auto"/>
              </w:rPr>
              <w:t>James H. Roth (11)</w:t>
            </w:r>
          </w:p>
        </w:tc>
        <w:tc>
          <w:tcPr>
            <w:tcW w:w="2760" w:type="dxa"/>
            <w:vAlign w:val="bottom"/>
            <w:tcBorders>
              <w:bottom w:val="single" w:sz="8" w:color="999999"/>
            </w:tcBorders>
          </w:tcPr>
          <w:p>
            <w:pPr>
              <w:jc w:val="right"/>
              <w:ind w:right="1121"/>
              <w:spacing w:after="0" w:line="180" w:lineRule="exact"/>
              <w:rPr>
                <w:sz w:val="20"/>
                <w:szCs w:val="20"/>
                <w:color w:val="auto"/>
              </w:rPr>
            </w:pPr>
            <w:r>
              <w:rPr>
                <w:rFonts w:ascii="Arial" w:cs="Arial" w:eastAsia="Arial" w:hAnsi="Arial"/>
                <w:sz w:val="16"/>
                <w:szCs w:val="16"/>
                <w:color w:val="auto"/>
              </w:rPr>
              <w:t>125,841</w:t>
            </w:r>
          </w:p>
        </w:tc>
        <w:tc>
          <w:tcPr>
            <w:tcW w:w="680" w:type="dxa"/>
            <w:vAlign w:val="bottom"/>
            <w:tcBorders>
              <w:bottom w:val="single" w:sz="8" w:color="999999"/>
            </w:tcBorders>
          </w:tcPr>
          <w:p>
            <w:pPr>
              <w:jc w:val="right"/>
              <w:ind w:right="261"/>
              <w:spacing w:after="0" w:line="180"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60" w:type="dxa"/>
            <w:vAlign w:val="bottom"/>
            <w:tcBorders>
              <w:bottom w:val="single" w:sz="8" w:color="999999"/>
            </w:tcBorders>
          </w:tcPr>
          <w:p>
            <w:pPr>
              <w:spacing w:after="0"/>
              <w:rPr>
                <w:sz w:val="15"/>
                <w:szCs w:val="15"/>
                <w:color w:val="auto"/>
              </w:rPr>
            </w:pPr>
          </w:p>
        </w:tc>
        <w:tc>
          <w:tcPr>
            <w:tcW w:w="7240" w:type="dxa"/>
            <w:vAlign w:val="bottom"/>
            <w:tcBorders>
              <w:bottom w:val="single" w:sz="8" w:color="999999"/>
            </w:tcBorders>
          </w:tcPr>
          <w:p>
            <w:pPr>
              <w:ind w:left="140"/>
              <w:spacing w:after="0" w:line="180" w:lineRule="exact"/>
              <w:rPr>
                <w:sz w:val="20"/>
                <w:szCs w:val="20"/>
                <w:color w:val="auto"/>
              </w:rPr>
            </w:pPr>
            <w:r>
              <w:rPr>
                <w:rFonts w:ascii="Arial" w:cs="Arial" w:eastAsia="Arial" w:hAnsi="Arial"/>
                <w:sz w:val="16"/>
                <w:szCs w:val="16"/>
                <w:color w:val="auto"/>
              </w:rPr>
              <w:t>Hugh E. Sawyer (12)</w:t>
            </w:r>
          </w:p>
        </w:tc>
        <w:tc>
          <w:tcPr>
            <w:tcW w:w="2760" w:type="dxa"/>
            <w:vAlign w:val="bottom"/>
            <w:tcBorders>
              <w:bottom w:val="single" w:sz="8" w:color="999999"/>
            </w:tcBorders>
          </w:tcPr>
          <w:p>
            <w:pPr>
              <w:jc w:val="right"/>
              <w:ind w:right="1121"/>
              <w:spacing w:after="0" w:line="180" w:lineRule="exact"/>
              <w:rPr>
                <w:sz w:val="20"/>
                <w:szCs w:val="20"/>
                <w:color w:val="auto"/>
              </w:rPr>
            </w:pPr>
            <w:r>
              <w:rPr>
                <w:rFonts w:ascii="Arial" w:cs="Arial" w:eastAsia="Arial" w:hAnsi="Arial"/>
                <w:sz w:val="16"/>
                <w:szCs w:val="16"/>
                <w:color w:val="auto"/>
              </w:rPr>
              <w:t>27,519</w:t>
            </w:r>
          </w:p>
        </w:tc>
        <w:tc>
          <w:tcPr>
            <w:tcW w:w="680" w:type="dxa"/>
            <w:vAlign w:val="bottom"/>
            <w:tcBorders>
              <w:bottom w:val="single" w:sz="8" w:color="999999"/>
            </w:tcBorders>
          </w:tcPr>
          <w:p>
            <w:pPr>
              <w:jc w:val="right"/>
              <w:ind w:right="261"/>
              <w:spacing w:after="0" w:line="180"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60" w:type="dxa"/>
            <w:vAlign w:val="bottom"/>
            <w:tcBorders>
              <w:bottom w:val="single" w:sz="8" w:color="999999"/>
            </w:tcBorders>
          </w:tcPr>
          <w:p>
            <w:pPr>
              <w:spacing w:after="0"/>
              <w:rPr>
                <w:sz w:val="15"/>
                <w:szCs w:val="15"/>
                <w:color w:val="auto"/>
              </w:rPr>
            </w:pPr>
          </w:p>
        </w:tc>
        <w:tc>
          <w:tcPr>
            <w:tcW w:w="7240" w:type="dxa"/>
            <w:vAlign w:val="bottom"/>
            <w:tcBorders>
              <w:bottom w:val="single" w:sz="8" w:color="999999"/>
            </w:tcBorders>
          </w:tcPr>
          <w:p>
            <w:pPr>
              <w:ind w:left="140"/>
              <w:spacing w:after="0" w:line="180" w:lineRule="exact"/>
              <w:rPr>
                <w:sz w:val="20"/>
                <w:szCs w:val="20"/>
                <w:color w:val="auto"/>
              </w:rPr>
            </w:pPr>
            <w:r>
              <w:rPr>
                <w:rFonts w:ascii="Arial" w:cs="Arial" w:eastAsia="Arial" w:hAnsi="Arial"/>
                <w:sz w:val="16"/>
                <w:szCs w:val="16"/>
                <w:color w:val="auto"/>
              </w:rPr>
              <w:t>Ekta Singh-Bushell (13)</w:t>
            </w:r>
          </w:p>
        </w:tc>
        <w:tc>
          <w:tcPr>
            <w:tcW w:w="2760" w:type="dxa"/>
            <w:vAlign w:val="bottom"/>
            <w:tcBorders>
              <w:bottom w:val="single" w:sz="8" w:color="999999"/>
            </w:tcBorders>
          </w:tcPr>
          <w:p>
            <w:pPr>
              <w:jc w:val="right"/>
              <w:ind w:right="1121"/>
              <w:spacing w:after="0" w:line="180" w:lineRule="exact"/>
              <w:rPr>
                <w:sz w:val="20"/>
                <w:szCs w:val="20"/>
                <w:color w:val="auto"/>
              </w:rPr>
            </w:pPr>
            <w:r>
              <w:rPr>
                <w:rFonts w:ascii="Arial" w:cs="Arial" w:eastAsia="Arial" w:hAnsi="Arial"/>
                <w:sz w:val="16"/>
                <w:szCs w:val="16"/>
                <w:color w:val="auto"/>
              </w:rPr>
              <w:t>14,255</w:t>
            </w:r>
          </w:p>
        </w:tc>
        <w:tc>
          <w:tcPr>
            <w:tcW w:w="680" w:type="dxa"/>
            <w:vAlign w:val="bottom"/>
            <w:tcBorders>
              <w:bottom w:val="single" w:sz="8" w:color="999999"/>
            </w:tcBorders>
          </w:tcPr>
          <w:p>
            <w:pPr>
              <w:jc w:val="right"/>
              <w:ind w:right="261"/>
              <w:spacing w:after="0" w:line="180"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60" w:type="dxa"/>
            <w:vAlign w:val="bottom"/>
            <w:tcBorders>
              <w:bottom w:val="single" w:sz="8" w:color="999999"/>
            </w:tcBorders>
          </w:tcPr>
          <w:p>
            <w:pPr>
              <w:spacing w:after="0"/>
              <w:rPr>
                <w:sz w:val="15"/>
                <w:szCs w:val="15"/>
                <w:color w:val="auto"/>
              </w:rPr>
            </w:pPr>
          </w:p>
        </w:tc>
        <w:tc>
          <w:tcPr>
            <w:tcW w:w="7240" w:type="dxa"/>
            <w:vAlign w:val="bottom"/>
            <w:tcBorders>
              <w:bottom w:val="single" w:sz="8" w:color="999999"/>
            </w:tcBorders>
          </w:tcPr>
          <w:p>
            <w:pPr>
              <w:ind w:left="140"/>
              <w:spacing w:after="0" w:line="180" w:lineRule="exact"/>
              <w:rPr>
                <w:sz w:val="20"/>
                <w:szCs w:val="20"/>
                <w:color w:val="auto"/>
              </w:rPr>
            </w:pPr>
            <w:r>
              <w:rPr>
                <w:rFonts w:ascii="Arial" w:cs="Arial" w:eastAsia="Arial" w:hAnsi="Arial"/>
                <w:sz w:val="16"/>
                <w:szCs w:val="16"/>
                <w:color w:val="auto"/>
              </w:rPr>
              <w:t>Ernest W. Torain, Jr. (14)</w:t>
            </w:r>
          </w:p>
        </w:tc>
        <w:tc>
          <w:tcPr>
            <w:tcW w:w="2760" w:type="dxa"/>
            <w:vAlign w:val="bottom"/>
            <w:tcBorders>
              <w:bottom w:val="single" w:sz="8" w:color="999999"/>
            </w:tcBorders>
          </w:tcPr>
          <w:p>
            <w:pPr>
              <w:jc w:val="right"/>
              <w:ind w:right="1121"/>
              <w:spacing w:after="0" w:line="180" w:lineRule="exact"/>
              <w:rPr>
                <w:sz w:val="20"/>
                <w:szCs w:val="20"/>
                <w:color w:val="auto"/>
              </w:rPr>
            </w:pPr>
            <w:r>
              <w:rPr>
                <w:rFonts w:ascii="Arial" w:cs="Arial" w:eastAsia="Arial" w:hAnsi="Arial"/>
                <w:sz w:val="16"/>
                <w:szCs w:val="16"/>
                <w:color w:val="auto"/>
              </w:rPr>
              <w:t>5,879</w:t>
            </w:r>
          </w:p>
        </w:tc>
        <w:tc>
          <w:tcPr>
            <w:tcW w:w="680" w:type="dxa"/>
            <w:vAlign w:val="bottom"/>
            <w:tcBorders>
              <w:bottom w:val="single" w:sz="8" w:color="999999"/>
            </w:tcBorders>
          </w:tcPr>
          <w:p>
            <w:pPr>
              <w:jc w:val="right"/>
              <w:ind w:right="261"/>
              <w:spacing w:after="0" w:line="180"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60" w:type="dxa"/>
            <w:vAlign w:val="bottom"/>
            <w:tcBorders>
              <w:bottom w:val="single" w:sz="8" w:color="999999"/>
            </w:tcBorders>
          </w:tcPr>
          <w:p>
            <w:pPr>
              <w:spacing w:after="0"/>
              <w:rPr>
                <w:sz w:val="15"/>
                <w:szCs w:val="15"/>
                <w:color w:val="auto"/>
              </w:rPr>
            </w:pPr>
          </w:p>
        </w:tc>
        <w:tc>
          <w:tcPr>
            <w:tcW w:w="7240" w:type="dxa"/>
            <w:vAlign w:val="bottom"/>
            <w:tcBorders>
              <w:bottom w:val="single" w:sz="8" w:color="999999"/>
            </w:tcBorders>
          </w:tcPr>
          <w:p>
            <w:pPr>
              <w:ind w:left="140"/>
              <w:spacing w:after="0" w:line="180" w:lineRule="exact"/>
              <w:rPr>
                <w:sz w:val="20"/>
                <w:szCs w:val="20"/>
                <w:color w:val="auto"/>
              </w:rPr>
            </w:pPr>
            <w:r>
              <w:rPr>
                <w:rFonts w:ascii="Arial" w:cs="Arial" w:eastAsia="Arial" w:hAnsi="Arial"/>
                <w:sz w:val="16"/>
                <w:szCs w:val="16"/>
                <w:color w:val="auto"/>
              </w:rPr>
              <w:t>Debra Zumwalt (15)</w:t>
            </w:r>
          </w:p>
        </w:tc>
        <w:tc>
          <w:tcPr>
            <w:tcW w:w="2760" w:type="dxa"/>
            <w:vAlign w:val="bottom"/>
            <w:tcBorders>
              <w:bottom w:val="single" w:sz="8" w:color="999999"/>
            </w:tcBorders>
          </w:tcPr>
          <w:p>
            <w:pPr>
              <w:jc w:val="right"/>
              <w:ind w:right="1121"/>
              <w:spacing w:after="0" w:line="180" w:lineRule="exact"/>
              <w:rPr>
                <w:sz w:val="20"/>
                <w:szCs w:val="20"/>
                <w:color w:val="auto"/>
              </w:rPr>
            </w:pPr>
            <w:r>
              <w:rPr>
                <w:rFonts w:ascii="Arial" w:cs="Arial" w:eastAsia="Arial" w:hAnsi="Arial"/>
                <w:sz w:val="16"/>
                <w:szCs w:val="16"/>
                <w:color w:val="auto"/>
              </w:rPr>
              <w:t>21,853</w:t>
            </w:r>
          </w:p>
        </w:tc>
        <w:tc>
          <w:tcPr>
            <w:tcW w:w="680" w:type="dxa"/>
            <w:vAlign w:val="bottom"/>
            <w:tcBorders>
              <w:bottom w:val="single" w:sz="8" w:color="999999"/>
            </w:tcBorders>
          </w:tcPr>
          <w:p>
            <w:pPr>
              <w:jc w:val="right"/>
              <w:ind w:right="261"/>
              <w:spacing w:after="0" w:line="180"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60" w:type="dxa"/>
            <w:vAlign w:val="bottom"/>
            <w:tcBorders>
              <w:bottom w:val="single" w:sz="8" w:color="00548B"/>
            </w:tcBorders>
          </w:tcPr>
          <w:p>
            <w:pPr>
              <w:spacing w:after="0"/>
              <w:rPr>
                <w:sz w:val="15"/>
                <w:szCs w:val="15"/>
                <w:color w:val="auto"/>
              </w:rPr>
            </w:pPr>
          </w:p>
        </w:tc>
        <w:tc>
          <w:tcPr>
            <w:tcW w:w="7240" w:type="dxa"/>
            <w:vAlign w:val="bottom"/>
            <w:tcBorders>
              <w:bottom w:val="single" w:sz="8" w:color="00548B"/>
            </w:tcBorders>
          </w:tcPr>
          <w:p>
            <w:pPr>
              <w:ind w:left="140"/>
              <w:spacing w:after="0" w:line="180" w:lineRule="exact"/>
              <w:rPr>
                <w:sz w:val="20"/>
                <w:szCs w:val="20"/>
                <w:color w:val="auto"/>
              </w:rPr>
            </w:pPr>
            <w:r>
              <w:rPr>
                <w:rFonts w:ascii="Arial" w:cs="Arial" w:eastAsia="Arial" w:hAnsi="Arial"/>
                <w:sz w:val="16"/>
                <w:szCs w:val="16"/>
                <w:color w:val="auto"/>
              </w:rPr>
              <w:t>All directors and executive officers as a group (10 persons) (16)</w:t>
            </w:r>
          </w:p>
        </w:tc>
        <w:tc>
          <w:tcPr>
            <w:tcW w:w="2760" w:type="dxa"/>
            <w:vAlign w:val="bottom"/>
            <w:tcBorders>
              <w:bottom w:val="single" w:sz="8" w:color="00548B"/>
            </w:tcBorders>
          </w:tcPr>
          <w:p>
            <w:pPr>
              <w:jc w:val="right"/>
              <w:ind w:right="1121"/>
              <w:spacing w:after="0" w:line="180" w:lineRule="exact"/>
              <w:rPr>
                <w:sz w:val="20"/>
                <w:szCs w:val="20"/>
                <w:color w:val="auto"/>
              </w:rPr>
            </w:pPr>
            <w:r>
              <w:rPr>
                <w:rFonts w:ascii="Arial" w:cs="Arial" w:eastAsia="Arial" w:hAnsi="Arial"/>
                <w:sz w:val="16"/>
                <w:szCs w:val="16"/>
                <w:color w:val="auto"/>
              </w:rPr>
              <w:t>431,748</w:t>
            </w:r>
          </w:p>
        </w:tc>
        <w:tc>
          <w:tcPr>
            <w:tcW w:w="680" w:type="dxa"/>
            <w:vAlign w:val="bottom"/>
            <w:tcBorders>
              <w:bottom w:val="single" w:sz="8" w:color="00548B"/>
            </w:tcBorders>
          </w:tcPr>
          <w:p>
            <w:pPr>
              <w:jc w:val="right"/>
              <w:ind w:right="261"/>
              <w:spacing w:after="0" w:line="180" w:lineRule="exact"/>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307"/>
        </w:trPr>
        <w:tc>
          <w:tcPr>
            <w:tcW w:w="180" w:type="dxa"/>
            <w:vAlign w:val="bottom"/>
            <w:gridSpan w:val="2"/>
          </w:tcPr>
          <w:p>
            <w:pPr>
              <w:spacing w:after="0"/>
              <w:rPr>
                <w:sz w:val="20"/>
                <w:szCs w:val="20"/>
                <w:color w:val="auto"/>
              </w:rPr>
            </w:pPr>
            <w:r>
              <w:rPr>
                <w:rFonts w:ascii="Arial" w:cs="Arial" w:eastAsia="Arial" w:hAnsi="Arial"/>
                <w:sz w:val="16"/>
                <w:szCs w:val="16"/>
                <w:color w:val="auto"/>
              </w:rPr>
              <w:t>*</w:t>
            </w:r>
          </w:p>
        </w:tc>
        <w:tc>
          <w:tcPr>
            <w:tcW w:w="7240" w:type="dxa"/>
            <w:vAlign w:val="bottom"/>
          </w:tcPr>
          <w:p>
            <w:pPr>
              <w:ind w:left="360"/>
              <w:spacing w:after="0"/>
              <w:rPr>
                <w:sz w:val="20"/>
                <w:szCs w:val="20"/>
                <w:color w:val="auto"/>
              </w:rPr>
            </w:pPr>
            <w:r>
              <w:rPr>
                <w:rFonts w:ascii="Arial" w:cs="Arial" w:eastAsia="Arial" w:hAnsi="Arial"/>
                <w:sz w:val="16"/>
                <w:szCs w:val="16"/>
                <w:color w:val="auto"/>
              </w:rPr>
              <w:t>Indicates less than 1% ownership.</w:t>
            </w:r>
          </w:p>
        </w:tc>
        <w:tc>
          <w:tcPr>
            <w:tcW w:w="2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740" w:right="20" w:hanging="541"/>
        <w:spacing w:after="0" w:line="253" w:lineRule="auto"/>
        <w:tabs>
          <w:tab w:leader="none" w:pos="7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principal address for each of the stockholders, other than The Vanguard Group, Inc., Wellington Management Group LLP, T. Rowe Price Associates, Inc. and BlackRock, Inc., listed below is c/o Huron Consulting Group Inc., 550 West Van Buren Street, Chicago, Illinois 60607.</w:t>
      </w:r>
    </w:p>
    <w:p>
      <w:pPr>
        <w:spacing w:after="0" w:line="104" w:lineRule="exact"/>
        <w:rPr>
          <w:rFonts w:ascii="Arial" w:cs="Arial" w:eastAsia="Arial" w:hAnsi="Arial"/>
          <w:sz w:val="16"/>
          <w:szCs w:val="16"/>
          <w:color w:val="auto"/>
        </w:rPr>
      </w:pPr>
    </w:p>
    <w:p>
      <w:pPr>
        <w:jc w:val="both"/>
        <w:ind w:left="740" w:right="20" w:hanging="541"/>
        <w:spacing w:after="0" w:line="248" w:lineRule="auto"/>
        <w:tabs>
          <w:tab w:leader="none" w:pos="7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principal address of The Vanguard Group, Inc. is 100 Vanguard Blvd., Malvern, Pennsylvania 19355. The shares are owned by The Vanguard Group, Inc. Information regarding beneficial ownership of our common stock by The Vanguard Group, Inc. is included herein in reliance on a Schedule 13G/A filed with the SEC on February 10, 2022.</w:t>
      </w:r>
    </w:p>
    <w:p>
      <w:pPr>
        <w:spacing w:after="0" w:line="107" w:lineRule="exact"/>
        <w:rPr>
          <w:rFonts w:ascii="Arial" w:cs="Arial" w:eastAsia="Arial" w:hAnsi="Arial"/>
          <w:sz w:val="16"/>
          <w:szCs w:val="16"/>
          <w:color w:val="auto"/>
        </w:rPr>
      </w:pPr>
    </w:p>
    <w:p>
      <w:pPr>
        <w:jc w:val="both"/>
        <w:ind w:left="740" w:right="20" w:hanging="541"/>
        <w:spacing w:after="0" w:line="246" w:lineRule="auto"/>
        <w:tabs>
          <w:tab w:leader="none" w:pos="7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principal address of Wellington Management Group LLP is 280 Congress Street, Boston, Massachusetts 02210. The shares are owned by Wellington Management Group LLP and the following subsidiaries of Wellington Management Group LLP: Wellington Group Holdings LLP, Wellington Investment Advisors Holdings LLP and Wellington Management Company LLP. Information regarding beneficial ownership of our common stock by Wellington Management Group LLP is included herein in reliance on a Schedule 13G/A filed with the SEC on February 4, 2022.</w:t>
      </w:r>
    </w:p>
    <w:p>
      <w:pPr>
        <w:spacing w:after="0" w:line="109" w:lineRule="exact"/>
        <w:rPr>
          <w:rFonts w:ascii="Arial" w:cs="Arial" w:eastAsia="Arial" w:hAnsi="Arial"/>
          <w:sz w:val="16"/>
          <w:szCs w:val="16"/>
          <w:color w:val="auto"/>
        </w:rPr>
      </w:pPr>
    </w:p>
    <w:p>
      <w:pPr>
        <w:jc w:val="both"/>
        <w:ind w:left="740" w:right="20" w:hanging="541"/>
        <w:spacing w:after="0" w:line="248" w:lineRule="auto"/>
        <w:tabs>
          <w:tab w:leader="none" w:pos="7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principal address of T. Rowe Price Associates, Inc. is 100 E. Pratt Street, Baltimore, Maryland 21202. Information regarding beneficial ownership of our common stock by T. Rowe Price Associates, Inc. is included herein in reliance on a Schedule 13G filed with the SEC on February 14, 2022.</w:t>
      </w:r>
    </w:p>
    <w:p>
      <w:pPr>
        <w:spacing w:after="0" w:line="107" w:lineRule="exact"/>
        <w:rPr>
          <w:rFonts w:ascii="Arial" w:cs="Arial" w:eastAsia="Arial" w:hAnsi="Arial"/>
          <w:sz w:val="16"/>
          <w:szCs w:val="16"/>
          <w:color w:val="auto"/>
        </w:rPr>
      </w:pPr>
    </w:p>
    <w:p>
      <w:pPr>
        <w:ind w:left="740" w:right="20" w:hanging="541"/>
        <w:spacing w:after="0" w:line="253" w:lineRule="auto"/>
        <w:tabs>
          <w:tab w:leader="none" w:pos="7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principal address of BlackRock, Inc. is 55 East 52nd Street, New York, New York 10055. The shares are owned by the following subsidiaries of BlackRock, Inc.: Aperio Group, LLC, BlackRock Advisors, LLC,</w:t>
      </w:r>
    </w:p>
    <w:p>
      <w:pPr>
        <w:spacing w:after="0" w:line="12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00548B"/>
        </w:rPr>
        <w:t>21</w:t>
      </w:r>
    </w:p>
    <w:p>
      <w:pPr>
        <w:sectPr>
          <w:pgSz w:w="11900" w:h="16838" w:orient="portrait"/>
          <w:cols w:equalWidth="0" w:num="1">
            <w:col w:w="11060"/>
          </w:cols>
          <w:pgMar w:left="320" w:top="454" w:right="5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740"/>
        <w:spacing w:after="0" w:line="245" w:lineRule="auto"/>
        <w:rPr>
          <w:sz w:val="20"/>
          <w:szCs w:val="20"/>
          <w:color w:val="auto"/>
        </w:rPr>
      </w:pPr>
      <w:r>
        <w:rPr>
          <w:rFonts w:ascii="Arial" w:cs="Arial" w:eastAsia="Arial" w:hAnsi="Arial"/>
          <w:sz w:val="16"/>
          <w:szCs w:val="16"/>
          <w:color w:val="auto"/>
        </w:rPr>
        <w:t>BlackRock (Netherlands) B.V., BlackRock Institutional Trust Company, National Association, BlackRock Asset Management Ireland Limited, BlackRock Financial Management, Inc., BlackRock Asset Management Schweiz AG, BlackRock Investment Management, LLC, BlackRock Investment Management (UK) Limited, BlackRock Asset Management Canada Limited, BlackRock (Luxembourg) S.A., BlackRock Investment Management (Australia) Limited, BlackRock Fund Advisors, and BlackRock Fund Managers Ltd. Information regarding beneficial ownership of our common stock by BlackRock, Inc. is included herein in reliance on a Schedule 13G/A filed with the SEC on February 3, 2022.</w:t>
      </w:r>
    </w:p>
    <w:p>
      <w:pPr>
        <w:spacing w:after="0" w:line="111" w:lineRule="exact"/>
        <w:rPr>
          <w:sz w:val="20"/>
          <w:szCs w:val="20"/>
          <w:color w:val="auto"/>
        </w:rPr>
      </w:pPr>
    </w:p>
    <w:p>
      <w:pPr>
        <w:ind w:left="740" w:hanging="541"/>
        <w:spacing w:after="0" w:line="253" w:lineRule="auto"/>
        <w:tabs>
          <w:tab w:leader="none" w:pos="7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7,731 shares issuable upon exercise of options that are exercisable currently or within 60 days of the Record Date. Also includes 9,307 shares of restricted common stock.</w:t>
      </w:r>
    </w:p>
    <w:p>
      <w:pPr>
        <w:spacing w:after="0" w:line="104" w:lineRule="exact"/>
        <w:rPr>
          <w:rFonts w:ascii="Arial" w:cs="Arial" w:eastAsia="Arial" w:hAnsi="Arial"/>
          <w:sz w:val="16"/>
          <w:szCs w:val="16"/>
          <w:color w:val="auto"/>
        </w:rPr>
      </w:pPr>
    </w:p>
    <w:p>
      <w:pPr>
        <w:ind w:left="740" w:hanging="541"/>
        <w:spacing w:after="0"/>
        <w:tabs>
          <w:tab w:leader="none" w:pos="7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17,873 shares of restricted common stock.</w:t>
      </w:r>
    </w:p>
    <w:p>
      <w:pPr>
        <w:spacing w:after="0" w:line="121" w:lineRule="exact"/>
        <w:rPr>
          <w:rFonts w:ascii="Arial" w:cs="Arial" w:eastAsia="Arial" w:hAnsi="Arial"/>
          <w:sz w:val="16"/>
          <w:szCs w:val="16"/>
          <w:color w:val="auto"/>
        </w:rPr>
      </w:pPr>
    </w:p>
    <w:p>
      <w:pPr>
        <w:ind w:left="740" w:hanging="541"/>
        <w:spacing w:after="0"/>
        <w:tabs>
          <w:tab w:leader="none" w:pos="7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4,106 shares of restricted common stock.</w:t>
      </w:r>
    </w:p>
    <w:p>
      <w:pPr>
        <w:spacing w:after="0" w:line="121" w:lineRule="exact"/>
        <w:rPr>
          <w:rFonts w:ascii="Arial" w:cs="Arial" w:eastAsia="Arial" w:hAnsi="Arial"/>
          <w:sz w:val="16"/>
          <w:szCs w:val="16"/>
          <w:color w:val="auto"/>
        </w:rPr>
      </w:pPr>
    </w:p>
    <w:p>
      <w:pPr>
        <w:ind w:left="740" w:hanging="541"/>
        <w:spacing w:after="0"/>
        <w:tabs>
          <w:tab w:leader="none" w:pos="7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Mr. Markell was elected to the board of directors on March 16, 2022. He did not own any Huron stock prior to his election to the board of directors.</w:t>
      </w:r>
    </w:p>
    <w:p>
      <w:pPr>
        <w:spacing w:after="0" w:line="133" w:lineRule="exact"/>
        <w:rPr>
          <w:rFonts w:ascii="Arial" w:cs="Arial" w:eastAsia="Arial" w:hAnsi="Arial"/>
          <w:sz w:val="15"/>
          <w:szCs w:val="15"/>
          <w:color w:val="auto"/>
        </w:rPr>
      </w:pPr>
    </w:p>
    <w:p>
      <w:pPr>
        <w:ind w:left="740" w:hanging="541"/>
        <w:spacing w:after="0" w:line="253" w:lineRule="auto"/>
        <w:tabs>
          <w:tab w:leader="none" w:pos="7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4,106 shares of restricted common stock, as well as 1,259 shares held by a wholly-owned limited liability company of which Mr. McCartney is the sole owner.</w:t>
      </w:r>
    </w:p>
    <w:p>
      <w:pPr>
        <w:spacing w:after="0" w:line="104" w:lineRule="exact"/>
        <w:rPr>
          <w:rFonts w:ascii="Arial" w:cs="Arial" w:eastAsia="Arial" w:hAnsi="Arial"/>
          <w:sz w:val="16"/>
          <w:szCs w:val="16"/>
          <w:color w:val="auto"/>
        </w:rPr>
      </w:pPr>
    </w:p>
    <w:p>
      <w:pPr>
        <w:ind w:left="740" w:hanging="541"/>
        <w:spacing w:after="0" w:line="253" w:lineRule="auto"/>
        <w:tabs>
          <w:tab w:leader="none" w:pos="7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18,054 shares issuable upon exercise of options that are exercisable currently or within 60 days of the Record Date. Also includes 14,207 shares of restricted common stock, as well as 3,855 shares held by a family limited liability company.</w:t>
      </w:r>
    </w:p>
    <w:p>
      <w:pPr>
        <w:spacing w:after="0" w:line="104" w:lineRule="exact"/>
        <w:rPr>
          <w:rFonts w:ascii="Arial" w:cs="Arial" w:eastAsia="Arial" w:hAnsi="Arial"/>
          <w:sz w:val="16"/>
          <w:szCs w:val="16"/>
          <w:color w:val="auto"/>
        </w:rPr>
      </w:pPr>
    </w:p>
    <w:p>
      <w:pPr>
        <w:ind w:left="740" w:hanging="541"/>
        <w:spacing w:after="0"/>
        <w:tabs>
          <w:tab w:leader="none" w:pos="7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4,106 shares of restricted common stock.</w:t>
      </w:r>
    </w:p>
    <w:p>
      <w:pPr>
        <w:spacing w:after="0" w:line="121" w:lineRule="exact"/>
        <w:rPr>
          <w:rFonts w:ascii="Arial" w:cs="Arial" w:eastAsia="Arial" w:hAnsi="Arial"/>
          <w:sz w:val="16"/>
          <w:szCs w:val="16"/>
          <w:color w:val="auto"/>
        </w:rPr>
      </w:pPr>
    </w:p>
    <w:p>
      <w:pPr>
        <w:ind w:left="740" w:hanging="541"/>
        <w:spacing w:after="0"/>
        <w:tabs>
          <w:tab w:leader="none" w:pos="7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4,445 shares of restricted common stock.</w:t>
      </w:r>
    </w:p>
    <w:p>
      <w:pPr>
        <w:spacing w:after="0" w:line="121" w:lineRule="exact"/>
        <w:rPr>
          <w:rFonts w:ascii="Arial" w:cs="Arial" w:eastAsia="Arial" w:hAnsi="Arial"/>
          <w:sz w:val="16"/>
          <w:szCs w:val="16"/>
          <w:color w:val="auto"/>
        </w:rPr>
      </w:pPr>
    </w:p>
    <w:p>
      <w:pPr>
        <w:ind w:left="740" w:hanging="541"/>
        <w:spacing w:after="0"/>
        <w:tabs>
          <w:tab w:leader="none" w:pos="7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4,634 shares of restricted common stock.</w:t>
      </w:r>
    </w:p>
    <w:p>
      <w:pPr>
        <w:spacing w:after="0" w:line="121" w:lineRule="exact"/>
        <w:rPr>
          <w:rFonts w:ascii="Arial" w:cs="Arial" w:eastAsia="Arial" w:hAnsi="Arial"/>
          <w:sz w:val="16"/>
          <w:szCs w:val="16"/>
          <w:color w:val="auto"/>
        </w:rPr>
      </w:pPr>
    </w:p>
    <w:p>
      <w:pPr>
        <w:ind w:left="740" w:hanging="541"/>
        <w:spacing w:after="0"/>
        <w:tabs>
          <w:tab w:leader="none" w:pos="7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4,106 shares of restricted common stock.</w:t>
      </w:r>
    </w:p>
    <w:p>
      <w:pPr>
        <w:spacing w:after="0" w:line="121" w:lineRule="exact"/>
        <w:rPr>
          <w:rFonts w:ascii="Arial" w:cs="Arial" w:eastAsia="Arial" w:hAnsi="Arial"/>
          <w:sz w:val="16"/>
          <w:szCs w:val="16"/>
          <w:color w:val="auto"/>
        </w:rPr>
      </w:pPr>
    </w:p>
    <w:p>
      <w:pPr>
        <w:ind w:left="740" w:hanging="541"/>
        <w:spacing w:after="0" w:line="253" w:lineRule="auto"/>
        <w:tabs>
          <w:tab w:leader="none" w:pos="7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an aggregate of 25,785 shares issuable upon exercise of options held by members of the group that are exercisable currently or within 60 days of the Record Date, as well as 66,890 shares of restricted common stock held by the Directors and Executive Officers listed above.</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C</w:t>
      </w:r>
      <w:r>
        <w:rPr>
          <w:rFonts w:ascii="Arial" w:cs="Arial" w:eastAsia="Arial" w:hAnsi="Arial"/>
          <w:sz w:val="14"/>
          <w:szCs w:val="14"/>
          <w:b w:val="1"/>
          <w:bCs w:val="1"/>
          <w:color w:val="00548B"/>
        </w:rPr>
        <w:t>ORPORATE</w:t>
      </w:r>
      <w:r>
        <w:rPr>
          <w:rFonts w:ascii="Arial" w:cs="Arial" w:eastAsia="Arial" w:hAnsi="Arial"/>
          <w:sz w:val="18"/>
          <w:szCs w:val="18"/>
          <w:b w:val="1"/>
          <w:bCs w:val="1"/>
          <w:color w:val="00548B"/>
        </w:rPr>
        <w:t xml:space="preserve"> S</w:t>
      </w:r>
      <w:r>
        <w:rPr>
          <w:rFonts w:ascii="Arial" w:cs="Arial" w:eastAsia="Arial" w:hAnsi="Arial"/>
          <w:sz w:val="14"/>
          <w:szCs w:val="14"/>
          <w:b w:val="1"/>
          <w:bCs w:val="1"/>
          <w:color w:val="00548B"/>
        </w:rPr>
        <w:t>OCIAL</w:t>
      </w:r>
      <w:r>
        <w:rPr>
          <w:rFonts w:ascii="Arial" w:cs="Arial" w:eastAsia="Arial" w:hAnsi="Arial"/>
          <w:sz w:val="18"/>
          <w:szCs w:val="18"/>
          <w:b w:val="1"/>
          <w:bCs w:val="1"/>
          <w:color w:val="00548B"/>
        </w:rPr>
        <w:t xml:space="preserve"> R</w:t>
      </w:r>
      <w:r>
        <w:rPr>
          <w:rFonts w:ascii="Arial" w:cs="Arial" w:eastAsia="Arial" w:hAnsi="Arial"/>
          <w:sz w:val="14"/>
          <w:szCs w:val="14"/>
          <w:b w:val="1"/>
          <w:bCs w:val="1"/>
          <w:color w:val="00548B"/>
        </w:rPr>
        <w:t>ESPONSIBILITY</w:t>
      </w:r>
    </w:p>
    <w:p>
      <w:pPr>
        <w:spacing w:after="0" w:line="17" w:lineRule="exact"/>
        <w:rPr>
          <w:sz w:val="20"/>
          <w:szCs w:val="20"/>
          <w:color w:val="auto"/>
        </w:rPr>
      </w:pPr>
    </w:p>
    <w:p>
      <w:pPr>
        <w:jc w:val="both"/>
        <w:ind w:left="200"/>
        <w:spacing w:after="0" w:line="245" w:lineRule="auto"/>
        <w:rPr>
          <w:sz w:val="20"/>
          <w:szCs w:val="20"/>
          <w:color w:val="auto"/>
        </w:rPr>
      </w:pPr>
      <w:r>
        <w:rPr>
          <w:rFonts w:ascii="Arial" w:cs="Arial" w:eastAsia="Arial" w:hAnsi="Arial"/>
          <w:sz w:val="16"/>
          <w:szCs w:val="16"/>
          <w:color w:val="auto"/>
        </w:rPr>
        <w:t>At Huron, we believe we all have a role to play in shaping a brighter and more sustainable future for our clients, our people, our communities and our shareholders. As we continue to evolve our programs and initiatives to support a more sustainable future, we have focused our efforts on the United Nations Sustainable Development Goals (“SDGs”), and particularly five goals that are integrally aligned with our values-driven culture and the work we do for our clients each day: good health and well-being, quality education, gender equality, decent work and economic growth, and climate action. Below are the highlights of how we took action to advance those SDGs in 2021 and contribute to a more equitable and sustainable society.</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Investing In and Supporting Our People</w:t>
      </w:r>
    </w:p>
    <w:p>
      <w:pPr>
        <w:spacing w:after="0" w:line="22"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color w:val="auto"/>
        </w:rPr>
        <w:t>As a values-led and people-focused organization, we have always been committed to investing in our people and fostering a diverse and inclusive culture.</w:t>
      </w:r>
    </w:p>
    <w:p>
      <w:pPr>
        <w:spacing w:after="0" w:line="157" w:lineRule="exact"/>
        <w:rPr>
          <w:sz w:val="20"/>
          <w:szCs w:val="20"/>
          <w:color w:val="auto"/>
        </w:rPr>
      </w:pPr>
    </w:p>
    <w:p>
      <w:pPr>
        <w:jc w:val="both"/>
        <w:ind w:left="200"/>
        <w:spacing w:after="0" w:line="244" w:lineRule="auto"/>
        <w:rPr>
          <w:sz w:val="20"/>
          <w:szCs w:val="20"/>
          <w:color w:val="auto"/>
        </w:rPr>
      </w:pPr>
      <w:r>
        <w:rPr>
          <w:rFonts w:ascii="Arial" w:cs="Arial" w:eastAsia="Arial" w:hAnsi="Arial"/>
          <w:sz w:val="16"/>
          <w:szCs w:val="16"/>
          <w:color w:val="auto"/>
        </w:rPr>
        <w:t>At Huron, we regularly look for ways to grow our business and better support and invest in our people, which has enabled us to achieve an employee engagement score of 77%, which is above the Glint Employee Engagement global benchmark of 74%. We are committed to supporting development at all levels and empowering employees to unlock their potential. In 2021, our internal certified coaching professional devoted more than 500 hours to executive coaching, which focuses on the development of leadership skills to create positive change, manage complexity and build high-performing teams. We also launched a sponsorship program for talent in underrepresented groups across the company to drive continued growth for the organization, develop our people, foster our culture and enhance the diversity of Huron’s leadership. We are encouraged by the positive results we have experienced with this program and similar programs in building a strong pipeline for future leaders.</w:t>
      </w:r>
    </w:p>
    <w:p>
      <w:pPr>
        <w:spacing w:after="0" w:line="180"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color w:val="auto"/>
        </w:rPr>
        <w:t>At Huron, we focus on building leaders of the future. We know that leadership is a learned skill, and we offer leadership development opportunities that anchor to our leadership principles, which were established in 2021.</w:t>
      </w:r>
    </w:p>
    <w:p>
      <w:pPr>
        <w:spacing w:after="0" w:line="12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22</w:t>
      </w:r>
    </w:p>
    <w:p>
      <w:pPr>
        <w:sectPr>
          <w:pgSz w:w="11900" w:h="16838" w:orient="portrait"/>
          <w:cols w:equalWidth="0" w:num="1">
            <w:col w:w="11040"/>
          </w:cols>
          <w:pgMar w:left="320" w:top="454" w:right="5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color w:val="auto"/>
        </w:rPr>
        <w:t>We believe that demonstrating leadership is a living expression of our culture and growth aspiration and a critical component to enable our future success.</w:t>
      </w:r>
    </w:p>
    <w:p>
      <w:pPr>
        <w:spacing w:after="0" w:line="15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Advancing Our Commitment to Diversity, Equity and Inclusion</w:t>
      </w:r>
    </w:p>
    <w:p>
      <w:pPr>
        <w:spacing w:after="0" w:line="22" w:lineRule="exact"/>
        <w:rPr>
          <w:sz w:val="20"/>
          <w:szCs w:val="20"/>
          <w:color w:val="auto"/>
        </w:rPr>
      </w:pPr>
    </w:p>
    <w:p>
      <w:pPr>
        <w:jc w:val="both"/>
        <w:ind w:left="200"/>
        <w:spacing w:after="0" w:line="244" w:lineRule="auto"/>
        <w:rPr>
          <w:sz w:val="20"/>
          <w:szCs w:val="20"/>
          <w:color w:val="auto"/>
        </w:rPr>
      </w:pPr>
      <w:r>
        <w:rPr>
          <w:rFonts w:ascii="Arial" w:cs="Arial" w:eastAsia="Arial" w:hAnsi="Arial"/>
          <w:sz w:val="16"/>
          <w:szCs w:val="16"/>
          <w:color w:val="auto"/>
        </w:rPr>
        <w:t>Fundamental to our values is a workplace that fosters diversity and inclusion. In 2021, for the eighth year in a row, we were recognized by the Human Rights Campaign Foundation for receiving a perfect score of 100 on the Corporate Equality Index and the designation as a Best Firm to Work for LGBTQ Equality. And, for the eleventh year in a row, Consulting magazine named Huron a ‘Best Firm to Work For,’ recognizing our strong commitment to our people, our values, our clients and the communities we serve. Our Global Diversity and Inclusion Council, which was founded in 2011, along with our 10 employee resource groups known as iMatter teams, hosted more than 130 events aimed at raising awareness on important issues, building a sense of community within Huron and celebrating what makes our colleagues unique. One such event was hosted by leaders from our Asian American iMatter team and our executive leadership team for a passionate and candid conversation on racism and equality.</w:t>
      </w:r>
    </w:p>
    <w:p>
      <w:pPr>
        <w:spacing w:after="0" w:line="167" w:lineRule="exact"/>
        <w:rPr>
          <w:sz w:val="20"/>
          <w:szCs w:val="20"/>
          <w:color w:val="auto"/>
        </w:rPr>
      </w:pPr>
    </w:p>
    <w:p>
      <w:pPr>
        <w:jc w:val="both"/>
        <w:ind w:left="200"/>
        <w:spacing w:after="0" w:line="214" w:lineRule="auto"/>
        <w:rPr>
          <w:sz w:val="20"/>
          <w:szCs w:val="20"/>
          <w:color w:val="auto"/>
        </w:rPr>
      </w:pPr>
      <w:r>
        <w:rPr>
          <w:rFonts w:ascii="Arial" w:cs="Arial" w:eastAsia="Arial" w:hAnsi="Arial"/>
          <w:sz w:val="16"/>
          <w:szCs w:val="16"/>
          <w:color w:val="auto"/>
        </w:rPr>
        <w:t>To further our long-standing commitment to diversity, equity and inclusion, in 2021, Huron’s chief executive officer signed the CEO Action for Diversity &amp; Inclusion</w:t>
      </w:r>
      <w:r>
        <w:rPr>
          <w:rFonts w:ascii="Arial" w:cs="Arial" w:eastAsia="Arial" w:hAnsi="Arial"/>
          <w:sz w:val="27"/>
          <w:szCs w:val="27"/>
          <w:color w:val="auto"/>
          <w:vertAlign w:val="superscript"/>
        </w:rPr>
        <w:t>TM</w:t>
      </w:r>
      <w:r>
        <w:rPr>
          <w:rFonts w:ascii="Arial" w:cs="Arial" w:eastAsia="Arial" w:hAnsi="Arial"/>
          <w:sz w:val="16"/>
          <w:szCs w:val="16"/>
          <w:color w:val="auto"/>
        </w:rPr>
        <w:t xml:space="preserve"> Pledge to take action to advance diversity and inclusion within the workplace. We also made progress on our diversity and inclusion action plan. Through our action plan, we continued to foster an inclusive culture by advancing diverse representation across all levels of the organization, expanding our community outreach and support, performing pay equity studies, and strengthening our vendor processes so that they are aligned to our values.</w:t>
      </w:r>
    </w:p>
    <w:p>
      <w:pPr>
        <w:spacing w:after="0" w:line="15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Making an Impact in the Global Communities We Serve</w:t>
      </w:r>
    </w:p>
    <w:p>
      <w:pPr>
        <w:spacing w:after="0" w:line="22" w:lineRule="exact"/>
        <w:rPr>
          <w:sz w:val="20"/>
          <w:szCs w:val="20"/>
          <w:color w:val="auto"/>
        </w:rPr>
      </w:pPr>
    </w:p>
    <w:p>
      <w:pPr>
        <w:jc w:val="both"/>
        <w:ind w:left="200"/>
        <w:spacing w:after="0" w:line="246" w:lineRule="auto"/>
        <w:rPr>
          <w:sz w:val="20"/>
          <w:szCs w:val="20"/>
          <w:color w:val="auto"/>
        </w:rPr>
      </w:pPr>
      <w:r>
        <w:rPr>
          <w:rFonts w:ascii="Arial" w:cs="Arial" w:eastAsia="Arial" w:hAnsi="Arial"/>
          <w:sz w:val="16"/>
          <w:szCs w:val="16"/>
          <w:color w:val="auto"/>
        </w:rPr>
        <w:t>Huron has a longstanding tradition of supporting the communities where we live and work. Our service-oriented culture is rooted in our values and leadership principles – connecting our people with a sense of purpose and a passion to give back. The actions we took in 2021 furthered our priority SDGs, which reflect our commitment to our people, our collaboration with our clients—which include hundreds of mission-driven organizations, and our support for our communities.</w:t>
      </w:r>
    </w:p>
    <w:p>
      <w:pPr>
        <w:spacing w:after="0" w:line="176" w:lineRule="exact"/>
        <w:rPr>
          <w:sz w:val="20"/>
          <w:szCs w:val="20"/>
          <w:color w:val="auto"/>
        </w:rPr>
      </w:pPr>
    </w:p>
    <w:p>
      <w:pPr>
        <w:jc w:val="both"/>
        <w:ind w:left="200"/>
        <w:spacing w:after="0" w:line="244" w:lineRule="auto"/>
        <w:rPr>
          <w:sz w:val="20"/>
          <w:szCs w:val="20"/>
          <w:color w:val="auto"/>
        </w:rPr>
      </w:pPr>
      <w:r>
        <w:rPr>
          <w:rFonts w:ascii="Arial" w:cs="Arial" w:eastAsia="Arial" w:hAnsi="Arial"/>
          <w:sz w:val="16"/>
          <w:szCs w:val="16"/>
          <w:color w:val="auto"/>
        </w:rPr>
        <w:t>We participated in various service events to promote good health and well-being with the American Heart Association, the Boys &amp; Girls Club of Chicago and Movember Business Club. In furtherance of our belief that we all have a role to play in ensuring everyone can live a healthy life, more than 80 leaders from across the organization, including Huron’s executive leadership team, volunteered to get doused in slime which raised over $124,000 for St. Jude Children’s Research Hospital to support cancer research. We sponsored events in support of gender equality with TechGirlz, a nonprofit organization focused on inspiring middle school girls to explore the possibilities of technology to empower their future careers. We also established the Dawn Gideon-Huron Consulting Scholarship which is awarded to women who self-identify as Black/African American, Latinx/Hispanic or Native American who have demonstrated a commitment to health equity and who are pursuing a masters level degree in healthcare administration or business administration. We also worked to improve access to quality education, skill-building and lifelong learning. Motivated by our passion for education as an engine for economic and community growth, we launched the Huron social alliance program to help address the need for broader educational access and support resource constrained institutions as they prepare students to thrive in the fast-evolving workforce.</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Taking Action for a Sustainable Future</w:t>
      </w:r>
    </w:p>
    <w:p>
      <w:pPr>
        <w:spacing w:after="0" w:line="22"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color w:val="auto"/>
        </w:rPr>
        <w:t>At Huron, we are focused on protecting and preserving our planet for future generations. We recognize that addressing climate change now is critical to our future and that we all play an important role in helping to combat the climate crisis.</w:t>
      </w:r>
    </w:p>
    <w:p>
      <w:pPr>
        <w:spacing w:after="0" w:line="157" w:lineRule="exact"/>
        <w:rPr>
          <w:sz w:val="20"/>
          <w:szCs w:val="20"/>
          <w:color w:val="auto"/>
        </w:rPr>
      </w:pPr>
    </w:p>
    <w:p>
      <w:pPr>
        <w:jc w:val="both"/>
        <w:ind w:left="200"/>
        <w:spacing w:after="0" w:line="245" w:lineRule="auto"/>
        <w:rPr>
          <w:sz w:val="20"/>
          <w:szCs w:val="20"/>
          <w:color w:val="auto"/>
        </w:rPr>
      </w:pPr>
      <w:r>
        <w:rPr>
          <w:rFonts w:ascii="Arial" w:cs="Arial" w:eastAsia="Arial" w:hAnsi="Arial"/>
          <w:sz w:val="16"/>
          <w:szCs w:val="16"/>
          <w:color w:val="auto"/>
        </w:rPr>
        <w:t>Our environmental sustainability strategy is focused on the areas where we have an opportunity to make an impact and aligned to business risks. As a professional services firm, we do not manufacture or distribute products or generate hazardous waste. To better understand our impact across our business, we began gathering our greenhouse gas emissions (GHG) data in 2021. Carbon emissions from business travel, which is a necessary part of our operations, is an area that provides an opportunity to reduce our environmental impact. Along with business travel, our local offices also contribute to greenhouse gas emissions, and we have begun to take measures to decrease our “footprint” thereby reducing the energy consumption needed to operate our physical locations. By measuring our greenhouse gas emissions on an annual basis, beginning with our baseline</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23</w:t>
      </w:r>
    </w:p>
    <w:p>
      <w:pPr>
        <w:sectPr>
          <w:pgSz w:w="11900" w:h="16838" w:orient="portrait"/>
          <w:cols w:equalWidth="0" w:num="1">
            <w:col w:w="11040"/>
          </w:cols>
          <w:pgMar w:left="320" w:top="454" w:right="5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color w:val="auto"/>
        </w:rPr>
        <w:t>calculation for 2019, we are better able to identify our impact on the environment and where and how we should prioritize opportunities to lessen that impact. We are committed to measuring and disclosing our greenhouse gas emissions and to setting goals to help us positively impact the environment.</w:t>
      </w:r>
    </w:p>
    <w:p>
      <w:pPr>
        <w:spacing w:after="0" w:line="15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Managing Responsibly</w:t>
      </w:r>
    </w:p>
    <w:p>
      <w:pPr>
        <w:spacing w:after="0" w:line="22" w:lineRule="exact"/>
        <w:rPr>
          <w:sz w:val="20"/>
          <w:szCs w:val="20"/>
          <w:color w:val="auto"/>
        </w:rPr>
      </w:pPr>
    </w:p>
    <w:p>
      <w:pPr>
        <w:jc w:val="both"/>
        <w:ind w:left="200"/>
        <w:spacing w:after="0" w:line="245" w:lineRule="auto"/>
        <w:rPr>
          <w:sz w:val="20"/>
          <w:szCs w:val="20"/>
          <w:color w:val="auto"/>
        </w:rPr>
      </w:pPr>
      <w:r>
        <w:rPr>
          <w:rFonts w:ascii="Arial" w:cs="Arial" w:eastAsia="Arial" w:hAnsi="Arial"/>
          <w:sz w:val="16"/>
          <w:szCs w:val="16"/>
          <w:color w:val="auto"/>
        </w:rPr>
        <w:t>Our Code of Business Conduct and Ethics (the “Code”) highlights our ethical way of doing business and sets the expectation for all employees and our directors to comply with the laws, rules and regulations that apply to our business and abide by the highest standards of business conduct. The Code is supplemented by other policies that address specific issues in more detail, such as our Insider Trading Policy, Discrimination and Harassment Policy and Global Information Security Policy. We expect our vendors, contractors, and third-party representatives to adhere to similar standards when dealing with our clients and representing Huron to the public.</w:t>
      </w:r>
    </w:p>
    <w:p>
      <w:pPr>
        <w:spacing w:after="0" w:line="164"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color w:val="auto"/>
        </w:rPr>
        <w:t>In addition, Huron prohibits the use of Company funds, assets, services, or facilities on behalf of a political party or candidate and the Company does not reimburse employees for any personal contributions the employee makes to a political party or candidate.</w:t>
      </w:r>
    </w:p>
    <w:p>
      <w:pPr>
        <w:spacing w:after="0" w:line="157" w:lineRule="exact"/>
        <w:rPr>
          <w:sz w:val="20"/>
          <w:szCs w:val="20"/>
          <w:color w:val="auto"/>
        </w:rPr>
      </w:pPr>
    </w:p>
    <w:p>
      <w:pPr>
        <w:jc w:val="both"/>
        <w:ind w:left="200"/>
        <w:spacing w:after="0" w:line="246" w:lineRule="auto"/>
        <w:rPr>
          <w:sz w:val="20"/>
          <w:szCs w:val="20"/>
          <w:color w:val="auto"/>
        </w:rPr>
      </w:pPr>
      <w:r>
        <w:rPr>
          <w:rFonts w:ascii="Arial" w:cs="Arial" w:eastAsia="Arial" w:hAnsi="Arial"/>
          <w:sz w:val="16"/>
          <w:szCs w:val="16"/>
          <w:color w:val="auto"/>
        </w:rPr>
        <w:t>To learn more about our environmental, social and governance efforts, please visit our website at: https://ir.huronconsultinggroup.com to read our annual Environmental, Social and Governance (ESG) report. The ESG report also provides more quantitative and qualitative measurements in the Sustainability Accounting Standards Board (SASB) addendum and in the EEO-1 report. The report mentioned above, or any other information from the Huron website, are not part of, or incorporated by reference into this Proxy Statement.</w:t>
      </w:r>
    </w:p>
    <w:p>
      <w:pPr>
        <w:spacing w:after="0" w:line="1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S</w:t>
      </w:r>
      <w:r>
        <w:rPr>
          <w:rFonts w:ascii="Arial" w:cs="Arial" w:eastAsia="Arial" w:hAnsi="Arial"/>
          <w:sz w:val="14"/>
          <w:szCs w:val="14"/>
          <w:b w:val="1"/>
          <w:bCs w:val="1"/>
          <w:color w:val="00548B"/>
        </w:rPr>
        <w:t>TOCKHOLDER</w:t>
      </w:r>
      <w:r>
        <w:rPr>
          <w:rFonts w:ascii="Arial" w:cs="Arial" w:eastAsia="Arial" w:hAnsi="Arial"/>
          <w:sz w:val="18"/>
          <w:szCs w:val="18"/>
          <w:b w:val="1"/>
          <w:bCs w:val="1"/>
          <w:color w:val="00548B"/>
        </w:rPr>
        <w:t xml:space="preserve"> C</w:t>
      </w:r>
      <w:r>
        <w:rPr>
          <w:rFonts w:ascii="Arial" w:cs="Arial" w:eastAsia="Arial" w:hAnsi="Arial"/>
          <w:sz w:val="14"/>
          <w:szCs w:val="14"/>
          <w:b w:val="1"/>
          <w:bCs w:val="1"/>
          <w:color w:val="00548B"/>
        </w:rPr>
        <w:t>OMMUNICATIONS</w:t>
      </w:r>
      <w:r>
        <w:rPr>
          <w:rFonts w:ascii="Arial" w:cs="Arial" w:eastAsia="Arial" w:hAnsi="Arial"/>
          <w:sz w:val="18"/>
          <w:szCs w:val="18"/>
          <w:b w:val="1"/>
          <w:bCs w:val="1"/>
          <w:color w:val="00548B"/>
        </w:rPr>
        <w:t xml:space="preserve"> P</w:t>
      </w:r>
      <w:r>
        <w:rPr>
          <w:rFonts w:ascii="Arial" w:cs="Arial" w:eastAsia="Arial" w:hAnsi="Arial"/>
          <w:sz w:val="14"/>
          <w:szCs w:val="14"/>
          <w:b w:val="1"/>
          <w:bCs w:val="1"/>
          <w:color w:val="00548B"/>
        </w:rPr>
        <w:t>OLICY</w:t>
      </w:r>
    </w:p>
    <w:p>
      <w:pPr>
        <w:spacing w:after="0" w:line="17" w:lineRule="exact"/>
        <w:rPr>
          <w:sz w:val="20"/>
          <w:szCs w:val="20"/>
          <w:color w:val="auto"/>
        </w:rPr>
      </w:pPr>
    </w:p>
    <w:p>
      <w:pPr>
        <w:jc w:val="both"/>
        <w:ind w:left="200"/>
        <w:spacing w:after="0" w:line="248" w:lineRule="auto"/>
        <w:rPr>
          <w:sz w:val="20"/>
          <w:szCs w:val="20"/>
          <w:color w:val="auto"/>
        </w:rPr>
      </w:pPr>
      <w:r>
        <w:rPr>
          <w:rFonts w:ascii="Arial" w:cs="Arial" w:eastAsia="Arial" w:hAnsi="Arial"/>
          <w:sz w:val="16"/>
          <w:szCs w:val="16"/>
          <w:color w:val="auto"/>
        </w:rPr>
        <w:t>The Company’s board of directors has established a process for stockholders to send communications to the board of directors. Stockholders may communicate with any member of the board of directors, including the chairperson of any committee, an entire committee or the independent directors or all directors as a group, by sending written communications to:</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Corporate Secretary</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Huron Consulting Group Inc.</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550 West Van Buren Street</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17th Floor</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Chicago, Illinois 60607</w:t>
      </w:r>
    </w:p>
    <w:p>
      <w:pPr>
        <w:spacing w:after="0" w:line="15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 xml:space="preserve">E-mail messages should be sent to </w:t>
      </w:r>
      <w:r>
        <w:rPr>
          <w:rFonts w:ascii="Arial" w:cs="Arial" w:eastAsia="Arial" w:hAnsi="Arial"/>
          <w:sz w:val="16"/>
          <w:szCs w:val="16"/>
          <w:i w:val="1"/>
          <w:iCs w:val="1"/>
          <w:color w:val="auto"/>
        </w:rPr>
        <w:t>corporatesecretary@hcg.com</w:t>
      </w:r>
      <w:r>
        <w:rPr>
          <w:rFonts w:ascii="Arial" w:cs="Arial" w:eastAsia="Arial" w:hAnsi="Arial"/>
          <w:sz w:val="16"/>
          <w:szCs w:val="16"/>
          <w:color w:val="auto"/>
        </w:rPr>
        <w:t>.</w:t>
      </w:r>
    </w:p>
    <w:p>
      <w:pPr>
        <w:spacing w:after="0" w:line="204"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color w:val="auto"/>
        </w:rPr>
        <w:t>A stockholder must include his or her name and address in any such written or e-mail communication. The communication must indicate that the sender is a Company stockholder.</w:t>
      </w:r>
    </w:p>
    <w:p>
      <w:pPr>
        <w:spacing w:after="0" w:line="157" w:lineRule="exact"/>
        <w:rPr>
          <w:sz w:val="20"/>
          <w:szCs w:val="20"/>
          <w:color w:val="auto"/>
        </w:rPr>
      </w:pPr>
    </w:p>
    <w:p>
      <w:pPr>
        <w:jc w:val="both"/>
        <w:ind w:left="200"/>
        <w:spacing w:after="0" w:line="248" w:lineRule="auto"/>
        <w:rPr>
          <w:sz w:val="20"/>
          <w:szCs w:val="20"/>
          <w:color w:val="auto"/>
        </w:rPr>
      </w:pPr>
      <w:r>
        <w:rPr>
          <w:rFonts w:ascii="Arial" w:cs="Arial" w:eastAsia="Arial" w:hAnsi="Arial"/>
          <w:sz w:val="16"/>
          <w:szCs w:val="16"/>
          <w:color w:val="auto"/>
        </w:rPr>
        <w:t>Each communication intended for the board of directors and received by the Corporate Secretary that is related to the operation of the Company and is not otherwise commercial in nature will be forwarded to the specified party following its clearance through normal security procedures. If the communication is mailed as personal, it will not be opened, but rather will be forwarded unopened to the intended recipient.</w:t>
      </w:r>
    </w:p>
    <w:p>
      <w:pPr>
        <w:spacing w:after="0" w:line="13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24</w:t>
      </w:r>
    </w:p>
    <w:p>
      <w:pPr>
        <w:sectPr>
          <w:pgSz w:w="11900" w:h="16838" w:orient="portrait"/>
          <w:cols w:equalWidth="0" w:num="1">
            <w:col w:w="11040"/>
          </w:cols>
          <w:pgMar w:left="320" w:top="454" w:right="5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4" w:lineRule="exact"/>
        <w:rPr>
          <w:sz w:val="20"/>
          <w:szCs w:val="20"/>
          <w:color w:val="auto"/>
        </w:rPr>
      </w:pPr>
    </w:p>
    <w:p>
      <w:pPr>
        <w:ind w:left="200"/>
        <w:spacing w:after="0"/>
        <w:rPr>
          <w:sz w:val="20"/>
          <w:szCs w:val="20"/>
          <w:color w:val="auto"/>
        </w:rPr>
      </w:pPr>
      <w:r>
        <w:rPr>
          <w:rFonts w:ascii="Arial" w:cs="Arial" w:eastAsia="Arial" w:hAnsi="Arial"/>
          <w:sz w:val="21"/>
          <w:szCs w:val="21"/>
          <w:b w:val="1"/>
          <w:bCs w:val="1"/>
          <w:color w:val="00548B"/>
        </w:rPr>
        <w:t>EXECUTIVE COMPENSATION</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C</w:t>
      </w:r>
      <w:r>
        <w:rPr>
          <w:rFonts w:ascii="Arial" w:cs="Arial" w:eastAsia="Arial" w:hAnsi="Arial"/>
          <w:sz w:val="14"/>
          <w:szCs w:val="14"/>
          <w:b w:val="1"/>
          <w:bCs w:val="1"/>
          <w:color w:val="00548B"/>
        </w:rPr>
        <w:t>OMPENSATION</w:t>
      </w:r>
      <w:r>
        <w:rPr>
          <w:rFonts w:ascii="Arial" w:cs="Arial" w:eastAsia="Arial" w:hAnsi="Arial"/>
          <w:sz w:val="18"/>
          <w:szCs w:val="18"/>
          <w:b w:val="1"/>
          <w:bCs w:val="1"/>
          <w:color w:val="00548B"/>
        </w:rPr>
        <w:t xml:space="preserve"> D</w:t>
      </w:r>
      <w:r>
        <w:rPr>
          <w:rFonts w:ascii="Arial" w:cs="Arial" w:eastAsia="Arial" w:hAnsi="Arial"/>
          <w:sz w:val="14"/>
          <w:szCs w:val="14"/>
          <w:b w:val="1"/>
          <w:bCs w:val="1"/>
          <w:color w:val="00548B"/>
        </w:rPr>
        <w:t>ISCUSSION AND</w:t>
      </w:r>
      <w:r>
        <w:rPr>
          <w:rFonts w:ascii="Arial" w:cs="Arial" w:eastAsia="Arial" w:hAnsi="Arial"/>
          <w:sz w:val="18"/>
          <w:szCs w:val="18"/>
          <w:b w:val="1"/>
          <w:bCs w:val="1"/>
          <w:color w:val="00548B"/>
        </w:rPr>
        <w:t xml:space="preserve"> A</w:t>
      </w:r>
      <w:r>
        <w:rPr>
          <w:rFonts w:ascii="Arial" w:cs="Arial" w:eastAsia="Arial" w:hAnsi="Arial"/>
          <w:sz w:val="14"/>
          <w:szCs w:val="14"/>
          <w:b w:val="1"/>
          <w:bCs w:val="1"/>
          <w:color w:val="00548B"/>
        </w:rPr>
        <w:t>NALYSIS</w:t>
      </w:r>
    </w:p>
    <w:p>
      <w:pPr>
        <w:spacing w:after="0" w:line="17" w:lineRule="exact"/>
        <w:rPr>
          <w:sz w:val="20"/>
          <w:szCs w:val="20"/>
          <w:color w:val="auto"/>
        </w:rPr>
      </w:pPr>
    </w:p>
    <w:p>
      <w:pPr>
        <w:jc w:val="both"/>
        <w:ind w:left="200"/>
        <w:spacing w:after="0" w:line="248" w:lineRule="auto"/>
        <w:rPr>
          <w:sz w:val="20"/>
          <w:szCs w:val="20"/>
          <w:color w:val="auto"/>
        </w:rPr>
      </w:pPr>
      <w:r>
        <w:rPr>
          <w:rFonts w:ascii="Arial" w:cs="Arial" w:eastAsia="Arial" w:hAnsi="Arial"/>
          <w:sz w:val="16"/>
          <w:szCs w:val="16"/>
          <w:color w:val="auto"/>
        </w:rPr>
        <w:t>The Compensation Discussion and Analysis provides information regarding the objectives and elements of our compensation program with respect to the compensation of persons who appear in the Summary Compensation Table (who we refer to collectively throughout this Proxy Statement as our “named executive officers” or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126365</wp:posOffset>
            </wp:positionV>
            <wp:extent cx="6889750" cy="1860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89750" cy="186055"/>
                    </a:xfrm>
                    <a:prstGeom prst="rect">
                      <a:avLst/>
                    </a:prstGeom>
                    <a:noFill/>
                  </pic:spPr>
                </pic:pic>
              </a:graphicData>
            </a:graphic>
          </wp:anchor>
        </w:drawing>
      </w:r>
    </w:p>
    <w:p>
      <w:pPr>
        <w:spacing w:after="0" w:line="19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D8D8D8"/>
        </w:rPr>
        <w:t>SECTION 1 - EXECUTIVE SUMMARY</w:t>
      </w:r>
    </w:p>
    <w:p>
      <w:pPr>
        <w:spacing w:after="0" w:line="190" w:lineRule="exact"/>
        <w:rPr>
          <w:sz w:val="20"/>
          <w:szCs w:val="20"/>
          <w:color w:val="auto"/>
        </w:rPr>
      </w:pPr>
    </w:p>
    <w:p>
      <w:pPr>
        <w:jc w:val="both"/>
        <w:ind w:left="200"/>
        <w:spacing w:after="0" w:line="245" w:lineRule="auto"/>
        <w:rPr>
          <w:sz w:val="20"/>
          <w:szCs w:val="20"/>
          <w:color w:val="auto"/>
        </w:rPr>
      </w:pPr>
      <w:r>
        <w:rPr>
          <w:rFonts w:ascii="Arial" w:cs="Arial" w:eastAsia="Arial" w:hAnsi="Arial"/>
          <w:sz w:val="16"/>
          <w:szCs w:val="16"/>
          <w:color w:val="auto"/>
        </w:rPr>
        <w:t>Huron is a global consultancy focused on helping organizations accelerate their strategic, operational, digital and cultural transformation and creating sustainable value for our clients, our people and our shareholders. Our more than 3,800 revenue-generating professionals use their deep industry, functional and technical expertise to help our clients adapt to rapidly changing environments and accelerate their business transformation to drive lasting, measurable results. Our professionals’ talents and skills are our biggest differentiator and enable the future success of our clients and Huron. For this reason, approximately 90% of the equity that we awarded in 2021 was granted to non-NEOs, primarily our managing directors and practice leaders, who are not covered by this Compensation Discussion and Analysis.</w:t>
      </w:r>
    </w:p>
    <w:p>
      <w:pPr>
        <w:spacing w:after="0" w:line="92"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Named Executive Officers</w:t>
      </w:r>
    </w:p>
    <w:p>
      <w:pPr>
        <w:spacing w:after="0" w:line="140"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color w:val="auto"/>
        </w:rPr>
        <w:t>Huron’s named executive officers are responsible for our Company-wide business operations and setting the overall strategy of the organization. During 2021, Huron’s named executive officer team consisted of the following individuals:</w:t>
      </w:r>
    </w:p>
    <w:p>
      <w:pPr>
        <w:spacing w:after="0" w:line="104" w:lineRule="exact"/>
        <w:rPr>
          <w:sz w:val="20"/>
          <w:szCs w:val="20"/>
          <w:color w:val="auto"/>
        </w:rPr>
      </w:pPr>
    </w:p>
    <w:p>
      <w:pPr>
        <w:ind w:left="500" w:hanging="301"/>
        <w:spacing w:after="0"/>
        <w:tabs>
          <w:tab w:leader="none" w:pos="500" w:val="left"/>
        </w:tabs>
        <w:numPr>
          <w:ilvl w:val="0"/>
          <w:numId w:val="12"/>
        </w:numPr>
        <w:rPr>
          <w:rFonts w:ascii="Arial" w:cs="Arial" w:eastAsia="Arial" w:hAnsi="Arial"/>
          <w:sz w:val="16"/>
          <w:szCs w:val="16"/>
          <w:color w:val="00548B"/>
        </w:rPr>
      </w:pPr>
      <w:r>
        <w:rPr>
          <w:rFonts w:ascii="Arial" w:cs="Arial" w:eastAsia="Arial" w:hAnsi="Arial"/>
          <w:sz w:val="16"/>
          <w:szCs w:val="16"/>
          <w:color w:val="auto"/>
        </w:rPr>
        <w:t>Mr. Roth, Chief Executive Officer.</w:t>
      </w:r>
    </w:p>
    <w:p>
      <w:pPr>
        <w:spacing w:after="0" w:line="2" w:lineRule="exact"/>
        <w:rPr>
          <w:rFonts w:ascii="Arial" w:cs="Arial" w:eastAsia="Arial" w:hAnsi="Arial"/>
          <w:sz w:val="16"/>
          <w:szCs w:val="16"/>
          <w:color w:val="00548B"/>
        </w:rPr>
      </w:pPr>
    </w:p>
    <w:p>
      <w:pPr>
        <w:ind w:left="500" w:hanging="301"/>
        <w:spacing w:after="0"/>
        <w:tabs>
          <w:tab w:leader="none" w:pos="500" w:val="left"/>
        </w:tabs>
        <w:numPr>
          <w:ilvl w:val="0"/>
          <w:numId w:val="12"/>
        </w:numPr>
        <w:rPr>
          <w:rFonts w:ascii="Arial" w:cs="Arial" w:eastAsia="Arial" w:hAnsi="Arial"/>
          <w:sz w:val="16"/>
          <w:szCs w:val="16"/>
          <w:color w:val="00548B"/>
        </w:rPr>
      </w:pPr>
      <w:r>
        <w:rPr>
          <w:rFonts w:ascii="Arial" w:cs="Arial" w:eastAsia="Arial" w:hAnsi="Arial"/>
          <w:sz w:val="16"/>
          <w:szCs w:val="16"/>
          <w:color w:val="auto"/>
        </w:rPr>
        <w:t>Mr. Hussey, President and Chief Operating Officer.</w:t>
      </w:r>
    </w:p>
    <w:p>
      <w:pPr>
        <w:spacing w:after="0" w:line="2" w:lineRule="exact"/>
        <w:rPr>
          <w:rFonts w:ascii="Arial" w:cs="Arial" w:eastAsia="Arial" w:hAnsi="Arial"/>
          <w:sz w:val="16"/>
          <w:szCs w:val="16"/>
          <w:color w:val="00548B"/>
        </w:rPr>
      </w:pPr>
    </w:p>
    <w:p>
      <w:pPr>
        <w:ind w:left="500" w:hanging="301"/>
        <w:spacing w:after="0"/>
        <w:tabs>
          <w:tab w:leader="none" w:pos="500" w:val="left"/>
        </w:tabs>
        <w:numPr>
          <w:ilvl w:val="0"/>
          <w:numId w:val="12"/>
        </w:numPr>
        <w:rPr>
          <w:rFonts w:ascii="Arial" w:cs="Arial" w:eastAsia="Arial" w:hAnsi="Arial"/>
          <w:sz w:val="16"/>
          <w:szCs w:val="16"/>
          <w:color w:val="00548B"/>
        </w:rPr>
      </w:pPr>
      <w:r>
        <w:rPr>
          <w:rFonts w:ascii="Arial" w:cs="Arial" w:eastAsia="Arial" w:hAnsi="Arial"/>
          <w:sz w:val="16"/>
          <w:szCs w:val="16"/>
          <w:color w:val="auto"/>
        </w:rPr>
        <w:t>Mr. Kelly, Executive Vice President, Chief Financial Officer and Treasurer.</w:t>
      </w:r>
    </w:p>
    <w:p>
      <w:pPr>
        <w:spacing w:after="0" w:line="2" w:lineRule="exact"/>
        <w:rPr>
          <w:rFonts w:ascii="Arial" w:cs="Arial" w:eastAsia="Arial" w:hAnsi="Arial"/>
          <w:sz w:val="16"/>
          <w:szCs w:val="16"/>
          <w:color w:val="00548B"/>
        </w:rPr>
      </w:pPr>
    </w:p>
    <w:p>
      <w:pPr>
        <w:ind w:left="500" w:hanging="301"/>
        <w:spacing w:after="0"/>
        <w:tabs>
          <w:tab w:leader="none" w:pos="500" w:val="left"/>
        </w:tabs>
        <w:numPr>
          <w:ilvl w:val="0"/>
          <w:numId w:val="12"/>
        </w:numPr>
        <w:rPr>
          <w:rFonts w:ascii="Arial" w:cs="Arial" w:eastAsia="Arial" w:hAnsi="Arial"/>
          <w:sz w:val="16"/>
          <w:szCs w:val="16"/>
          <w:color w:val="00548B"/>
        </w:rPr>
      </w:pPr>
      <w:r>
        <w:rPr>
          <w:rFonts w:ascii="Arial" w:cs="Arial" w:eastAsia="Arial" w:hAnsi="Arial"/>
          <w:sz w:val="16"/>
          <w:szCs w:val="16"/>
          <w:color w:val="auto"/>
        </w:rPr>
        <w:t>Mr. Torain, Executive Vice President, General 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84455</wp:posOffset>
            </wp:positionV>
            <wp:extent cx="6889750" cy="1860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89750" cy="186055"/>
                    </a:xfrm>
                    <a:prstGeom prst="rect">
                      <a:avLst/>
                    </a:prstGeom>
                    <a:noFill/>
                  </pic:spPr>
                </pic:pic>
              </a:graphicData>
            </a:graphic>
          </wp:anchor>
        </w:drawing>
      </w:r>
    </w:p>
    <w:p>
      <w:pPr>
        <w:spacing w:after="0" w:line="13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E5E5E5"/>
        </w:rPr>
        <w:t>Business Strategy</w:t>
      </w:r>
    </w:p>
    <w:p>
      <w:pPr>
        <w:spacing w:after="0" w:line="190" w:lineRule="exact"/>
        <w:rPr>
          <w:sz w:val="20"/>
          <w:szCs w:val="20"/>
          <w:color w:val="auto"/>
        </w:rPr>
      </w:pPr>
    </w:p>
    <w:p>
      <w:pPr>
        <w:jc w:val="both"/>
        <w:ind w:left="200"/>
        <w:spacing w:after="0" w:line="268" w:lineRule="auto"/>
        <w:rPr>
          <w:sz w:val="20"/>
          <w:szCs w:val="20"/>
          <w:color w:val="auto"/>
        </w:rPr>
      </w:pPr>
      <w:r>
        <w:rPr>
          <w:rFonts w:ascii="Arial" w:cs="Arial" w:eastAsia="Arial" w:hAnsi="Arial"/>
          <w:sz w:val="15"/>
          <w:szCs w:val="15"/>
          <w:color w:val="auto"/>
        </w:rPr>
        <w:t>Our business strategy is to be the premier transformation partner to our clients. With our deep industry expertise and breadth of capabilities, spanning strategy, operations, digital and people transformation, we partner with clients to develop strategies and implement solutions that enable the transformative change they need to own their future. Working side-by-side with our clients, we are focused on delivering the highest value, highest quality services and products to support their comprehensive needs from strategy development through execution. To achieve our strategy, we are committed to:</w:t>
      </w:r>
    </w:p>
    <w:p>
      <w:pPr>
        <w:spacing w:after="0" w:line="94" w:lineRule="exact"/>
        <w:rPr>
          <w:sz w:val="20"/>
          <w:szCs w:val="20"/>
          <w:color w:val="auto"/>
        </w:rPr>
      </w:pPr>
    </w:p>
    <w:p>
      <w:pPr>
        <w:ind w:left="520" w:hanging="321"/>
        <w:spacing w:after="0" w:line="242" w:lineRule="auto"/>
        <w:tabs>
          <w:tab w:leader="none" w:pos="487" w:val="left"/>
        </w:tabs>
        <w:numPr>
          <w:ilvl w:val="0"/>
          <w:numId w:val="13"/>
        </w:numPr>
        <w:rPr>
          <w:rFonts w:ascii="Arial" w:cs="Arial" w:eastAsia="Arial" w:hAnsi="Arial"/>
          <w:sz w:val="16"/>
          <w:szCs w:val="16"/>
          <w:color w:val="00548B"/>
        </w:rPr>
      </w:pPr>
      <w:r>
        <w:rPr>
          <w:rFonts w:ascii="Arial" w:cs="Arial" w:eastAsia="Arial" w:hAnsi="Arial"/>
          <w:sz w:val="16"/>
          <w:szCs w:val="16"/>
          <w:color w:val="auto"/>
        </w:rPr>
        <w:t>Accelerating growth in our core end markets by deepening our industry expertise in healthcare and education to sustain our leading market reputation and competitive advantage.</w:t>
      </w:r>
    </w:p>
    <w:p>
      <w:pPr>
        <w:spacing w:after="0" w:line="1" w:lineRule="exact"/>
        <w:rPr>
          <w:rFonts w:ascii="Arial" w:cs="Arial" w:eastAsia="Arial" w:hAnsi="Arial"/>
          <w:sz w:val="16"/>
          <w:szCs w:val="16"/>
          <w:color w:val="00548B"/>
        </w:rPr>
      </w:pPr>
    </w:p>
    <w:p>
      <w:pPr>
        <w:ind w:left="500" w:hanging="301"/>
        <w:spacing w:after="0"/>
        <w:tabs>
          <w:tab w:leader="none" w:pos="500" w:val="left"/>
        </w:tabs>
        <w:numPr>
          <w:ilvl w:val="0"/>
          <w:numId w:val="13"/>
        </w:numPr>
        <w:rPr>
          <w:rFonts w:ascii="Arial" w:cs="Arial" w:eastAsia="Arial" w:hAnsi="Arial"/>
          <w:sz w:val="16"/>
          <w:szCs w:val="16"/>
          <w:color w:val="00548B"/>
        </w:rPr>
      </w:pPr>
      <w:r>
        <w:rPr>
          <w:rFonts w:ascii="Arial" w:cs="Arial" w:eastAsia="Arial" w:hAnsi="Arial"/>
          <w:sz w:val="16"/>
          <w:szCs w:val="16"/>
          <w:color w:val="auto"/>
        </w:rPr>
        <w:t>Broadening our offerings and capabilities to continuously improve upon our ability to serve clients as their needs evolve.</w:t>
      </w:r>
    </w:p>
    <w:p>
      <w:pPr>
        <w:spacing w:after="0" w:line="2" w:lineRule="exact"/>
        <w:rPr>
          <w:rFonts w:ascii="Arial" w:cs="Arial" w:eastAsia="Arial" w:hAnsi="Arial"/>
          <w:sz w:val="16"/>
          <w:szCs w:val="16"/>
          <w:color w:val="00548B"/>
        </w:rPr>
      </w:pPr>
    </w:p>
    <w:p>
      <w:pPr>
        <w:ind w:left="520" w:hanging="321"/>
        <w:spacing w:after="0" w:line="242" w:lineRule="auto"/>
        <w:tabs>
          <w:tab w:leader="none" w:pos="487" w:val="left"/>
        </w:tabs>
        <w:numPr>
          <w:ilvl w:val="0"/>
          <w:numId w:val="13"/>
        </w:numPr>
        <w:rPr>
          <w:rFonts w:ascii="Arial" w:cs="Arial" w:eastAsia="Arial" w:hAnsi="Arial"/>
          <w:sz w:val="16"/>
          <w:szCs w:val="16"/>
          <w:color w:val="00548B"/>
        </w:rPr>
      </w:pPr>
      <w:r>
        <w:rPr>
          <w:rFonts w:ascii="Arial" w:cs="Arial" w:eastAsia="Arial" w:hAnsi="Arial"/>
          <w:sz w:val="16"/>
          <w:szCs w:val="16"/>
          <w:color w:val="auto"/>
        </w:rPr>
        <w:t>Advancing our unified digital and analytics platform of technology services and products to accelerate innovation, optimize investment and drive efficiencies to better serve our clients and our shareholders.</w:t>
      </w:r>
    </w:p>
    <w:p>
      <w:pPr>
        <w:spacing w:after="0" w:line="1" w:lineRule="exact"/>
        <w:rPr>
          <w:rFonts w:ascii="Arial" w:cs="Arial" w:eastAsia="Arial" w:hAnsi="Arial"/>
          <w:sz w:val="16"/>
          <w:szCs w:val="16"/>
          <w:color w:val="00548B"/>
        </w:rPr>
      </w:pPr>
    </w:p>
    <w:p>
      <w:pPr>
        <w:ind w:left="520" w:hanging="321"/>
        <w:spacing w:after="0" w:line="242" w:lineRule="auto"/>
        <w:tabs>
          <w:tab w:leader="none" w:pos="496" w:val="left"/>
        </w:tabs>
        <w:numPr>
          <w:ilvl w:val="0"/>
          <w:numId w:val="13"/>
        </w:numPr>
        <w:rPr>
          <w:rFonts w:ascii="Arial" w:cs="Arial" w:eastAsia="Arial" w:hAnsi="Arial"/>
          <w:sz w:val="16"/>
          <w:szCs w:val="16"/>
          <w:color w:val="00548B"/>
        </w:rPr>
      </w:pPr>
      <w:r>
        <w:rPr>
          <w:rFonts w:ascii="Arial" w:cs="Arial" w:eastAsia="Arial" w:hAnsi="Arial"/>
          <w:sz w:val="16"/>
          <w:szCs w:val="16"/>
          <w:color w:val="auto"/>
        </w:rPr>
        <w:t>Expanding our growing commercial business by building upon our expertise and growing credentials in industries facing significant disruption and/or regulatory change, including financial services and energy and utilities.</w:t>
      </w:r>
    </w:p>
    <w:p>
      <w:pPr>
        <w:spacing w:after="0" w:line="1" w:lineRule="exact"/>
        <w:rPr>
          <w:rFonts w:ascii="Arial" w:cs="Arial" w:eastAsia="Arial" w:hAnsi="Arial"/>
          <w:sz w:val="16"/>
          <w:szCs w:val="16"/>
          <w:color w:val="00548B"/>
        </w:rPr>
      </w:pPr>
    </w:p>
    <w:p>
      <w:pPr>
        <w:ind w:left="500" w:hanging="301"/>
        <w:spacing w:after="0"/>
        <w:tabs>
          <w:tab w:leader="none" w:pos="500" w:val="left"/>
        </w:tabs>
        <w:numPr>
          <w:ilvl w:val="0"/>
          <w:numId w:val="13"/>
        </w:numPr>
        <w:rPr>
          <w:rFonts w:ascii="Arial" w:cs="Arial" w:eastAsia="Arial" w:hAnsi="Arial"/>
          <w:sz w:val="16"/>
          <w:szCs w:val="16"/>
          <w:color w:val="00548B"/>
        </w:rPr>
      </w:pPr>
      <w:r>
        <w:rPr>
          <w:rFonts w:ascii="Arial" w:cs="Arial" w:eastAsia="Arial" w:hAnsi="Arial"/>
          <w:sz w:val="16"/>
          <w:szCs w:val="16"/>
          <w:color w:val="auto"/>
        </w:rPr>
        <w:t>Building a more sustainable base of revenue to drive more consistent growth.</w:t>
      </w:r>
    </w:p>
    <w:p>
      <w:pPr>
        <w:spacing w:after="0" w:line="2" w:lineRule="exact"/>
        <w:rPr>
          <w:rFonts w:ascii="Arial" w:cs="Arial" w:eastAsia="Arial" w:hAnsi="Arial"/>
          <w:sz w:val="16"/>
          <w:szCs w:val="16"/>
          <w:color w:val="00548B"/>
        </w:rPr>
      </w:pPr>
    </w:p>
    <w:p>
      <w:pPr>
        <w:ind w:left="520" w:hanging="321"/>
        <w:spacing w:after="0" w:line="242" w:lineRule="auto"/>
        <w:tabs>
          <w:tab w:leader="none" w:pos="496" w:val="left"/>
        </w:tabs>
        <w:numPr>
          <w:ilvl w:val="0"/>
          <w:numId w:val="13"/>
        </w:numPr>
        <w:rPr>
          <w:rFonts w:ascii="Arial" w:cs="Arial" w:eastAsia="Arial" w:hAnsi="Arial"/>
          <w:sz w:val="16"/>
          <w:szCs w:val="16"/>
          <w:color w:val="00548B"/>
        </w:rPr>
      </w:pPr>
      <w:r>
        <w:rPr>
          <w:rFonts w:ascii="Arial" w:cs="Arial" w:eastAsia="Arial" w:hAnsi="Arial"/>
          <w:sz w:val="16"/>
          <w:szCs w:val="16"/>
          <w:color w:val="auto"/>
        </w:rPr>
        <w:t>Furthering our commitment to our people by attracting, retaining and motivating industry and technology experts and high caliber employees with deep subject matter expertise, diverse perspectives and a broad range of experiences to achieve their full potential.</w:t>
      </w:r>
    </w:p>
    <w:p>
      <w:pPr>
        <w:spacing w:after="0" w:line="1" w:lineRule="exact"/>
        <w:rPr>
          <w:rFonts w:ascii="Arial" w:cs="Arial" w:eastAsia="Arial" w:hAnsi="Arial"/>
          <w:sz w:val="16"/>
          <w:szCs w:val="16"/>
          <w:color w:val="00548B"/>
        </w:rPr>
      </w:pPr>
    </w:p>
    <w:p>
      <w:pPr>
        <w:ind w:left="500" w:hanging="301"/>
        <w:spacing w:after="0"/>
        <w:tabs>
          <w:tab w:leader="none" w:pos="500" w:val="left"/>
        </w:tabs>
        <w:numPr>
          <w:ilvl w:val="0"/>
          <w:numId w:val="13"/>
        </w:numPr>
        <w:rPr>
          <w:rFonts w:ascii="Arial" w:cs="Arial" w:eastAsia="Arial" w:hAnsi="Arial"/>
          <w:sz w:val="16"/>
          <w:szCs w:val="16"/>
          <w:color w:val="00548B"/>
        </w:rPr>
      </w:pPr>
      <w:r>
        <w:rPr>
          <w:rFonts w:ascii="Arial" w:cs="Arial" w:eastAsia="Arial" w:hAnsi="Arial"/>
          <w:sz w:val="16"/>
          <w:szCs w:val="16"/>
          <w:color w:val="auto"/>
        </w:rPr>
        <w:t>Deploying capital strategically to accelerate progress in the areas outlined above.</w:t>
      </w:r>
    </w:p>
    <w:p>
      <w:pPr>
        <w:spacing w:after="0" w:line="26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25</w:t>
      </w:r>
    </w:p>
    <w:p>
      <w:pPr>
        <w:sectPr>
          <w:pgSz w:w="11900" w:h="16838" w:orient="portrait"/>
          <w:cols w:equalWidth="0" w:num="1">
            <w:col w:w="11040"/>
          </w:cols>
          <w:pgMar w:left="320" w:top="454" w:right="5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200660</wp:posOffset>
            </wp:positionV>
            <wp:extent cx="6889750" cy="1860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89750" cy="186055"/>
                    </a:xfrm>
                    <a:prstGeom prst="rect">
                      <a:avLst/>
                    </a:prstGeom>
                    <a:noFill/>
                  </pic:spPr>
                </pic:pic>
              </a:graphicData>
            </a:graphic>
          </wp:anchor>
        </w:drawing>
      </w:r>
    </w:p>
    <w:p>
      <w:pPr>
        <w:spacing w:after="0" w:line="31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E5E5E5"/>
        </w:rPr>
        <w:t>Fiscal 2021 Performance</w:t>
      </w:r>
    </w:p>
    <w:p>
      <w:pPr>
        <w:spacing w:after="0" w:line="190"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color w:val="auto"/>
        </w:rPr>
        <w:t>Our compensation program rewards our named executive officers for their overall contribution to Huron’s performance, including execution against our financial plan and strategic objectives.</w:t>
      </w:r>
    </w:p>
    <w:p>
      <w:pPr>
        <w:spacing w:after="0" w:line="83"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2021 Financial Performance</w:t>
      </w:r>
      <w:r>
        <w:rPr>
          <w:rFonts w:ascii="Arial" w:cs="Arial" w:eastAsia="Arial" w:hAnsi="Arial"/>
          <w:sz w:val="27"/>
          <w:szCs w:val="27"/>
          <w:b w:val="1"/>
          <w:bCs w:val="1"/>
          <w:i w:val="1"/>
          <w:iCs w:val="1"/>
          <w:color w:val="auto"/>
          <w:vertAlign w:val="superscript"/>
        </w:rPr>
        <w:t>1</w:t>
      </w:r>
    </w:p>
    <w:p>
      <w:pPr>
        <w:spacing w:after="0" w:line="16" w:lineRule="exact"/>
        <w:rPr>
          <w:sz w:val="20"/>
          <w:szCs w:val="20"/>
          <w:color w:val="auto"/>
        </w:rPr>
      </w:pPr>
    </w:p>
    <w:p>
      <w:pPr>
        <w:jc w:val="both"/>
        <w:ind w:left="200"/>
        <w:spacing w:after="0" w:line="244" w:lineRule="auto"/>
        <w:rPr>
          <w:sz w:val="20"/>
          <w:szCs w:val="20"/>
          <w:color w:val="auto"/>
        </w:rPr>
      </w:pPr>
      <w:r>
        <w:rPr>
          <w:rFonts w:ascii="Arial" w:cs="Arial" w:eastAsia="Arial" w:hAnsi="Arial"/>
          <w:sz w:val="16"/>
          <w:szCs w:val="16"/>
          <w:color w:val="auto"/>
        </w:rPr>
        <w:t>In 2021, we returned Huron to growth, achieving record companywide revenues while improving margins year-over-year. We reached revenues of $905.6 million, representing 7.3% growth over 2020. Our strong revenue growth was driven across all three operating segments and achievable in large part due to our decision at the onset of the COVID-19 pandemic to minimize reductions in our workforce, which in turn has also benefited us in a highly competitive labor market. In addition, we remain focused on margin expansion. Adjusted EBITDA margins increased 50 basis points to 10.8% in 2021 compared to 10.3% in 2020. Adjusted diluted earnings per share increased 21.4% to $2.61 in 2021 compared to $2.15 in 2020. These improvements were made while we further invested in our business, our people and our strategy, which we believe will drive continued margin expansion for our business.</w:t>
      </w:r>
    </w:p>
    <w:p>
      <w:pPr>
        <w:spacing w:after="0" w:line="113" w:lineRule="exact"/>
        <w:rPr>
          <w:sz w:val="20"/>
          <w:szCs w:val="20"/>
          <w:color w:val="auto"/>
        </w:rPr>
      </w:pPr>
    </w:p>
    <w:p>
      <w:pPr>
        <w:jc w:val="both"/>
        <w:ind w:left="200"/>
        <w:spacing w:after="0" w:line="246" w:lineRule="auto"/>
        <w:rPr>
          <w:sz w:val="20"/>
          <w:szCs w:val="20"/>
          <w:color w:val="auto"/>
        </w:rPr>
      </w:pPr>
      <w:r>
        <w:rPr>
          <w:rFonts w:ascii="Arial" w:cs="Arial" w:eastAsia="Arial" w:hAnsi="Arial"/>
          <w:sz w:val="16"/>
          <w:szCs w:val="16"/>
          <w:color w:val="auto"/>
        </w:rPr>
        <w:t>In addition to record revenues and improved profitability, we evaluated our portfolio and made the strategic decision to sell our Life Sciences business, using the net proceeds from the transaction to further enable our balanced capital allocation strategy. Together with the proceeds from the sale of our Life Sciences business and our free cash flow, in 2021, we effectively managed our borrowings under our senior secured credit facility, returned $64.6 million to shareholders through share repurchases and executed three strategic, tuck-in acquisitions to fuel growth across all three operating segments.</w:t>
      </w:r>
    </w:p>
    <w:p>
      <w:pPr>
        <w:spacing w:after="0" w:line="92"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2021 Environmental, Social and Governance (ESG) Performance</w:t>
      </w:r>
    </w:p>
    <w:p>
      <w:pPr>
        <w:spacing w:after="0" w:line="140" w:lineRule="exact"/>
        <w:rPr>
          <w:sz w:val="20"/>
          <w:szCs w:val="20"/>
          <w:color w:val="auto"/>
        </w:rPr>
      </w:pPr>
    </w:p>
    <w:p>
      <w:pPr>
        <w:jc w:val="both"/>
        <w:ind w:left="200"/>
        <w:spacing w:after="0" w:line="241" w:lineRule="auto"/>
        <w:rPr>
          <w:sz w:val="20"/>
          <w:szCs w:val="20"/>
          <w:color w:val="auto"/>
        </w:rPr>
      </w:pPr>
      <w:r>
        <w:rPr>
          <w:rFonts w:ascii="Arial" w:cs="Arial" w:eastAsia="Arial" w:hAnsi="Arial"/>
          <w:sz w:val="16"/>
          <w:szCs w:val="16"/>
          <w:color w:val="auto"/>
        </w:rPr>
        <w:t>In 2021, we continued to focus on the engagement and well-being of our people through the execution of our diversity and inclusion action plan which centers around five pillars: fostering an inclusive culture, advancing diverse representation across all levels, expanding our community outreach and support, performing pay equity reviews, and strengthening our vendor processes. By executing on this action plan, we have seen growth in our diverse representation. As of the end of 2021, women made up approximately 54% of our U.S. population, which was an increase from 49% at the same time last year. Racial and ethnic minorities made up 28% of our U.S. population, an increase from 24% at the end of 2020. At the senior leadership level, we have seen an increase in racial and ethnic minority representation, from 8% in 2020 to 10% in 2021. From a gender diversity perspective, 17 of the 25 promotions to the senior leadership level made at the end of 2021, effective January 1, 2022, were women, representing 68% of all senior leadership promotions. Additionally, our commitment to fostering a diverse and inclusive culture at Huron was further solidified by Mr. Roth signing the CEO Action for Diversity &amp; Inclusion</w:t>
      </w:r>
      <w:r>
        <w:rPr>
          <w:rFonts w:ascii="Arial" w:cs="Arial" w:eastAsia="Arial" w:hAnsi="Arial"/>
          <w:sz w:val="27"/>
          <w:szCs w:val="27"/>
          <w:color w:val="auto"/>
          <w:vertAlign w:val="superscript"/>
        </w:rPr>
        <w:t>TM</w:t>
      </w:r>
      <w:r>
        <w:rPr>
          <w:rFonts w:ascii="Arial" w:cs="Arial" w:eastAsia="Arial" w:hAnsi="Arial"/>
          <w:sz w:val="16"/>
          <w:szCs w:val="16"/>
          <w:color w:val="auto"/>
        </w:rPr>
        <w:t xml:space="preserve"> coalition in 2021.</w:t>
      </w:r>
    </w:p>
    <w:p>
      <w:pPr>
        <w:spacing w:after="0" w:line="5" w:lineRule="exact"/>
        <w:rPr>
          <w:sz w:val="20"/>
          <w:szCs w:val="20"/>
          <w:color w:val="auto"/>
        </w:rPr>
      </w:pPr>
    </w:p>
    <w:p>
      <w:pPr>
        <w:jc w:val="both"/>
        <w:ind w:left="200"/>
        <w:spacing w:after="0" w:line="244" w:lineRule="auto"/>
        <w:rPr>
          <w:sz w:val="20"/>
          <w:szCs w:val="20"/>
          <w:color w:val="auto"/>
        </w:rPr>
      </w:pPr>
      <w:r>
        <w:rPr>
          <w:rFonts w:ascii="Arial" w:cs="Arial" w:eastAsia="Arial" w:hAnsi="Arial"/>
          <w:sz w:val="16"/>
          <w:szCs w:val="16"/>
          <w:color w:val="auto"/>
        </w:rPr>
        <w:t>Additionally, we continue to take action to support our clients, our communities, our people and the environment, which align with our focus on five of the United Nation’s Sustainable Development Goals (SDGs): promoting good health and well-being, quality education, gender equality, decent work and economic growth and climate action. We have and will continue to support these goals through our client work, Huron Helping Hands program, employee resource groups, sustainability efforts and corporate partnerships. A summary of our actions can be found in our annual Environmental, Social and Governance (ESG) report. Included in our ESG report is our Sustainability Accounting Standards Board (SASB) index and employment data from our most recent Equal Employment Opportunity (EEO-1) Statement. In line with the SASB’s Professional &amp; Commercial Services standards, our SASB index provides further quantitative and qualitative information regarding our data security programs, practices and policies, workforce diversity and engagement metrics, and our approach to promoting professional integrity and ethical behavior among our workforce.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86995</wp:posOffset>
            </wp:positionV>
            <wp:extent cx="10979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097915" cy="8255"/>
                    </a:xfrm>
                    <a:prstGeom prst="rect">
                      <a:avLst/>
                    </a:prstGeom>
                    <a:noFill/>
                  </pic:spPr>
                </pic:pic>
              </a:graphicData>
            </a:graphic>
          </wp:anchor>
        </w:drawing>
      </w:r>
    </w:p>
    <w:p>
      <w:pPr>
        <w:spacing w:after="0" w:line="160" w:lineRule="exact"/>
        <w:rPr>
          <w:sz w:val="20"/>
          <w:szCs w:val="20"/>
          <w:color w:val="auto"/>
        </w:rPr>
      </w:pPr>
    </w:p>
    <w:p>
      <w:pPr>
        <w:jc w:val="both"/>
        <w:ind w:left="300" w:hanging="101"/>
        <w:spacing w:after="0" w:line="288" w:lineRule="auto"/>
        <w:tabs>
          <w:tab w:leader="none" w:pos="300" w:val="left"/>
        </w:tabs>
        <w:numPr>
          <w:ilvl w:val="0"/>
          <w:numId w:val="14"/>
        </w:numPr>
        <w:rPr>
          <w:rFonts w:ascii="Arial" w:cs="Arial" w:eastAsia="Arial" w:hAnsi="Arial"/>
          <w:sz w:val="9"/>
          <w:szCs w:val="9"/>
          <w:i w:val="1"/>
          <w:iCs w:val="1"/>
          <w:color w:val="auto"/>
        </w:rPr>
      </w:pPr>
      <w:r>
        <w:rPr>
          <w:rFonts w:ascii="Arial" w:cs="Arial" w:eastAsia="Arial" w:hAnsi="Arial"/>
          <w:sz w:val="10"/>
          <w:szCs w:val="10"/>
          <w:i w:val="1"/>
          <w:iCs w:val="1"/>
          <w:color w:val="auto"/>
        </w:rPr>
        <w:t>In the discussion of the Company’s 2021 performance, the Compensation Committee discusses certain of Huron’s results of operations using non-GAAP financial measures, which are discussed in the Company’s Annual Report on Form 10-K for the year ended December 31, 2021 (the “2021 Annual Report on Form 10-K”), Item 7, Management’s Discussion and Analysis of Financial Condition and Results of Operations under the subheading “Non-GAAP Measures.” These non-GAAP financial measures include adjusted EBITDA, adjusted EBITDA margin, adjusted net income from continuing operations, and adjusted diluted earnings per share (“EPS”) from continuing operations. EBITDA is defined as net income (loss) from continuing operations before interest, income tax expense and depreciation and amortization. Adjusted EBITDA represents EBITDA as adjusted by adding back restructuring and other charges, litigation and other gains and losses, transaction-related expenses, goodwill impairment charges, gains and losses from sales of businesses and other non-operating income and expenses, and foreign currency transaction gains and losses. Adjusted EBITDA margin is adjusted EBITDA expressed as a percentage of revenues before reimbursable expenses. Adjusted diluted EPS from continuing operations is defined as diluted earnings (loss) per share from continuing operations adjusted by adding back the same items as adjusted EBITDA, excluding foreign currency transaction gains and losses and including amortization of intangible assets, all on a tax effected basis.</w:t>
      </w:r>
    </w:p>
    <w:p>
      <w:pPr>
        <w:spacing w:after="0" w:line="25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26</w:t>
      </w:r>
    </w:p>
    <w:p>
      <w:pPr>
        <w:sectPr>
          <w:pgSz w:w="11900" w:h="16838" w:orient="portrait"/>
          <w:cols w:equalWidth="0" w:num="1">
            <w:col w:w="11040"/>
          </w:cols>
          <w:pgMar w:left="320" w:top="454" w:right="5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200"/>
        <w:spacing w:after="0" w:line="248" w:lineRule="auto"/>
        <w:rPr>
          <w:sz w:val="20"/>
          <w:szCs w:val="20"/>
          <w:color w:val="auto"/>
        </w:rPr>
      </w:pPr>
      <w:r>
        <w:rPr>
          <w:rFonts w:ascii="Arial" w:cs="Arial" w:eastAsia="Arial" w:hAnsi="Arial"/>
          <w:sz w:val="16"/>
          <w:szCs w:val="16"/>
          <w:color w:val="auto"/>
        </w:rPr>
        <w:t>To further our commitment to climate action, in 2021, we began gathering our greenhouse gas emissions data and engaged a third party consultancy focused on ESG matters, to estimate our environmental impact. By measuring our GHG emissions on an annual basis, we are better able to prioritize opportunities to lessen that impact and incorporate sustainable practices into our operations.</w:t>
      </w:r>
    </w:p>
    <w:p>
      <w:pPr>
        <w:spacing w:after="0" w:line="174" w:lineRule="exact"/>
        <w:rPr>
          <w:sz w:val="20"/>
          <w:szCs w:val="20"/>
          <w:color w:val="auto"/>
        </w:rPr>
      </w:pPr>
    </w:p>
    <w:p>
      <w:pPr>
        <w:jc w:val="both"/>
        <w:ind w:left="200"/>
        <w:spacing w:after="0" w:line="248" w:lineRule="auto"/>
        <w:rPr>
          <w:sz w:val="20"/>
          <w:szCs w:val="20"/>
          <w:color w:val="auto"/>
        </w:rPr>
      </w:pPr>
      <w:r>
        <w:rPr>
          <w:rFonts w:ascii="Arial" w:cs="Arial" w:eastAsia="Arial" w:hAnsi="Arial"/>
          <w:sz w:val="16"/>
          <w:szCs w:val="16"/>
          <w:color w:val="auto"/>
        </w:rPr>
        <w:t>For additional information on our commitment to a more sustainable future, refer to our annual Environmental, Social and Governance report which is available on our investor relations website located at https://ir.huronconsultinggroup.com. Please note that information contained on our website is not incorporated by reference in this Proxy Statement or considered to be part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126365</wp:posOffset>
            </wp:positionV>
            <wp:extent cx="6889750" cy="1860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89750" cy="186055"/>
                    </a:xfrm>
                    <a:prstGeom prst="rect">
                      <a:avLst/>
                    </a:prstGeom>
                    <a:noFill/>
                  </pic:spPr>
                </pic:pic>
              </a:graphicData>
            </a:graphic>
          </wp:anchor>
        </w:drawing>
      </w:r>
    </w:p>
    <w:p>
      <w:pPr>
        <w:spacing w:after="0" w:line="2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E5E5E5"/>
        </w:rPr>
        <w:t>Impact of 2021 Results on NEO Compensation</w:t>
      </w:r>
    </w:p>
    <w:p>
      <w:pPr>
        <w:spacing w:after="0" w:line="168" w:lineRule="exact"/>
        <w:rPr>
          <w:sz w:val="20"/>
          <w:szCs w:val="20"/>
          <w:color w:val="auto"/>
        </w:rPr>
      </w:pPr>
    </w:p>
    <w:p>
      <w:pPr>
        <w:jc w:val="both"/>
        <w:ind w:left="200"/>
        <w:spacing w:after="0" w:line="244" w:lineRule="auto"/>
        <w:rPr>
          <w:sz w:val="20"/>
          <w:szCs w:val="20"/>
          <w:color w:val="auto"/>
        </w:rPr>
      </w:pPr>
      <w:r>
        <w:rPr>
          <w:rFonts w:ascii="Arial" w:cs="Arial" w:eastAsia="Arial" w:hAnsi="Arial"/>
          <w:sz w:val="16"/>
          <w:szCs w:val="16"/>
          <w:color w:val="auto"/>
        </w:rPr>
        <w:t>Our compensation philosophy and incentive plan design strive to incentivize management by aligning their interests with those of our shareholders. In early 2021, the Compensation Committee took a holistic view of the impact of the COVID-19 pandemic on our business as well as NEO compensation and approved the 2021 NEO compensation program with limited changes, as described in more detail below, and with rigorous financial and operating goals for the incentive programs. The Compensation Committee assessed overall Company performance, individual contributions, and the preservation of shareholder value when determining actual payout results for 2021. The 2021 program design aligned NEO interests with those of the shareholders by maintaining a significant portion of NEO compensation as performance-based and at-risk. The chart below illustrates the 2021 target mix of pay for the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1405890</wp:posOffset>
            </wp:positionH>
            <wp:positionV relativeFrom="paragraph">
              <wp:posOffset>138430</wp:posOffset>
            </wp:positionV>
            <wp:extent cx="4331335" cy="26511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331335" cy="2651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740" w:hanging="541"/>
        <w:spacing w:after="0" w:line="253" w:lineRule="auto"/>
        <w:tabs>
          <w:tab w:leader="none" w:pos="7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chart above reflects the target pay mix under the 2021 annual and long-term incentive programs and excludes the one-time cash retention awards approved in 2021.</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Realizable Pay</w:t>
      </w:r>
    </w:p>
    <w:p>
      <w:pPr>
        <w:spacing w:after="0" w:line="127" w:lineRule="exact"/>
        <w:rPr>
          <w:sz w:val="20"/>
          <w:szCs w:val="20"/>
          <w:color w:val="auto"/>
        </w:rPr>
      </w:pPr>
    </w:p>
    <w:p>
      <w:pPr>
        <w:jc w:val="both"/>
        <w:ind w:left="200"/>
        <w:spacing w:after="0" w:line="246" w:lineRule="auto"/>
        <w:rPr>
          <w:sz w:val="20"/>
          <w:szCs w:val="20"/>
          <w:color w:val="auto"/>
        </w:rPr>
      </w:pPr>
      <w:r>
        <w:rPr>
          <w:rFonts w:ascii="Arial" w:cs="Arial" w:eastAsia="Arial" w:hAnsi="Arial"/>
          <w:sz w:val="16"/>
          <w:szCs w:val="16"/>
          <w:color w:val="auto"/>
        </w:rPr>
        <w:t>Our executive compensation program is directly aligned with shareholder value. This alignment is clearly evident when comparing the target pay to the realizable pay of our NEOs. The graph below illustrates the target compensation opportunity provided to Mr. Roth from 2017-2021, the compensation he has earned, and the equity compensation he still has the potential to earn from awards earned from 2017-2021. The realizable compensation values are compared with our total shareholder return (TSR) performance over the same period.</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27</w:t>
      </w:r>
    </w:p>
    <w:p>
      <w:pPr>
        <w:sectPr>
          <w:pgSz w:w="11900" w:h="16838" w:orient="portrait"/>
          <w:cols w:equalWidth="0" w:num="1">
            <w:col w:w="11040"/>
          </w:cols>
          <w:pgMar w:left="320" w:top="454" w:right="5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200"/>
        <w:spacing w:after="0" w:line="244" w:lineRule="auto"/>
        <w:rPr>
          <w:sz w:val="20"/>
          <w:szCs w:val="20"/>
          <w:color w:val="auto"/>
        </w:rPr>
      </w:pPr>
      <w:r>
        <w:rPr>
          <w:rFonts w:ascii="Arial" w:cs="Arial" w:eastAsia="Arial" w:hAnsi="Arial"/>
          <w:sz w:val="16"/>
          <w:szCs w:val="16"/>
          <w:color w:val="auto"/>
        </w:rPr>
        <w:t>Realizable pay includes salary, actual annual incentive earned, and equity incentives earned or remaining eligible to be earned, valued at the December 31, 2021 share price. The LTI grants in 2018, 2019 and 2020 are only eligible to be earned if the Company achieves rigorous predetermined Adjusted Diluted EPS and Revenue Growth goals over a cumulative three-year performance period. The 2021 LTI award retained a three-year cumulative performance cycle but will set annual goals for both Adjusted Diluted EPS and Revenue Growth at the beginning of each year in the performance cycle. The final payout of the 2021 LTI award will be determined at the end of the full three-year period and incorporate our performance against a predetermined cumulative three-year Revenue Growth goal. 2020 and 2021 at-risk LTI is eligible to be earned after the completion of the 2020-2022 and 2021-2023 performance cycles, respectively, based on actual results. The value of all LTI awards will depend on the portion, if any, earned and the share price at that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129540</wp:posOffset>
            </wp:positionV>
            <wp:extent cx="5116195" cy="1671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16195" cy="1671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740" w:hanging="541"/>
        <w:spacing w:after="0" w:line="253" w:lineRule="auto"/>
        <w:tabs>
          <w:tab w:leader="none" w:pos="7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Target Pay reflects the sum of the target compensation levels, including base salary and target annual and long-term incentives. The target pay for 2021 excludes the one-time cash retention awards approved in 2021.</w:t>
      </w:r>
    </w:p>
    <w:p>
      <w:pPr>
        <w:spacing w:after="0" w:line="104" w:lineRule="exact"/>
        <w:rPr>
          <w:rFonts w:ascii="Arial" w:cs="Arial" w:eastAsia="Arial" w:hAnsi="Arial"/>
          <w:sz w:val="16"/>
          <w:szCs w:val="16"/>
          <w:color w:val="auto"/>
        </w:rPr>
      </w:pPr>
    </w:p>
    <w:p>
      <w:pPr>
        <w:ind w:left="740" w:hanging="541"/>
        <w:spacing w:after="0" w:line="253" w:lineRule="auto"/>
        <w:tabs>
          <w:tab w:leader="none" w:pos="7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Realizable Pay reflects the sum of actual base salary paid, actual annual incentive paid, and the fair value of LTI awards. All equity is valued at the $49.90 share price as of 12/31/21. Specifically for the PSUs:</w:t>
      </w:r>
    </w:p>
    <w:p>
      <w:pPr>
        <w:spacing w:after="0" w:line="104" w:lineRule="exact"/>
        <w:rPr>
          <w:rFonts w:ascii="Arial" w:cs="Arial" w:eastAsia="Arial" w:hAnsi="Arial"/>
          <w:sz w:val="16"/>
          <w:szCs w:val="16"/>
          <w:color w:val="auto"/>
        </w:rPr>
      </w:pPr>
    </w:p>
    <w:p>
      <w:pPr>
        <w:ind w:left="1260" w:hanging="529"/>
        <w:spacing w:after="0"/>
        <w:tabs>
          <w:tab w:leader="none" w:pos="12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The performance-based awards granted in 2017 were unearned and forfeited.</w:t>
      </w:r>
    </w:p>
    <w:p>
      <w:pPr>
        <w:spacing w:after="0" w:line="121" w:lineRule="exact"/>
        <w:rPr>
          <w:rFonts w:ascii="Arial" w:cs="Arial" w:eastAsia="Arial" w:hAnsi="Arial"/>
          <w:sz w:val="16"/>
          <w:szCs w:val="16"/>
          <w:color w:val="auto"/>
        </w:rPr>
      </w:pPr>
    </w:p>
    <w:p>
      <w:pPr>
        <w:ind w:left="1260" w:hanging="529"/>
        <w:spacing w:after="0"/>
        <w:tabs>
          <w:tab w:leader="none" w:pos="12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The 2018-2020 performance-based awards were earned at 102% of target.</w:t>
      </w:r>
    </w:p>
    <w:p>
      <w:pPr>
        <w:spacing w:after="0" w:line="121" w:lineRule="exact"/>
        <w:rPr>
          <w:rFonts w:ascii="Arial" w:cs="Arial" w:eastAsia="Arial" w:hAnsi="Arial"/>
          <w:sz w:val="16"/>
          <w:szCs w:val="16"/>
          <w:color w:val="auto"/>
        </w:rPr>
      </w:pPr>
    </w:p>
    <w:p>
      <w:pPr>
        <w:ind w:left="1260" w:hanging="529"/>
        <w:spacing w:after="0"/>
        <w:tabs>
          <w:tab w:leader="none" w:pos="12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The 2019-2021 performance-based awards were earned at 73% of target.</w:t>
      </w:r>
    </w:p>
    <w:p>
      <w:pPr>
        <w:spacing w:after="0" w:line="121" w:lineRule="exact"/>
        <w:rPr>
          <w:rFonts w:ascii="Arial" w:cs="Arial" w:eastAsia="Arial" w:hAnsi="Arial"/>
          <w:sz w:val="16"/>
          <w:szCs w:val="16"/>
          <w:color w:val="auto"/>
        </w:rPr>
      </w:pPr>
    </w:p>
    <w:p>
      <w:pPr>
        <w:jc w:val="both"/>
        <w:ind w:left="1260" w:hanging="529"/>
        <w:spacing w:after="0" w:line="248" w:lineRule="auto"/>
        <w:tabs>
          <w:tab w:leader="none" w:pos="12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The 2020-2022 performance-based awards are assumed at 0%, which is the level of performance at which these awards were tracking as of 12/31/21. In order for these awards to be earned, the Company must achieve significant growth in Adjusted Diluted EPS and Revenue that the Compensation Committee approved prior to the onset of the COVID-19 pandemic.</w:t>
      </w:r>
    </w:p>
    <w:p>
      <w:pPr>
        <w:spacing w:after="0" w:line="107" w:lineRule="exact"/>
        <w:rPr>
          <w:rFonts w:ascii="Arial" w:cs="Arial" w:eastAsia="Arial" w:hAnsi="Arial"/>
          <w:sz w:val="16"/>
          <w:szCs w:val="16"/>
          <w:color w:val="auto"/>
        </w:rPr>
      </w:pPr>
    </w:p>
    <w:p>
      <w:pPr>
        <w:ind w:left="1260" w:hanging="529"/>
        <w:spacing w:after="0" w:line="253" w:lineRule="auto"/>
        <w:tabs>
          <w:tab w:leader="none" w:pos="12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The 2021-2023 performance-based awards are shown at target, as the full three-year performance cycle has not yet been completed and the final payout will be determined at the end of the full three-year period.</w:t>
      </w:r>
    </w:p>
    <w:p>
      <w:pPr>
        <w:spacing w:after="0" w:line="104" w:lineRule="exact"/>
        <w:rPr>
          <w:rFonts w:ascii="Arial" w:cs="Arial" w:eastAsia="Arial" w:hAnsi="Arial"/>
          <w:sz w:val="16"/>
          <w:szCs w:val="16"/>
          <w:color w:val="auto"/>
        </w:rPr>
      </w:pPr>
    </w:p>
    <w:p>
      <w:pPr>
        <w:ind w:left="1260" w:hanging="529"/>
        <w:spacing w:after="0"/>
        <w:tabs>
          <w:tab w:leader="none" w:pos="12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Because they are not an ongoing element of pay, the cash retention awards granted to the NEOs are excluded from this illustration.</w:t>
      </w:r>
    </w:p>
    <w:p>
      <w:pPr>
        <w:spacing w:after="0" w:line="14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28</w:t>
      </w:r>
    </w:p>
    <w:p>
      <w:pPr>
        <w:sectPr>
          <w:pgSz w:w="11900" w:h="16838" w:orient="portrait"/>
          <w:cols w:equalWidth="0" w:num="1">
            <w:col w:w="11040"/>
          </w:cols>
          <w:pgMar w:left="320" w:top="454" w:right="5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200660</wp:posOffset>
            </wp:positionV>
            <wp:extent cx="6889750" cy="2197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89750" cy="219710"/>
                    </a:xfrm>
                    <a:prstGeom prst="rect">
                      <a:avLst/>
                    </a:prstGeom>
                    <a:noFill/>
                  </pic:spPr>
                </pic:pic>
              </a:graphicData>
            </a:graphic>
          </wp:anchor>
        </w:drawing>
      </w:r>
    </w:p>
    <w:p>
      <w:pPr>
        <w:spacing w:after="0" w:line="36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D8D8D8"/>
        </w:rPr>
        <w:t>SECTION 2 - COMPENSATION PROGRAM OVERVIEW</w:t>
      </w:r>
    </w:p>
    <w:p>
      <w:pPr>
        <w:spacing w:after="0" w:line="256" w:lineRule="exact"/>
        <w:rPr>
          <w:sz w:val="20"/>
          <w:szCs w:val="20"/>
          <w:color w:val="auto"/>
        </w:rPr>
      </w:pPr>
    </w:p>
    <w:p>
      <w:pPr>
        <w:ind w:left="200"/>
        <w:spacing w:after="0" w:line="253" w:lineRule="auto"/>
        <w:rPr>
          <w:sz w:val="20"/>
          <w:szCs w:val="20"/>
          <w:color w:val="auto"/>
        </w:rPr>
      </w:pPr>
      <w:r>
        <w:rPr>
          <w:rFonts w:ascii="Arial" w:cs="Arial" w:eastAsia="Arial" w:hAnsi="Arial"/>
          <w:sz w:val="16"/>
          <w:szCs w:val="16"/>
          <w:color w:val="auto"/>
        </w:rPr>
        <w:t>Huron’s executive compensation program is structured to align executive pay with Company performance. We strive to provide compensation to motivate and reward performance that is in the long-term best interests of our shareholders. We define performance as a blend of:</w:t>
      </w:r>
    </w:p>
    <w:p>
      <w:pPr>
        <w:spacing w:after="0" w:line="197" w:lineRule="exact"/>
        <w:rPr>
          <w:sz w:val="20"/>
          <w:szCs w:val="20"/>
          <w:color w:val="auto"/>
        </w:rPr>
      </w:pPr>
    </w:p>
    <w:p>
      <w:pPr>
        <w:ind w:left="1160" w:hanging="429"/>
        <w:spacing w:after="0"/>
        <w:tabs>
          <w:tab w:leader="none" w:pos="1160" w:val="left"/>
        </w:tabs>
        <w:numPr>
          <w:ilvl w:val="0"/>
          <w:numId w:val="17"/>
        </w:numPr>
        <w:rPr>
          <w:rFonts w:ascii="Arial" w:cs="Arial" w:eastAsia="Arial" w:hAnsi="Arial"/>
          <w:sz w:val="16"/>
          <w:szCs w:val="16"/>
          <w:color w:val="00548B"/>
        </w:rPr>
      </w:pPr>
      <w:r>
        <w:rPr>
          <w:rFonts w:ascii="Arial" w:cs="Arial" w:eastAsia="Arial" w:hAnsi="Arial"/>
          <w:sz w:val="16"/>
          <w:szCs w:val="16"/>
          <w:color w:val="auto"/>
        </w:rPr>
        <w:t>Delivering value to shareholders;</w:t>
      </w:r>
    </w:p>
    <w:p>
      <w:pPr>
        <w:spacing w:after="0" w:line="2" w:lineRule="exact"/>
        <w:rPr>
          <w:rFonts w:ascii="Arial" w:cs="Arial" w:eastAsia="Arial" w:hAnsi="Arial"/>
          <w:sz w:val="16"/>
          <w:szCs w:val="16"/>
          <w:color w:val="00548B"/>
        </w:rPr>
      </w:pPr>
    </w:p>
    <w:p>
      <w:pPr>
        <w:ind w:left="1160" w:hanging="429"/>
        <w:spacing w:after="0"/>
        <w:tabs>
          <w:tab w:leader="none" w:pos="1160" w:val="left"/>
        </w:tabs>
        <w:numPr>
          <w:ilvl w:val="0"/>
          <w:numId w:val="17"/>
        </w:numPr>
        <w:rPr>
          <w:rFonts w:ascii="Arial" w:cs="Arial" w:eastAsia="Arial" w:hAnsi="Arial"/>
          <w:sz w:val="16"/>
          <w:szCs w:val="16"/>
          <w:color w:val="00548B"/>
        </w:rPr>
      </w:pPr>
      <w:r>
        <w:rPr>
          <w:rFonts w:ascii="Arial" w:cs="Arial" w:eastAsia="Arial" w:hAnsi="Arial"/>
          <w:sz w:val="16"/>
          <w:szCs w:val="16"/>
          <w:color w:val="auto"/>
        </w:rPr>
        <w:t>Achieving financial performance in comparison to pre-established financial goals; and</w:t>
      </w:r>
    </w:p>
    <w:p>
      <w:pPr>
        <w:spacing w:after="0" w:line="2" w:lineRule="exact"/>
        <w:rPr>
          <w:rFonts w:ascii="Arial" w:cs="Arial" w:eastAsia="Arial" w:hAnsi="Arial"/>
          <w:sz w:val="16"/>
          <w:szCs w:val="16"/>
          <w:color w:val="00548B"/>
        </w:rPr>
      </w:pPr>
    </w:p>
    <w:p>
      <w:pPr>
        <w:ind w:left="1160" w:hanging="429"/>
        <w:spacing w:after="0"/>
        <w:tabs>
          <w:tab w:leader="none" w:pos="1160" w:val="left"/>
        </w:tabs>
        <w:numPr>
          <w:ilvl w:val="0"/>
          <w:numId w:val="17"/>
        </w:numPr>
        <w:rPr>
          <w:rFonts w:ascii="Arial" w:cs="Arial" w:eastAsia="Arial" w:hAnsi="Arial"/>
          <w:sz w:val="16"/>
          <w:szCs w:val="16"/>
          <w:color w:val="00548B"/>
        </w:rPr>
      </w:pPr>
      <w:r>
        <w:rPr>
          <w:rFonts w:ascii="Arial" w:cs="Arial" w:eastAsia="Arial" w:hAnsi="Arial"/>
          <w:sz w:val="16"/>
          <w:szCs w:val="16"/>
          <w:color w:val="auto"/>
        </w:rPr>
        <w:t>Attaining strategic initiatives that we believe are responsive to changing conditions and critical to future value creation.</w:t>
      </w:r>
    </w:p>
    <w:p>
      <w:pPr>
        <w:spacing w:after="0" w:line="193" w:lineRule="exact"/>
        <w:rPr>
          <w:sz w:val="20"/>
          <w:szCs w:val="20"/>
          <w:color w:val="auto"/>
        </w:rPr>
      </w:pPr>
    </w:p>
    <w:tbl>
      <w:tblPr>
        <w:tblLayout w:type="fixed"/>
        <w:tblInd w:w="330" w:type="dxa"/>
        <w:tblCellMar>
          <w:top w:w="0" w:type="dxa"/>
          <w:left w:w="0" w:type="dxa"/>
          <w:bottom w:w="0" w:type="dxa"/>
          <w:right w:w="0" w:type="dxa"/>
        </w:tblCellMar>
      </w:tblPr>
      <w:tr>
        <w:trPr>
          <w:trHeight w:val="246"/>
        </w:trPr>
        <w:tc>
          <w:tcPr>
            <w:tcW w:w="300" w:type="dxa"/>
            <w:vAlign w:val="bottom"/>
            <w:tcBorders>
              <w:top w:val="single" w:sz="8" w:color="00548B"/>
              <w:left w:val="single" w:sz="8" w:color="00548B"/>
              <w:bottom w:val="single" w:sz="8" w:color="00548B"/>
              <w:right w:val="single" w:sz="8" w:color="999999"/>
            </w:tcBorders>
            <w:shd w:val="clear" w:color="auto" w:fill="00548B"/>
          </w:tcPr>
          <w:p>
            <w:pPr>
              <w:spacing w:after="0"/>
              <w:rPr>
                <w:sz w:val="21"/>
                <w:szCs w:val="21"/>
                <w:color w:val="auto"/>
              </w:rPr>
            </w:pPr>
          </w:p>
        </w:tc>
        <w:tc>
          <w:tcPr>
            <w:tcW w:w="5120" w:type="dxa"/>
            <w:vAlign w:val="bottom"/>
            <w:tcBorders>
              <w:top w:val="single" w:sz="8" w:color="00548B"/>
              <w:bottom w:val="single" w:sz="8" w:color="00548B"/>
              <w:right w:val="single" w:sz="8" w:color="999999"/>
            </w:tcBorders>
            <w:shd w:val="clear" w:color="auto" w:fill="00548B"/>
          </w:tcPr>
          <w:p>
            <w:pPr>
              <w:ind w:left="2200"/>
              <w:spacing w:after="0"/>
              <w:rPr>
                <w:sz w:val="20"/>
                <w:szCs w:val="20"/>
                <w:color w:val="auto"/>
              </w:rPr>
            </w:pPr>
            <w:r>
              <w:rPr>
                <w:rFonts w:ascii="Arial" w:cs="Arial" w:eastAsia="Arial" w:hAnsi="Arial"/>
                <w:sz w:val="14"/>
                <w:szCs w:val="14"/>
                <w:b w:val="1"/>
                <w:bCs w:val="1"/>
                <w:color w:val="D8D8D8"/>
              </w:rPr>
              <w:t>What We Do</w:t>
            </w:r>
          </w:p>
        </w:tc>
        <w:tc>
          <w:tcPr>
            <w:tcW w:w="180" w:type="dxa"/>
            <w:vAlign w:val="bottom"/>
            <w:tcBorders>
              <w:top w:val="single" w:sz="8" w:color="00548B"/>
              <w:bottom w:val="single" w:sz="8" w:color="00548B"/>
              <w:right w:val="single" w:sz="8" w:color="999999"/>
            </w:tcBorders>
            <w:shd w:val="clear" w:color="auto" w:fill="00548B"/>
          </w:tcPr>
          <w:p>
            <w:pPr>
              <w:spacing w:after="0"/>
              <w:rPr>
                <w:sz w:val="21"/>
                <w:szCs w:val="21"/>
                <w:color w:val="auto"/>
              </w:rPr>
            </w:pPr>
          </w:p>
        </w:tc>
        <w:tc>
          <w:tcPr>
            <w:tcW w:w="5040" w:type="dxa"/>
            <w:vAlign w:val="bottom"/>
            <w:tcBorders>
              <w:top w:val="single" w:sz="8" w:color="00548B"/>
              <w:bottom w:val="single" w:sz="8" w:color="00548B"/>
              <w:right w:val="single" w:sz="8" w:color="00548B"/>
            </w:tcBorders>
            <w:shd w:val="clear" w:color="auto" w:fill="00548B"/>
          </w:tcPr>
          <w:p>
            <w:pPr>
              <w:ind w:left="1900"/>
              <w:spacing w:after="0"/>
              <w:rPr>
                <w:sz w:val="20"/>
                <w:szCs w:val="20"/>
                <w:color w:val="auto"/>
              </w:rPr>
            </w:pPr>
            <w:r>
              <w:rPr>
                <w:rFonts w:ascii="Arial" w:cs="Arial" w:eastAsia="Arial" w:hAnsi="Arial"/>
                <w:sz w:val="14"/>
                <w:szCs w:val="14"/>
                <w:b w:val="1"/>
                <w:bCs w:val="1"/>
                <w:color w:val="D8D8D8"/>
              </w:rPr>
              <w:t>What We Do Not Do</w:t>
            </w:r>
          </w:p>
        </w:tc>
      </w:tr>
      <w:tr>
        <w:trPr>
          <w:trHeight w:val="188"/>
        </w:trPr>
        <w:tc>
          <w:tcPr>
            <w:tcW w:w="300" w:type="dxa"/>
            <w:vAlign w:val="bottom"/>
            <w:tcBorders>
              <w:left w:val="single" w:sz="8" w:color="00548B"/>
              <w:right w:val="single" w:sz="8" w:color="999999"/>
            </w:tcBorders>
          </w:tcPr>
          <w:p>
            <w:pPr>
              <w:ind w:left="140"/>
              <w:spacing w:after="0" w:line="161" w:lineRule="exact"/>
              <w:rPr>
                <w:sz w:val="20"/>
                <w:szCs w:val="20"/>
                <w:color w:val="auto"/>
              </w:rPr>
            </w:pPr>
            <w:r>
              <w:rPr>
                <w:rFonts w:ascii="MS PGothic" w:cs="MS PGothic" w:eastAsia="MS PGothic" w:hAnsi="MS PGothic"/>
                <w:sz w:val="16"/>
                <w:szCs w:val="16"/>
                <w:color w:val="00548B"/>
                <w:w w:val="74"/>
              </w:rPr>
              <w:t>✓</w:t>
            </w:r>
          </w:p>
        </w:tc>
        <w:tc>
          <w:tcPr>
            <w:tcW w:w="5120" w:type="dxa"/>
            <w:vAlign w:val="bottom"/>
            <w:tcBorders>
              <w:right w:val="single" w:sz="8" w:color="999999"/>
            </w:tcBorders>
          </w:tcPr>
          <w:p>
            <w:pPr>
              <w:ind w:left="120"/>
              <w:spacing w:after="0"/>
              <w:rPr>
                <w:sz w:val="20"/>
                <w:szCs w:val="20"/>
                <w:color w:val="auto"/>
              </w:rPr>
            </w:pPr>
            <w:r>
              <w:rPr>
                <w:rFonts w:ascii="Arial" w:cs="Arial" w:eastAsia="Arial" w:hAnsi="Arial"/>
                <w:sz w:val="16"/>
                <w:szCs w:val="16"/>
                <w:color w:val="auto"/>
              </w:rPr>
              <w:t>Provide competitive target pay opportunity - with a significant majority</w:t>
            </w:r>
          </w:p>
        </w:tc>
        <w:tc>
          <w:tcPr>
            <w:tcW w:w="180" w:type="dxa"/>
            <w:vAlign w:val="bottom"/>
            <w:tcBorders>
              <w:right w:val="single" w:sz="8" w:color="999999"/>
            </w:tcBorders>
          </w:tcPr>
          <w:p>
            <w:pPr>
              <w:jc w:val="right"/>
              <w:spacing w:after="0"/>
              <w:rPr>
                <w:sz w:val="20"/>
                <w:szCs w:val="20"/>
                <w:color w:val="auto"/>
              </w:rPr>
            </w:pPr>
            <w:r>
              <w:rPr>
                <w:rFonts w:ascii="Arial" w:cs="Arial" w:eastAsia="Arial" w:hAnsi="Arial"/>
                <w:sz w:val="16"/>
                <w:szCs w:val="16"/>
                <w:color w:val="00548B"/>
              </w:rPr>
              <w:t>û</w:t>
            </w:r>
          </w:p>
        </w:tc>
        <w:tc>
          <w:tcPr>
            <w:tcW w:w="5040" w:type="dxa"/>
            <w:vAlign w:val="bottom"/>
            <w:tcBorders>
              <w:right w:val="single" w:sz="8" w:color="00548B"/>
            </w:tcBorders>
          </w:tcPr>
          <w:p>
            <w:pPr>
              <w:ind w:left="140"/>
              <w:spacing w:after="0"/>
              <w:rPr>
                <w:sz w:val="20"/>
                <w:szCs w:val="20"/>
                <w:color w:val="auto"/>
              </w:rPr>
            </w:pPr>
            <w:r>
              <w:rPr>
                <w:rFonts w:ascii="Arial" w:cs="Arial" w:eastAsia="Arial" w:hAnsi="Arial"/>
                <w:sz w:val="16"/>
                <w:szCs w:val="16"/>
                <w:color w:val="auto"/>
              </w:rPr>
              <w:t>Provide excise tax gross-ups</w:t>
            </w:r>
          </w:p>
        </w:tc>
      </w:tr>
      <w:tr>
        <w:trPr>
          <w:trHeight w:val="184"/>
        </w:trPr>
        <w:tc>
          <w:tcPr>
            <w:tcW w:w="300" w:type="dxa"/>
            <w:vAlign w:val="bottom"/>
            <w:tcBorders>
              <w:left w:val="single" w:sz="8" w:color="00548B"/>
              <w:bottom w:val="single" w:sz="8" w:color="999999"/>
              <w:right w:val="single" w:sz="8" w:color="999999"/>
            </w:tcBorders>
          </w:tcPr>
          <w:p>
            <w:pPr>
              <w:spacing w:after="0"/>
              <w:rPr>
                <w:sz w:val="16"/>
                <w:szCs w:val="16"/>
                <w:color w:val="auto"/>
              </w:rPr>
            </w:pPr>
          </w:p>
        </w:tc>
        <w:tc>
          <w:tcPr>
            <w:tcW w:w="5120" w:type="dxa"/>
            <w:vAlign w:val="bottom"/>
            <w:tcBorders>
              <w:bottom w:val="single" w:sz="8" w:color="999999"/>
              <w:right w:val="single" w:sz="8" w:color="999999"/>
            </w:tcBorders>
          </w:tcPr>
          <w:p>
            <w:pPr>
              <w:ind w:left="120"/>
              <w:spacing w:after="0"/>
              <w:rPr>
                <w:sz w:val="20"/>
                <w:szCs w:val="20"/>
                <w:color w:val="auto"/>
              </w:rPr>
            </w:pPr>
            <w:r>
              <w:rPr>
                <w:rFonts w:ascii="Arial" w:cs="Arial" w:eastAsia="Arial" w:hAnsi="Arial"/>
                <w:sz w:val="16"/>
                <w:szCs w:val="16"/>
                <w:color w:val="auto"/>
              </w:rPr>
              <w:t>at-risk and based on objective financial performance measures</w:t>
            </w:r>
          </w:p>
        </w:tc>
        <w:tc>
          <w:tcPr>
            <w:tcW w:w="180" w:type="dxa"/>
            <w:vAlign w:val="bottom"/>
            <w:tcBorders>
              <w:bottom w:val="single" w:sz="8" w:color="999999"/>
              <w:right w:val="single" w:sz="8" w:color="999999"/>
            </w:tcBorders>
          </w:tcPr>
          <w:p>
            <w:pPr>
              <w:spacing w:after="0"/>
              <w:rPr>
                <w:sz w:val="16"/>
                <w:szCs w:val="16"/>
                <w:color w:val="auto"/>
              </w:rPr>
            </w:pPr>
          </w:p>
        </w:tc>
        <w:tc>
          <w:tcPr>
            <w:tcW w:w="5040" w:type="dxa"/>
            <w:vAlign w:val="bottom"/>
            <w:tcBorders>
              <w:bottom w:val="single" w:sz="8" w:color="999999"/>
              <w:right w:val="single" w:sz="8" w:color="00548B"/>
            </w:tcBorders>
          </w:tcPr>
          <w:p>
            <w:pPr>
              <w:spacing w:after="0"/>
              <w:rPr>
                <w:sz w:val="16"/>
                <w:szCs w:val="16"/>
                <w:color w:val="auto"/>
              </w:rPr>
            </w:pPr>
          </w:p>
        </w:tc>
      </w:tr>
      <w:tr>
        <w:trPr>
          <w:trHeight w:val="193"/>
        </w:trPr>
        <w:tc>
          <w:tcPr>
            <w:tcW w:w="300" w:type="dxa"/>
            <w:vAlign w:val="bottom"/>
            <w:tcBorders>
              <w:left w:val="single" w:sz="8" w:color="00548B"/>
              <w:bottom w:val="single" w:sz="8" w:color="999999"/>
              <w:right w:val="single" w:sz="8" w:color="999999"/>
            </w:tcBorders>
          </w:tcPr>
          <w:p>
            <w:pPr>
              <w:ind w:left="140"/>
              <w:spacing w:after="0" w:line="161" w:lineRule="exact"/>
              <w:rPr>
                <w:sz w:val="20"/>
                <w:szCs w:val="20"/>
                <w:color w:val="auto"/>
              </w:rPr>
            </w:pPr>
            <w:r>
              <w:rPr>
                <w:rFonts w:ascii="MS PGothic" w:cs="MS PGothic" w:eastAsia="MS PGothic" w:hAnsi="MS PGothic"/>
                <w:sz w:val="16"/>
                <w:szCs w:val="16"/>
                <w:color w:val="00548B"/>
                <w:w w:val="74"/>
              </w:rPr>
              <w:t>✓</w:t>
            </w:r>
          </w:p>
        </w:tc>
        <w:tc>
          <w:tcPr>
            <w:tcW w:w="5120" w:type="dxa"/>
            <w:vAlign w:val="bottom"/>
            <w:tcBorders>
              <w:bottom w:val="single" w:sz="8" w:color="999999"/>
              <w:right w:val="single" w:sz="8" w:color="999999"/>
            </w:tcBorders>
          </w:tcPr>
          <w:p>
            <w:pPr>
              <w:ind w:left="120"/>
              <w:spacing w:after="0"/>
              <w:rPr>
                <w:sz w:val="20"/>
                <w:szCs w:val="20"/>
                <w:color w:val="auto"/>
              </w:rPr>
            </w:pPr>
            <w:r>
              <w:rPr>
                <w:rFonts w:ascii="Arial" w:cs="Arial" w:eastAsia="Arial" w:hAnsi="Arial"/>
                <w:sz w:val="16"/>
                <w:szCs w:val="16"/>
                <w:color w:val="auto"/>
              </w:rPr>
              <w:t>Provide only double-trigger benefits in a change of control event</w:t>
            </w:r>
          </w:p>
        </w:tc>
        <w:tc>
          <w:tcPr>
            <w:tcW w:w="180" w:type="dxa"/>
            <w:vAlign w:val="bottom"/>
            <w:tcBorders>
              <w:bottom w:val="single" w:sz="8" w:color="999999"/>
              <w:right w:val="single" w:sz="8" w:color="999999"/>
            </w:tcBorders>
          </w:tcPr>
          <w:p>
            <w:pPr>
              <w:jc w:val="right"/>
              <w:spacing w:after="0"/>
              <w:rPr>
                <w:sz w:val="20"/>
                <w:szCs w:val="20"/>
                <w:color w:val="auto"/>
              </w:rPr>
            </w:pPr>
            <w:r>
              <w:rPr>
                <w:rFonts w:ascii="Arial" w:cs="Arial" w:eastAsia="Arial" w:hAnsi="Arial"/>
                <w:sz w:val="16"/>
                <w:szCs w:val="16"/>
                <w:color w:val="00548B"/>
              </w:rPr>
              <w:t>û</w:t>
            </w:r>
          </w:p>
        </w:tc>
        <w:tc>
          <w:tcPr>
            <w:tcW w:w="5040" w:type="dxa"/>
            <w:vAlign w:val="bottom"/>
            <w:tcBorders>
              <w:bottom w:val="single" w:sz="8" w:color="999999"/>
              <w:right w:val="single" w:sz="8" w:color="00548B"/>
            </w:tcBorders>
          </w:tcPr>
          <w:p>
            <w:pPr>
              <w:ind w:left="140"/>
              <w:spacing w:after="0"/>
              <w:rPr>
                <w:sz w:val="20"/>
                <w:szCs w:val="20"/>
                <w:color w:val="auto"/>
              </w:rPr>
            </w:pPr>
            <w:r>
              <w:rPr>
                <w:rFonts w:ascii="Arial" w:cs="Arial" w:eastAsia="Arial" w:hAnsi="Arial"/>
                <w:sz w:val="16"/>
                <w:szCs w:val="16"/>
                <w:color w:val="auto"/>
              </w:rPr>
              <w:t>Allow any hedging or pledging of Huron stock</w:t>
            </w:r>
          </w:p>
        </w:tc>
      </w:tr>
      <w:tr>
        <w:trPr>
          <w:trHeight w:val="193"/>
        </w:trPr>
        <w:tc>
          <w:tcPr>
            <w:tcW w:w="300" w:type="dxa"/>
            <w:vAlign w:val="bottom"/>
            <w:tcBorders>
              <w:left w:val="single" w:sz="8" w:color="00548B"/>
              <w:bottom w:val="single" w:sz="8" w:color="999999"/>
              <w:right w:val="single" w:sz="8" w:color="999999"/>
            </w:tcBorders>
          </w:tcPr>
          <w:p>
            <w:pPr>
              <w:ind w:left="140"/>
              <w:spacing w:after="0" w:line="161" w:lineRule="exact"/>
              <w:rPr>
                <w:sz w:val="20"/>
                <w:szCs w:val="20"/>
                <w:color w:val="auto"/>
              </w:rPr>
            </w:pPr>
            <w:r>
              <w:rPr>
                <w:rFonts w:ascii="MS PGothic" w:cs="MS PGothic" w:eastAsia="MS PGothic" w:hAnsi="MS PGothic"/>
                <w:sz w:val="16"/>
                <w:szCs w:val="16"/>
                <w:color w:val="00548B"/>
                <w:w w:val="74"/>
              </w:rPr>
              <w:t>✓</w:t>
            </w:r>
          </w:p>
        </w:tc>
        <w:tc>
          <w:tcPr>
            <w:tcW w:w="5120" w:type="dxa"/>
            <w:vAlign w:val="bottom"/>
            <w:tcBorders>
              <w:bottom w:val="single" w:sz="8" w:color="999999"/>
              <w:right w:val="single" w:sz="8" w:color="999999"/>
            </w:tcBorders>
          </w:tcPr>
          <w:p>
            <w:pPr>
              <w:ind w:left="120"/>
              <w:spacing w:after="0"/>
              <w:rPr>
                <w:sz w:val="20"/>
                <w:szCs w:val="20"/>
                <w:color w:val="auto"/>
              </w:rPr>
            </w:pPr>
            <w:r>
              <w:rPr>
                <w:rFonts w:ascii="Arial" w:cs="Arial" w:eastAsia="Arial" w:hAnsi="Arial"/>
                <w:sz w:val="16"/>
                <w:szCs w:val="16"/>
                <w:color w:val="auto"/>
              </w:rPr>
              <w:t>Annually review our programs for inappropriate risk</w:t>
            </w:r>
          </w:p>
        </w:tc>
        <w:tc>
          <w:tcPr>
            <w:tcW w:w="180" w:type="dxa"/>
            <w:vAlign w:val="bottom"/>
            <w:tcBorders>
              <w:bottom w:val="single" w:sz="8" w:color="999999"/>
              <w:right w:val="single" w:sz="8" w:color="999999"/>
            </w:tcBorders>
          </w:tcPr>
          <w:p>
            <w:pPr>
              <w:jc w:val="right"/>
              <w:spacing w:after="0"/>
              <w:rPr>
                <w:sz w:val="20"/>
                <w:szCs w:val="20"/>
                <w:color w:val="auto"/>
              </w:rPr>
            </w:pPr>
            <w:r>
              <w:rPr>
                <w:rFonts w:ascii="Arial" w:cs="Arial" w:eastAsia="Arial" w:hAnsi="Arial"/>
                <w:sz w:val="16"/>
                <w:szCs w:val="16"/>
                <w:color w:val="00548B"/>
              </w:rPr>
              <w:t>û</w:t>
            </w:r>
          </w:p>
        </w:tc>
        <w:tc>
          <w:tcPr>
            <w:tcW w:w="5040" w:type="dxa"/>
            <w:vAlign w:val="bottom"/>
            <w:tcBorders>
              <w:bottom w:val="single" w:sz="8" w:color="999999"/>
              <w:right w:val="single" w:sz="8" w:color="00548B"/>
            </w:tcBorders>
          </w:tcPr>
          <w:p>
            <w:pPr>
              <w:ind w:left="140"/>
              <w:spacing w:after="0"/>
              <w:rPr>
                <w:sz w:val="20"/>
                <w:szCs w:val="20"/>
                <w:color w:val="auto"/>
              </w:rPr>
            </w:pPr>
            <w:r>
              <w:rPr>
                <w:rFonts w:ascii="Arial" w:cs="Arial" w:eastAsia="Arial" w:hAnsi="Arial"/>
                <w:sz w:val="16"/>
                <w:szCs w:val="16"/>
                <w:color w:val="auto"/>
              </w:rPr>
              <w:t>Allow stock grants to be “timed” or awards to be repriced</w:t>
            </w:r>
          </w:p>
        </w:tc>
      </w:tr>
      <w:tr>
        <w:trPr>
          <w:trHeight w:val="181"/>
        </w:trPr>
        <w:tc>
          <w:tcPr>
            <w:tcW w:w="300" w:type="dxa"/>
            <w:vAlign w:val="bottom"/>
            <w:tcBorders>
              <w:left w:val="single" w:sz="8" w:color="00548B"/>
              <w:right w:val="single" w:sz="8" w:color="999999"/>
            </w:tcBorders>
          </w:tcPr>
          <w:p>
            <w:pPr>
              <w:ind w:left="140"/>
              <w:spacing w:after="0" w:line="161" w:lineRule="exact"/>
              <w:rPr>
                <w:sz w:val="20"/>
                <w:szCs w:val="20"/>
                <w:color w:val="auto"/>
              </w:rPr>
            </w:pPr>
            <w:r>
              <w:rPr>
                <w:rFonts w:ascii="MS PGothic" w:cs="MS PGothic" w:eastAsia="MS PGothic" w:hAnsi="MS PGothic"/>
                <w:sz w:val="16"/>
                <w:szCs w:val="16"/>
                <w:color w:val="00548B"/>
                <w:w w:val="74"/>
              </w:rPr>
              <w:t>✓</w:t>
            </w:r>
          </w:p>
        </w:tc>
        <w:tc>
          <w:tcPr>
            <w:tcW w:w="5120" w:type="dxa"/>
            <w:vAlign w:val="bottom"/>
            <w:tcBorders>
              <w:right w:val="single" w:sz="8" w:color="999999"/>
            </w:tcBorders>
          </w:tcPr>
          <w:p>
            <w:pPr>
              <w:ind w:left="120"/>
              <w:spacing w:after="0" w:line="181" w:lineRule="exact"/>
              <w:rPr>
                <w:sz w:val="20"/>
                <w:szCs w:val="20"/>
                <w:color w:val="auto"/>
              </w:rPr>
            </w:pPr>
            <w:r>
              <w:rPr>
                <w:rFonts w:ascii="Arial" w:cs="Arial" w:eastAsia="Arial" w:hAnsi="Arial"/>
                <w:sz w:val="16"/>
                <w:szCs w:val="16"/>
                <w:color w:val="auto"/>
              </w:rPr>
              <w:t>Maintain robust, competitive stock ownership guidelines, including an</w:t>
            </w:r>
          </w:p>
        </w:tc>
        <w:tc>
          <w:tcPr>
            <w:tcW w:w="180" w:type="dxa"/>
            <w:vAlign w:val="bottom"/>
            <w:tcBorders>
              <w:right w:val="single" w:sz="8" w:color="999999"/>
            </w:tcBorders>
          </w:tcPr>
          <w:p>
            <w:pPr>
              <w:jc w:val="right"/>
              <w:spacing w:after="0" w:line="181" w:lineRule="exact"/>
              <w:rPr>
                <w:sz w:val="20"/>
                <w:szCs w:val="20"/>
                <w:color w:val="auto"/>
              </w:rPr>
            </w:pPr>
            <w:r>
              <w:rPr>
                <w:rFonts w:ascii="Arial" w:cs="Arial" w:eastAsia="Arial" w:hAnsi="Arial"/>
                <w:sz w:val="16"/>
                <w:szCs w:val="16"/>
                <w:color w:val="00548B"/>
              </w:rPr>
              <w:t>û</w:t>
            </w:r>
          </w:p>
        </w:tc>
        <w:tc>
          <w:tcPr>
            <w:tcW w:w="5040" w:type="dxa"/>
            <w:vAlign w:val="bottom"/>
            <w:tcBorders>
              <w:right w:val="single" w:sz="8" w:color="00548B"/>
            </w:tcBorders>
          </w:tcPr>
          <w:p>
            <w:pPr>
              <w:ind w:left="140"/>
              <w:spacing w:after="0" w:line="181" w:lineRule="exact"/>
              <w:rPr>
                <w:sz w:val="20"/>
                <w:szCs w:val="20"/>
                <w:color w:val="auto"/>
              </w:rPr>
            </w:pPr>
            <w:r>
              <w:rPr>
                <w:rFonts w:ascii="Arial" w:cs="Arial" w:eastAsia="Arial" w:hAnsi="Arial"/>
                <w:sz w:val="16"/>
                <w:szCs w:val="16"/>
                <w:color w:val="auto"/>
              </w:rPr>
              <w:t>Provide executive perquisites not commonly available to the broader</w:t>
            </w:r>
          </w:p>
        </w:tc>
      </w:tr>
      <w:tr>
        <w:trPr>
          <w:trHeight w:val="186"/>
        </w:trPr>
        <w:tc>
          <w:tcPr>
            <w:tcW w:w="300" w:type="dxa"/>
            <w:vAlign w:val="bottom"/>
            <w:tcBorders>
              <w:left w:val="single" w:sz="8" w:color="00548B"/>
              <w:right w:val="single" w:sz="8" w:color="999999"/>
            </w:tcBorders>
          </w:tcPr>
          <w:p>
            <w:pPr>
              <w:spacing w:after="0"/>
              <w:rPr>
                <w:sz w:val="16"/>
                <w:szCs w:val="16"/>
                <w:color w:val="auto"/>
              </w:rPr>
            </w:pPr>
          </w:p>
        </w:tc>
        <w:tc>
          <w:tcPr>
            <w:tcW w:w="5120" w:type="dxa"/>
            <w:vAlign w:val="bottom"/>
            <w:tcBorders>
              <w:right w:val="single" w:sz="8" w:color="999999"/>
            </w:tcBorders>
          </w:tcPr>
          <w:p>
            <w:pPr>
              <w:ind w:left="120"/>
              <w:spacing w:after="0"/>
              <w:rPr>
                <w:sz w:val="20"/>
                <w:szCs w:val="20"/>
                <w:color w:val="auto"/>
              </w:rPr>
            </w:pPr>
            <w:r>
              <w:rPr>
                <w:rFonts w:ascii="Arial" w:cs="Arial" w:eastAsia="Arial" w:hAnsi="Arial"/>
                <w:sz w:val="16"/>
                <w:szCs w:val="16"/>
                <w:color w:val="auto"/>
              </w:rPr>
              <w:t>increase  as  of  2019  to  5X  for  the  CEO  and  directors,  and  a</w:t>
            </w:r>
          </w:p>
        </w:tc>
        <w:tc>
          <w:tcPr>
            <w:tcW w:w="180" w:type="dxa"/>
            <w:vAlign w:val="bottom"/>
            <w:tcBorders>
              <w:right w:val="single" w:sz="8" w:color="999999"/>
            </w:tcBorders>
          </w:tcPr>
          <w:p>
            <w:pPr>
              <w:spacing w:after="0"/>
              <w:rPr>
                <w:sz w:val="16"/>
                <w:szCs w:val="16"/>
                <w:color w:val="auto"/>
              </w:rPr>
            </w:pPr>
          </w:p>
        </w:tc>
        <w:tc>
          <w:tcPr>
            <w:tcW w:w="5040" w:type="dxa"/>
            <w:vAlign w:val="bottom"/>
            <w:tcBorders>
              <w:right w:val="single" w:sz="8" w:color="00548B"/>
            </w:tcBorders>
          </w:tcPr>
          <w:p>
            <w:pPr>
              <w:ind w:left="140"/>
              <w:spacing w:after="0"/>
              <w:rPr>
                <w:sz w:val="20"/>
                <w:szCs w:val="20"/>
                <w:color w:val="auto"/>
              </w:rPr>
            </w:pPr>
            <w:r>
              <w:rPr>
                <w:rFonts w:ascii="Arial" w:cs="Arial" w:eastAsia="Arial" w:hAnsi="Arial"/>
                <w:sz w:val="16"/>
                <w:szCs w:val="16"/>
                <w:color w:val="auto"/>
              </w:rPr>
              <w:t>Huron employee population</w:t>
            </w:r>
          </w:p>
        </w:tc>
      </w:tr>
      <w:tr>
        <w:trPr>
          <w:trHeight w:val="186"/>
        </w:trPr>
        <w:tc>
          <w:tcPr>
            <w:tcW w:w="300" w:type="dxa"/>
            <w:vAlign w:val="bottom"/>
            <w:tcBorders>
              <w:left w:val="single" w:sz="8" w:color="00548B"/>
              <w:right w:val="single" w:sz="8" w:color="999999"/>
            </w:tcBorders>
          </w:tcPr>
          <w:p>
            <w:pPr>
              <w:spacing w:after="0"/>
              <w:rPr>
                <w:sz w:val="16"/>
                <w:szCs w:val="16"/>
                <w:color w:val="auto"/>
              </w:rPr>
            </w:pPr>
          </w:p>
        </w:tc>
        <w:tc>
          <w:tcPr>
            <w:tcW w:w="5120" w:type="dxa"/>
            <w:vAlign w:val="bottom"/>
            <w:tcBorders>
              <w:right w:val="single" w:sz="8" w:color="999999"/>
            </w:tcBorders>
          </w:tcPr>
          <w:p>
            <w:pPr>
              <w:ind w:left="120"/>
              <w:spacing w:after="0"/>
              <w:rPr>
                <w:sz w:val="20"/>
                <w:szCs w:val="20"/>
                <w:color w:val="auto"/>
              </w:rPr>
            </w:pPr>
            <w:r>
              <w:rPr>
                <w:rFonts w:ascii="Arial" w:cs="Arial" w:eastAsia="Arial" w:hAnsi="Arial"/>
                <w:sz w:val="16"/>
                <w:szCs w:val="16"/>
                <w:color w:val="auto"/>
              </w:rPr>
              <w:t>requirement that 60% of after-tax shares be held until the guidelines</w:t>
            </w:r>
          </w:p>
        </w:tc>
        <w:tc>
          <w:tcPr>
            <w:tcW w:w="180" w:type="dxa"/>
            <w:vAlign w:val="bottom"/>
            <w:tcBorders>
              <w:right w:val="single" w:sz="8" w:color="999999"/>
            </w:tcBorders>
          </w:tcPr>
          <w:p>
            <w:pPr>
              <w:spacing w:after="0"/>
              <w:rPr>
                <w:sz w:val="16"/>
                <w:szCs w:val="16"/>
                <w:color w:val="auto"/>
              </w:rPr>
            </w:pPr>
          </w:p>
        </w:tc>
        <w:tc>
          <w:tcPr>
            <w:tcW w:w="5040" w:type="dxa"/>
            <w:vAlign w:val="bottom"/>
            <w:tcBorders>
              <w:right w:val="single" w:sz="8" w:color="00548B"/>
            </w:tcBorders>
          </w:tcPr>
          <w:p>
            <w:pPr>
              <w:spacing w:after="0"/>
              <w:rPr>
                <w:sz w:val="16"/>
                <w:szCs w:val="16"/>
                <w:color w:val="auto"/>
              </w:rPr>
            </w:pPr>
          </w:p>
        </w:tc>
      </w:tr>
      <w:tr>
        <w:trPr>
          <w:trHeight w:val="184"/>
        </w:trPr>
        <w:tc>
          <w:tcPr>
            <w:tcW w:w="300" w:type="dxa"/>
            <w:vAlign w:val="bottom"/>
            <w:tcBorders>
              <w:left w:val="single" w:sz="8" w:color="00548B"/>
              <w:bottom w:val="single" w:sz="8" w:color="999999"/>
              <w:right w:val="single" w:sz="8" w:color="999999"/>
            </w:tcBorders>
          </w:tcPr>
          <w:p>
            <w:pPr>
              <w:spacing w:after="0"/>
              <w:rPr>
                <w:sz w:val="16"/>
                <w:szCs w:val="16"/>
                <w:color w:val="auto"/>
              </w:rPr>
            </w:pPr>
          </w:p>
        </w:tc>
        <w:tc>
          <w:tcPr>
            <w:tcW w:w="5120" w:type="dxa"/>
            <w:vAlign w:val="bottom"/>
            <w:tcBorders>
              <w:bottom w:val="single" w:sz="8" w:color="999999"/>
              <w:right w:val="single" w:sz="8" w:color="999999"/>
            </w:tcBorders>
          </w:tcPr>
          <w:p>
            <w:pPr>
              <w:ind w:left="120"/>
              <w:spacing w:after="0"/>
              <w:rPr>
                <w:sz w:val="20"/>
                <w:szCs w:val="20"/>
                <w:color w:val="auto"/>
              </w:rPr>
            </w:pPr>
            <w:r>
              <w:rPr>
                <w:rFonts w:ascii="Arial" w:cs="Arial" w:eastAsia="Arial" w:hAnsi="Arial"/>
                <w:sz w:val="16"/>
                <w:szCs w:val="16"/>
                <w:color w:val="auto"/>
              </w:rPr>
              <w:t>are met</w:t>
            </w:r>
          </w:p>
        </w:tc>
        <w:tc>
          <w:tcPr>
            <w:tcW w:w="180" w:type="dxa"/>
            <w:vAlign w:val="bottom"/>
            <w:tcBorders>
              <w:bottom w:val="single" w:sz="8" w:color="999999"/>
              <w:right w:val="single" w:sz="8" w:color="999999"/>
            </w:tcBorders>
          </w:tcPr>
          <w:p>
            <w:pPr>
              <w:spacing w:after="0"/>
              <w:rPr>
                <w:sz w:val="16"/>
                <w:szCs w:val="16"/>
                <w:color w:val="auto"/>
              </w:rPr>
            </w:pPr>
          </w:p>
        </w:tc>
        <w:tc>
          <w:tcPr>
            <w:tcW w:w="5040" w:type="dxa"/>
            <w:vAlign w:val="bottom"/>
            <w:tcBorders>
              <w:bottom w:val="single" w:sz="8" w:color="999999"/>
              <w:right w:val="single" w:sz="8" w:color="00548B"/>
            </w:tcBorders>
          </w:tcPr>
          <w:p>
            <w:pPr>
              <w:spacing w:after="0"/>
              <w:rPr>
                <w:sz w:val="16"/>
                <w:szCs w:val="16"/>
                <w:color w:val="auto"/>
              </w:rPr>
            </w:pPr>
          </w:p>
        </w:tc>
      </w:tr>
      <w:tr>
        <w:trPr>
          <w:trHeight w:val="181"/>
        </w:trPr>
        <w:tc>
          <w:tcPr>
            <w:tcW w:w="300" w:type="dxa"/>
            <w:vAlign w:val="bottom"/>
            <w:tcBorders>
              <w:left w:val="single" w:sz="8" w:color="00548B"/>
              <w:right w:val="single" w:sz="8" w:color="999999"/>
            </w:tcBorders>
          </w:tcPr>
          <w:p>
            <w:pPr>
              <w:ind w:left="140"/>
              <w:spacing w:after="0" w:line="161" w:lineRule="exact"/>
              <w:rPr>
                <w:sz w:val="20"/>
                <w:szCs w:val="20"/>
                <w:color w:val="auto"/>
              </w:rPr>
            </w:pPr>
            <w:r>
              <w:rPr>
                <w:rFonts w:ascii="MS PGothic" w:cs="MS PGothic" w:eastAsia="MS PGothic" w:hAnsi="MS PGothic"/>
                <w:sz w:val="16"/>
                <w:szCs w:val="16"/>
                <w:color w:val="00548B"/>
                <w:w w:val="74"/>
              </w:rPr>
              <w:t>✓</w:t>
            </w:r>
          </w:p>
        </w:tc>
        <w:tc>
          <w:tcPr>
            <w:tcW w:w="5120" w:type="dxa"/>
            <w:vAlign w:val="bottom"/>
            <w:tcBorders>
              <w:right w:val="single" w:sz="8" w:color="999999"/>
            </w:tcBorders>
          </w:tcPr>
          <w:p>
            <w:pPr>
              <w:ind w:left="120"/>
              <w:spacing w:after="0" w:line="181" w:lineRule="exact"/>
              <w:rPr>
                <w:sz w:val="20"/>
                <w:szCs w:val="20"/>
                <w:color w:val="auto"/>
              </w:rPr>
            </w:pPr>
            <w:r>
              <w:rPr>
                <w:rFonts w:ascii="Arial" w:cs="Arial" w:eastAsia="Arial" w:hAnsi="Arial"/>
                <w:sz w:val="16"/>
                <w:szCs w:val="16"/>
                <w:color w:val="auto"/>
              </w:rPr>
              <w:t>Maintain a clawback policy providing for recoupment of incentive-</w:t>
            </w:r>
          </w:p>
        </w:tc>
        <w:tc>
          <w:tcPr>
            <w:tcW w:w="180" w:type="dxa"/>
            <w:vAlign w:val="bottom"/>
            <w:tcBorders>
              <w:right w:val="single" w:sz="8" w:color="999999"/>
            </w:tcBorders>
          </w:tcPr>
          <w:p>
            <w:pPr>
              <w:spacing w:after="0"/>
              <w:rPr>
                <w:sz w:val="15"/>
                <w:szCs w:val="15"/>
                <w:color w:val="auto"/>
              </w:rPr>
            </w:pPr>
          </w:p>
        </w:tc>
        <w:tc>
          <w:tcPr>
            <w:tcW w:w="5040" w:type="dxa"/>
            <w:vAlign w:val="bottom"/>
            <w:tcBorders>
              <w:right w:val="single" w:sz="8" w:color="00548B"/>
            </w:tcBorders>
          </w:tcPr>
          <w:p>
            <w:pPr>
              <w:spacing w:after="0"/>
              <w:rPr>
                <w:sz w:val="15"/>
                <w:szCs w:val="15"/>
                <w:color w:val="auto"/>
              </w:rPr>
            </w:pPr>
          </w:p>
        </w:tc>
      </w:tr>
      <w:tr>
        <w:trPr>
          <w:trHeight w:val="186"/>
        </w:trPr>
        <w:tc>
          <w:tcPr>
            <w:tcW w:w="300" w:type="dxa"/>
            <w:vAlign w:val="bottom"/>
            <w:tcBorders>
              <w:left w:val="single" w:sz="8" w:color="00548B"/>
              <w:right w:val="single" w:sz="8" w:color="999999"/>
            </w:tcBorders>
          </w:tcPr>
          <w:p>
            <w:pPr>
              <w:spacing w:after="0"/>
              <w:rPr>
                <w:sz w:val="16"/>
                <w:szCs w:val="16"/>
                <w:color w:val="auto"/>
              </w:rPr>
            </w:pPr>
          </w:p>
        </w:tc>
        <w:tc>
          <w:tcPr>
            <w:tcW w:w="5120" w:type="dxa"/>
            <w:vAlign w:val="bottom"/>
            <w:tcBorders>
              <w:right w:val="single" w:sz="8" w:color="999999"/>
            </w:tcBorders>
          </w:tcPr>
          <w:p>
            <w:pPr>
              <w:ind w:left="120"/>
              <w:spacing w:after="0"/>
              <w:rPr>
                <w:sz w:val="20"/>
                <w:szCs w:val="20"/>
                <w:color w:val="auto"/>
              </w:rPr>
            </w:pPr>
            <w:r>
              <w:rPr>
                <w:rFonts w:ascii="Arial" w:cs="Arial" w:eastAsia="Arial" w:hAnsi="Arial"/>
                <w:sz w:val="16"/>
                <w:szCs w:val="16"/>
                <w:color w:val="auto"/>
              </w:rPr>
              <w:t>based compensation if payouts were based on misstated financial</w:t>
            </w:r>
          </w:p>
        </w:tc>
        <w:tc>
          <w:tcPr>
            <w:tcW w:w="180" w:type="dxa"/>
            <w:vAlign w:val="bottom"/>
            <w:tcBorders>
              <w:right w:val="single" w:sz="8" w:color="999999"/>
            </w:tcBorders>
          </w:tcPr>
          <w:p>
            <w:pPr>
              <w:spacing w:after="0"/>
              <w:rPr>
                <w:sz w:val="16"/>
                <w:szCs w:val="16"/>
                <w:color w:val="auto"/>
              </w:rPr>
            </w:pPr>
          </w:p>
        </w:tc>
        <w:tc>
          <w:tcPr>
            <w:tcW w:w="5040" w:type="dxa"/>
            <w:vAlign w:val="bottom"/>
            <w:tcBorders>
              <w:right w:val="single" w:sz="8" w:color="00548B"/>
            </w:tcBorders>
          </w:tcPr>
          <w:p>
            <w:pPr>
              <w:spacing w:after="0"/>
              <w:rPr>
                <w:sz w:val="16"/>
                <w:szCs w:val="16"/>
                <w:color w:val="auto"/>
              </w:rPr>
            </w:pPr>
          </w:p>
        </w:tc>
      </w:tr>
      <w:tr>
        <w:trPr>
          <w:trHeight w:val="184"/>
        </w:trPr>
        <w:tc>
          <w:tcPr>
            <w:tcW w:w="300" w:type="dxa"/>
            <w:vAlign w:val="bottom"/>
            <w:tcBorders>
              <w:left w:val="single" w:sz="8" w:color="00548B"/>
              <w:bottom w:val="single" w:sz="8" w:color="999999"/>
              <w:right w:val="single" w:sz="8" w:color="999999"/>
            </w:tcBorders>
          </w:tcPr>
          <w:p>
            <w:pPr>
              <w:spacing w:after="0"/>
              <w:rPr>
                <w:sz w:val="16"/>
                <w:szCs w:val="16"/>
                <w:color w:val="auto"/>
              </w:rPr>
            </w:pPr>
          </w:p>
        </w:tc>
        <w:tc>
          <w:tcPr>
            <w:tcW w:w="5120" w:type="dxa"/>
            <w:vAlign w:val="bottom"/>
            <w:tcBorders>
              <w:bottom w:val="single" w:sz="8" w:color="999999"/>
              <w:right w:val="single" w:sz="8" w:color="999999"/>
            </w:tcBorders>
          </w:tcPr>
          <w:p>
            <w:pPr>
              <w:ind w:left="120"/>
              <w:spacing w:after="0"/>
              <w:rPr>
                <w:sz w:val="20"/>
                <w:szCs w:val="20"/>
                <w:color w:val="auto"/>
              </w:rPr>
            </w:pPr>
            <w:r>
              <w:rPr>
                <w:rFonts w:ascii="Arial" w:cs="Arial" w:eastAsia="Arial" w:hAnsi="Arial"/>
                <w:sz w:val="16"/>
                <w:szCs w:val="16"/>
                <w:color w:val="auto"/>
              </w:rPr>
              <w:t>results</w:t>
            </w:r>
          </w:p>
        </w:tc>
        <w:tc>
          <w:tcPr>
            <w:tcW w:w="180" w:type="dxa"/>
            <w:vAlign w:val="bottom"/>
            <w:tcBorders>
              <w:bottom w:val="single" w:sz="8" w:color="999999"/>
              <w:right w:val="single" w:sz="8" w:color="999999"/>
            </w:tcBorders>
          </w:tcPr>
          <w:p>
            <w:pPr>
              <w:spacing w:after="0"/>
              <w:rPr>
                <w:sz w:val="16"/>
                <w:szCs w:val="16"/>
                <w:color w:val="auto"/>
              </w:rPr>
            </w:pPr>
          </w:p>
        </w:tc>
        <w:tc>
          <w:tcPr>
            <w:tcW w:w="5040" w:type="dxa"/>
            <w:vAlign w:val="bottom"/>
            <w:tcBorders>
              <w:bottom w:val="single" w:sz="8" w:color="999999"/>
              <w:right w:val="single" w:sz="8" w:color="00548B"/>
            </w:tcBorders>
          </w:tcPr>
          <w:p>
            <w:pPr>
              <w:spacing w:after="0"/>
              <w:rPr>
                <w:sz w:val="16"/>
                <w:szCs w:val="16"/>
                <w:color w:val="auto"/>
              </w:rPr>
            </w:pPr>
          </w:p>
        </w:tc>
      </w:tr>
      <w:tr>
        <w:trPr>
          <w:trHeight w:val="193"/>
        </w:trPr>
        <w:tc>
          <w:tcPr>
            <w:tcW w:w="300" w:type="dxa"/>
            <w:vAlign w:val="bottom"/>
            <w:tcBorders>
              <w:left w:val="single" w:sz="8" w:color="00548B"/>
              <w:bottom w:val="single" w:sz="8" w:color="999999"/>
              <w:right w:val="single" w:sz="8" w:color="999999"/>
            </w:tcBorders>
          </w:tcPr>
          <w:p>
            <w:pPr>
              <w:ind w:left="140"/>
              <w:spacing w:after="0" w:line="161" w:lineRule="exact"/>
              <w:rPr>
                <w:sz w:val="20"/>
                <w:szCs w:val="20"/>
                <w:color w:val="auto"/>
              </w:rPr>
            </w:pPr>
            <w:r>
              <w:rPr>
                <w:rFonts w:ascii="MS PGothic" w:cs="MS PGothic" w:eastAsia="MS PGothic" w:hAnsi="MS PGothic"/>
                <w:sz w:val="16"/>
                <w:szCs w:val="16"/>
                <w:color w:val="00548B"/>
                <w:w w:val="74"/>
              </w:rPr>
              <w:t>✓</w:t>
            </w:r>
          </w:p>
        </w:tc>
        <w:tc>
          <w:tcPr>
            <w:tcW w:w="5120" w:type="dxa"/>
            <w:vAlign w:val="bottom"/>
            <w:tcBorders>
              <w:bottom w:val="single" w:sz="8" w:color="999999"/>
              <w:right w:val="single" w:sz="8" w:color="999999"/>
            </w:tcBorders>
          </w:tcPr>
          <w:p>
            <w:pPr>
              <w:ind w:left="120"/>
              <w:spacing w:after="0"/>
              <w:rPr>
                <w:sz w:val="20"/>
                <w:szCs w:val="20"/>
                <w:color w:val="auto"/>
              </w:rPr>
            </w:pPr>
            <w:r>
              <w:rPr>
                <w:rFonts w:ascii="Arial" w:cs="Arial" w:eastAsia="Arial" w:hAnsi="Arial"/>
                <w:sz w:val="16"/>
                <w:szCs w:val="16"/>
                <w:color w:val="auto"/>
              </w:rPr>
              <w:t>Retain an independent compensation consultant to the board</w:t>
            </w:r>
          </w:p>
        </w:tc>
        <w:tc>
          <w:tcPr>
            <w:tcW w:w="180" w:type="dxa"/>
            <w:vAlign w:val="bottom"/>
            <w:tcBorders>
              <w:bottom w:val="single" w:sz="8" w:color="999999"/>
              <w:right w:val="single" w:sz="8" w:color="999999"/>
            </w:tcBorders>
          </w:tcPr>
          <w:p>
            <w:pPr>
              <w:spacing w:after="0"/>
              <w:rPr>
                <w:sz w:val="16"/>
                <w:szCs w:val="16"/>
                <w:color w:val="auto"/>
              </w:rPr>
            </w:pPr>
          </w:p>
        </w:tc>
        <w:tc>
          <w:tcPr>
            <w:tcW w:w="5040" w:type="dxa"/>
            <w:vAlign w:val="bottom"/>
            <w:tcBorders>
              <w:bottom w:val="single" w:sz="8" w:color="999999"/>
              <w:right w:val="single" w:sz="8" w:color="00548B"/>
            </w:tcBorders>
          </w:tcPr>
          <w:p>
            <w:pPr>
              <w:spacing w:after="0"/>
              <w:rPr>
                <w:sz w:val="16"/>
                <w:szCs w:val="16"/>
                <w:color w:val="auto"/>
              </w:rPr>
            </w:pPr>
          </w:p>
        </w:tc>
      </w:tr>
      <w:tr>
        <w:trPr>
          <w:trHeight w:val="181"/>
        </w:trPr>
        <w:tc>
          <w:tcPr>
            <w:tcW w:w="300" w:type="dxa"/>
            <w:vAlign w:val="bottom"/>
            <w:tcBorders>
              <w:left w:val="single" w:sz="8" w:color="00548B"/>
              <w:right w:val="single" w:sz="8" w:color="999999"/>
            </w:tcBorders>
          </w:tcPr>
          <w:p>
            <w:pPr>
              <w:ind w:left="140"/>
              <w:spacing w:after="0" w:line="161" w:lineRule="exact"/>
              <w:rPr>
                <w:sz w:val="20"/>
                <w:szCs w:val="20"/>
                <w:color w:val="auto"/>
              </w:rPr>
            </w:pPr>
            <w:r>
              <w:rPr>
                <w:rFonts w:ascii="MS PGothic" w:cs="MS PGothic" w:eastAsia="MS PGothic" w:hAnsi="MS PGothic"/>
                <w:sz w:val="16"/>
                <w:szCs w:val="16"/>
                <w:color w:val="00548B"/>
                <w:w w:val="74"/>
              </w:rPr>
              <w:t>✓</w:t>
            </w:r>
          </w:p>
        </w:tc>
        <w:tc>
          <w:tcPr>
            <w:tcW w:w="5120" w:type="dxa"/>
            <w:vAlign w:val="bottom"/>
            <w:tcBorders>
              <w:right w:val="single" w:sz="8" w:color="999999"/>
            </w:tcBorders>
          </w:tcPr>
          <w:p>
            <w:pPr>
              <w:ind w:left="120"/>
              <w:spacing w:after="0" w:line="181" w:lineRule="exact"/>
              <w:rPr>
                <w:sz w:val="20"/>
                <w:szCs w:val="20"/>
                <w:color w:val="auto"/>
              </w:rPr>
            </w:pPr>
            <w:r>
              <w:rPr>
                <w:rFonts w:ascii="Arial" w:cs="Arial" w:eastAsia="Arial" w:hAnsi="Arial"/>
                <w:sz w:val="16"/>
                <w:szCs w:val="16"/>
                <w:color w:val="auto"/>
              </w:rPr>
              <w:t>Solicit investor feedback on our compensation program and potential</w:t>
            </w:r>
          </w:p>
        </w:tc>
        <w:tc>
          <w:tcPr>
            <w:tcW w:w="180" w:type="dxa"/>
            <w:vAlign w:val="bottom"/>
            <w:tcBorders>
              <w:right w:val="single" w:sz="8" w:color="999999"/>
            </w:tcBorders>
          </w:tcPr>
          <w:p>
            <w:pPr>
              <w:spacing w:after="0"/>
              <w:rPr>
                <w:sz w:val="15"/>
                <w:szCs w:val="15"/>
                <w:color w:val="auto"/>
              </w:rPr>
            </w:pPr>
          </w:p>
        </w:tc>
        <w:tc>
          <w:tcPr>
            <w:tcW w:w="5040" w:type="dxa"/>
            <w:vAlign w:val="bottom"/>
            <w:tcBorders>
              <w:right w:val="single" w:sz="8" w:color="00548B"/>
            </w:tcBorders>
          </w:tcPr>
          <w:p>
            <w:pPr>
              <w:spacing w:after="0"/>
              <w:rPr>
                <w:sz w:val="15"/>
                <w:szCs w:val="15"/>
                <w:color w:val="auto"/>
              </w:rPr>
            </w:pPr>
          </w:p>
        </w:tc>
      </w:tr>
      <w:tr>
        <w:trPr>
          <w:trHeight w:val="186"/>
        </w:trPr>
        <w:tc>
          <w:tcPr>
            <w:tcW w:w="300" w:type="dxa"/>
            <w:vAlign w:val="bottom"/>
            <w:tcBorders>
              <w:left w:val="single" w:sz="8" w:color="00548B"/>
              <w:right w:val="single" w:sz="8" w:color="999999"/>
            </w:tcBorders>
          </w:tcPr>
          <w:p>
            <w:pPr>
              <w:spacing w:after="0"/>
              <w:rPr>
                <w:sz w:val="16"/>
                <w:szCs w:val="16"/>
                <w:color w:val="auto"/>
              </w:rPr>
            </w:pPr>
          </w:p>
        </w:tc>
        <w:tc>
          <w:tcPr>
            <w:tcW w:w="5120" w:type="dxa"/>
            <w:vAlign w:val="bottom"/>
            <w:tcBorders>
              <w:right w:val="single" w:sz="8" w:color="999999"/>
            </w:tcBorders>
          </w:tcPr>
          <w:p>
            <w:pPr>
              <w:ind w:left="120"/>
              <w:spacing w:after="0"/>
              <w:rPr>
                <w:sz w:val="20"/>
                <w:szCs w:val="20"/>
                <w:color w:val="auto"/>
              </w:rPr>
            </w:pPr>
            <w:r>
              <w:rPr>
                <w:rFonts w:ascii="Arial" w:cs="Arial" w:eastAsia="Arial" w:hAnsi="Arial"/>
                <w:sz w:val="16"/>
                <w:szCs w:val="16"/>
                <w:color w:val="auto"/>
              </w:rPr>
              <w:t>enhancements  through  an  extensive  shareholder  engagement</w:t>
            </w:r>
          </w:p>
        </w:tc>
        <w:tc>
          <w:tcPr>
            <w:tcW w:w="180" w:type="dxa"/>
            <w:vAlign w:val="bottom"/>
            <w:tcBorders>
              <w:right w:val="single" w:sz="8" w:color="999999"/>
            </w:tcBorders>
          </w:tcPr>
          <w:p>
            <w:pPr>
              <w:spacing w:after="0"/>
              <w:rPr>
                <w:sz w:val="16"/>
                <w:szCs w:val="16"/>
                <w:color w:val="auto"/>
              </w:rPr>
            </w:pPr>
          </w:p>
        </w:tc>
        <w:tc>
          <w:tcPr>
            <w:tcW w:w="5040" w:type="dxa"/>
            <w:vAlign w:val="bottom"/>
            <w:tcBorders>
              <w:right w:val="single" w:sz="8" w:color="00548B"/>
            </w:tcBorders>
          </w:tcPr>
          <w:p>
            <w:pPr>
              <w:spacing w:after="0"/>
              <w:rPr>
                <w:sz w:val="16"/>
                <w:szCs w:val="16"/>
                <w:color w:val="auto"/>
              </w:rPr>
            </w:pPr>
          </w:p>
        </w:tc>
      </w:tr>
      <w:tr>
        <w:trPr>
          <w:trHeight w:val="184"/>
        </w:trPr>
        <w:tc>
          <w:tcPr>
            <w:tcW w:w="300" w:type="dxa"/>
            <w:vAlign w:val="bottom"/>
            <w:tcBorders>
              <w:left w:val="single" w:sz="8" w:color="00548B"/>
              <w:bottom w:val="single" w:sz="8" w:color="00548B"/>
              <w:right w:val="single" w:sz="8" w:color="999999"/>
            </w:tcBorders>
          </w:tcPr>
          <w:p>
            <w:pPr>
              <w:spacing w:after="0"/>
              <w:rPr>
                <w:sz w:val="16"/>
                <w:szCs w:val="16"/>
                <w:color w:val="auto"/>
              </w:rPr>
            </w:pPr>
          </w:p>
        </w:tc>
        <w:tc>
          <w:tcPr>
            <w:tcW w:w="5120" w:type="dxa"/>
            <w:vAlign w:val="bottom"/>
            <w:tcBorders>
              <w:bottom w:val="single" w:sz="8" w:color="00548B"/>
              <w:right w:val="single" w:sz="8" w:color="999999"/>
            </w:tcBorders>
          </w:tcPr>
          <w:p>
            <w:pPr>
              <w:ind w:left="120"/>
              <w:spacing w:after="0"/>
              <w:rPr>
                <w:sz w:val="20"/>
                <w:szCs w:val="20"/>
                <w:color w:val="auto"/>
              </w:rPr>
            </w:pPr>
            <w:r>
              <w:rPr>
                <w:rFonts w:ascii="Arial" w:cs="Arial" w:eastAsia="Arial" w:hAnsi="Arial"/>
                <w:sz w:val="16"/>
                <w:szCs w:val="16"/>
                <w:color w:val="auto"/>
              </w:rPr>
              <w:t>program</w:t>
            </w:r>
          </w:p>
        </w:tc>
        <w:tc>
          <w:tcPr>
            <w:tcW w:w="180" w:type="dxa"/>
            <w:vAlign w:val="bottom"/>
            <w:tcBorders>
              <w:bottom w:val="single" w:sz="8" w:color="00548B"/>
              <w:right w:val="single" w:sz="8" w:color="999999"/>
            </w:tcBorders>
          </w:tcPr>
          <w:p>
            <w:pPr>
              <w:spacing w:after="0"/>
              <w:rPr>
                <w:sz w:val="16"/>
                <w:szCs w:val="16"/>
                <w:color w:val="auto"/>
              </w:rPr>
            </w:pPr>
          </w:p>
        </w:tc>
        <w:tc>
          <w:tcPr>
            <w:tcW w:w="5040" w:type="dxa"/>
            <w:vAlign w:val="bottom"/>
            <w:tcBorders>
              <w:bottom w:val="single" w:sz="8" w:color="00548B"/>
              <w:right w:val="single" w:sz="8" w:color="00548B"/>
            </w:tcBorders>
          </w:tcPr>
          <w:p>
            <w:pPr>
              <w:spacing w:after="0"/>
              <w:rPr>
                <w:sz w:val="16"/>
                <w:szCs w:val="16"/>
                <w:color w:val="auto"/>
              </w:rPr>
            </w:pPr>
          </w:p>
        </w:tc>
      </w:tr>
    </w:tbl>
    <w:p>
      <w:pPr>
        <w:spacing w:after="0" w:line="157"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Shareholder Outreach</w:t>
      </w:r>
    </w:p>
    <w:p>
      <w:pPr>
        <w:spacing w:after="0" w:line="20" w:lineRule="exact"/>
        <w:rPr>
          <w:sz w:val="20"/>
          <w:szCs w:val="20"/>
          <w:color w:val="auto"/>
        </w:rPr>
      </w:pPr>
    </w:p>
    <w:p>
      <w:pPr>
        <w:jc w:val="both"/>
        <w:ind w:left="200"/>
        <w:spacing w:after="0" w:line="244" w:lineRule="auto"/>
        <w:rPr>
          <w:sz w:val="20"/>
          <w:szCs w:val="20"/>
          <w:color w:val="auto"/>
        </w:rPr>
      </w:pPr>
      <w:r>
        <w:rPr>
          <w:rFonts w:ascii="Arial" w:cs="Arial" w:eastAsia="Arial" w:hAnsi="Arial"/>
          <w:sz w:val="16"/>
          <w:szCs w:val="16"/>
          <w:color w:val="auto"/>
        </w:rPr>
        <w:t>We engage in proactive outreach efforts with our shareholders on a regular basis throughout the year. Select members of our board of directors and management team engage with our shareholders to seek their input and perspectives and help increase their understanding of our business, our growth strategy, our executive compensation philosophy and program, and our commitment to corporate governance, environmental and social issues. Throughout 2021, we engaged with shareholders representing a significant percentage of our outstanding shares. These conversations primarily focused on the evolution of Huron’s strategy and the impact of COVID-19; our ongoing refresh process for the board of directors, including how we will continue to foster diversity among board members; and environmental, social and governance topics. We heard no concerns regarding our NEO pay programs, including the 2021 cash retention award discussed further below. Our non-executive Chairman and the chair of the Compensation Committee were available for consultation with our major shareholders. The feedback received through our shareholder outreach efforts is communicated to and considered by the board and, when appropriate, informs our decisions and strategy.</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2021 Say on Pay Vote</w:t>
      </w:r>
    </w:p>
    <w:p>
      <w:pPr>
        <w:spacing w:after="0" w:line="20" w:lineRule="exact"/>
        <w:rPr>
          <w:sz w:val="20"/>
          <w:szCs w:val="20"/>
          <w:color w:val="auto"/>
        </w:rPr>
      </w:pPr>
    </w:p>
    <w:p>
      <w:pPr>
        <w:jc w:val="both"/>
        <w:ind w:left="200"/>
        <w:spacing w:after="0" w:line="246" w:lineRule="auto"/>
        <w:rPr>
          <w:sz w:val="20"/>
          <w:szCs w:val="20"/>
          <w:color w:val="auto"/>
        </w:rPr>
      </w:pPr>
      <w:r>
        <w:rPr>
          <w:rFonts w:ascii="Arial" w:cs="Arial" w:eastAsia="Arial" w:hAnsi="Arial"/>
          <w:sz w:val="16"/>
          <w:szCs w:val="16"/>
          <w:color w:val="auto"/>
        </w:rPr>
        <w:t>At the 2021 Annual Meeting, approximately 91% of votes cast were in support of our named executive officers’ compensation. We view these results as overwhelming support of our compensation programs, including their strong alignment between our executives’ pay and shareholder value, and the focused actions the Compensation Committee took in response to the impact of COVID-19 on our business and our people. We will continue to listen carefully to our shareholders and incorporate their feedback into our decisions about executive compensation.</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29</w:t>
      </w:r>
    </w:p>
    <w:p>
      <w:pPr>
        <w:sectPr>
          <w:pgSz w:w="11900" w:h="16838" w:orient="portrait"/>
          <w:cols w:equalWidth="0" w:num="1">
            <w:col w:w="11040"/>
          </w:cols>
          <w:pgMar w:left="320" w:top="454" w:right="5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200660</wp:posOffset>
            </wp:positionV>
            <wp:extent cx="6889750" cy="2197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89750" cy="219710"/>
                    </a:xfrm>
                    <a:prstGeom prst="rect">
                      <a:avLst/>
                    </a:prstGeom>
                    <a:noFill/>
                  </pic:spPr>
                </pic:pic>
              </a:graphicData>
            </a:graphic>
          </wp:anchor>
        </w:drawing>
      </w:r>
    </w:p>
    <w:p>
      <w:pPr>
        <w:spacing w:after="0" w:line="36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D8D8D8"/>
        </w:rPr>
        <w:t>SECTION 3 - NEO COMPENSATION PROGRAM DETAILS</w:t>
      </w:r>
    </w:p>
    <w:p>
      <w:pPr>
        <w:spacing w:after="0" w:line="238"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Targeting of Total Direct Compensation</w:t>
      </w:r>
    </w:p>
    <w:p>
      <w:pPr>
        <w:spacing w:after="0" w:line="20" w:lineRule="exact"/>
        <w:rPr>
          <w:sz w:val="20"/>
          <w:szCs w:val="20"/>
          <w:color w:val="auto"/>
        </w:rPr>
      </w:pPr>
    </w:p>
    <w:p>
      <w:pPr>
        <w:jc w:val="both"/>
        <w:ind w:left="200" w:right="20"/>
        <w:spacing w:after="0" w:line="245" w:lineRule="auto"/>
        <w:rPr>
          <w:sz w:val="20"/>
          <w:szCs w:val="20"/>
          <w:color w:val="auto"/>
        </w:rPr>
      </w:pPr>
      <w:r>
        <w:rPr>
          <w:rFonts w:ascii="Arial" w:cs="Arial" w:eastAsia="Arial" w:hAnsi="Arial"/>
          <w:sz w:val="16"/>
          <w:szCs w:val="16"/>
          <w:color w:val="auto"/>
        </w:rPr>
        <w:t>The Compensation Committee generally targets total direct compensation to be within +/-15% of the median of the Executive Pay Peer Group for our NEOs. In addition to peer group data, the Compensation Committee also reviews survey data for companies with revenues between $500 million and $1 billion from the Radford Global Technology Survey. The Compensation Committee considers Huron’s competition for talent for the NEOs as well as managing directors to be broader than just the peer group companies, including other public and private consulting, strategy and technology organizations. When making compensation determinations, the Compensation Committee also considers the advice of our independent compensation consultant and applies its judgment in incorporating these and other factors.</w:t>
      </w:r>
    </w:p>
    <w:p>
      <w:pPr>
        <w:spacing w:after="0" w:line="145"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2021 NEO Compensation Opportunity</w:t>
      </w:r>
    </w:p>
    <w:p>
      <w:pPr>
        <w:spacing w:after="0" w:line="20" w:lineRule="exact"/>
        <w:rPr>
          <w:sz w:val="20"/>
          <w:szCs w:val="20"/>
          <w:color w:val="auto"/>
        </w:rPr>
      </w:pPr>
    </w:p>
    <w:p>
      <w:pPr>
        <w:jc w:val="both"/>
        <w:ind w:left="200" w:right="20"/>
        <w:spacing w:after="0" w:line="248" w:lineRule="auto"/>
        <w:rPr>
          <w:sz w:val="20"/>
          <w:szCs w:val="20"/>
          <w:color w:val="auto"/>
        </w:rPr>
      </w:pPr>
      <w:r>
        <w:rPr>
          <w:rFonts w:ascii="Arial" w:cs="Arial" w:eastAsia="Arial" w:hAnsi="Arial"/>
          <w:sz w:val="16"/>
          <w:szCs w:val="16"/>
          <w:color w:val="auto"/>
        </w:rPr>
        <w:t>The Compensation Committee reviews NEO compensation for comparability and competitiveness on an annual basis. In February 2021, the Compensation Committee approved 2021 compensation levels with no changes from 2020 due to the continued uncertainty and ongoing impact of the COVID-19 pandemic on the business at that time. The elements of 2021 compensation for each NEO are as follows:</w:t>
      </w:r>
    </w:p>
    <w:p>
      <w:pPr>
        <w:spacing w:after="0" w:line="199" w:lineRule="exact"/>
        <w:rPr>
          <w:sz w:val="20"/>
          <w:szCs w:val="20"/>
          <w:color w:val="auto"/>
        </w:rPr>
      </w:pPr>
    </w:p>
    <w:tbl>
      <w:tblPr>
        <w:tblLayout w:type="fixed"/>
        <w:tblInd w:w="200" w:type="dxa"/>
        <w:tblCellMar>
          <w:top w:w="0" w:type="dxa"/>
          <w:left w:w="0" w:type="dxa"/>
          <w:bottom w:w="0" w:type="dxa"/>
          <w:right w:w="0" w:type="dxa"/>
        </w:tblCellMar>
      </w:tblPr>
      <w:tr>
        <w:trPr>
          <w:trHeight w:val="233"/>
        </w:trPr>
        <w:tc>
          <w:tcPr>
            <w:tcW w:w="2880" w:type="dxa"/>
            <w:vAlign w:val="bottom"/>
            <w:tcBorders>
              <w:bottom w:val="single" w:sz="8" w:color="00548B"/>
            </w:tcBorders>
            <w:shd w:val="clear" w:color="auto" w:fill="00548B"/>
          </w:tcPr>
          <w:p>
            <w:pPr>
              <w:spacing w:after="0"/>
              <w:rPr>
                <w:sz w:val="20"/>
                <w:szCs w:val="20"/>
                <w:color w:val="auto"/>
              </w:rPr>
            </w:pPr>
            <w:r>
              <w:rPr>
                <w:rFonts w:ascii="Arial" w:cs="Arial" w:eastAsia="Arial" w:hAnsi="Arial"/>
                <w:sz w:val="14"/>
                <w:szCs w:val="14"/>
                <w:b w:val="1"/>
                <w:bCs w:val="1"/>
                <w:color w:val="E5E5E5"/>
              </w:rPr>
              <w:t>Compensation Element</w:t>
            </w:r>
          </w:p>
        </w:tc>
        <w:tc>
          <w:tcPr>
            <w:tcW w:w="2600" w:type="dxa"/>
            <w:vAlign w:val="bottom"/>
            <w:tcBorders>
              <w:bottom w:val="single" w:sz="8" w:color="00548B"/>
            </w:tcBorders>
            <w:shd w:val="clear" w:color="auto" w:fill="00548B"/>
          </w:tcPr>
          <w:p>
            <w:pPr>
              <w:ind w:left="1260"/>
              <w:spacing w:after="0"/>
              <w:rPr>
                <w:sz w:val="20"/>
                <w:szCs w:val="20"/>
                <w:color w:val="auto"/>
              </w:rPr>
            </w:pPr>
            <w:r>
              <w:rPr>
                <w:rFonts w:ascii="Arial" w:cs="Arial" w:eastAsia="Arial" w:hAnsi="Arial"/>
                <w:sz w:val="14"/>
                <w:szCs w:val="14"/>
                <w:b w:val="1"/>
                <w:bCs w:val="1"/>
                <w:color w:val="E5E5E5"/>
              </w:rPr>
              <w:t>James H. Roth</w:t>
            </w:r>
          </w:p>
        </w:tc>
        <w:tc>
          <w:tcPr>
            <w:tcW w:w="1760" w:type="dxa"/>
            <w:vAlign w:val="bottom"/>
            <w:tcBorders>
              <w:bottom w:val="single" w:sz="8" w:color="00548B"/>
            </w:tcBorders>
            <w:shd w:val="clear" w:color="auto" w:fill="00548B"/>
          </w:tcPr>
          <w:p>
            <w:pPr>
              <w:ind w:left="340"/>
              <w:spacing w:after="0"/>
              <w:rPr>
                <w:sz w:val="20"/>
                <w:szCs w:val="20"/>
                <w:color w:val="auto"/>
              </w:rPr>
            </w:pPr>
            <w:r>
              <w:rPr>
                <w:rFonts w:ascii="Arial" w:cs="Arial" w:eastAsia="Arial" w:hAnsi="Arial"/>
                <w:sz w:val="14"/>
                <w:szCs w:val="14"/>
                <w:b w:val="1"/>
                <w:bCs w:val="1"/>
                <w:color w:val="E5E5E5"/>
              </w:rPr>
              <w:t>C. Mark Hussey</w:t>
            </w:r>
          </w:p>
        </w:tc>
        <w:tc>
          <w:tcPr>
            <w:tcW w:w="1620" w:type="dxa"/>
            <w:vAlign w:val="bottom"/>
            <w:tcBorders>
              <w:bottom w:val="single" w:sz="8" w:color="00548B"/>
            </w:tcBorders>
            <w:shd w:val="clear" w:color="auto" w:fill="00548B"/>
          </w:tcPr>
          <w:p>
            <w:pPr>
              <w:ind w:left="340"/>
              <w:spacing w:after="0"/>
              <w:rPr>
                <w:sz w:val="20"/>
                <w:szCs w:val="20"/>
                <w:color w:val="auto"/>
              </w:rPr>
            </w:pPr>
            <w:r>
              <w:rPr>
                <w:rFonts w:ascii="Arial" w:cs="Arial" w:eastAsia="Arial" w:hAnsi="Arial"/>
                <w:sz w:val="14"/>
                <w:szCs w:val="14"/>
                <w:b w:val="1"/>
                <w:bCs w:val="1"/>
                <w:color w:val="E5E5E5"/>
              </w:rPr>
              <w:t>John D. Kelly</w:t>
            </w:r>
          </w:p>
        </w:tc>
        <w:tc>
          <w:tcPr>
            <w:tcW w:w="2000" w:type="dxa"/>
            <w:vAlign w:val="bottom"/>
            <w:tcBorders>
              <w:bottom w:val="single" w:sz="8" w:color="00548B"/>
            </w:tcBorders>
            <w:shd w:val="clear" w:color="auto" w:fill="00548B"/>
          </w:tcPr>
          <w:p>
            <w:pPr>
              <w:ind w:left="400"/>
              <w:spacing w:after="0"/>
              <w:rPr>
                <w:sz w:val="20"/>
                <w:szCs w:val="20"/>
                <w:color w:val="auto"/>
              </w:rPr>
            </w:pPr>
            <w:r>
              <w:rPr>
                <w:rFonts w:ascii="Arial" w:cs="Arial" w:eastAsia="Arial" w:hAnsi="Arial"/>
                <w:sz w:val="14"/>
                <w:szCs w:val="14"/>
                <w:b w:val="1"/>
                <w:bCs w:val="1"/>
                <w:color w:val="E5E5E5"/>
              </w:rPr>
              <w:t>Ernest W. Torain, Jr.</w:t>
            </w:r>
          </w:p>
        </w:tc>
        <w:tc>
          <w:tcPr>
            <w:tcW w:w="0" w:type="dxa"/>
            <w:vAlign w:val="bottom"/>
          </w:tcPr>
          <w:p>
            <w:pPr>
              <w:spacing w:after="0"/>
              <w:rPr>
                <w:sz w:val="1"/>
                <w:szCs w:val="1"/>
                <w:color w:val="auto"/>
              </w:rPr>
            </w:pPr>
          </w:p>
        </w:tc>
      </w:tr>
      <w:tr>
        <w:trPr>
          <w:trHeight w:val="186"/>
        </w:trPr>
        <w:tc>
          <w:tcPr>
            <w:tcW w:w="2880" w:type="dxa"/>
            <w:vAlign w:val="bottom"/>
            <w:tcBorders>
              <w:bottom w:val="single" w:sz="8" w:color="999999"/>
            </w:tcBorders>
          </w:tcPr>
          <w:p>
            <w:pPr>
              <w:spacing w:after="0"/>
              <w:rPr>
                <w:sz w:val="20"/>
                <w:szCs w:val="20"/>
                <w:color w:val="auto"/>
              </w:rPr>
            </w:pPr>
            <w:r>
              <w:rPr>
                <w:rFonts w:ascii="Arial" w:cs="Arial" w:eastAsia="Arial" w:hAnsi="Arial"/>
                <w:sz w:val="16"/>
                <w:szCs w:val="16"/>
                <w:color w:val="auto"/>
              </w:rPr>
              <w:t>Base Salary</w:t>
            </w:r>
          </w:p>
        </w:tc>
        <w:tc>
          <w:tcPr>
            <w:tcW w:w="2600" w:type="dxa"/>
            <w:vAlign w:val="bottom"/>
            <w:tcBorders>
              <w:bottom w:val="single" w:sz="8" w:color="999999"/>
            </w:tcBorders>
          </w:tcPr>
          <w:p>
            <w:pPr>
              <w:jc w:val="center"/>
              <w:ind w:left="842"/>
              <w:spacing w:after="0"/>
              <w:rPr>
                <w:sz w:val="20"/>
                <w:szCs w:val="20"/>
                <w:color w:val="auto"/>
              </w:rPr>
            </w:pPr>
            <w:r>
              <w:rPr>
                <w:rFonts w:ascii="Arial" w:cs="Arial" w:eastAsia="Arial" w:hAnsi="Arial"/>
                <w:sz w:val="16"/>
                <w:szCs w:val="16"/>
                <w:color w:val="auto"/>
              </w:rPr>
              <w:t>$950,000</w:t>
            </w:r>
          </w:p>
        </w:tc>
        <w:tc>
          <w:tcPr>
            <w:tcW w:w="1760" w:type="dxa"/>
            <w:vAlign w:val="bottom"/>
            <w:tcBorders>
              <w:bottom w:val="single" w:sz="8" w:color="999999"/>
            </w:tcBorders>
          </w:tcPr>
          <w:p>
            <w:pPr>
              <w:jc w:val="center"/>
              <w:spacing w:after="0"/>
              <w:rPr>
                <w:sz w:val="20"/>
                <w:szCs w:val="20"/>
                <w:color w:val="auto"/>
              </w:rPr>
            </w:pPr>
            <w:r>
              <w:rPr>
                <w:rFonts w:ascii="Arial" w:cs="Arial" w:eastAsia="Arial" w:hAnsi="Arial"/>
                <w:sz w:val="16"/>
                <w:szCs w:val="16"/>
                <w:color w:val="auto"/>
                <w:w w:val="98"/>
              </w:rPr>
              <w:t>$800,000</w:t>
            </w:r>
          </w:p>
        </w:tc>
        <w:tc>
          <w:tcPr>
            <w:tcW w:w="1620" w:type="dxa"/>
            <w:vAlign w:val="bottom"/>
            <w:tcBorders>
              <w:bottom w:val="single" w:sz="8" w:color="999999"/>
            </w:tcBorders>
          </w:tcPr>
          <w:p>
            <w:pPr>
              <w:jc w:val="center"/>
              <w:spacing w:after="0"/>
              <w:rPr>
                <w:sz w:val="20"/>
                <w:szCs w:val="20"/>
                <w:color w:val="auto"/>
              </w:rPr>
            </w:pPr>
            <w:r>
              <w:rPr>
                <w:rFonts w:ascii="Arial" w:cs="Arial" w:eastAsia="Arial" w:hAnsi="Arial"/>
                <w:sz w:val="16"/>
                <w:szCs w:val="16"/>
                <w:color w:val="auto"/>
                <w:w w:val="98"/>
              </w:rPr>
              <w:t>$525,000</w:t>
            </w:r>
          </w:p>
        </w:tc>
        <w:tc>
          <w:tcPr>
            <w:tcW w:w="2000" w:type="dxa"/>
            <w:vAlign w:val="bottom"/>
            <w:tcBorders>
              <w:bottom w:val="single" w:sz="8" w:color="999999"/>
            </w:tcBorders>
          </w:tcPr>
          <w:p>
            <w:pPr>
              <w:jc w:val="center"/>
              <w:ind w:left="62"/>
              <w:spacing w:after="0"/>
              <w:rPr>
                <w:sz w:val="20"/>
                <w:szCs w:val="20"/>
                <w:color w:val="auto"/>
              </w:rPr>
            </w:pPr>
            <w:r>
              <w:rPr>
                <w:rFonts w:ascii="Arial" w:cs="Arial" w:eastAsia="Arial" w:hAnsi="Arial"/>
                <w:sz w:val="16"/>
                <w:szCs w:val="16"/>
                <w:color w:val="auto"/>
                <w:w w:val="98"/>
              </w:rPr>
              <w:t>$360,000</w:t>
            </w:r>
          </w:p>
        </w:tc>
        <w:tc>
          <w:tcPr>
            <w:tcW w:w="0" w:type="dxa"/>
            <w:vAlign w:val="bottom"/>
          </w:tcPr>
          <w:p>
            <w:pPr>
              <w:spacing w:after="0"/>
              <w:rPr>
                <w:sz w:val="1"/>
                <w:szCs w:val="1"/>
                <w:color w:val="auto"/>
              </w:rPr>
            </w:pPr>
          </w:p>
        </w:tc>
      </w:tr>
      <w:tr>
        <w:trPr>
          <w:trHeight w:val="181"/>
        </w:trPr>
        <w:tc>
          <w:tcPr>
            <w:tcW w:w="2880" w:type="dxa"/>
            <w:vAlign w:val="bottom"/>
          </w:tcPr>
          <w:p>
            <w:pPr>
              <w:spacing w:after="0" w:line="181" w:lineRule="exact"/>
              <w:rPr>
                <w:sz w:val="20"/>
                <w:szCs w:val="20"/>
                <w:color w:val="auto"/>
              </w:rPr>
            </w:pPr>
            <w:r>
              <w:rPr>
                <w:rFonts w:ascii="Arial" w:cs="Arial" w:eastAsia="Arial" w:hAnsi="Arial"/>
                <w:sz w:val="16"/>
                <w:szCs w:val="16"/>
                <w:color w:val="auto"/>
              </w:rPr>
              <w:t>Target AIP Opportunity</w:t>
            </w:r>
          </w:p>
        </w:tc>
        <w:tc>
          <w:tcPr>
            <w:tcW w:w="2600" w:type="dxa"/>
            <w:vAlign w:val="bottom"/>
            <w:vMerge w:val="restart"/>
          </w:tcPr>
          <w:p>
            <w:pPr>
              <w:jc w:val="center"/>
              <w:ind w:left="842"/>
              <w:spacing w:after="0"/>
              <w:rPr>
                <w:sz w:val="20"/>
                <w:szCs w:val="20"/>
                <w:color w:val="auto"/>
              </w:rPr>
            </w:pPr>
            <w:r>
              <w:rPr>
                <w:rFonts w:ascii="Arial" w:cs="Arial" w:eastAsia="Arial" w:hAnsi="Arial"/>
                <w:sz w:val="16"/>
                <w:szCs w:val="16"/>
                <w:color w:val="auto"/>
                <w:w w:val="97"/>
              </w:rPr>
              <w:t>140%</w:t>
            </w:r>
          </w:p>
        </w:tc>
        <w:tc>
          <w:tcPr>
            <w:tcW w:w="1760" w:type="dxa"/>
            <w:vAlign w:val="bottom"/>
            <w:vMerge w:val="restart"/>
          </w:tcPr>
          <w:p>
            <w:pPr>
              <w:jc w:val="center"/>
              <w:spacing w:after="0"/>
              <w:rPr>
                <w:sz w:val="20"/>
                <w:szCs w:val="20"/>
                <w:color w:val="auto"/>
              </w:rPr>
            </w:pPr>
            <w:r>
              <w:rPr>
                <w:rFonts w:ascii="Arial" w:cs="Arial" w:eastAsia="Arial" w:hAnsi="Arial"/>
                <w:sz w:val="16"/>
                <w:szCs w:val="16"/>
                <w:color w:val="auto"/>
                <w:w w:val="97"/>
              </w:rPr>
              <w:t>100%</w:t>
            </w:r>
          </w:p>
        </w:tc>
        <w:tc>
          <w:tcPr>
            <w:tcW w:w="1620" w:type="dxa"/>
            <w:vAlign w:val="bottom"/>
            <w:vMerge w:val="restart"/>
          </w:tcPr>
          <w:p>
            <w:pPr>
              <w:jc w:val="center"/>
              <w:spacing w:after="0"/>
              <w:rPr>
                <w:sz w:val="20"/>
                <w:szCs w:val="20"/>
                <w:color w:val="auto"/>
              </w:rPr>
            </w:pPr>
            <w:r>
              <w:rPr>
                <w:rFonts w:ascii="Arial" w:cs="Arial" w:eastAsia="Arial" w:hAnsi="Arial"/>
                <w:sz w:val="16"/>
                <w:szCs w:val="16"/>
                <w:color w:val="auto"/>
                <w:w w:val="93"/>
              </w:rPr>
              <w:t>90%</w:t>
            </w:r>
          </w:p>
        </w:tc>
        <w:tc>
          <w:tcPr>
            <w:tcW w:w="2000" w:type="dxa"/>
            <w:vAlign w:val="bottom"/>
            <w:vMerge w:val="restart"/>
          </w:tcPr>
          <w:p>
            <w:pPr>
              <w:jc w:val="center"/>
              <w:ind w:left="82"/>
              <w:spacing w:after="0"/>
              <w:rPr>
                <w:sz w:val="20"/>
                <w:szCs w:val="20"/>
                <w:color w:val="auto"/>
              </w:rPr>
            </w:pPr>
            <w:r>
              <w:rPr>
                <w:rFonts w:ascii="Arial" w:cs="Arial" w:eastAsia="Arial" w:hAnsi="Arial"/>
                <w:sz w:val="16"/>
                <w:szCs w:val="16"/>
                <w:color w:val="auto"/>
                <w:w w:val="99"/>
              </w:rPr>
              <w:t>50%</w:t>
            </w:r>
          </w:p>
        </w:tc>
        <w:tc>
          <w:tcPr>
            <w:tcW w:w="0" w:type="dxa"/>
            <w:vAlign w:val="bottom"/>
          </w:tcPr>
          <w:p>
            <w:pPr>
              <w:spacing w:after="0"/>
              <w:rPr>
                <w:sz w:val="1"/>
                <w:szCs w:val="1"/>
                <w:color w:val="auto"/>
              </w:rPr>
            </w:pPr>
          </w:p>
        </w:tc>
      </w:tr>
      <w:tr>
        <w:trPr>
          <w:trHeight w:val="99"/>
        </w:trPr>
        <w:tc>
          <w:tcPr>
            <w:tcW w:w="2880" w:type="dxa"/>
            <w:vAlign w:val="bottom"/>
            <w:vMerge w:val="restart"/>
          </w:tcPr>
          <w:p>
            <w:pPr>
              <w:spacing w:after="0"/>
              <w:rPr>
                <w:sz w:val="20"/>
                <w:szCs w:val="20"/>
                <w:color w:val="auto"/>
              </w:rPr>
            </w:pPr>
            <w:r>
              <w:rPr>
                <w:rFonts w:ascii="Arial" w:cs="Arial" w:eastAsia="Arial" w:hAnsi="Arial"/>
                <w:sz w:val="16"/>
                <w:szCs w:val="16"/>
                <w:color w:val="auto"/>
              </w:rPr>
              <w:t>(% of Salary)</w:t>
            </w:r>
          </w:p>
        </w:tc>
        <w:tc>
          <w:tcPr>
            <w:tcW w:w="2600" w:type="dxa"/>
            <w:vAlign w:val="bottom"/>
            <w:vMerge w:val="continue"/>
          </w:tcPr>
          <w:p>
            <w:pPr>
              <w:spacing w:after="0"/>
              <w:rPr>
                <w:sz w:val="8"/>
                <w:szCs w:val="8"/>
                <w:color w:val="auto"/>
              </w:rPr>
            </w:pPr>
          </w:p>
        </w:tc>
        <w:tc>
          <w:tcPr>
            <w:tcW w:w="1760" w:type="dxa"/>
            <w:vAlign w:val="bottom"/>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2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880" w:type="dxa"/>
            <w:vAlign w:val="bottom"/>
            <w:tcBorders>
              <w:bottom w:val="single" w:sz="8" w:color="999999"/>
            </w:tcBorders>
            <w:vMerge w:val="continue"/>
          </w:tcPr>
          <w:p>
            <w:pPr>
              <w:spacing w:after="0"/>
              <w:rPr>
                <w:sz w:val="8"/>
                <w:szCs w:val="8"/>
                <w:color w:val="auto"/>
              </w:rPr>
            </w:pPr>
          </w:p>
        </w:tc>
        <w:tc>
          <w:tcPr>
            <w:tcW w:w="2600" w:type="dxa"/>
            <w:vAlign w:val="bottom"/>
            <w:tcBorders>
              <w:bottom w:val="single" w:sz="8" w:color="999999"/>
            </w:tcBorders>
          </w:tcPr>
          <w:p>
            <w:pPr>
              <w:spacing w:after="0"/>
              <w:rPr>
                <w:sz w:val="8"/>
                <w:szCs w:val="8"/>
                <w:color w:val="auto"/>
              </w:rPr>
            </w:pPr>
          </w:p>
        </w:tc>
        <w:tc>
          <w:tcPr>
            <w:tcW w:w="1760" w:type="dxa"/>
            <w:vAlign w:val="bottom"/>
            <w:tcBorders>
              <w:bottom w:val="single" w:sz="8" w:color="999999"/>
            </w:tcBorders>
          </w:tcPr>
          <w:p>
            <w:pPr>
              <w:spacing w:after="0"/>
              <w:rPr>
                <w:sz w:val="8"/>
                <w:szCs w:val="8"/>
                <w:color w:val="auto"/>
              </w:rPr>
            </w:pPr>
          </w:p>
        </w:tc>
        <w:tc>
          <w:tcPr>
            <w:tcW w:w="1620" w:type="dxa"/>
            <w:vAlign w:val="bottom"/>
            <w:tcBorders>
              <w:bottom w:val="single" w:sz="8" w:color="999999"/>
            </w:tcBorders>
          </w:tcPr>
          <w:p>
            <w:pPr>
              <w:spacing w:after="0"/>
              <w:rPr>
                <w:sz w:val="8"/>
                <w:szCs w:val="8"/>
                <w:color w:val="auto"/>
              </w:rPr>
            </w:pPr>
          </w:p>
        </w:tc>
        <w:tc>
          <w:tcPr>
            <w:tcW w:w="2000" w:type="dxa"/>
            <w:vAlign w:val="bottom"/>
            <w:tcBorders>
              <w:bottom w:val="single" w:sz="8" w:color="999999"/>
            </w:tcBorders>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2880" w:type="dxa"/>
            <w:vAlign w:val="bottom"/>
          </w:tcPr>
          <w:p>
            <w:pPr>
              <w:spacing w:after="0"/>
              <w:rPr>
                <w:sz w:val="20"/>
                <w:szCs w:val="20"/>
                <w:color w:val="auto"/>
              </w:rPr>
            </w:pPr>
            <w:r>
              <w:rPr>
                <w:rFonts w:ascii="Arial" w:cs="Arial" w:eastAsia="Arial" w:hAnsi="Arial"/>
                <w:sz w:val="16"/>
                <w:szCs w:val="16"/>
                <w:color w:val="auto"/>
              </w:rPr>
              <w:t>Target LTI Opportunity</w:t>
            </w:r>
          </w:p>
        </w:tc>
        <w:tc>
          <w:tcPr>
            <w:tcW w:w="2600" w:type="dxa"/>
            <w:vAlign w:val="bottom"/>
            <w:vMerge w:val="restart"/>
          </w:tcPr>
          <w:p>
            <w:pPr>
              <w:jc w:val="center"/>
              <w:ind w:left="842"/>
              <w:spacing w:after="0"/>
              <w:rPr>
                <w:sz w:val="20"/>
                <w:szCs w:val="20"/>
                <w:color w:val="auto"/>
              </w:rPr>
            </w:pPr>
            <w:r>
              <w:rPr>
                <w:rFonts w:ascii="Arial" w:cs="Arial" w:eastAsia="Arial" w:hAnsi="Arial"/>
                <w:sz w:val="16"/>
                <w:szCs w:val="16"/>
                <w:color w:val="auto"/>
                <w:w w:val="97"/>
              </w:rPr>
              <w:t>225%</w:t>
            </w:r>
          </w:p>
        </w:tc>
        <w:tc>
          <w:tcPr>
            <w:tcW w:w="1760" w:type="dxa"/>
            <w:vAlign w:val="bottom"/>
            <w:vMerge w:val="restart"/>
          </w:tcPr>
          <w:p>
            <w:pPr>
              <w:jc w:val="center"/>
              <w:spacing w:after="0"/>
              <w:rPr>
                <w:sz w:val="20"/>
                <w:szCs w:val="20"/>
                <w:color w:val="auto"/>
              </w:rPr>
            </w:pPr>
            <w:r>
              <w:rPr>
                <w:rFonts w:ascii="Arial" w:cs="Arial" w:eastAsia="Arial" w:hAnsi="Arial"/>
                <w:sz w:val="16"/>
                <w:szCs w:val="16"/>
                <w:color w:val="auto"/>
                <w:w w:val="97"/>
              </w:rPr>
              <w:t>175%</w:t>
            </w:r>
          </w:p>
        </w:tc>
        <w:tc>
          <w:tcPr>
            <w:tcW w:w="1620" w:type="dxa"/>
            <w:vAlign w:val="bottom"/>
            <w:vMerge w:val="restart"/>
          </w:tcPr>
          <w:p>
            <w:pPr>
              <w:jc w:val="center"/>
              <w:spacing w:after="0"/>
              <w:rPr>
                <w:sz w:val="20"/>
                <w:szCs w:val="20"/>
                <w:color w:val="auto"/>
              </w:rPr>
            </w:pPr>
            <w:r>
              <w:rPr>
                <w:rFonts w:ascii="Arial" w:cs="Arial" w:eastAsia="Arial" w:hAnsi="Arial"/>
                <w:sz w:val="16"/>
                <w:szCs w:val="16"/>
                <w:color w:val="auto"/>
              </w:rPr>
              <w:t>150%</w:t>
            </w:r>
          </w:p>
        </w:tc>
        <w:tc>
          <w:tcPr>
            <w:tcW w:w="2000" w:type="dxa"/>
            <w:vAlign w:val="bottom"/>
            <w:vMerge w:val="restart"/>
          </w:tcPr>
          <w:p>
            <w:pPr>
              <w:jc w:val="center"/>
              <w:ind w:left="82"/>
              <w:spacing w:after="0"/>
              <w:rPr>
                <w:sz w:val="20"/>
                <w:szCs w:val="20"/>
                <w:color w:val="auto"/>
              </w:rPr>
            </w:pPr>
            <w:r>
              <w:rPr>
                <w:rFonts w:ascii="Arial" w:cs="Arial" w:eastAsia="Arial" w:hAnsi="Arial"/>
                <w:sz w:val="16"/>
                <w:szCs w:val="16"/>
                <w:color w:val="auto"/>
                <w:w w:val="99"/>
              </w:rPr>
              <w:t>90%</w:t>
            </w:r>
          </w:p>
        </w:tc>
        <w:tc>
          <w:tcPr>
            <w:tcW w:w="0" w:type="dxa"/>
            <w:vAlign w:val="bottom"/>
          </w:tcPr>
          <w:p>
            <w:pPr>
              <w:spacing w:after="0"/>
              <w:rPr>
                <w:sz w:val="1"/>
                <w:szCs w:val="1"/>
                <w:color w:val="auto"/>
              </w:rPr>
            </w:pPr>
          </w:p>
        </w:tc>
      </w:tr>
      <w:tr>
        <w:trPr>
          <w:trHeight w:val="99"/>
        </w:trPr>
        <w:tc>
          <w:tcPr>
            <w:tcW w:w="2880" w:type="dxa"/>
            <w:vAlign w:val="bottom"/>
            <w:vMerge w:val="restart"/>
          </w:tcPr>
          <w:p>
            <w:pPr>
              <w:spacing w:after="0"/>
              <w:rPr>
                <w:sz w:val="20"/>
                <w:szCs w:val="20"/>
                <w:color w:val="auto"/>
              </w:rPr>
            </w:pPr>
            <w:r>
              <w:rPr>
                <w:rFonts w:ascii="Arial" w:cs="Arial" w:eastAsia="Arial" w:hAnsi="Arial"/>
                <w:sz w:val="16"/>
                <w:szCs w:val="16"/>
                <w:color w:val="auto"/>
              </w:rPr>
              <w:t>(% of Salary)</w:t>
            </w:r>
          </w:p>
        </w:tc>
        <w:tc>
          <w:tcPr>
            <w:tcW w:w="2600" w:type="dxa"/>
            <w:vAlign w:val="bottom"/>
            <w:vMerge w:val="continue"/>
          </w:tcPr>
          <w:p>
            <w:pPr>
              <w:spacing w:after="0"/>
              <w:rPr>
                <w:sz w:val="8"/>
                <w:szCs w:val="8"/>
                <w:color w:val="auto"/>
              </w:rPr>
            </w:pPr>
          </w:p>
        </w:tc>
        <w:tc>
          <w:tcPr>
            <w:tcW w:w="1760" w:type="dxa"/>
            <w:vAlign w:val="bottom"/>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2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880" w:type="dxa"/>
            <w:vAlign w:val="bottom"/>
            <w:tcBorders>
              <w:bottom w:val="single" w:sz="8" w:color="00548B"/>
            </w:tcBorders>
            <w:vMerge w:val="continue"/>
          </w:tcPr>
          <w:p>
            <w:pPr>
              <w:spacing w:after="0"/>
              <w:rPr>
                <w:sz w:val="8"/>
                <w:szCs w:val="8"/>
                <w:color w:val="auto"/>
              </w:rPr>
            </w:pPr>
          </w:p>
        </w:tc>
        <w:tc>
          <w:tcPr>
            <w:tcW w:w="2600" w:type="dxa"/>
            <w:vAlign w:val="bottom"/>
            <w:tcBorders>
              <w:bottom w:val="single" w:sz="8" w:color="00548B"/>
            </w:tcBorders>
          </w:tcPr>
          <w:p>
            <w:pPr>
              <w:spacing w:after="0"/>
              <w:rPr>
                <w:sz w:val="8"/>
                <w:szCs w:val="8"/>
                <w:color w:val="auto"/>
              </w:rPr>
            </w:pPr>
          </w:p>
        </w:tc>
        <w:tc>
          <w:tcPr>
            <w:tcW w:w="1760" w:type="dxa"/>
            <w:vAlign w:val="bottom"/>
            <w:tcBorders>
              <w:bottom w:val="single" w:sz="8" w:color="00548B"/>
            </w:tcBorders>
          </w:tcPr>
          <w:p>
            <w:pPr>
              <w:spacing w:after="0"/>
              <w:rPr>
                <w:sz w:val="8"/>
                <w:szCs w:val="8"/>
                <w:color w:val="auto"/>
              </w:rPr>
            </w:pPr>
          </w:p>
        </w:tc>
        <w:tc>
          <w:tcPr>
            <w:tcW w:w="1620" w:type="dxa"/>
            <w:vAlign w:val="bottom"/>
            <w:tcBorders>
              <w:bottom w:val="single" w:sz="8" w:color="00548B"/>
            </w:tcBorders>
          </w:tcPr>
          <w:p>
            <w:pPr>
              <w:spacing w:after="0"/>
              <w:rPr>
                <w:sz w:val="8"/>
                <w:szCs w:val="8"/>
                <w:color w:val="auto"/>
              </w:rPr>
            </w:pPr>
          </w:p>
        </w:tc>
        <w:tc>
          <w:tcPr>
            <w:tcW w:w="2000" w:type="dxa"/>
            <w:vAlign w:val="bottom"/>
            <w:tcBorders>
              <w:bottom w:val="single" w:sz="8" w:color="00548B"/>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200" w:right="20"/>
        <w:spacing w:after="0" w:line="248" w:lineRule="auto"/>
        <w:rPr>
          <w:sz w:val="20"/>
          <w:szCs w:val="20"/>
          <w:color w:val="auto"/>
        </w:rPr>
      </w:pPr>
      <w:r>
        <w:rPr>
          <w:rFonts w:ascii="Arial" w:cs="Arial" w:eastAsia="Arial" w:hAnsi="Arial"/>
          <w:sz w:val="16"/>
          <w:szCs w:val="16"/>
          <w:color w:val="auto"/>
        </w:rPr>
        <w:t>In addition, in April 2021, the Compensation Committee approved cash retention awards for each of the NEOs to be paid if the NEO remains employed by Huron over a three-year period through March 1, 2024. For additional detail of these awards, please refer to the “2021 Cash Retention Award” section below.</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2021 Annual Incentive</w:t>
      </w:r>
    </w:p>
    <w:p>
      <w:pPr>
        <w:spacing w:after="0" w:line="15" w:lineRule="exact"/>
        <w:rPr>
          <w:sz w:val="20"/>
          <w:szCs w:val="20"/>
          <w:color w:val="auto"/>
        </w:rPr>
      </w:pPr>
    </w:p>
    <w:p>
      <w:pPr>
        <w:jc w:val="both"/>
        <w:ind w:left="200" w:right="20"/>
        <w:spacing w:after="0" w:line="216" w:lineRule="auto"/>
        <w:rPr>
          <w:sz w:val="20"/>
          <w:szCs w:val="20"/>
          <w:color w:val="auto"/>
        </w:rPr>
      </w:pPr>
      <w:r>
        <w:rPr>
          <w:rFonts w:ascii="Arial" w:cs="Arial" w:eastAsia="Arial" w:hAnsi="Arial"/>
          <w:sz w:val="16"/>
          <w:szCs w:val="16"/>
          <w:color w:val="auto"/>
        </w:rPr>
        <w:t>The Compensation Committee approved the continued use of Organic Revenue Growth</w:t>
      </w:r>
      <w:r>
        <w:rPr>
          <w:rFonts w:ascii="Arial" w:cs="Arial" w:eastAsia="Arial" w:hAnsi="Arial"/>
          <w:sz w:val="27"/>
          <w:szCs w:val="27"/>
          <w:color w:val="auto"/>
          <w:vertAlign w:val="superscript"/>
        </w:rPr>
        <w:t>2</w:t>
      </w:r>
      <w:r>
        <w:rPr>
          <w:rFonts w:ascii="Arial" w:cs="Arial" w:eastAsia="Arial" w:hAnsi="Arial"/>
          <w:sz w:val="16"/>
          <w:szCs w:val="16"/>
          <w:color w:val="auto"/>
        </w:rPr>
        <w:t>, Adjusted EBITDA Margin and Strategic Measures as the three elements of the NEOs’ annual incentive program for 2021. The Compensation Committee elected to enhance the Strategic Measures to include Environmental, Social and Governance (ESG) measures and increase the overall weighting of the Strategic Measures to 25% of the total to provide sufficient weighting for the new ESG goals. The Organic Revenue Growth financial measure retained its weighting of 40% and the Adjusted EBITDA Margin financial measure was reduced to a 35% weighting.</w:t>
      </w:r>
    </w:p>
    <w:p>
      <w:pPr>
        <w:spacing w:after="0" w:line="205" w:lineRule="exact"/>
        <w:rPr>
          <w:sz w:val="20"/>
          <w:szCs w:val="20"/>
          <w:color w:val="auto"/>
        </w:rPr>
      </w:pPr>
    </w:p>
    <w:tbl>
      <w:tblPr>
        <w:tblLayout w:type="fixed"/>
        <w:tblInd w:w="200" w:type="dxa"/>
        <w:tblCellMar>
          <w:top w:w="0" w:type="dxa"/>
          <w:left w:w="0" w:type="dxa"/>
          <w:bottom w:w="0" w:type="dxa"/>
          <w:right w:w="0" w:type="dxa"/>
        </w:tblCellMar>
      </w:tblPr>
      <w:tr>
        <w:trPr>
          <w:trHeight w:val="213"/>
        </w:trPr>
        <w:tc>
          <w:tcPr>
            <w:tcW w:w="3800" w:type="dxa"/>
            <w:vAlign w:val="bottom"/>
            <w:shd w:val="clear" w:color="auto" w:fill="00548B"/>
          </w:tcPr>
          <w:p>
            <w:pPr>
              <w:spacing w:after="0"/>
              <w:rPr>
                <w:sz w:val="18"/>
                <w:szCs w:val="18"/>
                <w:color w:val="auto"/>
              </w:rPr>
            </w:pPr>
          </w:p>
        </w:tc>
        <w:tc>
          <w:tcPr>
            <w:tcW w:w="1260" w:type="dxa"/>
            <w:vAlign w:val="bottom"/>
            <w:shd w:val="clear" w:color="auto" w:fill="00548B"/>
          </w:tcPr>
          <w:p>
            <w:pPr>
              <w:spacing w:after="0"/>
              <w:rPr>
                <w:sz w:val="18"/>
                <w:szCs w:val="18"/>
                <w:color w:val="auto"/>
              </w:rPr>
            </w:pPr>
          </w:p>
        </w:tc>
        <w:tc>
          <w:tcPr>
            <w:tcW w:w="1100" w:type="dxa"/>
            <w:vAlign w:val="bottom"/>
            <w:shd w:val="clear" w:color="auto" w:fill="00548B"/>
          </w:tcPr>
          <w:p>
            <w:pPr>
              <w:spacing w:after="0"/>
              <w:rPr>
                <w:sz w:val="18"/>
                <w:szCs w:val="18"/>
                <w:color w:val="auto"/>
              </w:rPr>
            </w:pPr>
          </w:p>
        </w:tc>
        <w:tc>
          <w:tcPr>
            <w:tcW w:w="2620" w:type="dxa"/>
            <w:vAlign w:val="bottom"/>
            <w:gridSpan w:val="2"/>
            <w:shd w:val="clear" w:color="auto" w:fill="00548B"/>
          </w:tcPr>
          <w:p>
            <w:pPr>
              <w:ind w:left="260"/>
              <w:spacing w:after="0"/>
              <w:rPr>
                <w:sz w:val="20"/>
                <w:szCs w:val="20"/>
                <w:color w:val="auto"/>
              </w:rPr>
            </w:pPr>
            <w:r>
              <w:rPr>
                <w:rFonts w:ascii="Arial" w:cs="Arial" w:eastAsia="Arial" w:hAnsi="Arial"/>
                <w:sz w:val="14"/>
                <w:szCs w:val="14"/>
                <w:b w:val="1"/>
                <w:bCs w:val="1"/>
                <w:color w:val="D8D8D8"/>
              </w:rPr>
              <w:t>2021 Annual Incentive Goals</w:t>
            </w:r>
          </w:p>
        </w:tc>
        <w:tc>
          <w:tcPr>
            <w:tcW w:w="1020" w:type="dxa"/>
            <w:vAlign w:val="bottom"/>
            <w:shd w:val="clear" w:color="auto" w:fill="00548B"/>
          </w:tcPr>
          <w:p>
            <w:pPr>
              <w:spacing w:after="0"/>
              <w:rPr>
                <w:sz w:val="18"/>
                <w:szCs w:val="18"/>
                <w:color w:val="auto"/>
              </w:rPr>
            </w:pPr>
          </w:p>
        </w:tc>
        <w:tc>
          <w:tcPr>
            <w:tcW w:w="1060" w:type="dxa"/>
            <w:vAlign w:val="bottom"/>
            <w:vMerge w:val="restart"/>
            <w:shd w:val="clear" w:color="auto" w:fill="00548B"/>
          </w:tcPr>
          <w:p>
            <w:pPr>
              <w:ind w:left="260"/>
              <w:spacing w:after="0"/>
              <w:rPr>
                <w:sz w:val="20"/>
                <w:szCs w:val="20"/>
                <w:color w:val="auto"/>
              </w:rPr>
            </w:pPr>
            <w:r>
              <w:rPr>
                <w:rFonts w:ascii="Arial" w:cs="Arial" w:eastAsia="Arial" w:hAnsi="Arial"/>
                <w:sz w:val="14"/>
                <w:szCs w:val="14"/>
                <w:b w:val="1"/>
                <w:bCs w:val="1"/>
                <w:color w:val="E5E5E5"/>
              </w:rPr>
              <w:t>Payout %</w:t>
            </w:r>
          </w:p>
        </w:tc>
        <w:tc>
          <w:tcPr>
            <w:tcW w:w="0" w:type="dxa"/>
            <w:vAlign w:val="bottom"/>
          </w:tcPr>
          <w:p>
            <w:pPr>
              <w:spacing w:after="0"/>
              <w:rPr>
                <w:sz w:val="1"/>
                <w:szCs w:val="1"/>
                <w:color w:val="auto"/>
              </w:rPr>
            </w:pPr>
          </w:p>
        </w:tc>
      </w:tr>
      <w:tr>
        <w:trPr>
          <w:trHeight w:val="146"/>
        </w:trPr>
        <w:tc>
          <w:tcPr>
            <w:tcW w:w="3800" w:type="dxa"/>
            <w:vAlign w:val="bottom"/>
            <w:shd w:val="clear" w:color="auto" w:fill="00548B"/>
          </w:tcPr>
          <w:p>
            <w:pPr>
              <w:spacing w:after="0"/>
              <w:rPr>
                <w:sz w:val="12"/>
                <w:szCs w:val="12"/>
                <w:color w:val="auto"/>
              </w:rPr>
            </w:pPr>
          </w:p>
        </w:tc>
        <w:tc>
          <w:tcPr>
            <w:tcW w:w="1260" w:type="dxa"/>
            <w:vAlign w:val="bottom"/>
            <w:shd w:val="clear" w:color="auto" w:fill="00548B"/>
          </w:tcPr>
          <w:p>
            <w:pPr>
              <w:spacing w:after="0"/>
              <w:rPr>
                <w:sz w:val="12"/>
                <w:szCs w:val="12"/>
                <w:color w:val="auto"/>
              </w:rPr>
            </w:pPr>
          </w:p>
        </w:tc>
        <w:tc>
          <w:tcPr>
            <w:tcW w:w="1100" w:type="dxa"/>
            <w:vAlign w:val="bottom"/>
            <w:shd w:val="clear" w:color="auto" w:fill="00548B"/>
          </w:tcPr>
          <w:p>
            <w:pPr>
              <w:spacing w:after="0"/>
              <w:rPr>
                <w:sz w:val="12"/>
                <w:szCs w:val="12"/>
                <w:color w:val="auto"/>
              </w:rPr>
            </w:pPr>
          </w:p>
        </w:tc>
        <w:tc>
          <w:tcPr>
            <w:tcW w:w="1320" w:type="dxa"/>
            <w:vAlign w:val="bottom"/>
            <w:shd w:val="clear" w:color="auto" w:fill="00548B"/>
          </w:tcPr>
          <w:p>
            <w:pPr>
              <w:spacing w:after="0"/>
              <w:rPr>
                <w:sz w:val="12"/>
                <w:szCs w:val="12"/>
                <w:color w:val="auto"/>
              </w:rPr>
            </w:pPr>
          </w:p>
        </w:tc>
        <w:tc>
          <w:tcPr>
            <w:tcW w:w="1300" w:type="dxa"/>
            <w:vAlign w:val="bottom"/>
            <w:shd w:val="clear" w:color="auto" w:fill="00548B"/>
          </w:tcPr>
          <w:p>
            <w:pPr>
              <w:spacing w:after="0"/>
              <w:rPr>
                <w:sz w:val="12"/>
                <w:szCs w:val="12"/>
                <w:color w:val="auto"/>
              </w:rPr>
            </w:pPr>
          </w:p>
        </w:tc>
        <w:tc>
          <w:tcPr>
            <w:tcW w:w="1020" w:type="dxa"/>
            <w:vAlign w:val="bottom"/>
            <w:shd w:val="clear" w:color="auto" w:fill="00548B"/>
          </w:tcPr>
          <w:p>
            <w:pPr>
              <w:spacing w:after="0"/>
              <w:rPr>
                <w:sz w:val="12"/>
                <w:szCs w:val="12"/>
                <w:color w:val="auto"/>
              </w:rPr>
            </w:pPr>
          </w:p>
        </w:tc>
        <w:tc>
          <w:tcPr>
            <w:tcW w:w="1060" w:type="dxa"/>
            <w:vAlign w:val="bottom"/>
            <w:vMerge w:val="continue"/>
            <w:shd w:val="clear" w:color="auto" w:fill="00548B"/>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3800" w:type="dxa"/>
            <w:vAlign w:val="bottom"/>
            <w:tcBorders>
              <w:bottom w:val="single" w:sz="8" w:color="00548B"/>
            </w:tcBorders>
            <w:shd w:val="clear" w:color="auto" w:fill="00548B"/>
          </w:tcPr>
          <w:p>
            <w:pPr>
              <w:spacing w:after="0"/>
              <w:rPr>
                <w:sz w:val="20"/>
                <w:szCs w:val="20"/>
                <w:color w:val="auto"/>
              </w:rPr>
            </w:pPr>
            <w:r>
              <w:rPr>
                <w:rFonts w:ascii="Arial" w:cs="Arial" w:eastAsia="Arial" w:hAnsi="Arial"/>
                <w:sz w:val="14"/>
                <w:szCs w:val="14"/>
                <w:b w:val="1"/>
                <w:bCs w:val="1"/>
                <w:color w:val="E5E5E5"/>
              </w:rPr>
              <w:t>Performance Measure</w:t>
            </w:r>
          </w:p>
        </w:tc>
        <w:tc>
          <w:tcPr>
            <w:tcW w:w="1260" w:type="dxa"/>
            <w:vAlign w:val="bottom"/>
            <w:tcBorders>
              <w:bottom w:val="single" w:sz="8" w:color="00548B"/>
            </w:tcBorders>
            <w:shd w:val="clear" w:color="auto" w:fill="00548B"/>
          </w:tcPr>
          <w:p>
            <w:pPr>
              <w:ind w:left="260"/>
              <w:spacing w:after="0"/>
              <w:rPr>
                <w:sz w:val="20"/>
                <w:szCs w:val="20"/>
                <w:color w:val="auto"/>
              </w:rPr>
            </w:pPr>
            <w:r>
              <w:rPr>
                <w:rFonts w:ascii="Arial" w:cs="Arial" w:eastAsia="Arial" w:hAnsi="Arial"/>
                <w:sz w:val="14"/>
                <w:szCs w:val="14"/>
                <w:b w:val="1"/>
                <w:bCs w:val="1"/>
                <w:color w:val="E5E5E5"/>
              </w:rPr>
              <w:t>Weighting</w:t>
            </w:r>
          </w:p>
        </w:tc>
        <w:tc>
          <w:tcPr>
            <w:tcW w:w="1100" w:type="dxa"/>
            <w:vAlign w:val="bottom"/>
            <w:tcBorders>
              <w:bottom w:val="single" w:sz="8" w:color="00548B"/>
            </w:tcBorders>
            <w:shd w:val="clear" w:color="auto" w:fill="00548B"/>
          </w:tcPr>
          <w:p>
            <w:pPr>
              <w:ind w:left="320"/>
              <w:spacing w:after="0"/>
              <w:rPr>
                <w:sz w:val="20"/>
                <w:szCs w:val="20"/>
                <w:color w:val="auto"/>
              </w:rPr>
            </w:pPr>
            <w:r>
              <w:rPr>
                <w:rFonts w:ascii="Arial" w:cs="Arial" w:eastAsia="Arial" w:hAnsi="Arial"/>
                <w:sz w:val="14"/>
                <w:szCs w:val="14"/>
                <w:b w:val="1"/>
                <w:bCs w:val="1"/>
                <w:color w:val="E5E5E5"/>
              </w:rPr>
              <w:t>Threshold</w:t>
            </w:r>
          </w:p>
        </w:tc>
        <w:tc>
          <w:tcPr>
            <w:tcW w:w="1320" w:type="dxa"/>
            <w:vAlign w:val="bottom"/>
            <w:tcBorders>
              <w:bottom w:val="single" w:sz="8" w:color="00548B"/>
            </w:tcBorders>
            <w:shd w:val="clear" w:color="auto" w:fill="00548B"/>
          </w:tcPr>
          <w:p>
            <w:pPr>
              <w:ind w:left="540"/>
              <w:spacing w:after="0"/>
              <w:rPr>
                <w:sz w:val="20"/>
                <w:szCs w:val="20"/>
                <w:color w:val="auto"/>
              </w:rPr>
            </w:pPr>
            <w:r>
              <w:rPr>
                <w:rFonts w:ascii="Arial" w:cs="Arial" w:eastAsia="Arial" w:hAnsi="Arial"/>
                <w:sz w:val="14"/>
                <w:szCs w:val="14"/>
                <w:b w:val="1"/>
                <w:bCs w:val="1"/>
                <w:color w:val="E5E5E5"/>
              </w:rPr>
              <w:t>Target</w:t>
            </w:r>
          </w:p>
        </w:tc>
        <w:tc>
          <w:tcPr>
            <w:tcW w:w="1300" w:type="dxa"/>
            <w:vAlign w:val="bottom"/>
            <w:tcBorders>
              <w:bottom w:val="single" w:sz="8" w:color="00548B"/>
            </w:tcBorders>
            <w:shd w:val="clear" w:color="auto" w:fill="00548B"/>
          </w:tcPr>
          <w:p>
            <w:pPr>
              <w:ind w:left="260"/>
              <w:spacing w:after="0"/>
              <w:rPr>
                <w:sz w:val="20"/>
                <w:szCs w:val="20"/>
                <w:color w:val="auto"/>
              </w:rPr>
            </w:pPr>
            <w:r>
              <w:rPr>
                <w:rFonts w:ascii="Arial" w:cs="Arial" w:eastAsia="Arial" w:hAnsi="Arial"/>
                <w:sz w:val="14"/>
                <w:szCs w:val="14"/>
                <w:b w:val="1"/>
                <w:bCs w:val="1"/>
                <w:color w:val="E5E5E5"/>
              </w:rPr>
              <w:t>Maximum</w:t>
            </w:r>
          </w:p>
        </w:tc>
        <w:tc>
          <w:tcPr>
            <w:tcW w:w="1020" w:type="dxa"/>
            <w:vAlign w:val="bottom"/>
            <w:tcBorders>
              <w:bottom w:val="single" w:sz="8" w:color="00548B"/>
            </w:tcBorders>
            <w:shd w:val="clear" w:color="auto" w:fill="00548B"/>
          </w:tcPr>
          <w:p>
            <w:pPr>
              <w:ind w:left="220"/>
              <w:spacing w:after="0"/>
              <w:rPr>
                <w:sz w:val="20"/>
                <w:szCs w:val="20"/>
                <w:color w:val="auto"/>
              </w:rPr>
            </w:pPr>
            <w:r>
              <w:rPr>
                <w:rFonts w:ascii="Arial" w:cs="Arial" w:eastAsia="Arial" w:hAnsi="Arial"/>
                <w:sz w:val="14"/>
                <w:szCs w:val="14"/>
                <w:b w:val="1"/>
                <w:bCs w:val="1"/>
                <w:color w:val="E5E5E5"/>
              </w:rPr>
              <w:t>Actual</w:t>
            </w:r>
          </w:p>
        </w:tc>
        <w:tc>
          <w:tcPr>
            <w:tcW w:w="1060" w:type="dxa"/>
            <w:vAlign w:val="bottom"/>
            <w:tcBorders>
              <w:bottom w:val="single" w:sz="8" w:color="00548B"/>
            </w:tcBorders>
            <w:shd w:val="clear" w:color="auto" w:fill="00548B"/>
          </w:tcPr>
          <w:p>
            <w:pPr>
              <w:ind w:left="280"/>
              <w:spacing w:after="0"/>
              <w:rPr>
                <w:sz w:val="20"/>
                <w:szCs w:val="20"/>
                <w:color w:val="auto"/>
              </w:rPr>
            </w:pPr>
            <w:r>
              <w:rPr>
                <w:rFonts w:ascii="Arial" w:cs="Arial" w:eastAsia="Arial" w:hAnsi="Arial"/>
                <w:sz w:val="14"/>
                <w:szCs w:val="14"/>
                <w:b w:val="1"/>
                <w:bCs w:val="1"/>
                <w:color w:val="E5E5E5"/>
              </w:rPr>
              <w:t>of Target</w:t>
            </w:r>
          </w:p>
        </w:tc>
        <w:tc>
          <w:tcPr>
            <w:tcW w:w="0" w:type="dxa"/>
            <w:vAlign w:val="bottom"/>
          </w:tcPr>
          <w:p>
            <w:pPr>
              <w:spacing w:after="0"/>
              <w:rPr>
                <w:sz w:val="1"/>
                <w:szCs w:val="1"/>
                <w:color w:val="auto"/>
              </w:rPr>
            </w:pPr>
          </w:p>
        </w:tc>
      </w:tr>
      <w:tr>
        <w:trPr>
          <w:trHeight w:val="186"/>
        </w:trPr>
        <w:tc>
          <w:tcPr>
            <w:tcW w:w="3800" w:type="dxa"/>
            <w:vAlign w:val="bottom"/>
            <w:tcBorders>
              <w:bottom w:val="single" w:sz="8" w:color="AAAAAA"/>
            </w:tcBorders>
          </w:tcPr>
          <w:p>
            <w:pPr>
              <w:spacing w:after="0"/>
              <w:rPr>
                <w:sz w:val="20"/>
                <w:szCs w:val="20"/>
                <w:color w:val="auto"/>
              </w:rPr>
            </w:pPr>
            <w:r>
              <w:rPr>
                <w:rFonts w:ascii="Arial" w:cs="Arial" w:eastAsia="Arial" w:hAnsi="Arial"/>
                <w:sz w:val="16"/>
                <w:szCs w:val="16"/>
                <w:color w:val="auto"/>
              </w:rPr>
              <w:t>Organic Revenue Growth</w:t>
            </w:r>
          </w:p>
        </w:tc>
        <w:tc>
          <w:tcPr>
            <w:tcW w:w="1260" w:type="dxa"/>
            <w:vAlign w:val="bottom"/>
            <w:tcBorders>
              <w:bottom w:val="single" w:sz="8" w:color="AAAAAA"/>
            </w:tcBorders>
          </w:tcPr>
          <w:p>
            <w:pPr>
              <w:jc w:val="center"/>
              <w:spacing w:after="0"/>
              <w:rPr>
                <w:sz w:val="20"/>
                <w:szCs w:val="20"/>
                <w:color w:val="auto"/>
              </w:rPr>
            </w:pPr>
            <w:r>
              <w:rPr>
                <w:rFonts w:ascii="Arial" w:cs="Arial" w:eastAsia="Arial" w:hAnsi="Arial"/>
                <w:sz w:val="16"/>
                <w:szCs w:val="16"/>
                <w:color w:val="auto"/>
                <w:w w:val="99"/>
              </w:rPr>
              <w:t>40%</w:t>
            </w:r>
          </w:p>
        </w:tc>
        <w:tc>
          <w:tcPr>
            <w:tcW w:w="1100" w:type="dxa"/>
            <w:vAlign w:val="bottom"/>
            <w:tcBorders>
              <w:bottom w:val="single" w:sz="8" w:color="AAAAAA"/>
            </w:tcBorders>
          </w:tcPr>
          <w:p>
            <w:pPr>
              <w:jc w:val="center"/>
              <w:ind w:left="163"/>
              <w:spacing w:after="0"/>
              <w:rPr>
                <w:sz w:val="20"/>
                <w:szCs w:val="20"/>
                <w:color w:val="auto"/>
              </w:rPr>
            </w:pPr>
            <w:r>
              <w:rPr>
                <w:rFonts w:ascii="Arial" w:cs="Arial" w:eastAsia="Arial" w:hAnsi="Arial"/>
                <w:sz w:val="16"/>
                <w:szCs w:val="16"/>
                <w:color w:val="auto"/>
                <w:w w:val="99"/>
              </w:rPr>
              <w:t>$820.0M</w:t>
            </w:r>
          </w:p>
        </w:tc>
        <w:tc>
          <w:tcPr>
            <w:tcW w:w="1320" w:type="dxa"/>
            <w:vAlign w:val="bottom"/>
            <w:tcBorders>
              <w:bottom w:val="single" w:sz="8" w:color="AAAAAA"/>
            </w:tcBorders>
          </w:tcPr>
          <w:p>
            <w:pPr>
              <w:jc w:val="center"/>
              <w:ind w:left="104"/>
              <w:spacing w:after="0"/>
              <w:rPr>
                <w:sz w:val="20"/>
                <w:szCs w:val="20"/>
                <w:color w:val="auto"/>
              </w:rPr>
            </w:pPr>
            <w:r>
              <w:rPr>
                <w:rFonts w:ascii="Arial" w:cs="Arial" w:eastAsia="Arial" w:hAnsi="Arial"/>
                <w:sz w:val="16"/>
                <w:szCs w:val="16"/>
                <w:color w:val="auto"/>
                <w:w w:val="99"/>
              </w:rPr>
              <w:t>$860.0M</w:t>
            </w:r>
          </w:p>
        </w:tc>
        <w:tc>
          <w:tcPr>
            <w:tcW w:w="1300" w:type="dxa"/>
            <w:vAlign w:val="bottom"/>
            <w:tcBorders>
              <w:bottom w:val="single" w:sz="8" w:color="AAAAAA"/>
            </w:tcBorders>
          </w:tcPr>
          <w:p>
            <w:pPr>
              <w:jc w:val="center"/>
              <w:ind w:right="43"/>
              <w:spacing w:after="0"/>
              <w:rPr>
                <w:sz w:val="20"/>
                <w:szCs w:val="20"/>
                <w:color w:val="auto"/>
              </w:rPr>
            </w:pPr>
            <w:r>
              <w:rPr>
                <w:rFonts w:ascii="Arial" w:cs="Arial" w:eastAsia="Arial" w:hAnsi="Arial"/>
                <w:sz w:val="16"/>
                <w:szCs w:val="16"/>
                <w:color w:val="auto"/>
                <w:w w:val="99"/>
              </w:rPr>
              <w:t>$924.5M</w:t>
            </w:r>
          </w:p>
        </w:tc>
        <w:tc>
          <w:tcPr>
            <w:tcW w:w="1020" w:type="dxa"/>
            <w:vAlign w:val="bottom"/>
            <w:tcBorders>
              <w:bottom w:val="single" w:sz="8" w:color="AAAAAA"/>
            </w:tcBorders>
          </w:tcPr>
          <w:p>
            <w:pPr>
              <w:jc w:val="center"/>
              <w:ind w:right="63"/>
              <w:spacing w:after="0"/>
              <w:rPr>
                <w:sz w:val="20"/>
                <w:szCs w:val="20"/>
                <w:color w:val="auto"/>
              </w:rPr>
            </w:pPr>
            <w:r>
              <w:rPr>
                <w:rFonts w:ascii="Arial" w:cs="Arial" w:eastAsia="Arial" w:hAnsi="Arial"/>
                <w:sz w:val="16"/>
                <w:szCs w:val="16"/>
                <w:color w:val="auto"/>
              </w:rPr>
              <w:t>$903.6M</w:t>
            </w:r>
          </w:p>
        </w:tc>
        <w:tc>
          <w:tcPr>
            <w:tcW w:w="1060" w:type="dxa"/>
            <w:vAlign w:val="bottom"/>
            <w:tcBorders>
              <w:bottom w:val="single" w:sz="8" w:color="AAAAAA"/>
            </w:tcBorders>
          </w:tcPr>
          <w:p>
            <w:pPr>
              <w:jc w:val="center"/>
              <w:ind w:left="3"/>
              <w:spacing w:after="0"/>
              <w:rPr>
                <w:sz w:val="20"/>
                <w:szCs w:val="20"/>
                <w:color w:val="auto"/>
              </w:rPr>
            </w:pPr>
            <w:r>
              <w:rPr>
                <w:rFonts w:ascii="Arial" w:cs="Arial" w:eastAsia="Arial" w:hAnsi="Arial"/>
                <w:sz w:val="16"/>
                <w:szCs w:val="16"/>
                <w:color w:val="auto"/>
                <w:w w:val="99"/>
              </w:rPr>
              <w:t>167.5%</w:t>
            </w:r>
          </w:p>
        </w:tc>
        <w:tc>
          <w:tcPr>
            <w:tcW w:w="0" w:type="dxa"/>
            <w:vAlign w:val="bottom"/>
          </w:tcPr>
          <w:p>
            <w:pPr>
              <w:spacing w:after="0"/>
              <w:rPr>
                <w:sz w:val="1"/>
                <w:szCs w:val="1"/>
                <w:color w:val="auto"/>
              </w:rPr>
            </w:pPr>
          </w:p>
        </w:tc>
      </w:tr>
      <w:tr>
        <w:trPr>
          <w:trHeight w:val="179"/>
        </w:trPr>
        <w:tc>
          <w:tcPr>
            <w:tcW w:w="3800" w:type="dxa"/>
            <w:vAlign w:val="bottom"/>
            <w:tcBorders>
              <w:bottom w:val="single" w:sz="8" w:color="AAAAAA"/>
            </w:tcBorders>
          </w:tcPr>
          <w:p>
            <w:pPr>
              <w:spacing w:after="0" w:line="180" w:lineRule="exact"/>
              <w:rPr>
                <w:sz w:val="20"/>
                <w:szCs w:val="20"/>
                <w:color w:val="auto"/>
              </w:rPr>
            </w:pPr>
            <w:r>
              <w:rPr>
                <w:rFonts w:ascii="Arial" w:cs="Arial" w:eastAsia="Arial" w:hAnsi="Arial"/>
                <w:sz w:val="16"/>
                <w:szCs w:val="16"/>
                <w:color w:val="auto"/>
              </w:rPr>
              <w:t>Adjusted EBITDA Margin</w:t>
            </w:r>
          </w:p>
        </w:tc>
        <w:tc>
          <w:tcPr>
            <w:tcW w:w="1260" w:type="dxa"/>
            <w:vAlign w:val="bottom"/>
            <w:tcBorders>
              <w:bottom w:val="single" w:sz="8" w:color="AAAAAA"/>
            </w:tcBorders>
          </w:tcPr>
          <w:p>
            <w:pPr>
              <w:jc w:val="center"/>
              <w:spacing w:after="0" w:line="180" w:lineRule="exact"/>
              <w:rPr>
                <w:sz w:val="20"/>
                <w:szCs w:val="20"/>
                <w:color w:val="auto"/>
              </w:rPr>
            </w:pPr>
            <w:r>
              <w:rPr>
                <w:rFonts w:ascii="Arial" w:cs="Arial" w:eastAsia="Arial" w:hAnsi="Arial"/>
                <w:sz w:val="16"/>
                <w:szCs w:val="16"/>
                <w:color w:val="auto"/>
                <w:w w:val="99"/>
              </w:rPr>
              <w:t>35%</w:t>
            </w:r>
          </w:p>
        </w:tc>
        <w:tc>
          <w:tcPr>
            <w:tcW w:w="1100" w:type="dxa"/>
            <w:vAlign w:val="bottom"/>
            <w:tcBorders>
              <w:bottom w:val="single" w:sz="8" w:color="AAAAAA"/>
            </w:tcBorders>
          </w:tcPr>
          <w:p>
            <w:pPr>
              <w:jc w:val="right"/>
              <w:ind w:right="123"/>
              <w:spacing w:after="0" w:line="180" w:lineRule="exact"/>
              <w:rPr>
                <w:sz w:val="20"/>
                <w:szCs w:val="20"/>
                <w:color w:val="auto"/>
              </w:rPr>
            </w:pPr>
            <w:r>
              <w:rPr>
                <w:rFonts w:ascii="Arial" w:cs="Arial" w:eastAsia="Arial" w:hAnsi="Arial"/>
                <w:sz w:val="16"/>
                <w:szCs w:val="16"/>
                <w:color w:val="auto"/>
              </w:rPr>
              <w:t>10.3%</w:t>
            </w:r>
          </w:p>
        </w:tc>
        <w:tc>
          <w:tcPr>
            <w:tcW w:w="1320" w:type="dxa"/>
            <w:vAlign w:val="bottom"/>
            <w:tcBorders>
              <w:bottom w:val="single" w:sz="8" w:color="AAAAAA"/>
            </w:tcBorders>
          </w:tcPr>
          <w:p>
            <w:pPr>
              <w:jc w:val="right"/>
              <w:ind w:right="264"/>
              <w:spacing w:after="0" w:line="180" w:lineRule="exact"/>
              <w:rPr>
                <w:sz w:val="20"/>
                <w:szCs w:val="20"/>
                <w:color w:val="auto"/>
              </w:rPr>
            </w:pPr>
            <w:r>
              <w:rPr>
                <w:rFonts w:ascii="Arial" w:cs="Arial" w:eastAsia="Arial" w:hAnsi="Arial"/>
                <w:sz w:val="16"/>
                <w:szCs w:val="16"/>
                <w:color w:val="auto"/>
              </w:rPr>
              <w:t>11.3%</w:t>
            </w:r>
          </w:p>
        </w:tc>
        <w:tc>
          <w:tcPr>
            <w:tcW w:w="1300" w:type="dxa"/>
            <w:vAlign w:val="bottom"/>
            <w:tcBorders>
              <w:bottom w:val="single" w:sz="8" w:color="AAAAAA"/>
            </w:tcBorders>
          </w:tcPr>
          <w:p>
            <w:pPr>
              <w:jc w:val="right"/>
              <w:ind w:right="423"/>
              <w:spacing w:after="0" w:line="180" w:lineRule="exact"/>
              <w:rPr>
                <w:sz w:val="20"/>
                <w:szCs w:val="20"/>
                <w:color w:val="auto"/>
              </w:rPr>
            </w:pPr>
            <w:r>
              <w:rPr>
                <w:rFonts w:ascii="Arial" w:cs="Arial" w:eastAsia="Arial" w:hAnsi="Arial"/>
                <w:sz w:val="16"/>
                <w:szCs w:val="16"/>
                <w:color w:val="auto"/>
              </w:rPr>
              <w:t>12.3%</w:t>
            </w:r>
          </w:p>
        </w:tc>
        <w:tc>
          <w:tcPr>
            <w:tcW w:w="1020" w:type="dxa"/>
            <w:vAlign w:val="bottom"/>
            <w:tcBorders>
              <w:bottom w:val="single" w:sz="8" w:color="AAAAAA"/>
            </w:tcBorders>
          </w:tcPr>
          <w:p>
            <w:pPr>
              <w:jc w:val="right"/>
              <w:ind w:right="283"/>
              <w:spacing w:after="0" w:line="180" w:lineRule="exact"/>
              <w:rPr>
                <w:sz w:val="20"/>
                <w:szCs w:val="20"/>
                <w:color w:val="auto"/>
              </w:rPr>
            </w:pPr>
            <w:r>
              <w:rPr>
                <w:rFonts w:ascii="Arial" w:cs="Arial" w:eastAsia="Arial" w:hAnsi="Arial"/>
                <w:sz w:val="16"/>
                <w:szCs w:val="16"/>
                <w:color w:val="auto"/>
              </w:rPr>
              <w:t>10.8%</w:t>
            </w:r>
          </w:p>
        </w:tc>
        <w:tc>
          <w:tcPr>
            <w:tcW w:w="1060" w:type="dxa"/>
            <w:vAlign w:val="bottom"/>
            <w:tcBorders>
              <w:bottom w:val="single" w:sz="8" w:color="AAAAAA"/>
            </w:tcBorders>
          </w:tcPr>
          <w:p>
            <w:pPr>
              <w:jc w:val="center"/>
              <w:ind w:left="3"/>
              <w:spacing w:after="0" w:line="180" w:lineRule="exact"/>
              <w:rPr>
                <w:sz w:val="20"/>
                <w:szCs w:val="20"/>
                <w:color w:val="auto"/>
              </w:rPr>
            </w:pPr>
            <w:r>
              <w:rPr>
                <w:rFonts w:ascii="Arial" w:cs="Arial" w:eastAsia="Arial" w:hAnsi="Arial"/>
                <w:sz w:val="16"/>
                <w:szCs w:val="16"/>
                <w:color w:val="auto"/>
              </w:rPr>
              <w:t>64.0%</w:t>
            </w:r>
          </w:p>
        </w:tc>
        <w:tc>
          <w:tcPr>
            <w:tcW w:w="0" w:type="dxa"/>
            <w:vAlign w:val="bottom"/>
          </w:tcPr>
          <w:p>
            <w:pPr>
              <w:spacing w:after="0"/>
              <w:rPr>
                <w:sz w:val="1"/>
                <w:szCs w:val="1"/>
                <w:color w:val="auto"/>
              </w:rPr>
            </w:pPr>
          </w:p>
        </w:tc>
      </w:tr>
      <w:tr>
        <w:trPr>
          <w:trHeight w:val="179"/>
        </w:trPr>
        <w:tc>
          <w:tcPr>
            <w:tcW w:w="3800" w:type="dxa"/>
            <w:vAlign w:val="bottom"/>
            <w:tcBorders>
              <w:bottom w:val="single" w:sz="8" w:color="AAAAAA"/>
            </w:tcBorders>
          </w:tcPr>
          <w:p>
            <w:pPr>
              <w:spacing w:after="0" w:line="180" w:lineRule="exact"/>
              <w:rPr>
                <w:sz w:val="20"/>
                <w:szCs w:val="20"/>
                <w:color w:val="auto"/>
              </w:rPr>
            </w:pPr>
            <w:r>
              <w:rPr>
                <w:rFonts w:ascii="Arial" w:cs="Arial" w:eastAsia="Arial" w:hAnsi="Arial"/>
                <w:sz w:val="13"/>
                <w:szCs w:val="13"/>
                <w:color w:val="auto"/>
              </w:rPr>
              <w:t>Strategic Measures</w:t>
            </w:r>
            <w:r>
              <w:rPr>
                <w:rFonts w:ascii="Arial" w:cs="Arial" w:eastAsia="Arial" w:hAnsi="Arial"/>
                <w:sz w:val="20"/>
                <w:szCs w:val="20"/>
                <w:color w:val="auto"/>
                <w:vertAlign w:val="superscript"/>
              </w:rPr>
              <w:t>(1)</w:t>
            </w:r>
          </w:p>
        </w:tc>
        <w:tc>
          <w:tcPr>
            <w:tcW w:w="1260" w:type="dxa"/>
            <w:vAlign w:val="bottom"/>
            <w:tcBorders>
              <w:bottom w:val="single" w:sz="8" w:color="AAAAAA"/>
            </w:tcBorders>
          </w:tcPr>
          <w:p>
            <w:pPr>
              <w:jc w:val="center"/>
              <w:spacing w:after="0" w:line="180" w:lineRule="exact"/>
              <w:rPr>
                <w:sz w:val="20"/>
                <w:szCs w:val="20"/>
                <w:color w:val="auto"/>
              </w:rPr>
            </w:pPr>
            <w:r>
              <w:rPr>
                <w:rFonts w:ascii="Arial" w:cs="Arial" w:eastAsia="Arial" w:hAnsi="Arial"/>
                <w:sz w:val="16"/>
                <w:szCs w:val="16"/>
                <w:color w:val="auto"/>
                <w:w w:val="99"/>
              </w:rPr>
              <w:t>25%</w:t>
            </w:r>
          </w:p>
        </w:tc>
        <w:tc>
          <w:tcPr>
            <w:tcW w:w="1100" w:type="dxa"/>
            <w:vAlign w:val="bottom"/>
            <w:tcBorders>
              <w:bottom w:val="single" w:sz="8" w:color="AAAAAA"/>
            </w:tcBorders>
          </w:tcPr>
          <w:p>
            <w:pPr>
              <w:spacing w:after="0"/>
              <w:rPr>
                <w:sz w:val="15"/>
                <w:szCs w:val="15"/>
                <w:color w:val="auto"/>
              </w:rPr>
            </w:pPr>
          </w:p>
        </w:tc>
        <w:tc>
          <w:tcPr>
            <w:tcW w:w="2620" w:type="dxa"/>
            <w:vAlign w:val="bottom"/>
            <w:tcBorders>
              <w:bottom w:val="single" w:sz="8" w:color="AAAAAA"/>
            </w:tcBorders>
            <w:gridSpan w:val="2"/>
          </w:tcPr>
          <w:p>
            <w:pPr>
              <w:ind w:left="100"/>
              <w:spacing w:after="0" w:line="180" w:lineRule="exact"/>
              <w:rPr>
                <w:sz w:val="20"/>
                <w:szCs w:val="20"/>
                <w:color w:val="auto"/>
              </w:rPr>
            </w:pPr>
            <w:r>
              <w:rPr>
                <w:rFonts w:ascii="Arial" w:cs="Arial" w:eastAsia="Arial" w:hAnsi="Arial"/>
                <w:sz w:val="16"/>
                <w:szCs w:val="16"/>
                <w:color w:val="auto"/>
              </w:rPr>
              <w:t>Varies by measure - details below</w:t>
            </w:r>
          </w:p>
        </w:tc>
        <w:tc>
          <w:tcPr>
            <w:tcW w:w="1020" w:type="dxa"/>
            <w:vAlign w:val="bottom"/>
            <w:tcBorders>
              <w:bottom w:val="single" w:sz="8" w:color="AAAAAA"/>
            </w:tcBorders>
          </w:tcPr>
          <w:p>
            <w:pPr>
              <w:spacing w:after="0"/>
              <w:rPr>
                <w:sz w:val="15"/>
                <w:szCs w:val="15"/>
                <w:color w:val="auto"/>
              </w:rPr>
            </w:pPr>
          </w:p>
        </w:tc>
        <w:tc>
          <w:tcPr>
            <w:tcW w:w="1060" w:type="dxa"/>
            <w:vAlign w:val="bottom"/>
            <w:tcBorders>
              <w:bottom w:val="single" w:sz="8" w:color="AAAAAA"/>
            </w:tcBorders>
          </w:tcPr>
          <w:p>
            <w:pPr>
              <w:jc w:val="center"/>
              <w:ind w:left="3"/>
              <w:spacing w:after="0" w:line="180" w:lineRule="exact"/>
              <w:rPr>
                <w:sz w:val="20"/>
                <w:szCs w:val="20"/>
                <w:color w:val="auto"/>
              </w:rPr>
            </w:pPr>
            <w:r>
              <w:rPr>
                <w:rFonts w:ascii="Arial" w:cs="Arial" w:eastAsia="Arial" w:hAnsi="Arial"/>
                <w:sz w:val="16"/>
                <w:szCs w:val="16"/>
                <w:color w:val="auto"/>
                <w:w w:val="99"/>
              </w:rPr>
              <w:t>102.2%</w:t>
            </w:r>
          </w:p>
        </w:tc>
        <w:tc>
          <w:tcPr>
            <w:tcW w:w="0" w:type="dxa"/>
            <w:vAlign w:val="bottom"/>
          </w:tcPr>
          <w:p>
            <w:pPr>
              <w:spacing w:after="0"/>
              <w:rPr>
                <w:sz w:val="1"/>
                <w:szCs w:val="1"/>
                <w:color w:val="auto"/>
              </w:rPr>
            </w:pPr>
          </w:p>
        </w:tc>
      </w:tr>
      <w:tr>
        <w:trPr>
          <w:trHeight w:val="179"/>
        </w:trPr>
        <w:tc>
          <w:tcPr>
            <w:tcW w:w="3800" w:type="dxa"/>
            <w:vAlign w:val="bottom"/>
            <w:tcBorders>
              <w:bottom w:val="single" w:sz="8" w:color="AAAAAA"/>
            </w:tcBorders>
          </w:tcPr>
          <w:p>
            <w:pPr>
              <w:spacing w:after="0" w:line="180" w:lineRule="exact"/>
              <w:rPr>
                <w:sz w:val="20"/>
                <w:szCs w:val="20"/>
                <w:color w:val="auto"/>
              </w:rPr>
            </w:pPr>
            <w:r>
              <w:rPr>
                <w:rFonts w:ascii="Arial" w:cs="Arial" w:eastAsia="Arial" w:hAnsi="Arial"/>
                <w:sz w:val="16"/>
                <w:szCs w:val="16"/>
                <w:b w:val="1"/>
                <w:bCs w:val="1"/>
                <w:color w:val="auto"/>
              </w:rPr>
              <w:t>Total</w:t>
            </w:r>
          </w:p>
        </w:tc>
        <w:tc>
          <w:tcPr>
            <w:tcW w:w="1260" w:type="dxa"/>
            <w:vAlign w:val="bottom"/>
            <w:tcBorders>
              <w:bottom w:val="single" w:sz="8" w:color="AAAAAA"/>
            </w:tcBorders>
          </w:tcPr>
          <w:p>
            <w:pPr>
              <w:jc w:val="center"/>
              <w:spacing w:after="0" w:line="180" w:lineRule="exact"/>
              <w:rPr>
                <w:sz w:val="20"/>
                <w:szCs w:val="20"/>
                <w:color w:val="auto"/>
              </w:rPr>
            </w:pPr>
            <w:r>
              <w:rPr>
                <w:rFonts w:ascii="Arial" w:cs="Arial" w:eastAsia="Arial" w:hAnsi="Arial"/>
                <w:sz w:val="16"/>
                <w:szCs w:val="16"/>
                <w:b w:val="1"/>
                <w:bCs w:val="1"/>
                <w:color w:val="auto"/>
              </w:rPr>
              <w:t>100%</w:t>
            </w:r>
          </w:p>
        </w:tc>
        <w:tc>
          <w:tcPr>
            <w:tcW w:w="1100" w:type="dxa"/>
            <w:vAlign w:val="bottom"/>
            <w:tcBorders>
              <w:bottom w:val="single" w:sz="8" w:color="AAAAAA"/>
            </w:tcBorders>
          </w:tcPr>
          <w:p>
            <w:pPr>
              <w:spacing w:after="0"/>
              <w:rPr>
                <w:sz w:val="15"/>
                <w:szCs w:val="15"/>
                <w:color w:val="auto"/>
              </w:rPr>
            </w:pPr>
          </w:p>
        </w:tc>
        <w:tc>
          <w:tcPr>
            <w:tcW w:w="1320" w:type="dxa"/>
            <w:vAlign w:val="bottom"/>
            <w:tcBorders>
              <w:bottom w:val="single" w:sz="8" w:color="AAAAAA"/>
            </w:tcBorders>
          </w:tcPr>
          <w:p>
            <w:pPr>
              <w:spacing w:after="0"/>
              <w:rPr>
                <w:sz w:val="15"/>
                <w:szCs w:val="15"/>
                <w:color w:val="auto"/>
              </w:rPr>
            </w:pPr>
          </w:p>
        </w:tc>
        <w:tc>
          <w:tcPr>
            <w:tcW w:w="1300" w:type="dxa"/>
            <w:vAlign w:val="bottom"/>
            <w:tcBorders>
              <w:bottom w:val="single" w:sz="8" w:color="AAAAAA"/>
            </w:tcBorders>
          </w:tcPr>
          <w:p>
            <w:pPr>
              <w:spacing w:after="0"/>
              <w:rPr>
                <w:sz w:val="15"/>
                <w:szCs w:val="15"/>
                <w:color w:val="auto"/>
              </w:rPr>
            </w:pPr>
          </w:p>
        </w:tc>
        <w:tc>
          <w:tcPr>
            <w:tcW w:w="1020" w:type="dxa"/>
            <w:vAlign w:val="bottom"/>
            <w:tcBorders>
              <w:bottom w:val="single" w:sz="8" w:color="AAAAAA"/>
            </w:tcBorders>
          </w:tcPr>
          <w:p>
            <w:pPr>
              <w:spacing w:after="0"/>
              <w:rPr>
                <w:sz w:val="15"/>
                <w:szCs w:val="15"/>
                <w:color w:val="auto"/>
              </w:rPr>
            </w:pPr>
          </w:p>
        </w:tc>
        <w:tc>
          <w:tcPr>
            <w:tcW w:w="1060" w:type="dxa"/>
            <w:vAlign w:val="bottom"/>
            <w:tcBorders>
              <w:bottom w:val="single" w:sz="8" w:color="AAAAAA"/>
            </w:tcBorders>
          </w:tcPr>
          <w:p>
            <w:pPr>
              <w:jc w:val="center"/>
              <w:ind w:left="3"/>
              <w:spacing w:after="0" w:line="180" w:lineRule="exact"/>
              <w:rPr>
                <w:sz w:val="20"/>
                <w:szCs w:val="20"/>
                <w:color w:val="auto"/>
              </w:rPr>
            </w:pPr>
            <w:r>
              <w:rPr>
                <w:rFonts w:ascii="Arial" w:cs="Arial" w:eastAsia="Arial" w:hAnsi="Arial"/>
                <w:sz w:val="16"/>
                <w:szCs w:val="16"/>
                <w:b w:val="1"/>
                <w:bCs w:val="1"/>
                <w:color w:val="auto"/>
                <w:w w:val="99"/>
              </w:rPr>
              <w:t>115.0%</w:t>
            </w:r>
          </w:p>
        </w:tc>
        <w:tc>
          <w:tcPr>
            <w:tcW w:w="0" w:type="dxa"/>
            <w:vAlign w:val="bottom"/>
          </w:tcPr>
          <w:p>
            <w:pPr>
              <w:spacing w:after="0"/>
              <w:rPr>
                <w:sz w:val="1"/>
                <w:szCs w:val="1"/>
                <w:color w:val="auto"/>
              </w:rPr>
            </w:pPr>
          </w:p>
        </w:tc>
      </w:tr>
      <w:tr>
        <w:trPr>
          <w:trHeight w:val="195"/>
        </w:trPr>
        <w:tc>
          <w:tcPr>
            <w:tcW w:w="3800" w:type="dxa"/>
            <w:vAlign w:val="bottom"/>
          </w:tcPr>
          <w:p>
            <w:pPr>
              <w:spacing w:after="0" w:line="194" w:lineRule="exact"/>
              <w:rPr>
                <w:sz w:val="20"/>
                <w:szCs w:val="20"/>
                <w:color w:val="auto"/>
              </w:rPr>
            </w:pPr>
            <w:r>
              <w:rPr>
                <w:rFonts w:ascii="Arial" w:cs="Arial" w:eastAsia="Arial" w:hAnsi="Arial"/>
                <w:sz w:val="14"/>
                <w:szCs w:val="14"/>
                <w:b w:val="1"/>
                <w:bCs w:val="1"/>
                <w:color w:val="auto"/>
              </w:rPr>
              <w:t>Total Awarded</w:t>
            </w:r>
            <w:r>
              <w:rPr>
                <w:rFonts w:ascii="Arial" w:cs="Arial" w:eastAsia="Arial" w:hAnsi="Arial"/>
                <w:sz w:val="22"/>
                <w:szCs w:val="22"/>
                <w:b w:val="1"/>
                <w:bCs w:val="1"/>
                <w:color w:val="auto"/>
                <w:vertAlign w:val="superscript"/>
              </w:rPr>
              <w:t>(2)</w:t>
            </w:r>
          </w:p>
        </w:tc>
        <w:tc>
          <w:tcPr>
            <w:tcW w:w="1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60" w:type="dxa"/>
            <w:vAlign w:val="bottom"/>
          </w:tcPr>
          <w:p>
            <w:pPr>
              <w:jc w:val="center"/>
              <w:ind w:left="3"/>
              <w:spacing w:after="0"/>
              <w:rPr>
                <w:sz w:val="20"/>
                <w:szCs w:val="20"/>
                <w:color w:val="auto"/>
              </w:rPr>
            </w:pPr>
            <w:r>
              <w:rPr>
                <w:rFonts w:ascii="Arial" w:cs="Arial" w:eastAsia="Arial" w:hAnsi="Arial"/>
                <w:sz w:val="16"/>
                <w:szCs w:val="16"/>
                <w:b w:val="1"/>
                <w:bCs w:val="1"/>
                <w:color w:val="auto"/>
                <w:w w:val="99"/>
              </w:rPr>
              <w:t>100.0%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-8890</wp:posOffset>
            </wp:positionV>
            <wp:extent cx="688975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89750" cy="8255"/>
                    </a:xfrm>
                    <a:prstGeom prst="rect">
                      <a:avLst/>
                    </a:prstGeom>
                    <a:noFill/>
                  </pic:spPr>
                </pic:pic>
              </a:graphicData>
            </a:graphic>
          </wp:anchor>
        </w:drawing>
      </w:r>
    </w:p>
    <w:p>
      <w:pPr>
        <w:jc w:val="both"/>
        <w:ind w:left="740" w:right="20" w:hanging="541"/>
        <w:spacing w:after="0" w:line="242" w:lineRule="auto"/>
        <w:tabs>
          <w:tab w:leader="none" w:pos="7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majority of the Strategic Measures’ metrics and goals are objective and quantifiable, though some require a qualitative assessment of performance. The Compensation Committee approves the goals and assesses performance against predefined measures of success. Payouts range from 0-200% with a 25% minimum threshold. The following chart outlines the 2021 goals as well as their weighting, description and actual levels of achievement.</w:t>
      </w:r>
    </w:p>
    <w:p>
      <w:pPr>
        <w:spacing w:after="0" w:line="2" w:lineRule="exact"/>
        <w:rPr>
          <w:rFonts w:ascii="Arial" w:cs="Arial" w:eastAsia="Arial" w:hAnsi="Arial"/>
          <w:sz w:val="16"/>
          <w:szCs w:val="16"/>
          <w:color w:val="auto"/>
        </w:rPr>
      </w:pPr>
    </w:p>
    <w:p>
      <w:pPr>
        <w:jc w:val="both"/>
        <w:ind w:left="740" w:right="20" w:hanging="541"/>
        <w:spacing w:after="0" w:line="245" w:lineRule="auto"/>
        <w:tabs>
          <w:tab w:leader="none" w:pos="7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NEO annual incentive program requires that awards be capped at target if the Company’s absolute total shareholder return during the year is not positive. While our revenue increased by 7.3%, adjusted EBITDA margin increased by 50 basis points, and adjusted EPS increased over 21% in 2021 compared to 2020, our absolute total shareholder return during 2021 was negative, reflecting continued volatility and uncertainty in the industries we serve, specifically healthcare and education, as a result of the COVID-19 pandemic. Therefore, the Compensation Committee capped the NEOs’ annual incentive award payout at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78105</wp:posOffset>
            </wp:positionV>
            <wp:extent cx="10979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097915" cy="8255"/>
                    </a:xfrm>
                    <a:prstGeom prst="rect">
                      <a:avLst/>
                    </a:prstGeom>
                    <a:noFill/>
                  </pic:spPr>
                </pic:pic>
              </a:graphicData>
            </a:graphic>
          </wp:anchor>
        </w:drawing>
      </w:r>
    </w:p>
    <w:p>
      <w:pPr>
        <w:spacing w:after="0" w:line="133" w:lineRule="exact"/>
        <w:rPr>
          <w:sz w:val="20"/>
          <w:szCs w:val="20"/>
          <w:color w:val="auto"/>
        </w:rPr>
      </w:pPr>
    </w:p>
    <w:p>
      <w:pPr>
        <w:ind w:left="300" w:right="20" w:hanging="101"/>
        <w:spacing w:after="0" w:line="252" w:lineRule="auto"/>
        <w:tabs>
          <w:tab w:leader="none" w:pos="300" w:val="left"/>
        </w:tabs>
        <w:numPr>
          <w:ilvl w:val="0"/>
          <w:numId w:val="19"/>
        </w:numPr>
        <w:rPr>
          <w:rFonts w:ascii="Arial" w:cs="Arial" w:eastAsia="Arial" w:hAnsi="Arial"/>
          <w:sz w:val="10"/>
          <w:szCs w:val="10"/>
          <w:i w:val="1"/>
          <w:iCs w:val="1"/>
          <w:color w:val="auto"/>
        </w:rPr>
      </w:pPr>
      <w:r>
        <w:rPr>
          <w:rFonts w:ascii="Arial" w:cs="Arial" w:eastAsia="Arial" w:hAnsi="Arial"/>
          <w:sz w:val="12"/>
          <w:szCs w:val="12"/>
          <w:i w:val="1"/>
          <w:iCs w:val="1"/>
          <w:color w:val="auto"/>
        </w:rPr>
        <w:t>Organic Revenue Growth excludes revenues generated by acquired businesses that are incremental to the acquisition revenues contemplated in the Annual Incentive Goals approved by the Compensation Committee.</w:t>
      </w:r>
    </w:p>
    <w:p>
      <w:pPr>
        <w:spacing w:after="0" w:line="13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00548B"/>
        </w:rPr>
        <w:t>30</w:t>
      </w:r>
    </w:p>
    <w:p>
      <w:pPr>
        <w:sectPr>
          <w:pgSz w:w="11900" w:h="16838" w:orient="portrait"/>
          <w:cols w:equalWidth="0" w:num="1">
            <w:col w:w="11060"/>
          </w:cols>
          <w:pgMar w:left="320" w:top="454" w:right="5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00548B"/>
        </w:rPr>
        <w:t>2021 Strategic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152400</wp:posOffset>
            </wp:positionV>
            <wp:extent cx="6889750" cy="2698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89750" cy="269875"/>
                    </a:xfrm>
                    <a:prstGeom prst="rect">
                      <a:avLst/>
                    </a:prstGeom>
                    <a:noFill/>
                  </pic:spPr>
                </pic:pic>
              </a:graphicData>
            </a:graphic>
          </wp:anchor>
        </w:drawing>
      </w:r>
    </w:p>
    <w:p>
      <w:pPr>
        <w:sectPr>
          <w:pgSz w:w="11900" w:h="16838" w:orient="portrait"/>
          <w:cols w:equalWidth="0" w:num="1">
            <w:col w:w="11060"/>
          </w:cols>
          <w:pgMar w:left="320" w:top="454" w:right="519" w:bottom="1440" w:gutter="0" w:footer="0" w:header="0"/>
        </w:sectPr>
      </w:pPr>
    </w:p>
    <w:p>
      <w:pPr>
        <w:spacing w:after="0" w:line="333"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D8D8D8"/>
        </w:rPr>
        <w:t>Quantitative</w:t>
      </w:r>
    </w:p>
    <w:p>
      <w:pPr>
        <w:spacing w:after="0" w:line="17" w:lineRule="exact"/>
        <w:rPr>
          <w:sz w:val="20"/>
          <w:szCs w:val="20"/>
          <w:color w:val="auto"/>
        </w:rPr>
      </w:pPr>
    </w:p>
    <w:p>
      <w:pPr>
        <w:jc w:val="both"/>
        <w:ind w:left="640"/>
        <w:spacing w:after="0"/>
        <w:tabs>
          <w:tab w:leader="none" w:pos="1660" w:val="left"/>
        </w:tabs>
        <w:rPr>
          <w:sz w:val="20"/>
          <w:szCs w:val="20"/>
          <w:color w:val="auto"/>
        </w:rPr>
      </w:pPr>
      <w:r>
        <w:rPr>
          <w:rFonts w:ascii="Arial" w:cs="Arial" w:eastAsia="Arial" w:hAnsi="Arial"/>
          <w:sz w:val="14"/>
          <w:szCs w:val="14"/>
          <w:b w:val="1"/>
          <w:bCs w:val="1"/>
          <w:color w:val="D8D8D8"/>
        </w:rPr>
        <w:t>Goals</w:t>
      </w:r>
      <w:r>
        <w:rPr>
          <w:sz w:val="20"/>
          <w:szCs w:val="20"/>
          <w:color w:val="auto"/>
        </w:rPr>
        <w:tab/>
      </w:r>
      <w:r>
        <w:rPr>
          <w:rFonts w:ascii="Arial" w:cs="Arial" w:eastAsia="Arial" w:hAnsi="Arial"/>
          <w:sz w:val="14"/>
          <w:szCs w:val="14"/>
          <w:b w:val="1"/>
          <w:bCs w:val="1"/>
          <w:color w:val="D8D8D8"/>
        </w:rPr>
        <w:t>Weighting</w:t>
      </w:r>
    </w:p>
    <w:p>
      <w:pPr>
        <w:spacing w:after="0" w:line="200" w:lineRule="exact"/>
        <w:rPr>
          <w:sz w:val="20"/>
          <w:szCs w:val="20"/>
          <w:color w:val="auto"/>
        </w:rPr>
      </w:pPr>
    </w:p>
    <w:p>
      <w:pPr>
        <w:spacing w:after="0" w:line="261" w:lineRule="exact"/>
        <w:rPr>
          <w:sz w:val="20"/>
          <w:szCs w:val="20"/>
          <w:color w:val="auto"/>
        </w:rPr>
      </w:pPr>
    </w:p>
    <w:p>
      <w:pPr>
        <w:ind w:left="200"/>
        <w:spacing w:after="0"/>
        <w:tabs>
          <w:tab w:leader="none" w:pos="1660" w:val="left"/>
        </w:tabs>
        <w:rPr>
          <w:sz w:val="20"/>
          <w:szCs w:val="20"/>
          <w:color w:val="auto"/>
        </w:rPr>
      </w:pPr>
      <w:r>
        <w:rPr>
          <w:rFonts w:ascii="Arial" w:cs="Arial" w:eastAsia="Arial" w:hAnsi="Arial"/>
          <w:sz w:val="16"/>
          <w:szCs w:val="16"/>
          <w:color w:val="auto"/>
        </w:rPr>
        <w:t>Enterprise</w:t>
      </w:r>
      <w:r>
        <w:rPr>
          <w:sz w:val="20"/>
          <w:szCs w:val="20"/>
          <w:color w:val="auto"/>
        </w:rPr>
        <w:tab/>
      </w: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D8D8D8"/>
        </w:rPr>
        <w:t>Alignment of Strategic Priorities with</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D8D8D8"/>
        </w:rPr>
        <w:t>Shareholder Value</w:t>
      </w:r>
    </w:p>
    <w:p>
      <w:pPr>
        <w:jc w:val="both"/>
        <w:spacing w:after="0" w:line="245" w:lineRule="auto"/>
        <w:rPr>
          <w:sz w:val="20"/>
          <w:szCs w:val="20"/>
          <w:color w:val="auto"/>
        </w:rPr>
      </w:pPr>
      <w:r>
        <w:rPr>
          <w:rFonts w:ascii="Arial" w:cs="Arial" w:eastAsia="Arial" w:hAnsi="Arial"/>
          <w:sz w:val="16"/>
          <w:szCs w:val="16"/>
          <w:color w:val="auto"/>
        </w:rPr>
        <w:t>Focused on advancing Huron’s strategy in the commercial markets and recurring revenue business models to further enable the Company’s long-term growth strategy and maintaining a strong balance sheet to support the Company’s balanced capital deployment allocation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-1443355</wp:posOffset>
            </wp:positionH>
            <wp:positionV relativeFrom="paragraph">
              <wp:posOffset>-6985</wp:posOffset>
            </wp:positionV>
            <wp:extent cx="688975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897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b w:val="1"/>
          <w:bCs w:val="1"/>
          <w:color w:val="D8D8D8"/>
        </w:rPr>
        <w:t>Level of Achievement</w:t>
      </w:r>
    </w:p>
    <w:p>
      <w:pPr>
        <w:spacing w:after="0" w:line="14" w:lineRule="exact"/>
        <w:rPr>
          <w:sz w:val="20"/>
          <w:szCs w:val="20"/>
          <w:color w:val="auto"/>
        </w:rPr>
      </w:pPr>
    </w:p>
    <w:p>
      <w:pPr>
        <w:ind w:left="840" w:right="20"/>
        <w:spacing w:after="0" w:line="242" w:lineRule="auto"/>
        <w:rPr>
          <w:sz w:val="20"/>
          <w:szCs w:val="20"/>
          <w:color w:val="auto"/>
        </w:rPr>
      </w:pPr>
      <w:r>
        <w:rPr>
          <w:rFonts w:ascii="Arial" w:cs="Arial" w:eastAsia="Arial" w:hAnsi="Arial"/>
          <w:sz w:val="16"/>
          <w:szCs w:val="16"/>
          <w:color w:val="auto"/>
        </w:rPr>
        <w:t>Prioritized investments in growing businesses with recurring revenue, including our managed services</w:t>
      </w:r>
    </w:p>
    <w:p>
      <w:pPr>
        <w:spacing w:after="0" w:line="1" w:lineRule="exact"/>
        <w:rPr>
          <w:sz w:val="20"/>
          <w:szCs w:val="20"/>
          <w:color w:val="auto"/>
        </w:rPr>
      </w:pPr>
    </w:p>
    <w:p>
      <w:pPr>
        <w:jc w:val="both"/>
        <w:ind w:left="840" w:right="20" w:hanging="770"/>
        <w:spacing w:after="0" w:line="248" w:lineRule="auto"/>
        <w:tabs>
          <w:tab w:leader="none" w:pos="820" w:val="left"/>
        </w:tabs>
        <w:rPr>
          <w:sz w:val="20"/>
          <w:szCs w:val="20"/>
          <w:color w:val="auto"/>
        </w:rPr>
      </w:pPr>
      <w:r>
        <w:rPr>
          <w:rFonts w:ascii="Arial" w:cs="Arial" w:eastAsia="Arial" w:hAnsi="Arial"/>
          <w:sz w:val="31"/>
          <w:szCs w:val="31"/>
          <w:color w:val="auto"/>
          <w:vertAlign w:val="subscript"/>
        </w:rPr>
        <w:t>6.8%</w:t>
      </w:r>
      <w:r>
        <w:rPr>
          <w:sz w:val="20"/>
          <w:szCs w:val="20"/>
          <w:color w:val="auto"/>
        </w:rPr>
        <w:tab/>
      </w:r>
      <w:r>
        <w:rPr>
          <w:rFonts w:ascii="Arial" w:cs="Arial" w:eastAsia="Arial" w:hAnsi="Arial"/>
          <w:sz w:val="16"/>
          <w:szCs w:val="16"/>
          <w:color w:val="auto"/>
        </w:rPr>
        <w:t>offerings to build upon our current recurring revenue base. Did not achieve our annual free cash goal.</w:t>
      </w:r>
    </w:p>
    <w:p>
      <w:pPr>
        <w:spacing w:after="0" w:line="187" w:lineRule="exact"/>
        <w:rPr>
          <w:sz w:val="20"/>
          <w:szCs w:val="20"/>
          <w:color w:val="auto"/>
        </w:rPr>
      </w:pPr>
    </w:p>
    <w:p>
      <w:pPr>
        <w:sectPr>
          <w:pgSz w:w="11900" w:h="16838" w:orient="portrait"/>
          <w:cols w:equalWidth="0" w:num="3">
            <w:col w:w="2360" w:space="120"/>
            <w:col w:w="4020" w:space="100"/>
            <w:col w:w="4460"/>
          </w:cols>
          <w:pgMar w:left="320" w:top="454" w:right="519" w:bottom="1440" w:gutter="0" w:footer="0" w:header="0"/>
          <w:type w:val="continuous"/>
        </w:sectPr>
      </w:pPr>
    </w:p>
    <w:tbl>
      <w:tblPr>
        <w:tblLayout w:type="fixed"/>
        <w:tblInd w:w="200" w:type="dxa"/>
        <w:tblCellMar>
          <w:top w:w="0" w:type="dxa"/>
          <w:left w:w="0" w:type="dxa"/>
          <w:bottom w:w="0" w:type="dxa"/>
          <w:right w:w="0" w:type="dxa"/>
        </w:tblCellMar>
      </w:tblPr>
      <w:tr>
        <w:trPr>
          <w:trHeight w:val="186"/>
        </w:trPr>
        <w:tc>
          <w:tcPr>
            <w:tcW w:w="1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80" w:type="dxa"/>
            <w:vAlign w:val="bottom"/>
          </w:tcPr>
          <w:p>
            <w:pPr>
              <w:ind w:left="240"/>
              <w:spacing w:after="0"/>
              <w:rPr>
                <w:sz w:val="20"/>
                <w:szCs w:val="20"/>
                <w:color w:val="auto"/>
              </w:rPr>
            </w:pPr>
            <w:r>
              <w:rPr>
                <w:rFonts w:ascii="Arial" w:cs="Arial" w:eastAsia="Arial" w:hAnsi="Arial"/>
                <w:sz w:val="16"/>
                <w:szCs w:val="16"/>
                <w:color w:val="auto"/>
              </w:rPr>
              <w:t>Focused  on  achieving  sustainable  organic  revenue</w:t>
            </w:r>
          </w:p>
        </w:tc>
      </w:tr>
      <w:tr>
        <w:trPr>
          <w:trHeight w:val="186"/>
        </w:trPr>
        <w:tc>
          <w:tcPr>
            <w:tcW w:w="1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80" w:type="dxa"/>
            <w:vAlign w:val="bottom"/>
          </w:tcPr>
          <w:p>
            <w:pPr>
              <w:ind w:left="240"/>
              <w:spacing w:after="0"/>
              <w:rPr>
                <w:sz w:val="20"/>
                <w:szCs w:val="20"/>
                <w:color w:val="auto"/>
              </w:rPr>
            </w:pPr>
            <w:r>
              <w:rPr>
                <w:rFonts w:ascii="Arial" w:cs="Arial" w:eastAsia="Arial" w:hAnsi="Arial"/>
                <w:sz w:val="16"/>
                <w:szCs w:val="16"/>
                <w:color w:val="auto"/>
              </w:rPr>
              <w:t>growth over time. Measures included business unit-level</w:t>
            </w:r>
          </w:p>
        </w:tc>
      </w:tr>
      <w:tr>
        <w:trPr>
          <w:trHeight w:val="186"/>
        </w:trPr>
        <w:tc>
          <w:tcPr>
            <w:tcW w:w="1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80" w:type="dxa"/>
            <w:vAlign w:val="bottom"/>
          </w:tcPr>
          <w:p>
            <w:pPr>
              <w:ind w:left="240"/>
              <w:spacing w:after="0"/>
              <w:rPr>
                <w:sz w:val="20"/>
                <w:szCs w:val="20"/>
                <w:color w:val="auto"/>
              </w:rPr>
            </w:pPr>
            <w:r>
              <w:rPr>
                <w:rFonts w:ascii="Arial" w:cs="Arial" w:eastAsia="Arial" w:hAnsi="Arial"/>
                <w:sz w:val="16"/>
                <w:szCs w:val="16"/>
                <w:color w:val="auto"/>
              </w:rPr>
              <w:t>revenue growth targets, new service line revenue growth</w:t>
            </w:r>
          </w:p>
        </w:tc>
      </w:tr>
      <w:tr>
        <w:trPr>
          <w:trHeight w:val="186"/>
        </w:trPr>
        <w:tc>
          <w:tcPr>
            <w:tcW w:w="1220" w:type="dxa"/>
            <w:vAlign w:val="bottom"/>
          </w:tcPr>
          <w:p>
            <w:pPr>
              <w:spacing w:after="0"/>
              <w:rPr>
                <w:sz w:val="20"/>
                <w:szCs w:val="20"/>
                <w:color w:val="auto"/>
              </w:rPr>
            </w:pPr>
            <w:r>
              <w:rPr>
                <w:rFonts w:ascii="Arial" w:cs="Arial" w:eastAsia="Arial" w:hAnsi="Arial"/>
                <w:sz w:val="16"/>
                <w:szCs w:val="16"/>
                <w:color w:val="auto"/>
              </w:rPr>
              <w:t>Business Unit</w:t>
            </w:r>
          </w:p>
        </w:tc>
        <w:tc>
          <w:tcPr>
            <w:tcW w:w="820" w:type="dxa"/>
            <w:vAlign w:val="bottom"/>
          </w:tcPr>
          <w:p>
            <w:pPr>
              <w:jc w:val="right"/>
              <w:ind w:right="160"/>
              <w:spacing w:after="0"/>
              <w:rPr>
                <w:sz w:val="20"/>
                <w:szCs w:val="20"/>
                <w:color w:val="auto"/>
              </w:rPr>
            </w:pPr>
            <w:r>
              <w:rPr>
                <w:rFonts w:ascii="Arial" w:cs="Arial" w:eastAsia="Arial" w:hAnsi="Arial"/>
                <w:sz w:val="16"/>
                <w:szCs w:val="16"/>
                <w:color w:val="auto"/>
              </w:rPr>
              <w:t>32%</w:t>
            </w:r>
          </w:p>
        </w:tc>
        <w:tc>
          <w:tcPr>
            <w:tcW w:w="4880" w:type="dxa"/>
            <w:vAlign w:val="bottom"/>
          </w:tcPr>
          <w:p>
            <w:pPr>
              <w:ind w:left="240"/>
              <w:spacing w:after="0"/>
              <w:rPr>
                <w:sz w:val="20"/>
                <w:szCs w:val="20"/>
                <w:color w:val="auto"/>
              </w:rPr>
            </w:pPr>
            <w:r>
              <w:rPr>
                <w:rFonts w:ascii="Arial" w:cs="Arial" w:eastAsia="Arial" w:hAnsi="Arial"/>
                <w:sz w:val="16"/>
                <w:szCs w:val="16"/>
                <w:color w:val="auto"/>
              </w:rPr>
              <w:t>targets  and  the  successful  integration  of  strategic  45.4%</w:t>
            </w:r>
          </w:p>
        </w:tc>
      </w:tr>
      <w:tr>
        <w:trPr>
          <w:trHeight w:val="192"/>
        </w:trPr>
        <w:tc>
          <w:tcPr>
            <w:tcW w:w="1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80" w:type="dxa"/>
            <w:vAlign w:val="bottom"/>
          </w:tcPr>
          <w:p>
            <w:pPr>
              <w:ind w:left="240"/>
              <w:spacing w:after="0"/>
              <w:rPr>
                <w:sz w:val="20"/>
                <w:szCs w:val="20"/>
                <w:color w:val="auto"/>
              </w:rPr>
            </w:pPr>
            <w:r>
              <w:rPr>
                <w:rFonts w:ascii="Arial" w:cs="Arial" w:eastAsia="Arial" w:hAnsi="Arial"/>
                <w:sz w:val="16"/>
                <w:szCs w:val="16"/>
                <w:color w:val="auto"/>
              </w:rPr>
              <w:t>acquisitions. Specific goals vary by business unit.</w:t>
            </w:r>
          </w:p>
        </w:tc>
      </w:tr>
    </w:tbl>
    <w:p>
      <w:pPr>
        <w:spacing w:after="0" w:line="20" w:lineRule="exact"/>
        <w:rPr>
          <w:sz w:val="20"/>
          <w:szCs w:val="20"/>
          <w:color w:val="auto"/>
        </w:rPr>
      </w:pPr>
      <w:r>
        <w:rPr>
          <w:sz w:val="20"/>
          <w:szCs w:val="20"/>
          <w:color w:val="auto"/>
        </w:rPr>
        <w:br w:type="column"/>
      </w:r>
    </w:p>
    <w:p>
      <w:pPr>
        <w:jc w:val="both"/>
        <w:ind w:right="20"/>
        <w:spacing w:after="0" w:line="242" w:lineRule="auto"/>
        <w:rPr>
          <w:sz w:val="20"/>
          <w:szCs w:val="20"/>
          <w:color w:val="auto"/>
        </w:rPr>
      </w:pPr>
      <w:r>
        <w:rPr>
          <w:rFonts w:ascii="Arial" w:cs="Arial" w:eastAsia="Arial" w:hAnsi="Arial"/>
          <w:sz w:val="16"/>
          <w:szCs w:val="16"/>
          <w:color w:val="auto"/>
        </w:rPr>
        <w:t>Executed Huron’s strategic plan, which included advancing and evolving new service lines to strengthen and expand our offerings, growing our core industries, and integrating our recent acquisitions. Did not achieve growth measures related to the Business Advisory business and the Life Sciences business.</w:t>
      </w:r>
    </w:p>
    <w:p>
      <w:pPr>
        <w:spacing w:after="0" w:line="3" w:lineRule="exact"/>
        <w:rPr>
          <w:sz w:val="20"/>
          <w:szCs w:val="20"/>
          <w:color w:val="auto"/>
        </w:rPr>
      </w:pPr>
    </w:p>
    <w:p>
      <w:pPr>
        <w:sectPr>
          <w:pgSz w:w="11900" w:h="16838" w:orient="portrait"/>
          <w:cols w:equalWidth="0" w:num="2">
            <w:col w:w="7120" w:space="320"/>
            <w:col w:w="3620"/>
          </w:cols>
          <w:pgMar w:left="320" w:top="454" w:right="519" w:bottom="1440" w:gutter="0" w:footer="0" w:header="0"/>
          <w:type w:val="continuous"/>
        </w:sectPr>
      </w:pPr>
    </w:p>
    <w:tbl>
      <w:tblPr>
        <w:tblLayout w:type="fixed"/>
        <w:tblInd w:w="200" w:type="dxa"/>
        <w:tblCellMar>
          <w:top w:w="0" w:type="dxa"/>
          <w:left w:w="0" w:type="dxa"/>
          <w:bottom w:w="0" w:type="dxa"/>
          <w:right w:w="0" w:type="dxa"/>
        </w:tblCellMar>
      </w:tblPr>
      <w:tr>
        <w:trPr>
          <w:trHeight w:val="181"/>
        </w:trPr>
        <w:tc>
          <w:tcPr>
            <w:tcW w:w="900" w:type="dxa"/>
            <w:vAlign w:val="bottom"/>
            <w:tcBorders>
              <w:top w:val="single" w:sz="8" w:color="999999"/>
            </w:tcBorders>
          </w:tcPr>
          <w:p>
            <w:pPr>
              <w:spacing w:after="0"/>
              <w:rPr>
                <w:sz w:val="15"/>
                <w:szCs w:val="15"/>
                <w:color w:val="auto"/>
              </w:rPr>
            </w:pPr>
          </w:p>
        </w:tc>
        <w:tc>
          <w:tcPr>
            <w:tcW w:w="1140" w:type="dxa"/>
            <w:vAlign w:val="bottom"/>
            <w:tcBorders>
              <w:top w:val="single" w:sz="8" w:color="999999"/>
            </w:tcBorders>
          </w:tcPr>
          <w:p>
            <w:pPr>
              <w:spacing w:after="0"/>
              <w:rPr>
                <w:sz w:val="15"/>
                <w:szCs w:val="15"/>
                <w:color w:val="auto"/>
              </w:rPr>
            </w:pPr>
          </w:p>
        </w:tc>
        <w:tc>
          <w:tcPr>
            <w:tcW w:w="4340" w:type="dxa"/>
            <w:vAlign w:val="bottom"/>
            <w:tcBorders>
              <w:top w:val="single" w:sz="8" w:color="999999"/>
            </w:tcBorders>
          </w:tcPr>
          <w:p>
            <w:pPr>
              <w:ind w:left="240"/>
              <w:spacing w:after="0" w:line="181" w:lineRule="exact"/>
              <w:rPr>
                <w:sz w:val="20"/>
                <w:szCs w:val="20"/>
                <w:color w:val="auto"/>
              </w:rPr>
            </w:pPr>
            <w:r>
              <w:rPr>
                <w:rFonts w:ascii="Arial" w:cs="Arial" w:eastAsia="Arial" w:hAnsi="Arial"/>
                <w:sz w:val="16"/>
                <w:szCs w:val="16"/>
                <w:color w:val="auto"/>
              </w:rPr>
              <w:t>Focused  on  advancing  our  commitment  to  diversity,</w:t>
            </w:r>
          </w:p>
        </w:tc>
        <w:tc>
          <w:tcPr>
            <w:tcW w:w="700" w:type="dxa"/>
            <w:vAlign w:val="bottom"/>
            <w:tcBorders>
              <w:top w:val="single" w:sz="8" w:color="999999"/>
            </w:tcBorders>
          </w:tcPr>
          <w:p>
            <w:pPr>
              <w:spacing w:after="0"/>
              <w:rPr>
                <w:sz w:val="15"/>
                <w:szCs w:val="15"/>
                <w:color w:val="auto"/>
              </w:rPr>
            </w:pPr>
          </w:p>
        </w:tc>
        <w:tc>
          <w:tcPr>
            <w:tcW w:w="3780" w:type="dxa"/>
            <w:vAlign w:val="bottom"/>
            <w:tcBorders>
              <w:top w:val="single" w:sz="8" w:color="999999"/>
            </w:tcBorders>
            <w:gridSpan w:val="4"/>
          </w:tcPr>
          <w:p>
            <w:pPr>
              <w:ind w:left="160"/>
              <w:spacing w:after="0" w:line="181" w:lineRule="exact"/>
              <w:rPr>
                <w:sz w:val="20"/>
                <w:szCs w:val="20"/>
                <w:color w:val="auto"/>
              </w:rPr>
            </w:pPr>
            <w:r>
              <w:rPr>
                <w:rFonts w:ascii="Arial" w:cs="Arial" w:eastAsia="Arial" w:hAnsi="Arial"/>
                <w:sz w:val="16"/>
                <w:szCs w:val="16"/>
                <w:color w:val="auto"/>
              </w:rPr>
              <w:t>Continued  to  foster  an  inclusive  culture  that</w:t>
            </w:r>
          </w:p>
        </w:tc>
      </w:tr>
      <w:tr>
        <w:trPr>
          <w:trHeight w:val="186"/>
        </w:trPr>
        <w:tc>
          <w:tcPr>
            <w:tcW w:w="9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340" w:type="dxa"/>
            <w:vAlign w:val="bottom"/>
          </w:tcPr>
          <w:p>
            <w:pPr>
              <w:ind w:left="240"/>
              <w:spacing w:after="0"/>
              <w:rPr>
                <w:sz w:val="20"/>
                <w:szCs w:val="20"/>
                <w:color w:val="auto"/>
              </w:rPr>
            </w:pPr>
            <w:r>
              <w:rPr>
                <w:rFonts w:ascii="Arial" w:cs="Arial" w:eastAsia="Arial" w:hAnsi="Arial"/>
                <w:sz w:val="16"/>
                <w:szCs w:val="16"/>
                <w:color w:val="auto"/>
              </w:rPr>
              <w:t>equity and inclusion by executing the initiatives set forth</w:t>
            </w:r>
          </w:p>
        </w:tc>
        <w:tc>
          <w:tcPr>
            <w:tcW w:w="700" w:type="dxa"/>
            <w:vAlign w:val="bottom"/>
          </w:tcPr>
          <w:p>
            <w:pPr>
              <w:spacing w:after="0"/>
              <w:rPr>
                <w:sz w:val="16"/>
                <w:szCs w:val="16"/>
                <w:color w:val="auto"/>
              </w:rPr>
            </w:pPr>
          </w:p>
        </w:tc>
        <w:tc>
          <w:tcPr>
            <w:tcW w:w="1140" w:type="dxa"/>
            <w:vAlign w:val="bottom"/>
          </w:tcPr>
          <w:p>
            <w:pPr>
              <w:ind w:left="160"/>
              <w:spacing w:after="0"/>
              <w:rPr>
                <w:sz w:val="20"/>
                <w:szCs w:val="20"/>
                <w:color w:val="auto"/>
              </w:rPr>
            </w:pPr>
            <w:r>
              <w:rPr>
                <w:rFonts w:ascii="Arial" w:cs="Arial" w:eastAsia="Arial" w:hAnsi="Arial"/>
                <w:sz w:val="16"/>
                <w:szCs w:val="16"/>
                <w:color w:val="auto"/>
              </w:rPr>
              <w:t>encourages</w:t>
            </w:r>
          </w:p>
        </w:tc>
        <w:tc>
          <w:tcPr>
            <w:tcW w:w="920" w:type="dxa"/>
            <w:vAlign w:val="bottom"/>
          </w:tcPr>
          <w:p>
            <w:pPr>
              <w:ind w:left="160"/>
              <w:spacing w:after="0"/>
              <w:rPr>
                <w:sz w:val="20"/>
                <w:szCs w:val="20"/>
                <w:color w:val="auto"/>
              </w:rPr>
            </w:pPr>
            <w:r>
              <w:rPr>
                <w:rFonts w:ascii="Arial" w:cs="Arial" w:eastAsia="Arial" w:hAnsi="Arial"/>
                <w:sz w:val="16"/>
                <w:szCs w:val="16"/>
                <w:color w:val="auto"/>
              </w:rPr>
              <w:t>diversity.</w:t>
            </w:r>
          </w:p>
        </w:tc>
        <w:tc>
          <w:tcPr>
            <w:tcW w:w="1020" w:type="dxa"/>
            <w:vAlign w:val="bottom"/>
          </w:tcPr>
          <w:p>
            <w:pPr>
              <w:ind w:left="160"/>
              <w:spacing w:after="0"/>
              <w:rPr>
                <w:sz w:val="20"/>
                <w:szCs w:val="20"/>
                <w:color w:val="auto"/>
              </w:rPr>
            </w:pPr>
            <w:r>
              <w:rPr>
                <w:rFonts w:ascii="Arial" w:cs="Arial" w:eastAsia="Arial" w:hAnsi="Arial"/>
                <w:sz w:val="16"/>
                <w:szCs w:val="16"/>
                <w:color w:val="auto"/>
              </w:rPr>
              <w:t>Advanced</w:t>
            </w:r>
          </w:p>
        </w:tc>
        <w:tc>
          <w:tcPr>
            <w:tcW w:w="700" w:type="dxa"/>
            <w:vAlign w:val="bottom"/>
          </w:tcPr>
          <w:p>
            <w:pPr>
              <w:ind w:left="160"/>
              <w:spacing w:after="0"/>
              <w:rPr>
                <w:sz w:val="20"/>
                <w:szCs w:val="20"/>
                <w:color w:val="auto"/>
              </w:rPr>
            </w:pPr>
            <w:r>
              <w:rPr>
                <w:rFonts w:ascii="Arial" w:cs="Arial" w:eastAsia="Arial" w:hAnsi="Arial"/>
                <w:sz w:val="16"/>
                <w:szCs w:val="16"/>
                <w:color w:val="auto"/>
              </w:rPr>
              <w:t>diverse</w:t>
            </w:r>
          </w:p>
        </w:tc>
      </w:tr>
      <w:tr>
        <w:trPr>
          <w:trHeight w:val="192"/>
        </w:trPr>
        <w:tc>
          <w:tcPr>
            <w:tcW w:w="900" w:type="dxa"/>
            <w:vAlign w:val="bottom"/>
          </w:tcPr>
          <w:p>
            <w:pPr>
              <w:spacing w:after="0"/>
              <w:rPr>
                <w:sz w:val="20"/>
                <w:szCs w:val="20"/>
                <w:color w:val="auto"/>
              </w:rPr>
            </w:pPr>
            <w:r>
              <w:rPr>
                <w:rFonts w:ascii="Arial" w:cs="Arial" w:eastAsia="Arial" w:hAnsi="Arial"/>
                <w:sz w:val="16"/>
                <w:szCs w:val="16"/>
                <w:color w:val="auto"/>
              </w:rPr>
              <w:t>ESG</w:t>
            </w:r>
          </w:p>
        </w:tc>
        <w:tc>
          <w:tcPr>
            <w:tcW w:w="1140" w:type="dxa"/>
            <w:vAlign w:val="bottom"/>
          </w:tcPr>
          <w:p>
            <w:pPr>
              <w:jc w:val="right"/>
              <w:ind w:right="160"/>
              <w:spacing w:after="0"/>
              <w:rPr>
                <w:sz w:val="20"/>
                <w:szCs w:val="20"/>
                <w:color w:val="auto"/>
              </w:rPr>
            </w:pPr>
            <w:r>
              <w:rPr>
                <w:rFonts w:ascii="Arial" w:cs="Arial" w:eastAsia="Arial" w:hAnsi="Arial"/>
                <w:sz w:val="16"/>
                <w:szCs w:val="16"/>
                <w:color w:val="auto"/>
              </w:rPr>
              <w:t>10%</w:t>
            </w:r>
          </w:p>
        </w:tc>
        <w:tc>
          <w:tcPr>
            <w:tcW w:w="4340" w:type="dxa"/>
            <w:vAlign w:val="bottom"/>
          </w:tcPr>
          <w:p>
            <w:pPr>
              <w:ind w:left="240"/>
              <w:spacing w:after="0"/>
              <w:rPr>
                <w:sz w:val="20"/>
                <w:szCs w:val="20"/>
                <w:color w:val="auto"/>
              </w:rPr>
            </w:pPr>
            <w:r>
              <w:rPr>
                <w:rFonts w:ascii="Arial" w:cs="Arial" w:eastAsia="Arial" w:hAnsi="Arial"/>
                <w:sz w:val="16"/>
                <w:szCs w:val="16"/>
                <w:color w:val="auto"/>
              </w:rPr>
              <w:t>in our diversity and inclusion action plan.</w:t>
            </w:r>
          </w:p>
        </w:tc>
        <w:tc>
          <w:tcPr>
            <w:tcW w:w="700" w:type="dxa"/>
            <w:vAlign w:val="bottom"/>
          </w:tcPr>
          <w:p>
            <w:pPr>
              <w:jc w:val="right"/>
              <w:ind w:right="80"/>
              <w:spacing w:after="0"/>
              <w:rPr>
                <w:sz w:val="20"/>
                <w:szCs w:val="20"/>
                <w:color w:val="auto"/>
              </w:rPr>
            </w:pPr>
            <w:r>
              <w:rPr>
                <w:rFonts w:ascii="Arial" w:cs="Arial" w:eastAsia="Arial" w:hAnsi="Arial"/>
                <w:sz w:val="16"/>
                <w:szCs w:val="16"/>
                <w:color w:val="auto"/>
              </w:rPr>
              <w:t>10.0%</w:t>
            </w:r>
          </w:p>
        </w:tc>
        <w:tc>
          <w:tcPr>
            <w:tcW w:w="3780" w:type="dxa"/>
            <w:vAlign w:val="bottom"/>
            <w:gridSpan w:val="4"/>
          </w:tcPr>
          <w:p>
            <w:pPr>
              <w:ind w:left="160"/>
              <w:spacing w:after="0"/>
              <w:rPr>
                <w:sz w:val="20"/>
                <w:szCs w:val="20"/>
                <w:color w:val="auto"/>
              </w:rPr>
            </w:pPr>
            <w:r>
              <w:rPr>
                <w:rFonts w:ascii="Arial" w:cs="Arial" w:eastAsia="Arial" w:hAnsi="Arial"/>
                <w:sz w:val="16"/>
                <w:szCs w:val="16"/>
                <w:color w:val="auto"/>
              </w:rPr>
              <w:t>representation across the organization. Executed</w:t>
            </w:r>
          </w:p>
        </w:tc>
      </w:tr>
    </w:tbl>
    <w:p>
      <w:pPr>
        <w:ind w:left="7440"/>
        <w:spacing w:after="0" w:line="234" w:lineRule="auto"/>
        <w:rPr>
          <w:sz w:val="20"/>
          <w:szCs w:val="20"/>
          <w:color w:val="auto"/>
        </w:rPr>
      </w:pPr>
      <w:r>
        <w:rPr>
          <w:rFonts w:ascii="Arial" w:cs="Arial" w:eastAsia="Arial" w:hAnsi="Arial"/>
          <w:sz w:val="16"/>
          <w:szCs w:val="16"/>
          <w:color w:val="auto"/>
        </w:rPr>
        <w:t>our regular pay equity study to help ensure fair and</w:t>
      </w:r>
    </w:p>
    <w:p>
      <w:pPr>
        <w:spacing w:after="0" w:line="1" w:lineRule="exact"/>
        <w:rPr>
          <w:sz w:val="20"/>
          <w:szCs w:val="20"/>
          <w:color w:val="auto"/>
        </w:rPr>
      </w:pPr>
    </w:p>
    <w:p>
      <w:pPr>
        <w:ind w:left="7440"/>
        <w:spacing w:after="0"/>
        <w:tabs>
          <w:tab w:leader="none" w:pos="8260" w:val="left"/>
          <w:tab w:leader="none" w:pos="9460" w:val="left"/>
          <w:tab w:leader="none" w:pos="9840" w:val="left"/>
          <w:tab w:leader="none" w:pos="10200" w:val="left"/>
        </w:tabs>
        <w:rPr>
          <w:sz w:val="20"/>
          <w:szCs w:val="20"/>
          <w:color w:val="auto"/>
        </w:rPr>
      </w:pPr>
      <w:r>
        <w:rPr>
          <w:rFonts w:ascii="Arial" w:cs="Arial" w:eastAsia="Arial" w:hAnsi="Arial"/>
          <w:sz w:val="16"/>
          <w:szCs w:val="16"/>
          <w:color w:val="auto"/>
        </w:rPr>
        <w:t>equitable</w:t>
        <w:tab/>
        <w:t>compensation</w:t>
        <w:tab/>
        <w:t>for</w:t>
        <w:tab/>
        <w:t>all</w:t>
        <w:tab/>
        <w:t>employees.</w:t>
      </w:r>
    </w:p>
    <w:p>
      <w:pPr>
        <w:spacing w:after="0" w:line="2" w:lineRule="exact"/>
        <w:rPr>
          <w:sz w:val="20"/>
          <w:szCs w:val="20"/>
          <w:color w:val="auto"/>
        </w:rPr>
      </w:pPr>
    </w:p>
    <w:p>
      <w:pPr>
        <w:ind w:left="7440"/>
        <w:spacing w:after="0"/>
        <w:rPr>
          <w:sz w:val="20"/>
          <w:szCs w:val="20"/>
          <w:color w:val="auto"/>
        </w:rPr>
      </w:pPr>
      <w:r>
        <w:rPr>
          <w:rFonts w:ascii="Arial" w:cs="Arial" w:eastAsia="Arial" w:hAnsi="Arial"/>
          <w:sz w:val="16"/>
          <w:szCs w:val="16"/>
          <w:color w:val="auto"/>
        </w:rPr>
        <w:t>Expanded our community outreach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0</wp:posOffset>
            </wp:positionV>
            <wp:extent cx="6889750" cy="673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89750" cy="67310"/>
                    </a:xfrm>
                    <a:prstGeom prst="rect">
                      <a:avLst/>
                    </a:prstGeom>
                    <a:noFill/>
                  </pic:spPr>
                </pic:pic>
              </a:graphicData>
            </a:graphic>
          </wp:anchor>
        </w:drawing>
      </w:r>
    </w:p>
    <w:p>
      <w:pPr>
        <w:sectPr>
          <w:pgSz w:w="11900" w:h="16838" w:orient="portrait"/>
          <w:cols w:equalWidth="0" w:num="1">
            <w:col w:w="11060"/>
          </w:cols>
          <w:pgMar w:left="320" w:top="454" w:right="519" w:bottom="1440" w:gutter="0" w:footer="0" w:header="0"/>
          <w:type w:val="continuous"/>
        </w:sectPr>
      </w:pPr>
    </w:p>
    <w:p>
      <w:pPr>
        <w:spacing w:after="0" w:line="20" w:lineRule="exact"/>
        <w:rPr>
          <w:sz w:val="20"/>
          <w:szCs w:val="20"/>
          <w:color w:val="auto"/>
        </w:rPr>
      </w:pPr>
    </w:p>
    <w:tbl>
      <w:tblPr>
        <w:tblLayout w:type="fixed"/>
        <w:tblInd w:w="200" w:type="dxa"/>
        <w:tblCellMar>
          <w:top w:w="0" w:type="dxa"/>
          <w:left w:w="0" w:type="dxa"/>
          <w:bottom w:w="0" w:type="dxa"/>
          <w:right w:w="0" w:type="dxa"/>
        </w:tblCellMar>
      </w:tblPr>
      <w:tr>
        <w:trPr>
          <w:trHeight w:val="233"/>
        </w:trPr>
        <w:tc>
          <w:tcPr>
            <w:tcW w:w="126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Qualitative</w:t>
            </w:r>
          </w:p>
        </w:tc>
        <w:tc>
          <w:tcPr>
            <w:tcW w:w="960" w:type="dxa"/>
            <w:vAlign w:val="bottom"/>
          </w:tcPr>
          <w:p>
            <w:pPr>
              <w:spacing w:after="0"/>
              <w:rPr>
                <w:sz w:val="20"/>
                <w:szCs w:val="20"/>
                <w:color w:val="auto"/>
              </w:rPr>
            </w:pPr>
          </w:p>
        </w:tc>
        <w:tc>
          <w:tcPr>
            <w:tcW w:w="4080" w:type="dxa"/>
            <w:vAlign w:val="bottom"/>
          </w:tcPr>
          <w:p>
            <w:pPr>
              <w:jc w:val="center"/>
              <w:spacing w:after="0"/>
              <w:rPr>
                <w:sz w:val="20"/>
                <w:szCs w:val="20"/>
                <w:color w:val="auto"/>
              </w:rPr>
            </w:pPr>
            <w:r>
              <w:rPr>
                <w:rFonts w:ascii="Arial" w:cs="Arial" w:eastAsia="Arial" w:hAnsi="Arial"/>
                <w:sz w:val="14"/>
                <w:szCs w:val="14"/>
                <w:b w:val="1"/>
                <w:bCs w:val="1"/>
                <w:color w:val="D8D8D8"/>
              </w:rPr>
              <w:t>Alignment of Strategic Priorities with</w:t>
            </w:r>
          </w:p>
        </w:tc>
      </w:tr>
      <w:tr>
        <w:trPr>
          <w:trHeight w:val="173"/>
        </w:trPr>
        <w:tc>
          <w:tcPr>
            <w:tcW w:w="126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w w:val="97"/>
              </w:rPr>
              <w:t>Goals</w:t>
            </w:r>
          </w:p>
        </w:tc>
        <w:tc>
          <w:tcPr>
            <w:tcW w:w="960" w:type="dxa"/>
            <w:vAlign w:val="bottom"/>
          </w:tcPr>
          <w:p>
            <w:pPr>
              <w:ind w:left="220"/>
              <w:spacing w:after="0"/>
              <w:rPr>
                <w:sz w:val="20"/>
                <w:szCs w:val="20"/>
                <w:color w:val="auto"/>
              </w:rPr>
            </w:pPr>
            <w:r>
              <w:rPr>
                <w:rFonts w:ascii="Arial" w:cs="Arial" w:eastAsia="Arial" w:hAnsi="Arial"/>
                <w:sz w:val="14"/>
                <w:szCs w:val="14"/>
                <w:b w:val="1"/>
                <w:bCs w:val="1"/>
                <w:color w:val="D8D8D8"/>
              </w:rPr>
              <w:t>Weighting</w:t>
            </w:r>
          </w:p>
        </w:tc>
        <w:tc>
          <w:tcPr>
            <w:tcW w:w="4080" w:type="dxa"/>
            <w:vAlign w:val="bottom"/>
          </w:tcPr>
          <w:p>
            <w:pPr>
              <w:jc w:val="center"/>
              <w:spacing w:after="0"/>
              <w:rPr>
                <w:sz w:val="20"/>
                <w:szCs w:val="20"/>
                <w:color w:val="auto"/>
              </w:rPr>
            </w:pPr>
            <w:r>
              <w:rPr>
                <w:rFonts w:ascii="Arial" w:cs="Arial" w:eastAsia="Arial" w:hAnsi="Arial"/>
                <w:sz w:val="14"/>
                <w:szCs w:val="14"/>
                <w:b w:val="1"/>
                <w:bCs w:val="1"/>
                <w:color w:val="D8D8D8"/>
              </w:rPr>
              <w:t>Shareholder Value</w:t>
            </w:r>
          </w:p>
        </w:tc>
      </w:tr>
      <w:tr>
        <w:trPr>
          <w:trHeight w:val="188"/>
        </w:trPr>
        <w:tc>
          <w:tcPr>
            <w:tcW w:w="1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80" w:type="dxa"/>
            <w:vAlign w:val="bottom"/>
          </w:tcPr>
          <w:p>
            <w:pPr>
              <w:jc w:val="center"/>
              <w:spacing w:after="0"/>
              <w:rPr>
                <w:sz w:val="20"/>
                <w:szCs w:val="20"/>
                <w:color w:val="auto"/>
              </w:rPr>
            </w:pPr>
            <w:r>
              <w:rPr>
                <w:rFonts w:ascii="Arial" w:cs="Arial" w:eastAsia="Arial" w:hAnsi="Arial"/>
                <w:sz w:val="16"/>
                <w:szCs w:val="16"/>
                <w:color w:val="auto"/>
              </w:rPr>
              <w:t>Focused on mitigating further impacts to the business</w:t>
            </w:r>
          </w:p>
        </w:tc>
      </w:tr>
      <w:tr>
        <w:trPr>
          <w:trHeight w:val="186"/>
        </w:trPr>
        <w:tc>
          <w:tcPr>
            <w:tcW w:w="1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80" w:type="dxa"/>
            <w:vAlign w:val="bottom"/>
          </w:tcPr>
          <w:p>
            <w:pPr>
              <w:jc w:val="center"/>
              <w:spacing w:after="0"/>
              <w:rPr>
                <w:sz w:val="20"/>
                <w:szCs w:val="20"/>
                <w:color w:val="auto"/>
              </w:rPr>
            </w:pPr>
            <w:r>
              <w:rPr>
                <w:rFonts w:ascii="Arial" w:cs="Arial" w:eastAsia="Arial" w:hAnsi="Arial"/>
                <w:sz w:val="16"/>
                <w:szCs w:val="16"/>
                <w:color w:val="auto"/>
              </w:rPr>
              <w:t>driven by the ongoing impact of the COVID-19 pandemic</w:t>
            </w:r>
          </w:p>
        </w:tc>
      </w:tr>
      <w:tr>
        <w:trPr>
          <w:trHeight w:val="186"/>
        </w:trPr>
        <w:tc>
          <w:tcPr>
            <w:tcW w:w="1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80" w:type="dxa"/>
            <w:vAlign w:val="bottom"/>
          </w:tcPr>
          <w:p>
            <w:pPr>
              <w:jc w:val="center"/>
              <w:spacing w:after="0"/>
              <w:rPr>
                <w:sz w:val="20"/>
                <w:szCs w:val="20"/>
                <w:color w:val="auto"/>
              </w:rPr>
            </w:pPr>
            <w:r>
              <w:rPr>
                <w:rFonts w:ascii="Arial" w:cs="Arial" w:eastAsia="Arial" w:hAnsi="Arial"/>
                <w:sz w:val="16"/>
                <w:szCs w:val="16"/>
                <w:color w:val="auto"/>
              </w:rPr>
              <w:t>and enhancing Huron’s integrated operating model and</w:t>
            </w:r>
          </w:p>
        </w:tc>
      </w:tr>
      <w:tr>
        <w:trPr>
          <w:trHeight w:val="192"/>
        </w:trPr>
        <w:tc>
          <w:tcPr>
            <w:tcW w:w="1260" w:type="dxa"/>
            <w:vAlign w:val="bottom"/>
          </w:tcPr>
          <w:p>
            <w:pPr>
              <w:spacing w:after="0"/>
              <w:rPr>
                <w:sz w:val="20"/>
                <w:szCs w:val="20"/>
                <w:color w:val="auto"/>
              </w:rPr>
            </w:pPr>
            <w:r>
              <w:rPr>
                <w:rFonts w:ascii="Arial" w:cs="Arial" w:eastAsia="Arial" w:hAnsi="Arial"/>
                <w:sz w:val="16"/>
                <w:szCs w:val="16"/>
                <w:color w:val="auto"/>
              </w:rPr>
              <w:t>Enterprise</w:t>
            </w:r>
          </w:p>
        </w:tc>
        <w:tc>
          <w:tcPr>
            <w:tcW w:w="960" w:type="dxa"/>
            <w:vAlign w:val="bottom"/>
          </w:tcPr>
          <w:p>
            <w:pPr>
              <w:ind w:left="220"/>
              <w:spacing w:after="0"/>
              <w:rPr>
                <w:sz w:val="20"/>
                <w:szCs w:val="20"/>
                <w:color w:val="auto"/>
              </w:rPr>
            </w:pPr>
            <w:r>
              <w:rPr>
                <w:rFonts w:ascii="Arial" w:cs="Arial" w:eastAsia="Arial" w:hAnsi="Arial"/>
                <w:sz w:val="16"/>
                <w:szCs w:val="16"/>
                <w:color w:val="auto"/>
              </w:rPr>
              <w:t>16%</w:t>
            </w:r>
          </w:p>
        </w:tc>
        <w:tc>
          <w:tcPr>
            <w:tcW w:w="4080" w:type="dxa"/>
            <w:vAlign w:val="bottom"/>
          </w:tcPr>
          <w:p>
            <w:pPr>
              <w:ind w:left="60"/>
              <w:spacing w:after="0"/>
              <w:rPr>
                <w:sz w:val="20"/>
                <w:szCs w:val="20"/>
                <w:color w:val="auto"/>
              </w:rPr>
            </w:pPr>
            <w:r>
              <w:rPr>
                <w:rFonts w:ascii="Arial" w:cs="Arial" w:eastAsia="Arial" w:hAnsi="Arial"/>
                <w:sz w:val="16"/>
                <w:szCs w:val="16"/>
                <w:color w:val="auto"/>
              </w:rPr>
              <w:t>capabilities to drive growth across the business.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932815</wp:posOffset>
            </wp:positionH>
            <wp:positionV relativeFrom="paragraph">
              <wp:posOffset>-680085</wp:posOffset>
            </wp:positionV>
            <wp:extent cx="6087745" cy="2025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87745" cy="2025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D8D8D8"/>
        </w:rPr>
        <w:t>Level of Achievement</w:t>
      </w:r>
    </w:p>
    <w:p>
      <w:pPr>
        <w:spacing w:after="0" w:line="14" w:lineRule="exact"/>
        <w:rPr>
          <w:sz w:val="20"/>
          <w:szCs w:val="20"/>
          <w:color w:val="auto"/>
        </w:rPr>
      </w:pPr>
    </w:p>
    <w:p>
      <w:pPr>
        <w:jc w:val="both"/>
        <w:ind w:left="840" w:right="20"/>
        <w:spacing w:after="0" w:line="242" w:lineRule="auto"/>
        <w:rPr>
          <w:sz w:val="20"/>
          <w:szCs w:val="20"/>
          <w:color w:val="auto"/>
        </w:rPr>
      </w:pPr>
      <w:r>
        <w:rPr>
          <w:rFonts w:ascii="Arial" w:cs="Arial" w:eastAsia="Arial" w:hAnsi="Arial"/>
          <w:sz w:val="16"/>
          <w:szCs w:val="16"/>
          <w:color w:val="auto"/>
        </w:rPr>
        <w:t>Developed a flexible COVID-19 reentry plan that met the needs of our clients while maintaining the health and safety of our employees. Refined</w:t>
      </w:r>
    </w:p>
    <w:p>
      <w:pPr>
        <w:spacing w:after="0" w:line="2" w:lineRule="exact"/>
        <w:rPr>
          <w:sz w:val="20"/>
          <w:szCs w:val="20"/>
          <w:color w:val="auto"/>
        </w:rPr>
      </w:pPr>
    </w:p>
    <w:p>
      <w:pPr>
        <w:jc w:val="both"/>
        <w:ind w:left="840" w:right="20" w:hanging="770"/>
        <w:spacing w:after="0" w:line="242" w:lineRule="auto"/>
        <w:tabs>
          <w:tab w:leader="none" w:pos="820" w:val="left"/>
        </w:tabs>
        <w:rPr>
          <w:sz w:val="20"/>
          <w:szCs w:val="20"/>
          <w:color w:val="auto"/>
        </w:rPr>
      </w:pPr>
      <w:r>
        <w:rPr>
          <w:rFonts w:ascii="Arial" w:cs="Arial" w:eastAsia="Arial" w:hAnsi="Arial"/>
          <w:sz w:val="16"/>
          <w:szCs w:val="16"/>
          <w:color w:val="auto"/>
        </w:rPr>
        <w:t>16.0%</w:t>
      </w:r>
      <w:r>
        <w:rPr>
          <w:sz w:val="20"/>
          <w:szCs w:val="20"/>
          <w:color w:val="auto"/>
        </w:rPr>
        <w:tab/>
      </w:r>
      <w:r>
        <w:rPr>
          <w:rFonts w:ascii="Arial" w:cs="Arial" w:eastAsia="Arial" w:hAnsi="Arial"/>
          <w:sz w:val="16"/>
          <w:szCs w:val="16"/>
          <w:color w:val="auto"/>
        </w:rPr>
        <w:t>Huron’s plan to become a more integrated operating company. Invested in business and greatest potential of developing recurring revenue business models.</w:t>
      </w:r>
    </w:p>
    <w:p>
      <w:pPr>
        <w:spacing w:after="0" w:line="1" w:lineRule="exact"/>
        <w:rPr>
          <w:sz w:val="20"/>
          <w:szCs w:val="20"/>
          <w:color w:val="auto"/>
        </w:rPr>
      </w:pPr>
    </w:p>
    <w:p>
      <w:pPr>
        <w:sectPr>
          <w:pgSz w:w="11900" w:h="16838" w:orient="portrait"/>
          <w:cols w:equalWidth="0" w:num="2">
            <w:col w:w="6500" w:space="100"/>
            <w:col w:w="4460"/>
          </w:cols>
          <w:pgMar w:left="320" w:top="454" w:right="519" w:bottom="1440" w:gutter="0" w:footer="0" w:header="0"/>
          <w:type w:val="continuous"/>
        </w:sectPr>
      </w:pPr>
    </w:p>
    <w:tbl>
      <w:tblPr>
        <w:tblLayout w:type="fixed"/>
        <w:tblInd w:w="20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1200" w:type="dxa"/>
            <w:vAlign w:val="bottom"/>
            <w:tcBorders>
              <w:top w:val="single" w:sz="8" w:color="999999"/>
            </w:tcBorders>
          </w:tcPr>
          <w:p>
            <w:pPr>
              <w:spacing w:after="0"/>
              <w:rPr>
                <w:sz w:val="15"/>
                <w:szCs w:val="15"/>
                <w:color w:val="auto"/>
              </w:rPr>
            </w:pPr>
          </w:p>
        </w:tc>
        <w:tc>
          <w:tcPr>
            <w:tcW w:w="860" w:type="dxa"/>
            <w:vAlign w:val="bottom"/>
            <w:tcBorders>
              <w:top w:val="single" w:sz="8" w:color="999999"/>
            </w:tcBorders>
          </w:tcPr>
          <w:p>
            <w:pPr>
              <w:spacing w:after="0"/>
              <w:rPr>
                <w:sz w:val="15"/>
                <w:szCs w:val="15"/>
                <w:color w:val="auto"/>
              </w:rPr>
            </w:pPr>
          </w:p>
        </w:tc>
        <w:tc>
          <w:tcPr>
            <w:tcW w:w="4300" w:type="dxa"/>
            <w:vAlign w:val="bottom"/>
            <w:tcBorders>
              <w:top w:val="single" w:sz="8" w:color="999999"/>
            </w:tcBorders>
          </w:tcPr>
          <w:p>
            <w:pPr>
              <w:ind w:left="200"/>
              <w:spacing w:after="0" w:line="181" w:lineRule="exact"/>
              <w:rPr>
                <w:sz w:val="20"/>
                <w:szCs w:val="20"/>
                <w:color w:val="auto"/>
              </w:rPr>
            </w:pPr>
            <w:r>
              <w:rPr>
                <w:rFonts w:ascii="Arial" w:cs="Arial" w:eastAsia="Arial" w:hAnsi="Arial"/>
                <w:sz w:val="16"/>
                <w:szCs w:val="16"/>
                <w:color w:val="auto"/>
              </w:rPr>
              <w:t>Focused on strategically positioning Huron to achieve</w:t>
            </w:r>
          </w:p>
        </w:tc>
        <w:tc>
          <w:tcPr>
            <w:tcW w:w="780" w:type="dxa"/>
            <w:vAlign w:val="bottom"/>
            <w:tcBorders>
              <w:top w:val="single" w:sz="8" w:color="999999"/>
            </w:tcBorders>
          </w:tcPr>
          <w:p>
            <w:pPr>
              <w:spacing w:after="0"/>
              <w:rPr>
                <w:sz w:val="15"/>
                <w:szCs w:val="15"/>
                <w:color w:val="auto"/>
              </w:rPr>
            </w:pPr>
          </w:p>
        </w:tc>
        <w:tc>
          <w:tcPr>
            <w:tcW w:w="3700" w:type="dxa"/>
            <w:vAlign w:val="bottom"/>
            <w:tcBorders>
              <w:top w:val="single" w:sz="8" w:color="999999"/>
            </w:tcBorders>
            <w:gridSpan w:val="4"/>
          </w:tcPr>
          <w:p>
            <w:pPr>
              <w:ind w:left="80"/>
              <w:spacing w:after="0" w:line="181" w:lineRule="exact"/>
              <w:rPr>
                <w:sz w:val="20"/>
                <w:szCs w:val="20"/>
                <w:color w:val="auto"/>
              </w:rPr>
            </w:pPr>
            <w:r>
              <w:rPr>
                <w:rFonts w:ascii="Arial" w:cs="Arial" w:eastAsia="Arial" w:hAnsi="Arial"/>
                <w:sz w:val="16"/>
                <w:szCs w:val="16"/>
                <w:color w:val="auto"/>
              </w:rPr>
              <w:t>Areas  of  focus  included  successfully  launching</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300" w:type="dxa"/>
            <w:vAlign w:val="bottom"/>
          </w:tcPr>
          <w:p>
            <w:pPr>
              <w:ind w:left="200"/>
              <w:spacing w:after="0"/>
              <w:rPr>
                <w:sz w:val="20"/>
                <w:szCs w:val="20"/>
                <w:color w:val="auto"/>
              </w:rPr>
            </w:pPr>
            <w:r>
              <w:rPr>
                <w:rFonts w:ascii="Arial" w:cs="Arial" w:eastAsia="Arial" w:hAnsi="Arial"/>
                <w:sz w:val="16"/>
                <w:szCs w:val="16"/>
                <w:color w:val="auto"/>
              </w:rPr>
              <w:t>sustainable organic revenue growth over time, including</w:t>
            </w:r>
          </w:p>
        </w:tc>
        <w:tc>
          <w:tcPr>
            <w:tcW w:w="780" w:type="dxa"/>
            <w:vAlign w:val="bottom"/>
          </w:tcPr>
          <w:p>
            <w:pPr>
              <w:spacing w:after="0"/>
              <w:rPr>
                <w:sz w:val="16"/>
                <w:szCs w:val="16"/>
                <w:color w:val="auto"/>
              </w:rPr>
            </w:pPr>
          </w:p>
        </w:tc>
        <w:tc>
          <w:tcPr>
            <w:tcW w:w="3700" w:type="dxa"/>
            <w:vAlign w:val="bottom"/>
            <w:gridSpan w:val="4"/>
          </w:tcPr>
          <w:p>
            <w:pPr>
              <w:ind w:left="80"/>
              <w:spacing w:after="0"/>
              <w:rPr>
                <w:sz w:val="20"/>
                <w:szCs w:val="20"/>
                <w:color w:val="auto"/>
              </w:rPr>
            </w:pPr>
            <w:r>
              <w:rPr>
                <w:rFonts w:ascii="Arial" w:cs="Arial" w:eastAsia="Arial" w:hAnsi="Arial"/>
                <w:sz w:val="16"/>
                <w:szCs w:val="16"/>
                <w:color w:val="auto"/>
              </w:rPr>
              <w:t>new service lines, building upon the foundation in</w:t>
            </w:r>
          </w:p>
        </w:tc>
        <w:tc>
          <w:tcPr>
            <w:tcW w:w="0" w:type="dxa"/>
            <w:vAlign w:val="bottom"/>
          </w:tcPr>
          <w:p>
            <w:pPr>
              <w:spacing w:after="0"/>
              <w:rPr>
                <w:sz w:val="1"/>
                <w:szCs w:val="1"/>
                <w:color w:val="auto"/>
              </w:rPr>
            </w:pPr>
          </w:p>
        </w:tc>
      </w:tr>
      <w:tr>
        <w:trPr>
          <w:trHeight w:val="186"/>
        </w:trPr>
        <w:tc>
          <w:tcPr>
            <w:tcW w:w="1220" w:type="dxa"/>
            <w:vAlign w:val="bottom"/>
            <w:gridSpan w:val="2"/>
            <w:vMerge w:val="restart"/>
          </w:tcPr>
          <w:p>
            <w:pPr>
              <w:spacing w:after="0"/>
              <w:rPr>
                <w:sz w:val="20"/>
                <w:szCs w:val="20"/>
                <w:color w:val="auto"/>
              </w:rPr>
            </w:pPr>
            <w:r>
              <w:rPr>
                <w:rFonts w:ascii="Arial" w:cs="Arial" w:eastAsia="Arial" w:hAnsi="Arial"/>
                <w:sz w:val="16"/>
                <w:szCs w:val="16"/>
                <w:color w:val="auto"/>
              </w:rPr>
              <w:t>Business Unit</w:t>
            </w:r>
          </w:p>
        </w:tc>
        <w:tc>
          <w:tcPr>
            <w:tcW w:w="860" w:type="dxa"/>
            <w:vAlign w:val="bottom"/>
            <w:vMerge w:val="restart"/>
          </w:tcPr>
          <w:p>
            <w:pPr>
              <w:ind w:left="260"/>
              <w:spacing w:after="0"/>
              <w:rPr>
                <w:sz w:val="20"/>
                <w:szCs w:val="20"/>
                <w:color w:val="auto"/>
              </w:rPr>
            </w:pPr>
            <w:r>
              <w:rPr>
                <w:rFonts w:ascii="Arial" w:cs="Arial" w:eastAsia="Arial" w:hAnsi="Arial"/>
                <w:sz w:val="16"/>
                <w:szCs w:val="16"/>
                <w:color w:val="auto"/>
              </w:rPr>
              <w:t>16%</w:t>
            </w:r>
          </w:p>
        </w:tc>
        <w:tc>
          <w:tcPr>
            <w:tcW w:w="4300" w:type="dxa"/>
            <w:vAlign w:val="bottom"/>
          </w:tcPr>
          <w:p>
            <w:pPr>
              <w:ind w:left="200"/>
              <w:spacing w:after="0"/>
              <w:rPr>
                <w:sz w:val="20"/>
                <w:szCs w:val="20"/>
                <w:color w:val="auto"/>
              </w:rPr>
            </w:pPr>
            <w:r>
              <w:rPr>
                <w:rFonts w:ascii="Arial" w:cs="Arial" w:eastAsia="Arial" w:hAnsi="Arial"/>
                <w:sz w:val="16"/>
                <w:szCs w:val="16"/>
                <w:color w:val="auto"/>
              </w:rPr>
              <w:t>advancing growth priorities and capabilities that support</w:t>
            </w:r>
          </w:p>
        </w:tc>
        <w:tc>
          <w:tcPr>
            <w:tcW w:w="780" w:type="dxa"/>
            <w:vAlign w:val="bottom"/>
            <w:vMerge w:val="restart"/>
          </w:tcPr>
          <w:p>
            <w:pPr>
              <w:jc w:val="right"/>
              <w:ind w:right="160"/>
              <w:spacing w:after="0"/>
              <w:rPr>
                <w:sz w:val="20"/>
                <w:szCs w:val="20"/>
                <w:color w:val="auto"/>
              </w:rPr>
            </w:pPr>
            <w:r>
              <w:rPr>
                <w:rFonts w:ascii="Arial" w:cs="Arial" w:eastAsia="Arial" w:hAnsi="Arial"/>
                <w:sz w:val="16"/>
                <w:szCs w:val="16"/>
                <w:color w:val="auto"/>
              </w:rPr>
              <w:t>14.0%</w:t>
            </w:r>
          </w:p>
        </w:tc>
        <w:tc>
          <w:tcPr>
            <w:tcW w:w="3700" w:type="dxa"/>
            <w:vAlign w:val="bottom"/>
            <w:gridSpan w:val="4"/>
          </w:tcPr>
          <w:p>
            <w:pPr>
              <w:ind w:left="80"/>
              <w:spacing w:after="0"/>
              <w:rPr>
                <w:sz w:val="20"/>
                <w:szCs w:val="20"/>
                <w:color w:val="auto"/>
              </w:rPr>
            </w:pPr>
            <w:r>
              <w:rPr>
                <w:rFonts w:ascii="Arial" w:cs="Arial" w:eastAsia="Arial" w:hAnsi="Arial"/>
                <w:sz w:val="16"/>
                <w:szCs w:val="16"/>
                <w:color w:val="auto"/>
              </w:rPr>
              <w:t>key  growth  areas,  and  advancing  our  practice</w:t>
            </w:r>
          </w:p>
        </w:tc>
        <w:tc>
          <w:tcPr>
            <w:tcW w:w="0" w:type="dxa"/>
            <w:vAlign w:val="bottom"/>
          </w:tcPr>
          <w:p>
            <w:pPr>
              <w:spacing w:after="0"/>
              <w:rPr>
                <w:sz w:val="1"/>
                <w:szCs w:val="1"/>
                <w:color w:val="auto"/>
              </w:rPr>
            </w:pPr>
          </w:p>
        </w:tc>
      </w:tr>
      <w:tr>
        <w:trPr>
          <w:trHeight w:val="186"/>
        </w:trPr>
        <w:tc>
          <w:tcPr>
            <w:tcW w:w="122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4300" w:type="dxa"/>
            <w:vAlign w:val="bottom"/>
          </w:tcPr>
          <w:p>
            <w:pPr>
              <w:ind w:left="200"/>
              <w:spacing w:after="0"/>
              <w:rPr>
                <w:sz w:val="20"/>
                <w:szCs w:val="20"/>
                <w:color w:val="auto"/>
              </w:rPr>
            </w:pPr>
            <w:r>
              <w:rPr>
                <w:rFonts w:ascii="Arial" w:cs="Arial" w:eastAsia="Arial" w:hAnsi="Arial"/>
                <w:sz w:val="16"/>
                <w:szCs w:val="16"/>
                <w:color w:val="auto"/>
              </w:rPr>
              <w:t>Huron’s enterprise-level strategy. Specific goals vary by</w:t>
            </w:r>
          </w:p>
        </w:tc>
        <w:tc>
          <w:tcPr>
            <w:tcW w:w="780" w:type="dxa"/>
            <w:vAlign w:val="bottom"/>
            <w:vMerge w:val="continue"/>
          </w:tcPr>
          <w:p>
            <w:pPr>
              <w:spacing w:after="0"/>
              <w:rPr>
                <w:sz w:val="16"/>
                <w:szCs w:val="16"/>
                <w:color w:val="auto"/>
              </w:rPr>
            </w:pPr>
          </w:p>
        </w:tc>
        <w:tc>
          <w:tcPr>
            <w:tcW w:w="3700" w:type="dxa"/>
            <w:vAlign w:val="bottom"/>
            <w:gridSpan w:val="4"/>
          </w:tcPr>
          <w:p>
            <w:pPr>
              <w:ind w:left="80"/>
              <w:spacing w:after="0"/>
              <w:rPr>
                <w:sz w:val="20"/>
                <w:szCs w:val="20"/>
                <w:color w:val="auto"/>
              </w:rPr>
            </w:pPr>
            <w:r>
              <w:rPr>
                <w:rFonts w:ascii="Arial" w:cs="Arial" w:eastAsia="Arial" w:hAnsi="Arial"/>
                <w:sz w:val="16"/>
                <w:szCs w:val="16"/>
                <w:color w:val="auto"/>
              </w:rPr>
              <w:t>strategies. Did not achieve Life Sciences-focused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300" w:type="dxa"/>
            <w:vAlign w:val="bottom"/>
          </w:tcPr>
          <w:p>
            <w:pPr>
              <w:ind w:left="200"/>
              <w:spacing w:after="0"/>
              <w:rPr>
                <w:sz w:val="20"/>
                <w:szCs w:val="20"/>
                <w:color w:val="auto"/>
              </w:rPr>
            </w:pPr>
            <w:r>
              <w:rPr>
                <w:rFonts w:ascii="Arial" w:cs="Arial" w:eastAsia="Arial" w:hAnsi="Arial"/>
                <w:sz w:val="16"/>
                <w:szCs w:val="16"/>
                <w:color w:val="auto"/>
              </w:rPr>
              <w:t>business unit.</w:t>
            </w:r>
          </w:p>
        </w:tc>
        <w:tc>
          <w:tcPr>
            <w:tcW w:w="780" w:type="dxa"/>
            <w:vAlign w:val="bottom"/>
          </w:tcPr>
          <w:p>
            <w:pPr>
              <w:spacing w:after="0"/>
              <w:rPr>
                <w:sz w:val="16"/>
                <w:szCs w:val="16"/>
                <w:color w:val="auto"/>
              </w:rPr>
            </w:pPr>
          </w:p>
        </w:tc>
        <w:tc>
          <w:tcPr>
            <w:tcW w:w="3700" w:type="dxa"/>
            <w:vAlign w:val="bottom"/>
            <w:gridSpan w:val="4"/>
          </w:tcPr>
          <w:p>
            <w:pPr>
              <w:ind w:left="80"/>
              <w:spacing w:after="0"/>
              <w:rPr>
                <w:sz w:val="20"/>
                <w:szCs w:val="20"/>
                <w:color w:val="auto"/>
              </w:rPr>
            </w:pPr>
            <w:r>
              <w:rPr>
                <w:rFonts w:ascii="Arial" w:cs="Arial" w:eastAsia="Arial" w:hAnsi="Arial"/>
                <w:sz w:val="16"/>
                <w:szCs w:val="16"/>
                <w:color w:val="auto"/>
              </w:rPr>
              <w:t>measures given the divestiture of the business unit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200" w:type="dxa"/>
            <w:vAlign w:val="bottom"/>
            <w:tcBorders>
              <w:bottom w:val="single" w:sz="8" w:color="999999"/>
            </w:tcBorders>
          </w:tcPr>
          <w:p>
            <w:pPr>
              <w:spacing w:after="0"/>
              <w:rPr>
                <w:sz w:val="16"/>
                <w:szCs w:val="16"/>
                <w:color w:val="auto"/>
              </w:rPr>
            </w:pPr>
          </w:p>
        </w:tc>
        <w:tc>
          <w:tcPr>
            <w:tcW w:w="860" w:type="dxa"/>
            <w:vAlign w:val="bottom"/>
            <w:tcBorders>
              <w:bottom w:val="single" w:sz="8" w:color="999999"/>
            </w:tcBorders>
          </w:tcPr>
          <w:p>
            <w:pPr>
              <w:spacing w:after="0"/>
              <w:rPr>
                <w:sz w:val="16"/>
                <w:szCs w:val="16"/>
                <w:color w:val="auto"/>
              </w:rPr>
            </w:pPr>
          </w:p>
        </w:tc>
        <w:tc>
          <w:tcPr>
            <w:tcW w:w="4300" w:type="dxa"/>
            <w:vAlign w:val="bottom"/>
            <w:tcBorders>
              <w:bottom w:val="single" w:sz="8" w:color="999999"/>
            </w:tcBorders>
          </w:tcPr>
          <w:p>
            <w:pPr>
              <w:spacing w:after="0"/>
              <w:rPr>
                <w:sz w:val="16"/>
                <w:szCs w:val="16"/>
                <w:color w:val="auto"/>
              </w:rPr>
            </w:pPr>
          </w:p>
        </w:tc>
        <w:tc>
          <w:tcPr>
            <w:tcW w:w="780" w:type="dxa"/>
            <w:vAlign w:val="bottom"/>
            <w:tcBorders>
              <w:bottom w:val="single" w:sz="8" w:color="999999"/>
            </w:tcBorders>
          </w:tcPr>
          <w:p>
            <w:pPr>
              <w:spacing w:after="0"/>
              <w:rPr>
                <w:sz w:val="16"/>
                <w:szCs w:val="16"/>
                <w:color w:val="auto"/>
              </w:rPr>
            </w:pPr>
          </w:p>
        </w:tc>
        <w:tc>
          <w:tcPr>
            <w:tcW w:w="940" w:type="dxa"/>
            <w:vAlign w:val="bottom"/>
            <w:tcBorders>
              <w:bottom w:val="single" w:sz="8" w:color="999999"/>
            </w:tcBorders>
          </w:tcPr>
          <w:p>
            <w:pPr>
              <w:ind w:left="80"/>
              <w:spacing w:after="0"/>
              <w:rPr>
                <w:sz w:val="20"/>
                <w:szCs w:val="20"/>
                <w:color w:val="auto"/>
              </w:rPr>
            </w:pPr>
            <w:r>
              <w:rPr>
                <w:rFonts w:ascii="Arial" w:cs="Arial" w:eastAsia="Arial" w:hAnsi="Arial"/>
                <w:sz w:val="16"/>
                <w:szCs w:val="16"/>
                <w:color w:val="auto"/>
              </w:rPr>
              <w:t>in Q4 2021.</w:t>
            </w:r>
          </w:p>
        </w:tc>
        <w:tc>
          <w:tcPr>
            <w:tcW w:w="980" w:type="dxa"/>
            <w:vAlign w:val="bottom"/>
            <w:tcBorders>
              <w:bottom w:val="single" w:sz="8" w:color="999999"/>
            </w:tcBorders>
          </w:tcPr>
          <w:p>
            <w:pPr>
              <w:spacing w:after="0"/>
              <w:rPr>
                <w:sz w:val="16"/>
                <w:szCs w:val="16"/>
                <w:color w:val="auto"/>
              </w:rPr>
            </w:pPr>
          </w:p>
        </w:tc>
        <w:tc>
          <w:tcPr>
            <w:tcW w:w="560" w:type="dxa"/>
            <w:vAlign w:val="bottom"/>
            <w:tcBorders>
              <w:bottom w:val="single" w:sz="8" w:color="999999"/>
            </w:tcBorders>
          </w:tcPr>
          <w:p>
            <w:pPr>
              <w:spacing w:after="0"/>
              <w:rPr>
                <w:sz w:val="16"/>
                <w:szCs w:val="16"/>
                <w:color w:val="auto"/>
              </w:rPr>
            </w:pPr>
          </w:p>
        </w:tc>
        <w:tc>
          <w:tcPr>
            <w:tcW w:w="1220" w:type="dxa"/>
            <w:vAlign w:val="bottom"/>
            <w:tcBorders>
              <w:bottom w:val="single" w:sz="8" w:color="999999"/>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300" w:type="dxa"/>
            <w:vAlign w:val="bottom"/>
          </w:tcPr>
          <w:p>
            <w:pPr>
              <w:ind w:left="200"/>
              <w:spacing w:after="0" w:line="181" w:lineRule="exact"/>
              <w:rPr>
                <w:sz w:val="20"/>
                <w:szCs w:val="20"/>
                <w:color w:val="auto"/>
              </w:rPr>
            </w:pPr>
            <w:r>
              <w:rPr>
                <w:rFonts w:ascii="Arial" w:cs="Arial" w:eastAsia="Arial" w:hAnsi="Arial"/>
                <w:sz w:val="16"/>
                <w:szCs w:val="16"/>
                <w:color w:val="auto"/>
              </w:rPr>
              <w:t>Focused  on  advancing  our  commitment  to  diversity,</w:t>
            </w:r>
          </w:p>
        </w:tc>
        <w:tc>
          <w:tcPr>
            <w:tcW w:w="780" w:type="dxa"/>
            <w:vAlign w:val="bottom"/>
          </w:tcPr>
          <w:p>
            <w:pPr>
              <w:spacing w:after="0"/>
              <w:rPr>
                <w:sz w:val="15"/>
                <w:szCs w:val="15"/>
                <w:color w:val="auto"/>
              </w:rPr>
            </w:pPr>
          </w:p>
        </w:tc>
        <w:tc>
          <w:tcPr>
            <w:tcW w:w="3700" w:type="dxa"/>
            <w:vAlign w:val="bottom"/>
            <w:gridSpan w:val="4"/>
          </w:tcPr>
          <w:p>
            <w:pPr>
              <w:ind w:left="80"/>
              <w:spacing w:after="0" w:line="181" w:lineRule="exact"/>
              <w:rPr>
                <w:sz w:val="20"/>
                <w:szCs w:val="20"/>
                <w:color w:val="auto"/>
              </w:rPr>
            </w:pPr>
            <w:r>
              <w:rPr>
                <w:rFonts w:ascii="Arial" w:cs="Arial" w:eastAsia="Arial" w:hAnsi="Arial"/>
                <w:sz w:val="16"/>
                <w:szCs w:val="16"/>
                <w:color w:val="auto"/>
              </w:rPr>
              <w:t>Joined the CEO Action for Diversity &amp; Inclusion</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300" w:type="dxa"/>
            <w:vAlign w:val="bottom"/>
          </w:tcPr>
          <w:p>
            <w:pPr>
              <w:ind w:left="200"/>
              <w:spacing w:after="0"/>
              <w:rPr>
                <w:sz w:val="20"/>
                <w:szCs w:val="20"/>
                <w:color w:val="auto"/>
              </w:rPr>
            </w:pPr>
            <w:r>
              <w:rPr>
                <w:rFonts w:ascii="Arial" w:cs="Arial" w:eastAsia="Arial" w:hAnsi="Arial"/>
                <w:sz w:val="16"/>
                <w:szCs w:val="16"/>
                <w:color w:val="auto"/>
              </w:rPr>
              <w:t>equity and inclusion by executing the initiatives set forth</w:t>
            </w:r>
          </w:p>
        </w:tc>
        <w:tc>
          <w:tcPr>
            <w:tcW w:w="780" w:type="dxa"/>
            <w:vAlign w:val="bottom"/>
          </w:tcPr>
          <w:p>
            <w:pPr>
              <w:spacing w:after="0"/>
              <w:rPr>
                <w:sz w:val="16"/>
                <w:szCs w:val="16"/>
                <w:color w:val="auto"/>
              </w:rPr>
            </w:pPr>
          </w:p>
        </w:tc>
        <w:tc>
          <w:tcPr>
            <w:tcW w:w="940" w:type="dxa"/>
            <w:vAlign w:val="bottom"/>
          </w:tcPr>
          <w:p>
            <w:pPr>
              <w:ind w:left="80"/>
              <w:spacing w:after="0"/>
              <w:rPr>
                <w:sz w:val="20"/>
                <w:szCs w:val="20"/>
                <w:color w:val="auto"/>
              </w:rPr>
            </w:pPr>
            <w:r>
              <w:rPr>
                <w:rFonts w:ascii="Arial" w:cs="Arial" w:eastAsia="Arial" w:hAnsi="Arial"/>
                <w:sz w:val="16"/>
                <w:szCs w:val="16"/>
                <w:color w:val="auto"/>
              </w:rPr>
              <w:t>coalition.</w:t>
            </w:r>
          </w:p>
        </w:tc>
        <w:tc>
          <w:tcPr>
            <w:tcW w:w="980" w:type="dxa"/>
            <w:vAlign w:val="bottom"/>
          </w:tcPr>
          <w:p>
            <w:pPr>
              <w:ind w:left="20"/>
              <w:spacing w:after="0"/>
              <w:rPr>
                <w:sz w:val="20"/>
                <w:szCs w:val="20"/>
                <w:color w:val="auto"/>
              </w:rPr>
            </w:pPr>
            <w:r>
              <w:rPr>
                <w:rFonts w:ascii="Arial" w:cs="Arial" w:eastAsia="Arial" w:hAnsi="Arial"/>
                <w:sz w:val="16"/>
                <w:szCs w:val="16"/>
                <w:color w:val="auto"/>
              </w:rPr>
              <w:t>Established</w:t>
            </w:r>
          </w:p>
        </w:tc>
        <w:tc>
          <w:tcPr>
            <w:tcW w:w="560" w:type="dxa"/>
            <w:vAlign w:val="bottom"/>
          </w:tcPr>
          <w:p>
            <w:pPr>
              <w:ind w:left="120"/>
              <w:spacing w:after="0"/>
              <w:rPr>
                <w:sz w:val="20"/>
                <w:szCs w:val="20"/>
                <w:color w:val="auto"/>
              </w:rPr>
            </w:pPr>
            <w:r>
              <w:rPr>
                <w:rFonts w:ascii="Arial" w:cs="Arial" w:eastAsia="Arial" w:hAnsi="Arial"/>
                <w:sz w:val="16"/>
                <w:szCs w:val="16"/>
                <w:color w:val="auto"/>
              </w:rPr>
              <w:t>new</w:t>
            </w:r>
          </w:p>
        </w:tc>
        <w:tc>
          <w:tcPr>
            <w:tcW w:w="1220" w:type="dxa"/>
            <w:vAlign w:val="bottom"/>
          </w:tcPr>
          <w:p>
            <w:pPr>
              <w:ind w:left="120"/>
              <w:spacing w:after="0"/>
              <w:rPr>
                <w:sz w:val="20"/>
                <w:szCs w:val="20"/>
                <w:color w:val="auto"/>
              </w:rPr>
            </w:pPr>
            <w:r>
              <w:rPr>
                <w:rFonts w:ascii="Arial" w:cs="Arial" w:eastAsia="Arial" w:hAnsi="Arial"/>
                <w:sz w:val="16"/>
                <w:szCs w:val="16"/>
                <w:color w:val="auto"/>
                <w:w w:val="99"/>
              </w:rPr>
              <w:t>apprenticeship,</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300" w:type="dxa"/>
            <w:vAlign w:val="bottom"/>
          </w:tcPr>
          <w:p>
            <w:pPr>
              <w:ind w:left="200"/>
              <w:spacing w:after="0"/>
              <w:rPr>
                <w:sz w:val="20"/>
                <w:szCs w:val="20"/>
                <w:color w:val="auto"/>
              </w:rPr>
            </w:pPr>
            <w:r>
              <w:rPr>
                <w:rFonts w:ascii="Arial" w:cs="Arial" w:eastAsia="Arial" w:hAnsi="Arial"/>
                <w:sz w:val="16"/>
                <w:szCs w:val="16"/>
                <w:color w:val="auto"/>
              </w:rPr>
              <w:t>in our diversity and inclusion action plan across all levels</w:t>
            </w:r>
          </w:p>
        </w:tc>
        <w:tc>
          <w:tcPr>
            <w:tcW w:w="780" w:type="dxa"/>
            <w:vAlign w:val="bottom"/>
          </w:tcPr>
          <w:p>
            <w:pPr>
              <w:spacing w:after="0"/>
              <w:rPr>
                <w:sz w:val="16"/>
                <w:szCs w:val="16"/>
                <w:color w:val="auto"/>
              </w:rPr>
            </w:pPr>
          </w:p>
        </w:tc>
        <w:tc>
          <w:tcPr>
            <w:tcW w:w="3700" w:type="dxa"/>
            <w:vAlign w:val="bottom"/>
            <w:gridSpan w:val="4"/>
          </w:tcPr>
          <w:p>
            <w:pPr>
              <w:ind w:left="80"/>
              <w:spacing w:after="0"/>
              <w:rPr>
                <w:sz w:val="20"/>
                <w:szCs w:val="20"/>
                <w:color w:val="auto"/>
              </w:rPr>
            </w:pPr>
            <w:r>
              <w:rPr>
                <w:rFonts w:ascii="Arial" w:cs="Arial" w:eastAsia="Arial" w:hAnsi="Arial"/>
                <w:sz w:val="16"/>
                <w:szCs w:val="16"/>
                <w:color w:val="auto"/>
              </w:rPr>
              <w:t>sponsorship and development programs to create</w:t>
            </w:r>
          </w:p>
        </w:tc>
        <w:tc>
          <w:tcPr>
            <w:tcW w:w="0" w:type="dxa"/>
            <w:vAlign w:val="bottom"/>
          </w:tcPr>
          <w:p>
            <w:pPr>
              <w:spacing w:after="0"/>
              <w:rPr>
                <w:sz w:val="1"/>
                <w:szCs w:val="1"/>
                <w:color w:val="auto"/>
              </w:rPr>
            </w:pPr>
          </w:p>
        </w:tc>
      </w:tr>
      <w:tr>
        <w:trPr>
          <w:trHeight w:val="186"/>
        </w:trPr>
        <w:tc>
          <w:tcPr>
            <w:tcW w:w="1220" w:type="dxa"/>
            <w:vAlign w:val="bottom"/>
            <w:gridSpan w:val="2"/>
          </w:tcPr>
          <w:p>
            <w:pPr>
              <w:spacing w:after="0"/>
              <w:rPr>
                <w:sz w:val="20"/>
                <w:szCs w:val="20"/>
                <w:color w:val="auto"/>
              </w:rPr>
            </w:pPr>
            <w:r>
              <w:rPr>
                <w:rFonts w:ascii="Arial" w:cs="Arial" w:eastAsia="Arial" w:hAnsi="Arial"/>
                <w:sz w:val="16"/>
                <w:szCs w:val="16"/>
                <w:color w:val="auto"/>
              </w:rPr>
              <w:t>ESG</w:t>
            </w:r>
          </w:p>
        </w:tc>
        <w:tc>
          <w:tcPr>
            <w:tcW w:w="860" w:type="dxa"/>
            <w:vAlign w:val="bottom"/>
          </w:tcPr>
          <w:p>
            <w:pPr>
              <w:ind w:left="260"/>
              <w:spacing w:after="0"/>
              <w:rPr>
                <w:sz w:val="20"/>
                <w:szCs w:val="20"/>
                <w:color w:val="auto"/>
              </w:rPr>
            </w:pPr>
            <w:r>
              <w:rPr>
                <w:rFonts w:ascii="Arial" w:cs="Arial" w:eastAsia="Arial" w:hAnsi="Arial"/>
                <w:sz w:val="16"/>
                <w:szCs w:val="16"/>
                <w:color w:val="auto"/>
              </w:rPr>
              <w:t>10%</w:t>
            </w:r>
          </w:p>
        </w:tc>
        <w:tc>
          <w:tcPr>
            <w:tcW w:w="4300" w:type="dxa"/>
            <w:vAlign w:val="bottom"/>
          </w:tcPr>
          <w:p>
            <w:pPr>
              <w:ind w:left="200"/>
              <w:spacing w:after="0"/>
              <w:rPr>
                <w:sz w:val="20"/>
                <w:szCs w:val="20"/>
                <w:color w:val="auto"/>
              </w:rPr>
            </w:pPr>
            <w:r>
              <w:rPr>
                <w:rFonts w:ascii="Arial" w:cs="Arial" w:eastAsia="Arial" w:hAnsi="Arial"/>
                <w:sz w:val="16"/>
                <w:szCs w:val="16"/>
                <w:color w:val="auto"/>
              </w:rPr>
              <w:t>of  the  organization,  ensuring  fair  and  equitable</w:t>
            </w:r>
          </w:p>
        </w:tc>
        <w:tc>
          <w:tcPr>
            <w:tcW w:w="780" w:type="dxa"/>
            <w:vAlign w:val="bottom"/>
          </w:tcPr>
          <w:p>
            <w:pPr>
              <w:jc w:val="right"/>
              <w:ind w:right="160"/>
              <w:spacing w:after="0"/>
              <w:rPr>
                <w:sz w:val="20"/>
                <w:szCs w:val="20"/>
                <w:color w:val="auto"/>
              </w:rPr>
            </w:pPr>
            <w:r>
              <w:rPr>
                <w:rFonts w:ascii="Arial" w:cs="Arial" w:eastAsia="Arial" w:hAnsi="Arial"/>
                <w:sz w:val="16"/>
                <w:szCs w:val="16"/>
                <w:color w:val="auto"/>
              </w:rPr>
              <w:t>10.0%</w:t>
            </w:r>
          </w:p>
        </w:tc>
        <w:tc>
          <w:tcPr>
            <w:tcW w:w="3700" w:type="dxa"/>
            <w:vAlign w:val="bottom"/>
            <w:gridSpan w:val="4"/>
          </w:tcPr>
          <w:p>
            <w:pPr>
              <w:ind w:left="80"/>
              <w:spacing w:after="0"/>
              <w:rPr>
                <w:sz w:val="20"/>
                <w:szCs w:val="20"/>
                <w:color w:val="auto"/>
              </w:rPr>
            </w:pPr>
            <w:r>
              <w:rPr>
                <w:rFonts w:ascii="Arial" w:cs="Arial" w:eastAsia="Arial" w:hAnsi="Arial"/>
                <w:sz w:val="16"/>
                <w:szCs w:val="16"/>
                <w:color w:val="auto"/>
              </w:rPr>
              <w:t>opportunities   for   learning,   networking   and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300" w:type="dxa"/>
            <w:vAlign w:val="bottom"/>
          </w:tcPr>
          <w:p>
            <w:pPr>
              <w:ind w:left="200"/>
              <w:spacing w:after="0"/>
              <w:rPr>
                <w:sz w:val="20"/>
                <w:szCs w:val="20"/>
                <w:color w:val="auto"/>
              </w:rPr>
            </w:pPr>
            <w:r>
              <w:rPr>
                <w:rFonts w:ascii="Arial" w:cs="Arial" w:eastAsia="Arial" w:hAnsi="Arial"/>
                <w:sz w:val="16"/>
                <w:szCs w:val="16"/>
                <w:color w:val="auto"/>
              </w:rPr>
              <w:t>compensation,  expanding  community  outreach  and</w:t>
            </w:r>
          </w:p>
        </w:tc>
        <w:tc>
          <w:tcPr>
            <w:tcW w:w="780" w:type="dxa"/>
            <w:vAlign w:val="bottom"/>
          </w:tcPr>
          <w:p>
            <w:pPr>
              <w:spacing w:after="0"/>
              <w:rPr>
                <w:sz w:val="16"/>
                <w:szCs w:val="16"/>
                <w:color w:val="auto"/>
              </w:rPr>
            </w:pPr>
          </w:p>
        </w:tc>
        <w:tc>
          <w:tcPr>
            <w:tcW w:w="3700" w:type="dxa"/>
            <w:vAlign w:val="bottom"/>
            <w:gridSpan w:val="4"/>
          </w:tcPr>
          <w:p>
            <w:pPr>
              <w:ind w:left="80"/>
              <w:spacing w:after="0"/>
              <w:rPr>
                <w:sz w:val="20"/>
                <w:szCs w:val="20"/>
                <w:color w:val="auto"/>
              </w:rPr>
            </w:pPr>
            <w:r>
              <w:rPr>
                <w:rFonts w:ascii="Arial" w:cs="Arial" w:eastAsia="Arial" w:hAnsi="Arial"/>
                <w:sz w:val="16"/>
                <w:szCs w:val="16"/>
                <w:color w:val="auto"/>
              </w:rPr>
              <w:t>leadership  development.  See  Huron’s  annual</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300" w:type="dxa"/>
            <w:vAlign w:val="bottom"/>
          </w:tcPr>
          <w:p>
            <w:pPr>
              <w:ind w:left="200"/>
              <w:spacing w:after="0"/>
              <w:rPr>
                <w:sz w:val="20"/>
                <w:szCs w:val="20"/>
                <w:color w:val="auto"/>
              </w:rPr>
            </w:pPr>
            <w:r>
              <w:rPr>
                <w:rFonts w:ascii="Arial" w:cs="Arial" w:eastAsia="Arial" w:hAnsi="Arial"/>
                <w:sz w:val="16"/>
                <w:szCs w:val="16"/>
                <w:color w:val="auto"/>
              </w:rPr>
              <w:t>strengthening vendor processes.</w:t>
            </w:r>
          </w:p>
        </w:tc>
        <w:tc>
          <w:tcPr>
            <w:tcW w:w="780" w:type="dxa"/>
            <w:vAlign w:val="bottom"/>
          </w:tcPr>
          <w:p>
            <w:pPr>
              <w:spacing w:after="0"/>
              <w:rPr>
                <w:sz w:val="16"/>
                <w:szCs w:val="16"/>
                <w:color w:val="auto"/>
              </w:rPr>
            </w:pPr>
          </w:p>
        </w:tc>
        <w:tc>
          <w:tcPr>
            <w:tcW w:w="3700" w:type="dxa"/>
            <w:vAlign w:val="bottom"/>
            <w:gridSpan w:val="4"/>
          </w:tcPr>
          <w:p>
            <w:pPr>
              <w:ind w:left="80"/>
              <w:spacing w:after="0"/>
              <w:rPr>
                <w:sz w:val="20"/>
                <w:szCs w:val="20"/>
                <w:color w:val="auto"/>
              </w:rPr>
            </w:pPr>
            <w:r>
              <w:rPr>
                <w:rFonts w:ascii="Arial" w:cs="Arial" w:eastAsia="Arial" w:hAnsi="Arial"/>
                <w:sz w:val="16"/>
                <w:szCs w:val="16"/>
                <w:color w:val="auto"/>
              </w:rPr>
              <w:t>Environmental, Social and Governance report for</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200" w:type="dxa"/>
            <w:vAlign w:val="bottom"/>
            <w:tcBorders>
              <w:bottom w:val="single" w:sz="8" w:color="999999"/>
            </w:tcBorders>
          </w:tcPr>
          <w:p>
            <w:pPr>
              <w:spacing w:after="0"/>
              <w:rPr>
                <w:sz w:val="16"/>
                <w:szCs w:val="16"/>
                <w:color w:val="auto"/>
              </w:rPr>
            </w:pPr>
          </w:p>
        </w:tc>
        <w:tc>
          <w:tcPr>
            <w:tcW w:w="860" w:type="dxa"/>
            <w:vAlign w:val="bottom"/>
            <w:tcBorders>
              <w:bottom w:val="single" w:sz="8" w:color="999999"/>
            </w:tcBorders>
          </w:tcPr>
          <w:p>
            <w:pPr>
              <w:spacing w:after="0"/>
              <w:rPr>
                <w:sz w:val="16"/>
                <w:szCs w:val="16"/>
                <w:color w:val="auto"/>
              </w:rPr>
            </w:pPr>
          </w:p>
        </w:tc>
        <w:tc>
          <w:tcPr>
            <w:tcW w:w="4300" w:type="dxa"/>
            <w:vAlign w:val="bottom"/>
            <w:tcBorders>
              <w:bottom w:val="single" w:sz="8" w:color="999999"/>
            </w:tcBorders>
          </w:tcPr>
          <w:p>
            <w:pPr>
              <w:spacing w:after="0"/>
              <w:rPr>
                <w:sz w:val="16"/>
                <w:szCs w:val="16"/>
                <w:color w:val="auto"/>
              </w:rPr>
            </w:pPr>
          </w:p>
        </w:tc>
        <w:tc>
          <w:tcPr>
            <w:tcW w:w="780" w:type="dxa"/>
            <w:vAlign w:val="bottom"/>
            <w:tcBorders>
              <w:bottom w:val="single" w:sz="8" w:color="999999"/>
            </w:tcBorders>
          </w:tcPr>
          <w:p>
            <w:pPr>
              <w:spacing w:after="0"/>
              <w:rPr>
                <w:sz w:val="16"/>
                <w:szCs w:val="16"/>
                <w:color w:val="auto"/>
              </w:rPr>
            </w:pPr>
          </w:p>
        </w:tc>
        <w:tc>
          <w:tcPr>
            <w:tcW w:w="1920" w:type="dxa"/>
            <w:vAlign w:val="bottom"/>
            <w:tcBorders>
              <w:bottom w:val="single" w:sz="8" w:color="999999"/>
            </w:tcBorders>
            <w:gridSpan w:val="2"/>
          </w:tcPr>
          <w:p>
            <w:pPr>
              <w:ind w:left="80"/>
              <w:spacing w:after="0"/>
              <w:rPr>
                <w:sz w:val="20"/>
                <w:szCs w:val="20"/>
                <w:color w:val="auto"/>
              </w:rPr>
            </w:pPr>
            <w:r>
              <w:rPr>
                <w:rFonts w:ascii="Arial" w:cs="Arial" w:eastAsia="Arial" w:hAnsi="Arial"/>
                <w:sz w:val="16"/>
                <w:szCs w:val="16"/>
                <w:color w:val="auto"/>
              </w:rPr>
              <w:t>further details.</w:t>
            </w:r>
          </w:p>
        </w:tc>
        <w:tc>
          <w:tcPr>
            <w:tcW w:w="560" w:type="dxa"/>
            <w:vAlign w:val="bottom"/>
            <w:tcBorders>
              <w:bottom w:val="single" w:sz="8" w:color="999999"/>
            </w:tcBorders>
          </w:tcPr>
          <w:p>
            <w:pPr>
              <w:spacing w:after="0"/>
              <w:rPr>
                <w:sz w:val="16"/>
                <w:szCs w:val="16"/>
                <w:color w:val="auto"/>
              </w:rPr>
            </w:pPr>
          </w:p>
        </w:tc>
        <w:tc>
          <w:tcPr>
            <w:tcW w:w="1220" w:type="dxa"/>
            <w:vAlign w:val="bottom"/>
            <w:tcBorders>
              <w:bottom w:val="single" w:sz="8" w:color="999999"/>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tcBorders>
              <w:bottom w:val="single" w:sz="8" w:color="00548B"/>
            </w:tcBorders>
          </w:tcPr>
          <w:p>
            <w:pPr>
              <w:spacing w:after="0"/>
              <w:rPr>
                <w:sz w:val="15"/>
                <w:szCs w:val="15"/>
                <w:color w:val="auto"/>
              </w:rPr>
            </w:pPr>
          </w:p>
        </w:tc>
        <w:tc>
          <w:tcPr>
            <w:tcW w:w="1200" w:type="dxa"/>
            <w:vAlign w:val="bottom"/>
            <w:tcBorders>
              <w:bottom w:val="single" w:sz="8" w:color="00548B"/>
            </w:tcBorders>
          </w:tcPr>
          <w:p>
            <w:pPr>
              <w:spacing w:after="0" w:line="180" w:lineRule="exact"/>
              <w:rPr>
                <w:sz w:val="20"/>
                <w:szCs w:val="20"/>
                <w:color w:val="auto"/>
              </w:rPr>
            </w:pPr>
            <w:r>
              <w:rPr>
                <w:rFonts w:ascii="Arial" w:cs="Arial" w:eastAsia="Arial" w:hAnsi="Arial"/>
                <w:sz w:val="16"/>
                <w:szCs w:val="16"/>
                <w:b w:val="1"/>
                <w:bCs w:val="1"/>
                <w:color w:val="auto"/>
              </w:rPr>
              <w:t>Total</w:t>
            </w:r>
          </w:p>
        </w:tc>
        <w:tc>
          <w:tcPr>
            <w:tcW w:w="860" w:type="dxa"/>
            <w:vAlign w:val="bottom"/>
            <w:tcBorders>
              <w:bottom w:val="single" w:sz="8" w:color="00548B"/>
            </w:tcBorders>
          </w:tcPr>
          <w:p>
            <w:pPr>
              <w:ind w:left="260"/>
              <w:spacing w:after="0" w:line="180" w:lineRule="exact"/>
              <w:rPr>
                <w:sz w:val="20"/>
                <w:szCs w:val="20"/>
                <w:color w:val="auto"/>
              </w:rPr>
            </w:pPr>
            <w:r>
              <w:rPr>
                <w:rFonts w:ascii="Arial" w:cs="Arial" w:eastAsia="Arial" w:hAnsi="Arial"/>
                <w:sz w:val="16"/>
                <w:szCs w:val="16"/>
                <w:b w:val="1"/>
                <w:bCs w:val="1"/>
                <w:color w:val="auto"/>
              </w:rPr>
              <w:t>100%</w:t>
            </w:r>
          </w:p>
        </w:tc>
        <w:tc>
          <w:tcPr>
            <w:tcW w:w="4300" w:type="dxa"/>
            <w:vAlign w:val="bottom"/>
            <w:tcBorders>
              <w:bottom w:val="single" w:sz="8" w:color="00548B"/>
            </w:tcBorders>
          </w:tcPr>
          <w:p>
            <w:pPr>
              <w:spacing w:after="0"/>
              <w:rPr>
                <w:sz w:val="15"/>
                <w:szCs w:val="15"/>
                <w:color w:val="auto"/>
              </w:rPr>
            </w:pPr>
          </w:p>
        </w:tc>
        <w:tc>
          <w:tcPr>
            <w:tcW w:w="780" w:type="dxa"/>
            <w:vAlign w:val="bottom"/>
            <w:tcBorders>
              <w:bottom w:val="single" w:sz="8" w:color="00548B"/>
            </w:tcBorders>
          </w:tcPr>
          <w:p>
            <w:pPr>
              <w:jc w:val="right"/>
              <w:ind w:right="20"/>
              <w:spacing w:after="0" w:line="180" w:lineRule="exact"/>
              <w:rPr>
                <w:sz w:val="20"/>
                <w:szCs w:val="20"/>
                <w:color w:val="auto"/>
              </w:rPr>
            </w:pPr>
            <w:r>
              <w:rPr>
                <w:rFonts w:ascii="Arial" w:cs="Arial" w:eastAsia="Arial" w:hAnsi="Arial"/>
                <w:sz w:val="16"/>
                <w:szCs w:val="16"/>
                <w:b w:val="1"/>
                <w:bCs w:val="1"/>
                <w:color w:val="auto"/>
              </w:rPr>
              <w:t>102.2%</w:t>
            </w:r>
          </w:p>
        </w:tc>
        <w:tc>
          <w:tcPr>
            <w:tcW w:w="940" w:type="dxa"/>
            <w:vAlign w:val="bottom"/>
            <w:tcBorders>
              <w:bottom w:val="single" w:sz="8" w:color="00548B"/>
            </w:tcBorders>
          </w:tcPr>
          <w:p>
            <w:pPr>
              <w:spacing w:after="0"/>
              <w:rPr>
                <w:sz w:val="15"/>
                <w:szCs w:val="15"/>
                <w:color w:val="auto"/>
              </w:rPr>
            </w:pPr>
          </w:p>
        </w:tc>
        <w:tc>
          <w:tcPr>
            <w:tcW w:w="980" w:type="dxa"/>
            <w:vAlign w:val="bottom"/>
            <w:tcBorders>
              <w:bottom w:val="single" w:sz="8" w:color="00548B"/>
            </w:tcBorders>
          </w:tcPr>
          <w:p>
            <w:pPr>
              <w:spacing w:after="0"/>
              <w:rPr>
                <w:sz w:val="15"/>
                <w:szCs w:val="15"/>
                <w:color w:val="auto"/>
              </w:rPr>
            </w:pPr>
          </w:p>
        </w:tc>
        <w:tc>
          <w:tcPr>
            <w:tcW w:w="560" w:type="dxa"/>
            <w:vAlign w:val="bottom"/>
            <w:tcBorders>
              <w:bottom w:val="single" w:sz="8" w:color="00548B"/>
            </w:tcBorders>
          </w:tcPr>
          <w:p>
            <w:pPr>
              <w:spacing w:after="0"/>
              <w:rPr>
                <w:sz w:val="15"/>
                <w:szCs w:val="15"/>
                <w:color w:val="auto"/>
              </w:rPr>
            </w:pPr>
          </w:p>
        </w:tc>
        <w:tc>
          <w:tcPr>
            <w:tcW w:w="1220" w:type="dxa"/>
            <w:vAlign w:val="bottom"/>
            <w:tcBorders>
              <w:bottom w:val="single" w:sz="8" w:color="00548B"/>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00548B"/>
        </w:rPr>
        <w:t>31</w:t>
      </w:r>
    </w:p>
    <w:p>
      <w:pPr>
        <w:sectPr>
          <w:pgSz w:w="11900" w:h="16838" w:orient="portrait"/>
          <w:cols w:equalWidth="0" w:num="1">
            <w:col w:w="11060"/>
          </w:cols>
          <w:pgMar w:left="320" w:top="454" w:right="51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2021 Long-Term Incentive</w:t>
      </w:r>
    </w:p>
    <w:p>
      <w:pPr>
        <w:spacing w:after="0" w:line="20" w:lineRule="exact"/>
        <w:rPr>
          <w:sz w:val="20"/>
          <w:szCs w:val="20"/>
          <w:color w:val="auto"/>
        </w:rPr>
      </w:pPr>
    </w:p>
    <w:p>
      <w:pPr>
        <w:jc w:val="both"/>
        <w:ind w:left="200" w:right="20"/>
        <w:spacing w:after="0" w:line="248" w:lineRule="auto"/>
        <w:rPr>
          <w:sz w:val="20"/>
          <w:szCs w:val="20"/>
          <w:color w:val="auto"/>
        </w:rPr>
      </w:pPr>
      <w:r>
        <w:rPr>
          <w:rFonts w:ascii="Arial" w:cs="Arial" w:eastAsia="Arial" w:hAnsi="Arial"/>
          <w:sz w:val="16"/>
          <w:szCs w:val="16"/>
          <w:color w:val="auto"/>
        </w:rPr>
        <w:t>Given the uncertainty of the recovery of our business from the impact of the COVID-19 pandemic and the Compensation Committee’s desire to provide a competitive earning opportunity aligned with shareholder value, the Compensation Committee elected to make two temporary changes to the NEO long-term incentive program for 2021:</w:t>
      </w:r>
    </w:p>
    <w:p>
      <w:pPr>
        <w:spacing w:after="0" w:line="108" w:lineRule="exact"/>
        <w:rPr>
          <w:sz w:val="20"/>
          <w:szCs w:val="20"/>
          <w:color w:val="auto"/>
        </w:rPr>
      </w:pPr>
    </w:p>
    <w:p>
      <w:pPr>
        <w:ind w:left="1060" w:right="20" w:hanging="329"/>
        <w:spacing w:after="0" w:line="242" w:lineRule="auto"/>
        <w:tabs>
          <w:tab w:leader="none" w:pos="1060" w:val="left"/>
        </w:tabs>
        <w:numPr>
          <w:ilvl w:val="0"/>
          <w:numId w:val="20"/>
        </w:numPr>
        <w:rPr>
          <w:rFonts w:ascii="Arial" w:cs="Arial" w:eastAsia="Arial" w:hAnsi="Arial"/>
          <w:sz w:val="16"/>
          <w:szCs w:val="16"/>
          <w:color w:val="00548B"/>
        </w:rPr>
      </w:pPr>
      <w:r>
        <w:rPr>
          <w:rFonts w:ascii="Arial" w:cs="Arial" w:eastAsia="Arial" w:hAnsi="Arial"/>
          <w:sz w:val="16"/>
          <w:szCs w:val="16"/>
          <w:color w:val="auto"/>
        </w:rPr>
        <w:t>Maintain majority weighting on performance units but temporarily reduce weighting from 70% to 60% of the target award value, to better reflect market competitive practices.</w:t>
      </w:r>
    </w:p>
    <w:p>
      <w:pPr>
        <w:spacing w:after="0" w:line="1" w:lineRule="exact"/>
        <w:rPr>
          <w:rFonts w:ascii="Arial" w:cs="Arial" w:eastAsia="Arial" w:hAnsi="Arial"/>
          <w:sz w:val="16"/>
          <w:szCs w:val="16"/>
          <w:color w:val="00548B"/>
        </w:rPr>
      </w:pPr>
    </w:p>
    <w:p>
      <w:pPr>
        <w:jc w:val="both"/>
        <w:ind w:left="1060" w:right="20" w:hanging="329"/>
        <w:spacing w:after="0" w:line="219" w:lineRule="auto"/>
        <w:tabs>
          <w:tab w:leader="none" w:pos="1060" w:val="left"/>
        </w:tabs>
        <w:numPr>
          <w:ilvl w:val="0"/>
          <w:numId w:val="20"/>
        </w:numPr>
        <w:rPr>
          <w:rFonts w:ascii="Arial" w:cs="Arial" w:eastAsia="Arial" w:hAnsi="Arial"/>
          <w:sz w:val="16"/>
          <w:szCs w:val="16"/>
          <w:color w:val="00548B"/>
        </w:rPr>
      </w:pPr>
      <w:r>
        <w:rPr>
          <w:rFonts w:ascii="Arial" w:cs="Arial" w:eastAsia="Arial" w:hAnsi="Arial"/>
          <w:sz w:val="16"/>
          <w:szCs w:val="16"/>
          <w:color w:val="auto"/>
        </w:rPr>
        <w:t>Retain three-year cumulative performance cycle and three-year cliff vesting, but set annual goals for both Adjusted Diluted EPS and Revenue Growth</w:t>
      </w:r>
      <w:r>
        <w:rPr>
          <w:rFonts w:ascii="Arial" w:cs="Arial" w:eastAsia="Arial" w:hAnsi="Arial"/>
          <w:sz w:val="27"/>
          <w:szCs w:val="27"/>
          <w:color w:val="auto"/>
          <w:vertAlign w:val="superscript"/>
        </w:rPr>
        <w:t>3</w:t>
      </w:r>
      <w:r>
        <w:rPr>
          <w:rFonts w:ascii="Arial" w:cs="Arial" w:eastAsia="Arial" w:hAnsi="Arial"/>
          <w:sz w:val="16"/>
          <w:szCs w:val="16"/>
          <w:color w:val="auto"/>
        </w:rPr>
        <w:t>, which balances the focus on long-term profitable growth with the continued uncertainty resulting from the pandemic. Final payout will be determined at the end of the full three-year period by averaging each years’ actual annual performance against the annual target set for that year, and then applying a multiplier in a range of 90% to 110% based on performance against Compensation Committee-approved three-year Revenue Growth goals. As in prior years, we cannot disclose the three-year goals at this time due to their material, non-public nature. See below for the 2021 goals approved by the Compensation Committee and the performance against the approved goals.</w:t>
      </w:r>
    </w:p>
    <w:p>
      <w:pPr>
        <w:spacing w:after="0" w:line="207" w:lineRule="exact"/>
        <w:rPr>
          <w:sz w:val="20"/>
          <w:szCs w:val="20"/>
          <w:color w:val="auto"/>
        </w:rPr>
      </w:pPr>
    </w:p>
    <w:p>
      <w:pPr>
        <w:ind w:left="200" w:right="20"/>
        <w:spacing w:after="0" w:line="253" w:lineRule="auto"/>
        <w:rPr>
          <w:sz w:val="20"/>
          <w:szCs w:val="20"/>
          <w:color w:val="auto"/>
        </w:rPr>
      </w:pPr>
      <w:r>
        <w:rPr>
          <w:rFonts w:ascii="Arial" w:cs="Arial" w:eastAsia="Arial" w:hAnsi="Arial"/>
          <w:sz w:val="16"/>
          <w:szCs w:val="16"/>
          <w:color w:val="auto"/>
        </w:rPr>
        <w:t>On March 1, 2021, the Compensation Committee awarded our NEOs performance share units and restricted shares under the long-term incentive plan of the following amounts:</w:t>
      </w:r>
    </w:p>
    <w:p>
      <w:pPr>
        <w:spacing w:after="0" w:line="20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900" w:type="dxa"/>
            <w:vAlign w:val="bottom"/>
            <w:shd w:val="clear" w:color="auto" w:fill="00548B"/>
          </w:tcPr>
          <w:p>
            <w:pPr>
              <w:spacing w:after="0"/>
              <w:rPr>
                <w:sz w:val="14"/>
                <w:szCs w:val="14"/>
                <w:color w:val="auto"/>
              </w:rPr>
            </w:pPr>
          </w:p>
        </w:tc>
        <w:tc>
          <w:tcPr>
            <w:tcW w:w="4700" w:type="dxa"/>
            <w:vAlign w:val="bottom"/>
            <w:shd w:val="clear" w:color="auto" w:fill="00548B"/>
          </w:tcPr>
          <w:p>
            <w:pPr>
              <w:jc w:val="center"/>
              <w:ind w:left="3005"/>
              <w:spacing w:after="0"/>
              <w:rPr>
                <w:sz w:val="20"/>
                <w:szCs w:val="20"/>
                <w:color w:val="auto"/>
              </w:rPr>
            </w:pPr>
            <w:r>
              <w:rPr>
                <w:rFonts w:ascii="Arial" w:cs="Arial" w:eastAsia="Arial" w:hAnsi="Arial"/>
                <w:sz w:val="14"/>
                <w:szCs w:val="14"/>
                <w:b w:val="1"/>
                <w:bCs w:val="1"/>
                <w:color w:val="D8D8D8"/>
              </w:rPr>
              <w:t>Performance</w:t>
            </w:r>
          </w:p>
        </w:tc>
        <w:tc>
          <w:tcPr>
            <w:tcW w:w="1260" w:type="dxa"/>
            <w:vAlign w:val="bottom"/>
            <w:shd w:val="clear" w:color="auto" w:fill="00548B"/>
          </w:tcPr>
          <w:p>
            <w:pPr>
              <w:spacing w:after="0"/>
              <w:rPr>
                <w:sz w:val="14"/>
                <w:szCs w:val="14"/>
                <w:color w:val="auto"/>
              </w:rPr>
            </w:pPr>
          </w:p>
        </w:tc>
      </w:tr>
      <w:tr>
        <w:trPr>
          <w:trHeight w:val="156"/>
        </w:trPr>
        <w:tc>
          <w:tcPr>
            <w:tcW w:w="4900" w:type="dxa"/>
            <w:vAlign w:val="bottom"/>
            <w:shd w:val="clear" w:color="auto" w:fill="00548B"/>
          </w:tcPr>
          <w:p>
            <w:pPr>
              <w:spacing w:after="0"/>
              <w:rPr>
                <w:sz w:val="13"/>
                <w:szCs w:val="13"/>
                <w:color w:val="auto"/>
              </w:rPr>
            </w:pPr>
          </w:p>
        </w:tc>
        <w:tc>
          <w:tcPr>
            <w:tcW w:w="4700" w:type="dxa"/>
            <w:vAlign w:val="bottom"/>
            <w:shd w:val="clear" w:color="auto" w:fill="00548B"/>
          </w:tcPr>
          <w:p>
            <w:pPr>
              <w:jc w:val="center"/>
              <w:ind w:left="3005"/>
              <w:spacing w:after="0" w:line="156" w:lineRule="exact"/>
              <w:rPr>
                <w:sz w:val="20"/>
                <w:szCs w:val="20"/>
                <w:color w:val="auto"/>
              </w:rPr>
            </w:pPr>
            <w:r>
              <w:rPr>
                <w:rFonts w:ascii="Arial" w:cs="Arial" w:eastAsia="Arial" w:hAnsi="Arial"/>
                <w:sz w:val="14"/>
                <w:szCs w:val="14"/>
                <w:b w:val="1"/>
                <w:bCs w:val="1"/>
                <w:color w:val="D8D8D8"/>
                <w:w w:val="97"/>
              </w:rPr>
              <w:t>Share</w:t>
            </w:r>
          </w:p>
        </w:tc>
        <w:tc>
          <w:tcPr>
            <w:tcW w:w="1260" w:type="dxa"/>
            <w:vAlign w:val="bottom"/>
            <w:shd w:val="clear" w:color="auto" w:fill="00548B"/>
          </w:tcPr>
          <w:p>
            <w:pPr>
              <w:jc w:val="right"/>
              <w:ind w:right="123"/>
              <w:spacing w:after="0" w:line="156" w:lineRule="exact"/>
              <w:rPr>
                <w:sz w:val="20"/>
                <w:szCs w:val="20"/>
                <w:color w:val="auto"/>
              </w:rPr>
            </w:pPr>
            <w:r>
              <w:rPr>
                <w:rFonts w:ascii="Arial" w:cs="Arial" w:eastAsia="Arial" w:hAnsi="Arial"/>
                <w:sz w:val="14"/>
                <w:szCs w:val="14"/>
                <w:b w:val="1"/>
                <w:bCs w:val="1"/>
                <w:color w:val="D8D8D8"/>
              </w:rPr>
              <w:t>Restricted</w:t>
            </w:r>
          </w:p>
        </w:tc>
      </w:tr>
      <w:tr>
        <w:trPr>
          <w:trHeight w:val="176"/>
        </w:trPr>
        <w:tc>
          <w:tcPr>
            <w:tcW w:w="4900" w:type="dxa"/>
            <w:vAlign w:val="bottom"/>
            <w:shd w:val="clear" w:color="auto" w:fill="00548B"/>
          </w:tcPr>
          <w:p>
            <w:pPr>
              <w:spacing w:after="0"/>
              <w:rPr>
                <w:sz w:val="20"/>
                <w:szCs w:val="20"/>
                <w:color w:val="auto"/>
              </w:rPr>
            </w:pPr>
            <w:r>
              <w:rPr>
                <w:rFonts w:ascii="Arial" w:cs="Arial" w:eastAsia="Arial" w:hAnsi="Arial"/>
                <w:sz w:val="14"/>
                <w:szCs w:val="14"/>
                <w:b w:val="1"/>
                <w:bCs w:val="1"/>
                <w:color w:val="D8D8D8"/>
              </w:rPr>
              <w:t>Executive</w:t>
            </w:r>
          </w:p>
        </w:tc>
        <w:tc>
          <w:tcPr>
            <w:tcW w:w="4700" w:type="dxa"/>
            <w:vAlign w:val="bottom"/>
            <w:shd w:val="clear" w:color="auto" w:fill="00548B"/>
          </w:tcPr>
          <w:p>
            <w:pPr>
              <w:jc w:val="center"/>
              <w:ind w:left="3005"/>
              <w:spacing w:after="0" w:line="176" w:lineRule="exact"/>
              <w:rPr>
                <w:sz w:val="20"/>
                <w:szCs w:val="20"/>
                <w:color w:val="auto"/>
              </w:rPr>
            </w:pPr>
            <w:r>
              <w:rPr>
                <w:rFonts w:ascii="Arial" w:cs="Arial" w:eastAsia="Arial" w:hAnsi="Arial"/>
                <w:sz w:val="12"/>
                <w:szCs w:val="12"/>
                <w:b w:val="1"/>
                <w:bCs w:val="1"/>
                <w:color w:val="D8D8D8"/>
              </w:rPr>
              <w:t>Units</w:t>
            </w:r>
            <w:r>
              <w:rPr>
                <w:rFonts w:ascii="Arial" w:cs="Arial" w:eastAsia="Arial" w:hAnsi="Arial"/>
                <w:sz w:val="20"/>
                <w:szCs w:val="20"/>
                <w:b w:val="1"/>
                <w:bCs w:val="1"/>
                <w:color w:val="D8D8D8"/>
                <w:vertAlign w:val="superscript"/>
              </w:rPr>
              <w:t>(1)</w:t>
            </w:r>
          </w:p>
        </w:tc>
        <w:tc>
          <w:tcPr>
            <w:tcW w:w="1260" w:type="dxa"/>
            <w:vAlign w:val="bottom"/>
            <w:shd w:val="clear" w:color="auto" w:fill="00548B"/>
          </w:tcPr>
          <w:p>
            <w:pPr>
              <w:jc w:val="right"/>
              <w:ind w:right="143"/>
              <w:spacing w:after="0"/>
              <w:rPr>
                <w:sz w:val="20"/>
                <w:szCs w:val="20"/>
                <w:color w:val="auto"/>
              </w:rPr>
            </w:pPr>
            <w:r>
              <w:rPr>
                <w:rFonts w:ascii="Arial" w:cs="Arial" w:eastAsia="Arial" w:hAnsi="Arial"/>
                <w:sz w:val="14"/>
                <w:szCs w:val="14"/>
                <w:b w:val="1"/>
                <w:bCs w:val="1"/>
                <w:color w:val="D8D8D8"/>
              </w:rPr>
              <w:t>Shares</w:t>
            </w:r>
          </w:p>
        </w:tc>
      </w:tr>
      <w:tr>
        <w:trPr>
          <w:trHeight w:val="186"/>
        </w:trPr>
        <w:tc>
          <w:tcPr>
            <w:tcW w:w="4900" w:type="dxa"/>
            <w:vAlign w:val="bottom"/>
            <w:tcBorders>
              <w:bottom w:val="single" w:sz="8" w:color="999999"/>
            </w:tcBorders>
          </w:tcPr>
          <w:p>
            <w:pPr>
              <w:spacing w:after="0"/>
              <w:rPr>
                <w:sz w:val="20"/>
                <w:szCs w:val="20"/>
                <w:color w:val="auto"/>
              </w:rPr>
            </w:pPr>
            <w:r>
              <w:rPr>
                <w:rFonts w:ascii="Arial" w:cs="Arial" w:eastAsia="Arial" w:hAnsi="Arial"/>
                <w:sz w:val="16"/>
                <w:szCs w:val="16"/>
                <w:color w:val="auto"/>
              </w:rPr>
              <w:t>James H. Roth</w:t>
            </w:r>
          </w:p>
        </w:tc>
        <w:tc>
          <w:tcPr>
            <w:tcW w:w="4700" w:type="dxa"/>
            <w:vAlign w:val="bottom"/>
            <w:tcBorders>
              <w:bottom w:val="single" w:sz="8" w:color="999999"/>
            </w:tcBorders>
          </w:tcPr>
          <w:p>
            <w:pPr>
              <w:jc w:val="right"/>
              <w:ind w:right="305"/>
              <w:spacing w:after="0"/>
              <w:rPr>
                <w:sz w:val="20"/>
                <w:szCs w:val="20"/>
                <w:color w:val="auto"/>
              </w:rPr>
            </w:pPr>
            <w:r>
              <w:rPr>
                <w:rFonts w:ascii="Arial" w:cs="Arial" w:eastAsia="Arial" w:hAnsi="Arial"/>
                <w:sz w:val="16"/>
                <w:szCs w:val="16"/>
                <w:color w:val="auto"/>
              </w:rPr>
              <w:t>23,860</w:t>
            </w:r>
          </w:p>
        </w:tc>
        <w:tc>
          <w:tcPr>
            <w:tcW w:w="1260" w:type="dxa"/>
            <w:vAlign w:val="bottom"/>
            <w:tcBorders>
              <w:bottom w:val="single" w:sz="8" w:color="999999"/>
            </w:tcBorders>
          </w:tcPr>
          <w:p>
            <w:pPr>
              <w:jc w:val="right"/>
              <w:ind w:right="163"/>
              <w:spacing w:after="0"/>
              <w:rPr>
                <w:sz w:val="20"/>
                <w:szCs w:val="20"/>
                <w:color w:val="auto"/>
              </w:rPr>
            </w:pPr>
            <w:r>
              <w:rPr>
                <w:rFonts w:ascii="Arial" w:cs="Arial" w:eastAsia="Arial" w:hAnsi="Arial"/>
                <w:sz w:val="16"/>
                <w:szCs w:val="16"/>
                <w:color w:val="auto"/>
              </w:rPr>
              <w:t>15,907</w:t>
            </w:r>
          </w:p>
        </w:tc>
      </w:tr>
      <w:tr>
        <w:trPr>
          <w:trHeight w:val="179"/>
        </w:trPr>
        <w:tc>
          <w:tcPr>
            <w:tcW w:w="4900" w:type="dxa"/>
            <w:vAlign w:val="bottom"/>
            <w:tcBorders>
              <w:bottom w:val="single" w:sz="8" w:color="999999"/>
            </w:tcBorders>
          </w:tcPr>
          <w:p>
            <w:pPr>
              <w:spacing w:after="0" w:line="180" w:lineRule="exact"/>
              <w:rPr>
                <w:sz w:val="20"/>
                <w:szCs w:val="20"/>
                <w:color w:val="auto"/>
              </w:rPr>
            </w:pPr>
            <w:r>
              <w:rPr>
                <w:rFonts w:ascii="Arial" w:cs="Arial" w:eastAsia="Arial" w:hAnsi="Arial"/>
                <w:sz w:val="16"/>
                <w:szCs w:val="16"/>
                <w:color w:val="auto"/>
              </w:rPr>
              <w:t>C. Mark Hussey</w:t>
            </w:r>
          </w:p>
        </w:tc>
        <w:tc>
          <w:tcPr>
            <w:tcW w:w="4700" w:type="dxa"/>
            <w:vAlign w:val="bottom"/>
            <w:tcBorders>
              <w:bottom w:val="single" w:sz="8" w:color="999999"/>
            </w:tcBorders>
          </w:tcPr>
          <w:p>
            <w:pPr>
              <w:jc w:val="right"/>
              <w:ind w:right="305"/>
              <w:spacing w:after="0" w:line="180" w:lineRule="exact"/>
              <w:rPr>
                <w:sz w:val="20"/>
                <w:szCs w:val="20"/>
                <w:color w:val="auto"/>
              </w:rPr>
            </w:pPr>
            <w:r>
              <w:rPr>
                <w:rFonts w:ascii="Arial" w:cs="Arial" w:eastAsia="Arial" w:hAnsi="Arial"/>
                <w:sz w:val="16"/>
                <w:szCs w:val="16"/>
                <w:color w:val="auto"/>
              </w:rPr>
              <w:t>15,628</w:t>
            </w:r>
          </w:p>
        </w:tc>
        <w:tc>
          <w:tcPr>
            <w:tcW w:w="1260" w:type="dxa"/>
            <w:vAlign w:val="bottom"/>
            <w:tcBorders>
              <w:bottom w:val="single" w:sz="8" w:color="999999"/>
            </w:tcBorders>
          </w:tcPr>
          <w:p>
            <w:pPr>
              <w:jc w:val="right"/>
              <w:ind w:right="163"/>
              <w:spacing w:after="0" w:line="180" w:lineRule="exact"/>
              <w:rPr>
                <w:sz w:val="20"/>
                <w:szCs w:val="20"/>
                <w:color w:val="auto"/>
              </w:rPr>
            </w:pPr>
            <w:r>
              <w:rPr>
                <w:rFonts w:ascii="Arial" w:cs="Arial" w:eastAsia="Arial" w:hAnsi="Arial"/>
                <w:sz w:val="16"/>
                <w:szCs w:val="16"/>
                <w:color w:val="auto"/>
              </w:rPr>
              <w:t>10,419</w:t>
            </w:r>
          </w:p>
        </w:tc>
      </w:tr>
      <w:tr>
        <w:trPr>
          <w:trHeight w:val="179"/>
        </w:trPr>
        <w:tc>
          <w:tcPr>
            <w:tcW w:w="4900" w:type="dxa"/>
            <w:vAlign w:val="bottom"/>
            <w:tcBorders>
              <w:bottom w:val="single" w:sz="8" w:color="999999"/>
            </w:tcBorders>
          </w:tcPr>
          <w:p>
            <w:pPr>
              <w:spacing w:after="0" w:line="180" w:lineRule="exact"/>
              <w:rPr>
                <w:sz w:val="20"/>
                <w:szCs w:val="20"/>
                <w:color w:val="auto"/>
              </w:rPr>
            </w:pPr>
            <w:r>
              <w:rPr>
                <w:rFonts w:ascii="Arial" w:cs="Arial" w:eastAsia="Arial" w:hAnsi="Arial"/>
                <w:sz w:val="16"/>
                <w:szCs w:val="16"/>
                <w:color w:val="auto"/>
              </w:rPr>
              <w:t>John D. Kelly</w:t>
            </w:r>
          </w:p>
        </w:tc>
        <w:tc>
          <w:tcPr>
            <w:tcW w:w="4700" w:type="dxa"/>
            <w:vAlign w:val="bottom"/>
            <w:tcBorders>
              <w:bottom w:val="single" w:sz="8" w:color="999999"/>
            </w:tcBorders>
          </w:tcPr>
          <w:p>
            <w:pPr>
              <w:jc w:val="right"/>
              <w:ind w:right="305"/>
              <w:spacing w:after="0" w:line="180" w:lineRule="exact"/>
              <w:rPr>
                <w:sz w:val="20"/>
                <w:szCs w:val="20"/>
                <w:color w:val="auto"/>
              </w:rPr>
            </w:pPr>
            <w:r>
              <w:rPr>
                <w:rFonts w:ascii="Arial" w:cs="Arial" w:eastAsia="Arial" w:hAnsi="Arial"/>
                <w:sz w:val="16"/>
                <w:szCs w:val="16"/>
                <w:color w:val="auto"/>
              </w:rPr>
              <w:t>8,791</w:t>
            </w:r>
          </w:p>
        </w:tc>
        <w:tc>
          <w:tcPr>
            <w:tcW w:w="1260" w:type="dxa"/>
            <w:vAlign w:val="bottom"/>
            <w:tcBorders>
              <w:bottom w:val="single" w:sz="8" w:color="999999"/>
            </w:tcBorders>
          </w:tcPr>
          <w:p>
            <w:pPr>
              <w:jc w:val="right"/>
              <w:ind w:right="163"/>
              <w:spacing w:after="0" w:line="180" w:lineRule="exact"/>
              <w:rPr>
                <w:sz w:val="20"/>
                <w:szCs w:val="20"/>
                <w:color w:val="auto"/>
              </w:rPr>
            </w:pPr>
            <w:r>
              <w:rPr>
                <w:rFonts w:ascii="Arial" w:cs="Arial" w:eastAsia="Arial" w:hAnsi="Arial"/>
                <w:sz w:val="16"/>
                <w:szCs w:val="16"/>
                <w:color w:val="auto"/>
              </w:rPr>
              <w:t>5,860</w:t>
            </w:r>
          </w:p>
        </w:tc>
      </w:tr>
      <w:tr>
        <w:trPr>
          <w:trHeight w:val="188"/>
        </w:trPr>
        <w:tc>
          <w:tcPr>
            <w:tcW w:w="4900" w:type="dxa"/>
            <w:vAlign w:val="bottom"/>
          </w:tcPr>
          <w:p>
            <w:pPr>
              <w:spacing w:after="0"/>
              <w:rPr>
                <w:sz w:val="20"/>
                <w:szCs w:val="20"/>
                <w:color w:val="auto"/>
              </w:rPr>
            </w:pPr>
            <w:r>
              <w:rPr>
                <w:rFonts w:ascii="Arial" w:cs="Arial" w:eastAsia="Arial" w:hAnsi="Arial"/>
                <w:sz w:val="16"/>
                <w:szCs w:val="16"/>
                <w:color w:val="auto"/>
              </w:rPr>
              <w:t>Ernest W. Torain, Jr.</w:t>
            </w:r>
          </w:p>
        </w:tc>
        <w:tc>
          <w:tcPr>
            <w:tcW w:w="4700" w:type="dxa"/>
            <w:vAlign w:val="bottom"/>
          </w:tcPr>
          <w:p>
            <w:pPr>
              <w:jc w:val="right"/>
              <w:ind w:right="305"/>
              <w:spacing w:after="0"/>
              <w:rPr>
                <w:sz w:val="20"/>
                <w:szCs w:val="20"/>
                <w:color w:val="auto"/>
              </w:rPr>
            </w:pPr>
            <w:r>
              <w:rPr>
                <w:rFonts w:ascii="Arial" w:cs="Arial" w:eastAsia="Arial" w:hAnsi="Arial"/>
                <w:sz w:val="16"/>
                <w:szCs w:val="16"/>
                <w:color w:val="auto"/>
              </w:rPr>
              <w:t>3,617</w:t>
            </w:r>
          </w:p>
        </w:tc>
        <w:tc>
          <w:tcPr>
            <w:tcW w:w="1260" w:type="dxa"/>
            <w:vAlign w:val="bottom"/>
          </w:tcPr>
          <w:p>
            <w:pPr>
              <w:jc w:val="right"/>
              <w:ind w:right="163"/>
              <w:spacing w:after="0"/>
              <w:rPr>
                <w:sz w:val="20"/>
                <w:szCs w:val="20"/>
                <w:color w:val="auto"/>
              </w:rPr>
            </w:pPr>
            <w:r>
              <w:rPr>
                <w:rFonts w:ascii="Arial" w:cs="Arial" w:eastAsia="Arial" w:hAnsi="Arial"/>
                <w:sz w:val="16"/>
                <w:szCs w:val="16"/>
                <w:color w:val="auto"/>
              </w:rPr>
              <w:t>2,411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-4445</wp:posOffset>
            </wp:positionV>
            <wp:extent cx="688975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89750" cy="8255"/>
                    </a:xfrm>
                    <a:prstGeom prst="rect">
                      <a:avLst/>
                    </a:prstGeom>
                    <a:noFill/>
                  </pic:spPr>
                </pic:pic>
              </a:graphicData>
            </a:graphic>
          </wp:anchor>
        </w:drawing>
      </w:r>
    </w:p>
    <w:p>
      <w:pPr>
        <w:jc w:val="both"/>
        <w:ind w:left="740" w:right="20" w:hanging="541"/>
        <w:spacing w:after="0" w:line="244" w:lineRule="auto"/>
        <w:tabs>
          <w:tab w:leader="none" w:pos="7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As shown in the table above, the Compensation Committee awarded a total of 51,896 performance share units under the 2021 long-term incentive plan; however, only one-third of the performance shares awarded were granted as defined under FASB ASC Topic 718. The one-third of performance shares granted represent the shares eligible to be earned based on performance against the approved 2021 annual goals and three-year revenue goal at the end of 2023. As the annual goals against which the second and third components will be measured will be approved by the Compensation Committee in February 2022 and February 2023, the related shares were not granted in 2021 as defined by FASB ASC Topic 718. The 51,896 performance share units awarded and reflected in the table above reflects the cumulative target shares to be granted over the three-year performance period.</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2021 Performance on Long-Term Incentive</w:t>
      </w:r>
    </w:p>
    <w:p>
      <w:pPr>
        <w:spacing w:after="0" w:line="15" w:lineRule="exact"/>
        <w:rPr>
          <w:sz w:val="20"/>
          <w:szCs w:val="20"/>
          <w:color w:val="auto"/>
        </w:rPr>
      </w:pPr>
    </w:p>
    <w:p>
      <w:pPr>
        <w:jc w:val="both"/>
        <w:ind w:left="200" w:right="20"/>
        <w:spacing w:after="0" w:line="210" w:lineRule="auto"/>
        <w:rPr>
          <w:sz w:val="20"/>
          <w:szCs w:val="20"/>
          <w:color w:val="auto"/>
        </w:rPr>
      </w:pPr>
      <w:r>
        <w:rPr>
          <w:rFonts w:ascii="Arial" w:cs="Arial" w:eastAsia="Arial" w:hAnsi="Arial"/>
          <w:sz w:val="16"/>
          <w:szCs w:val="16"/>
          <w:color w:val="auto"/>
        </w:rPr>
        <w:t>The Compensation Committee established the following 2021 goals for Adjusted Diluted EPS and Revenue Growth</w:t>
      </w:r>
      <w:r>
        <w:rPr>
          <w:rFonts w:ascii="Arial" w:cs="Arial" w:eastAsia="Arial" w:hAnsi="Arial"/>
          <w:sz w:val="27"/>
          <w:szCs w:val="27"/>
          <w:color w:val="auto"/>
          <w:vertAlign w:val="superscript"/>
        </w:rPr>
        <w:t>3</w:t>
      </w:r>
      <w:r>
        <w:rPr>
          <w:rFonts w:ascii="Arial" w:cs="Arial" w:eastAsia="Arial" w:hAnsi="Arial"/>
          <w:sz w:val="16"/>
          <w:szCs w:val="16"/>
          <w:color w:val="auto"/>
        </w:rPr>
        <w:t>, each with a 50% weighting, to determine the number of earned shares for the first component of the 2021 long-term incentive. Final payout of the entire 2021 long-term incentive program will be determined at the end of the full three-year period after incorporating our performance against the Compensation Committee-approved three-year Revenue Growth goals. No shares will vest under this program until the conclusion of the full three-year performance period.</w:t>
      </w:r>
    </w:p>
    <w:p>
      <w:pPr>
        <w:spacing w:after="0" w:line="232" w:lineRule="exact"/>
        <w:rPr>
          <w:sz w:val="20"/>
          <w:szCs w:val="20"/>
          <w:color w:val="auto"/>
        </w:rPr>
      </w:pPr>
    </w:p>
    <w:tbl>
      <w:tblPr>
        <w:tblLayout w:type="fixed"/>
        <w:tblInd w:w="200" w:type="dxa"/>
        <w:tblCellMar>
          <w:top w:w="0" w:type="dxa"/>
          <w:left w:w="0" w:type="dxa"/>
          <w:bottom w:w="0" w:type="dxa"/>
          <w:right w:w="0" w:type="dxa"/>
        </w:tblCellMar>
      </w:tblPr>
      <w:tr>
        <w:trPr>
          <w:trHeight w:val="186"/>
        </w:trPr>
        <w:tc>
          <w:tcPr>
            <w:tcW w:w="3320" w:type="dxa"/>
            <w:vAlign w:val="bottom"/>
            <w:shd w:val="clear" w:color="auto" w:fill="00548B"/>
          </w:tcPr>
          <w:p>
            <w:pPr>
              <w:spacing w:after="0"/>
              <w:rPr>
                <w:sz w:val="20"/>
                <w:szCs w:val="20"/>
                <w:color w:val="auto"/>
              </w:rPr>
            </w:pPr>
            <w:r>
              <w:rPr>
                <w:rFonts w:ascii="Arial" w:cs="Arial" w:eastAsia="Arial" w:hAnsi="Arial"/>
                <w:sz w:val="16"/>
                <w:szCs w:val="16"/>
                <w:b w:val="1"/>
                <w:bCs w:val="1"/>
                <w:color w:val="E5E5E5"/>
              </w:rPr>
              <w:t>Performance Measure</w:t>
            </w:r>
          </w:p>
        </w:tc>
        <w:tc>
          <w:tcPr>
            <w:tcW w:w="2680" w:type="dxa"/>
            <w:vAlign w:val="bottom"/>
            <w:shd w:val="clear" w:color="auto" w:fill="00548B"/>
          </w:tcPr>
          <w:p>
            <w:pPr>
              <w:jc w:val="center"/>
              <w:ind w:left="1243"/>
              <w:spacing w:after="0"/>
              <w:rPr>
                <w:sz w:val="20"/>
                <w:szCs w:val="20"/>
                <w:color w:val="auto"/>
              </w:rPr>
            </w:pPr>
            <w:r>
              <w:rPr>
                <w:rFonts w:ascii="Arial" w:cs="Arial" w:eastAsia="Arial" w:hAnsi="Arial"/>
                <w:sz w:val="14"/>
                <w:szCs w:val="14"/>
                <w:b w:val="1"/>
                <w:bCs w:val="1"/>
                <w:color w:val="E5E5E5"/>
              </w:rPr>
              <w:t>Weighting</w:t>
            </w:r>
          </w:p>
        </w:tc>
        <w:tc>
          <w:tcPr>
            <w:tcW w:w="1360" w:type="dxa"/>
            <w:vAlign w:val="bottom"/>
            <w:shd w:val="clear" w:color="auto" w:fill="00548B"/>
          </w:tcPr>
          <w:p>
            <w:pPr>
              <w:ind w:left="340"/>
              <w:spacing w:after="0"/>
              <w:rPr>
                <w:sz w:val="20"/>
                <w:szCs w:val="20"/>
                <w:color w:val="auto"/>
              </w:rPr>
            </w:pPr>
            <w:r>
              <w:rPr>
                <w:rFonts w:ascii="Arial" w:cs="Arial" w:eastAsia="Arial" w:hAnsi="Arial"/>
                <w:sz w:val="14"/>
                <w:szCs w:val="14"/>
                <w:b w:val="1"/>
                <w:bCs w:val="1"/>
                <w:color w:val="E5E5E5"/>
              </w:rPr>
              <w:t>Threshold</w:t>
            </w:r>
          </w:p>
        </w:tc>
        <w:tc>
          <w:tcPr>
            <w:tcW w:w="1160" w:type="dxa"/>
            <w:vAlign w:val="bottom"/>
            <w:shd w:val="clear" w:color="auto" w:fill="00548B"/>
          </w:tcPr>
          <w:p>
            <w:pPr>
              <w:ind w:left="360"/>
              <w:spacing w:after="0"/>
              <w:rPr>
                <w:sz w:val="20"/>
                <w:szCs w:val="20"/>
                <w:color w:val="auto"/>
              </w:rPr>
            </w:pPr>
            <w:r>
              <w:rPr>
                <w:rFonts w:ascii="Arial" w:cs="Arial" w:eastAsia="Arial" w:hAnsi="Arial"/>
                <w:sz w:val="14"/>
                <w:szCs w:val="14"/>
                <w:b w:val="1"/>
                <w:bCs w:val="1"/>
                <w:color w:val="E5E5E5"/>
              </w:rPr>
              <w:t>Target</w:t>
            </w:r>
          </w:p>
        </w:tc>
        <w:tc>
          <w:tcPr>
            <w:tcW w:w="1300" w:type="dxa"/>
            <w:vAlign w:val="bottom"/>
            <w:shd w:val="clear" w:color="auto" w:fill="00548B"/>
          </w:tcPr>
          <w:p>
            <w:pPr>
              <w:ind w:left="320"/>
              <w:spacing w:after="0"/>
              <w:rPr>
                <w:sz w:val="20"/>
                <w:szCs w:val="20"/>
                <w:color w:val="auto"/>
              </w:rPr>
            </w:pPr>
            <w:r>
              <w:rPr>
                <w:rFonts w:ascii="Arial" w:cs="Arial" w:eastAsia="Arial" w:hAnsi="Arial"/>
                <w:sz w:val="14"/>
                <w:szCs w:val="14"/>
                <w:b w:val="1"/>
                <w:bCs w:val="1"/>
                <w:color w:val="E5E5E5"/>
              </w:rPr>
              <w:t>Maximum</w:t>
            </w:r>
          </w:p>
        </w:tc>
        <w:tc>
          <w:tcPr>
            <w:tcW w:w="1040" w:type="dxa"/>
            <w:vAlign w:val="bottom"/>
            <w:shd w:val="clear" w:color="auto" w:fill="00548B"/>
          </w:tcPr>
          <w:p>
            <w:pPr>
              <w:ind w:left="360"/>
              <w:spacing w:after="0"/>
              <w:rPr>
                <w:sz w:val="20"/>
                <w:szCs w:val="20"/>
                <w:color w:val="auto"/>
              </w:rPr>
            </w:pPr>
            <w:r>
              <w:rPr>
                <w:rFonts w:ascii="Arial" w:cs="Arial" w:eastAsia="Arial" w:hAnsi="Arial"/>
                <w:sz w:val="14"/>
                <w:szCs w:val="14"/>
                <w:b w:val="1"/>
                <w:bCs w:val="1"/>
                <w:color w:val="E5E5E5"/>
              </w:rPr>
              <w:t>Actual</w:t>
            </w:r>
          </w:p>
        </w:tc>
      </w:tr>
      <w:tr>
        <w:trPr>
          <w:trHeight w:val="186"/>
        </w:trPr>
        <w:tc>
          <w:tcPr>
            <w:tcW w:w="3320" w:type="dxa"/>
            <w:vAlign w:val="bottom"/>
            <w:tcBorders>
              <w:bottom w:val="single" w:sz="8" w:color="999999"/>
            </w:tcBorders>
          </w:tcPr>
          <w:p>
            <w:pPr>
              <w:spacing w:after="0"/>
              <w:rPr>
                <w:sz w:val="20"/>
                <w:szCs w:val="20"/>
                <w:color w:val="auto"/>
              </w:rPr>
            </w:pPr>
            <w:r>
              <w:rPr>
                <w:rFonts w:ascii="Arial" w:cs="Arial" w:eastAsia="Arial" w:hAnsi="Arial"/>
                <w:sz w:val="16"/>
                <w:szCs w:val="16"/>
                <w:color w:val="auto"/>
              </w:rPr>
              <w:t>Adjusted Diluted EPS</w:t>
            </w:r>
          </w:p>
        </w:tc>
        <w:tc>
          <w:tcPr>
            <w:tcW w:w="2680" w:type="dxa"/>
            <w:vAlign w:val="bottom"/>
            <w:tcBorders>
              <w:bottom w:val="single" w:sz="8" w:color="999999"/>
            </w:tcBorders>
          </w:tcPr>
          <w:p>
            <w:pPr>
              <w:jc w:val="center"/>
              <w:ind w:left="1243"/>
              <w:spacing w:after="0"/>
              <w:rPr>
                <w:sz w:val="20"/>
                <w:szCs w:val="20"/>
                <w:color w:val="auto"/>
              </w:rPr>
            </w:pPr>
            <w:r>
              <w:rPr>
                <w:rFonts w:ascii="Arial" w:cs="Arial" w:eastAsia="Arial" w:hAnsi="Arial"/>
                <w:sz w:val="16"/>
                <w:szCs w:val="16"/>
                <w:color w:val="auto"/>
                <w:w w:val="99"/>
              </w:rPr>
              <w:t>50%</w:t>
            </w:r>
          </w:p>
        </w:tc>
        <w:tc>
          <w:tcPr>
            <w:tcW w:w="1360" w:type="dxa"/>
            <w:vAlign w:val="bottom"/>
            <w:tcBorders>
              <w:bottom w:val="single" w:sz="8" w:color="999999"/>
            </w:tcBorders>
          </w:tcPr>
          <w:p>
            <w:pPr>
              <w:jc w:val="right"/>
              <w:ind w:right="403"/>
              <w:spacing w:after="0"/>
              <w:rPr>
                <w:sz w:val="20"/>
                <w:szCs w:val="20"/>
                <w:color w:val="auto"/>
              </w:rPr>
            </w:pPr>
            <w:r>
              <w:rPr>
                <w:rFonts w:ascii="Arial" w:cs="Arial" w:eastAsia="Arial" w:hAnsi="Arial"/>
                <w:sz w:val="16"/>
                <w:szCs w:val="16"/>
                <w:color w:val="auto"/>
              </w:rPr>
              <w:t>$2.10</w:t>
            </w:r>
          </w:p>
        </w:tc>
        <w:tc>
          <w:tcPr>
            <w:tcW w:w="1160" w:type="dxa"/>
            <w:vAlign w:val="bottom"/>
            <w:tcBorders>
              <w:bottom w:val="single" w:sz="8" w:color="999999"/>
            </w:tcBorders>
          </w:tcPr>
          <w:p>
            <w:pPr>
              <w:jc w:val="right"/>
              <w:ind w:right="303"/>
              <w:spacing w:after="0"/>
              <w:rPr>
                <w:sz w:val="20"/>
                <w:szCs w:val="20"/>
                <w:color w:val="auto"/>
              </w:rPr>
            </w:pPr>
            <w:r>
              <w:rPr>
                <w:rFonts w:ascii="Arial" w:cs="Arial" w:eastAsia="Arial" w:hAnsi="Arial"/>
                <w:sz w:val="16"/>
                <w:szCs w:val="16"/>
                <w:color w:val="auto"/>
              </w:rPr>
              <w:t>$2.50</w:t>
            </w:r>
          </w:p>
        </w:tc>
        <w:tc>
          <w:tcPr>
            <w:tcW w:w="1300" w:type="dxa"/>
            <w:vAlign w:val="bottom"/>
            <w:tcBorders>
              <w:bottom w:val="single" w:sz="8" w:color="999999"/>
            </w:tcBorders>
          </w:tcPr>
          <w:p>
            <w:pPr>
              <w:jc w:val="right"/>
              <w:ind w:right="383"/>
              <w:spacing w:after="0"/>
              <w:rPr>
                <w:sz w:val="20"/>
                <w:szCs w:val="20"/>
                <w:color w:val="auto"/>
              </w:rPr>
            </w:pPr>
            <w:r>
              <w:rPr>
                <w:rFonts w:ascii="Arial" w:cs="Arial" w:eastAsia="Arial" w:hAnsi="Arial"/>
                <w:sz w:val="16"/>
                <w:szCs w:val="16"/>
                <w:color w:val="auto"/>
              </w:rPr>
              <w:t>$3.00</w:t>
            </w:r>
          </w:p>
        </w:tc>
        <w:tc>
          <w:tcPr>
            <w:tcW w:w="1040" w:type="dxa"/>
            <w:vAlign w:val="bottom"/>
            <w:tcBorders>
              <w:bottom w:val="single" w:sz="8" w:color="999999"/>
            </w:tcBorders>
          </w:tcPr>
          <w:p>
            <w:pPr>
              <w:jc w:val="right"/>
              <w:ind w:right="183"/>
              <w:spacing w:after="0"/>
              <w:rPr>
                <w:sz w:val="20"/>
                <w:szCs w:val="20"/>
                <w:color w:val="auto"/>
              </w:rPr>
            </w:pPr>
            <w:r>
              <w:rPr>
                <w:rFonts w:ascii="Arial" w:cs="Arial" w:eastAsia="Arial" w:hAnsi="Arial"/>
                <w:sz w:val="16"/>
                <w:szCs w:val="16"/>
                <w:color w:val="auto"/>
              </w:rPr>
              <w:t>$2.61</w:t>
            </w:r>
          </w:p>
        </w:tc>
      </w:tr>
      <w:tr>
        <w:trPr>
          <w:trHeight w:val="179"/>
        </w:trPr>
        <w:tc>
          <w:tcPr>
            <w:tcW w:w="3320" w:type="dxa"/>
            <w:vAlign w:val="bottom"/>
            <w:tcBorders>
              <w:bottom w:val="single" w:sz="8" w:color="00548B"/>
            </w:tcBorders>
          </w:tcPr>
          <w:p>
            <w:pPr>
              <w:spacing w:after="0" w:line="180" w:lineRule="exact"/>
              <w:rPr>
                <w:sz w:val="20"/>
                <w:szCs w:val="20"/>
                <w:color w:val="auto"/>
              </w:rPr>
            </w:pPr>
            <w:r>
              <w:rPr>
                <w:rFonts w:ascii="Arial" w:cs="Arial" w:eastAsia="Arial" w:hAnsi="Arial"/>
                <w:sz w:val="16"/>
                <w:szCs w:val="16"/>
                <w:color w:val="auto"/>
              </w:rPr>
              <w:t>Revenue Growth</w:t>
            </w:r>
          </w:p>
        </w:tc>
        <w:tc>
          <w:tcPr>
            <w:tcW w:w="2680" w:type="dxa"/>
            <w:vAlign w:val="bottom"/>
            <w:tcBorders>
              <w:bottom w:val="single" w:sz="8" w:color="00548B"/>
            </w:tcBorders>
          </w:tcPr>
          <w:p>
            <w:pPr>
              <w:jc w:val="center"/>
              <w:ind w:left="1243"/>
              <w:spacing w:after="0" w:line="180" w:lineRule="exact"/>
              <w:rPr>
                <w:sz w:val="20"/>
                <w:szCs w:val="20"/>
                <w:color w:val="auto"/>
              </w:rPr>
            </w:pPr>
            <w:r>
              <w:rPr>
                <w:rFonts w:ascii="Arial" w:cs="Arial" w:eastAsia="Arial" w:hAnsi="Arial"/>
                <w:sz w:val="16"/>
                <w:szCs w:val="16"/>
                <w:color w:val="auto"/>
                <w:w w:val="99"/>
              </w:rPr>
              <w:t>50%</w:t>
            </w:r>
          </w:p>
        </w:tc>
        <w:tc>
          <w:tcPr>
            <w:tcW w:w="1360" w:type="dxa"/>
            <w:vAlign w:val="bottom"/>
            <w:tcBorders>
              <w:bottom w:val="single" w:sz="8" w:color="00548B"/>
            </w:tcBorders>
          </w:tcPr>
          <w:p>
            <w:pPr>
              <w:jc w:val="center"/>
              <w:spacing w:after="0" w:line="180" w:lineRule="exact"/>
              <w:rPr>
                <w:sz w:val="20"/>
                <w:szCs w:val="20"/>
                <w:color w:val="auto"/>
              </w:rPr>
            </w:pPr>
            <w:r>
              <w:rPr>
                <w:rFonts w:ascii="Arial" w:cs="Arial" w:eastAsia="Arial" w:hAnsi="Arial"/>
                <w:sz w:val="16"/>
                <w:szCs w:val="16"/>
                <w:color w:val="auto"/>
              </w:rPr>
              <w:t>$820M</w:t>
            </w:r>
          </w:p>
        </w:tc>
        <w:tc>
          <w:tcPr>
            <w:tcW w:w="1160" w:type="dxa"/>
            <w:vAlign w:val="bottom"/>
            <w:tcBorders>
              <w:bottom w:val="single" w:sz="8" w:color="00548B"/>
            </w:tcBorders>
          </w:tcPr>
          <w:p>
            <w:pPr>
              <w:jc w:val="center"/>
              <w:spacing w:after="0" w:line="180" w:lineRule="exact"/>
              <w:rPr>
                <w:sz w:val="20"/>
                <w:szCs w:val="20"/>
                <w:color w:val="auto"/>
              </w:rPr>
            </w:pPr>
            <w:r>
              <w:rPr>
                <w:rFonts w:ascii="Arial" w:cs="Arial" w:eastAsia="Arial" w:hAnsi="Arial"/>
                <w:sz w:val="16"/>
                <w:szCs w:val="16"/>
                <w:color w:val="auto"/>
                <w:w w:val="98"/>
              </w:rPr>
              <w:t>$860M</w:t>
            </w:r>
          </w:p>
        </w:tc>
        <w:tc>
          <w:tcPr>
            <w:tcW w:w="1300" w:type="dxa"/>
            <w:vAlign w:val="bottom"/>
            <w:tcBorders>
              <w:bottom w:val="single" w:sz="8" w:color="00548B"/>
            </w:tcBorders>
          </w:tcPr>
          <w:p>
            <w:pPr>
              <w:jc w:val="center"/>
              <w:spacing w:after="0" w:line="180" w:lineRule="exact"/>
              <w:rPr>
                <w:sz w:val="20"/>
                <w:szCs w:val="20"/>
                <w:color w:val="auto"/>
              </w:rPr>
            </w:pPr>
            <w:r>
              <w:rPr>
                <w:rFonts w:ascii="Arial" w:cs="Arial" w:eastAsia="Arial" w:hAnsi="Arial"/>
                <w:sz w:val="16"/>
                <w:szCs w:val="16"/>
                <w:color w:val="auto"/>
              </w:rPr>
              <w:t>$925M</w:t>
            </w:r>
          </w:p>
        </w:tc>
        <w:tc>
          <w:tcPr>
            <w:tcW w:w="1040" w:type="dxa"/>
            <w:vAlign w:val="bottom"/>
            <w:tcBorders>
              <w:bottom w:val="single" w:sz="8" w:color="00548B"/>
            </w:tcBorders>
          </w:tcPr>
          <w:p>
            <w:pPr>
              <w:jc w:val="center"/>
              <w:ind w:left="43"/>
              <w:spacing w:after="0" w:line="180" w:lineRule="exact"/>
              <w:rPr>
                <w:sz w:val="20"/>
                <w:szCs w:val="20"/>
                <w:color w:val="auto"/>
              </w:rPr>
            </w:pPr>
            <w:r>
              <w:rPr>
                <w:rFonts w:ascii="Arial" w:cs="Arial" w:eastAsia="Arial" w:hAnsi="Arial"/>
                <w:sz w:val="16"/>
                <w:szCs w:val="16"/>
                <w:color w:val="auto"/>
                <w:w w:val="98"/>
              </w:rPr>
              <w:t>$906M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202565</wp:posOffset>
            </wp:positionV>
            <wp:extent cx="10979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097915" cy="8255"/>
                    </a:xfrm>
                    <a:prstGeom prst="rect">
                      <a:avLst/>
                    </a:prstGeom>
                    <a:noFill/>
                  </pic:spPr>
                </pic:pic>
              </a:graphicData>
            </a:graphic>
          </wp:anchor>
        </w:drawing>
      </w:r>
    </w:p>
    <w:p>
      <w:pPr>
        <w:spacing w:after="0" w:line="341" w:lineRule="exact"/>
        <w:rPr>
          <w:sz w:val="20"/>
          <w:szCs w:val="20"/>
          <w:color w:val="auto"/>
        </w:rPr>
      </w:pPr>
    </w:p>
    <w:p>
      <w:pPr>
        <w:ind w:left="300" w:hanging="101"/>
        <w:spacing w:after="0"/>
        <w:tabs>
          <w:tab w:leader="none" w:pos="300" w:val="left"/>
        </w:tabs>
        <w:numPr>
          <w:ilvl w:val="0"/>
          <w:numId w:val="22"/>
        </w:numPr>
        <w:rPr>
          <w:rFonts w:ascii="Arial" w:cs="Arial" w:eastAsia="Arial" w:hAnsi="Arial"/>
          <w:sz w:val="10"/>
          <w:szCs w:val="10"/>
          <w:color w:val="auto"/>
        </w:rPr>
      </w:pPr>
      <w:r>
        <w:rPr>
          <w:rFonts w:ascii="Arial" w:cs="Arial" w:eastAsia="Arial" w:hAnsi="Arial"/>
          <w:sz w:val="12"/>
          <w:szCs w:val="12"/>
          <w:color w:val="auto"/>
        </w:rPr>
        <w:t>Revenue Growth includes all revenues recognized during the period in accordance with accounting principles generally accepted in the United States of America (“GAAP”).</w:t>
      </w:r>
    </w:p>
    <w:p>
      <w:pPr>
        <w:spacing w:after="0" w:line="13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00548B"/>
        </w:rPr>
        <w:t>32</w:t>
      </w:r>
    </w:p>
    <w:p>
      <w:pPr>
        <w:sectPr>
          <w:pgSz w:w="11900" w:h="16838" w:orient="portrait"/>
          <w:cols w:equalWidth="0" w:num="1">
            <w:col w:w="11060"/>
          </w:cols>
          <w:pgMar w:left="320" w:top="454" w:right="5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Outstanding Performance Share Grants</w:t>
      </w:r>
    </w:p>
    <w:p>
      <w:pPr>
        <w:spacing w:after="0" w:line="20" w:lineRule="exact"/>
        <w:rPr>
          <w:sz w:val="20"/>
          <w:szCs w:val="20"/>
          <w:color w:val="auto"/>
        </w:rPr>
      </w:pPr>
    </w:p>
    <w:p>
      <w:pPr>
        <w:jc w:val="both"/>
        <w:ind w:left="200" w:right="20"/>
        <w:spacing w:after="0" w:line="245" w:lineRule="auto"/>
        <w:rPr>
          <w:sz w:val="20"/>
          <w:szCs w:val="20"/>
          <w:color w:val="auto"/>
        </w:rPr>
      </w:pPr>
      <w:r>
        <w:rPr>
          <w:rFonts w:ascii="Arial" w:cs="Arial" w:eastAsia="Arial" w:hAnsi="Arial"/>
          <w:sz w:val="16"/>
          <w:szCs w:val="16"/>
          <w:color w:val="auto"/>
        </w:rPr>
        <w:t>There were three outstanding PSU cycles during 2021, those granted in 2019, 2020 and 2021. The actual shares that may be earned is determined based on performance against two predetermined absolute goals: 1) Adjusted Diluted EPS and 2) Revenue Growth. The Adjusted Diluted EPS and Revenue Growth goals for the 2019 and 2020 PSU grants are based on a cumulative three-year performance period. The 2021 PSU grant retained a three-year cumulative performance cycle but will set annual goals for both Adjusted Diluted EPS and Revenue Growth at the beginning of each year in the performance cycle, with the final payout to be determined at the end of the full three-year period and incorporate our performance against a predetermined cumulative three-year Revenue Growth goal.</w:t>
      </w:r>
    </w:p>
    <w:p>
      <w:pPr>
        <w:spacing w:after="0" w:line="90" w:lineRule="exact"/>
        <w:rPr>
          <w:sz w:val="20"/>
          <w:szCs w:val="20"/>
          <w:color w:val="auto"/>
        </w:rPr>
      </w:pPr>
    </w:p>
    <w:p>
      <w:pPr>
        <w:ind w:left="1060" w:right="20" w:hanging="329"/>
        <w:spacing w:after="0" w:line="279" w:lineRule="auto"/>
        <w:tabs>
          <w:tab w:leader="none" w:pos="1060" w:val="left"/>
        </w:tabs>
        <w:numPr>
          <w:ilvl w:val="0"/>
          <w:numId w:val="23"/>
        </w:numPr>
        <w:rPr>
          <w:rFonts w:ascii="Arial" w:cs="Arial" w:eastAsia="Arial" w:hAnsi="Arial"/>
          <w:sz w:val="16"/>
          <w:szCs w:val="16"/>
          <w:color w:val="00548B"/>
        </w:rPr>
      </w:pPr>
      <w:r>
        <w:rPr>
          <w:rFonts w:ascii="Arial" w:cs="Arial" w:eastAsia="Arial" w:hAnsi="Arial"/>
          <w:sz w:val="16"/>
          <w:szCs w:val="16"/>
          <w:b w:val="1"/>
          <w:bCs w:val="1"/>
          <w:color w:val="auto"/>
        </w:rPr>
        <w:t>The Compensation Committee did not make any modifications to the outstanding awards in 2020 or 2021, despite the significant unforeseen negative impact of COVID-19 on the estimated payouts for the 2019 and 2020 NEO PSU awards.</w:t>
      </w:r>
    </w:p>
    <w:p>
      <w:pPr>
        <w:spacing w:after="0" w:line="202" w:lineRule="exact"/>
        <w:rPr>
          <w:sz w:val="20"/>
          <w:szCs w:val="20"/>
          <w:color w:val="auto"/>
        </w:rPr>
      </w:pPr>
    </w:p>
    <w:tbl>
      <w:tblPr>
        <w:tblLayout w:type="fixed"/>
        <w:tblInd w:w="200" w:type="dxa"/>
        <w:tblCellMar>
          <w:top w:w="0" w:type="dxa"/>
          <w:left w:w="0" w:type="dxa"/>
          <w:bottom w:w="0" w:type="dxa"/>
          <w:right w:w="0" w:type="dxa"/>
        </w:tblCellMar>
      </w:tblPr>
      <w:tr>
        <w:trPr>
          <w:trHeight w:val="208"/>
        </w:trPr>
        <w:tc>
          <w:tcPr>
            <w:tcW w:w="460" w:type="dxa"/>
            <w:vAlign w:val="bottom"/>
            <w:shd w:val="clear" w:color="auto" w:fill="00548B"/>
          </w:tcPr>
          <w:p>
            <w:pPr>
              <w:spacing w:after="0"/>
              <w:rPr>
                <w:sz w:val="18"/>
                <w:szCs w:val="18"/>
                <w:color w:val="auto"/>
              </w:rPr>
            </w:pPr>
          </w:p>
        </w:tc>
        <w:tc>
          <w:tcPr>
            <w:tcW w:w="4340" w:type="dxa"/>
            <w:vAlign w:val="bottom"/>
            <w:shd w:val="clear" w:color="auto" w:fill="00548B"/>
          </w:tcPr>
          <w:p>
            <w:pPr>
              <w:spacing w:after="0"/>
              <w:rPr>
                <w:sz w:val="18"/>
                <w:szCs w:val="18"/>
                <w:color w:val="auto"/>
              </w:rPr>
            </w:pPr>
          </w:p>
        </w:tc>
        <w:tc>
          <w:tcPr>
            <w:tcW w:w="6060" w:type="dxa"/>
            <w:vAlign w:val="bottom"/>
            <w:shd w:val="clear" w:color="auto" w:fill="00548B"/>
          </w:tcPr>
          <w:p>
            <w:pPr>
              <w:jc w:val="center"/>
              <w:ind w:left="2700"/>
              <w:spacing w:after="0"/>
              <w:rPr>
                <w:sz w:val="20"/>
                <w:szCs w:val="20"/>
                <w:color w:val="auto"/>
              </w:rPr>
            </w:pPr>
            <w:r>
              <w:rPr>
                <w:rFonts w:ascii="Arial" w:cs="Arial" w:eastAsia="Arial" w:hAnsi="Arial"/>
                <w:sz w:val="16"/>
                <w:szCs w:val="16"/>
                <w:b w:val="1"/>
                <w:bCs w:val="1"/>
                <w:color w:val="E5E5E5"/>
                <w:w w:val="99"/>
              </w:rPr>
              <w:t>Estimated Payout as a % of</w:t>
            </w:r>
          </w:p>
        </w:tc>
      </w:tr>
      <w:tr>
        <w:trPr>
          <w:trHeight w:val="186"/>
        </w:trPr>
        <w:tc>
          <w:tcPr>
            <w:tcW w:w="460" w:type="dxa"/>
            <w:vAlign w:val="bottom"/>
            <w:shd w:val="clear" w:color="auto" w:fill="00548B"/>
          </w:tcPr>
          <w:p>
            <w:pPr>
              <w:spacing w:after="0"/>
              <w:rPr>
                <w:sz w:val="16"/>
                <w:szCs w:val="16"/>
                <w:color w:val="auto"/>
              </w:rPr>
            </w:pPr>
          </w:p>
        </w:tc>
        <w:tc>
          <w:tcPr>
            <w:tcW w:w="4340" w:type="dxa"/>
            <w:vAlign w:val="bottom"/>
            <w:shd w:val="clear" w:color="auto" w:fill="00548B"/>
          </w:tcPr>
          <w:p>
            <w:pPr>
              <w:spacing w:after="0"/>
              <w:rPr>
                <w:sz w:val="16"/>
                <w:szCs w:val="16"/>
                <w:color w:val="auto"/>
              </w:rPr>
            </w:pPr>
          </w:p>
        </w:tc>
        <w:tc>
          <w:tcPr>
            <w:tcW w:w="6060" w:type="dxa"/>
            <w:vAlign w:val="bottom"/>
            <w:shd w:val="clear" w:color="auto" w:fill="00548B"/>
          </w:tcPr>
          <w:p>
            <w:pPr>
              <w:jc w:val="center"/>
              <w:ind w:left="2700"/>
              <w:spacing w:after="0"/>
              <w:rPr>
                <w:sz w:val="20"/>
                <w:szCs w:val="20"/>
                <w:color w:val="auto"/>
              </w:rPr>
            </w:pPr>
            <w:r>
              <w:rPr>
                <w:rFonts w:ascii="Arial" w:cs="Arial" w:eastAsia="Arial" w:hAnsi="Arial"/>
                <w:sz w:val="16"/>
                <w:szCs w:val="16"/>
                <w:b w:val="1"/>
                <w:bCs w:val="1"/>
                <w:color w:val="E5E5E5"/>
                <w:w w:val="98"/>
              </w:rPr>
              <w:t>Target - Performance Through</w:t>
            </w:r>
          </w:p>
        </w:tc>
      </w:tr>
      <w:tr>
        <w:trPr>
          <w:trHeight w:val="237"/>
        </w:trPr>
        <w:tc>
          <w:tcPr>
            <w:tcW w:w="4800" w:type="dxa"/>
            <w:vAlign w:val="bottom"/>
            <w:tcBorders>
              <w:bottom w:val="single" w:sz="8" w:color="00548B"/>
            </w:tcBorders>
            <w:gridSpan w:val="2"/>
            <w:shd w:val="clear" w:color="auto" w:fill="00548B"/>
          </w:tcPr>
          <w:p>
            <w:pPr>
              <w:ind w:left="80"/>
              <w:spacing w:after="0"/>
              <w:rPr>
                <w:sz w:val="20"/>
                <w:szCs w:val="20"/>
                <w:color w:val="auto"/>
              </w:rPr>
            </w:pPr>
            <w:r>
              <w:rPr>
                <w:rFonts w:ascii="Arial" w:cs="Arial" w:eastAsia="Arial" w:hAnsi="Arial"/>
                <w:sz w:val="16"/>
                <w:szCs w:val="16"/>
                <w:b w:val="1"/>
                <w:bCs w:val="1"/>
                <w:color w:val="E5E5E5"/>
              </w:rPr>
              <w:t>Performance Cycle</w:t>
            </w:r>
          </w:p>
        </w:tc>
        <w:tc>
          <w:tcPr>
            <w:tcW w:w="6060" w:type="dxa"/>
            <w:vAlign w:val="bottom"/>
            <w:tcBorders>
              <w:bottom w:val="single" w:sz="8" w:color="00548B"/>
            </w:tcBorders>
            <w:shd w:val="clear" w:color="auto" w:fill="00548B"/>
          </w:tcPr>
          <w:p>
            <w:pPr>
              <w:jc w:val="center"/>
              <w:ind w:left="2700"/>
              <w:spacing w:after="0"/>
              <w:rPr>
                <w:sz w:val="20"/>
                <w:szCs w:val="20"/>
                <w:color w:val="auto"/>
              </w:rPr>
            </w:pPr>
            <w:r>
              <w:rPr>
                <w:rFonts w:ascii="Arial" w:cs="Arial" w:eastAsia="Arial" w:hAnsi="Arial"/>
                <w:sz w:val="16"/>
                <w:szCs w:val="16"/>
                <w:b w:val="1"/>
                <w:bCs w:val="1"/>
                <w:color w:val="E5E5E5"/>
                <w:w w:val="99"/>
              </w:rPr>
              <w:t>12/31/2021</w:t>
            </w:r>
          </w:p>
        </w:tc>
      </w:tr>
      <w:tr>
        <w:trPr>
          <w:trHeight w:val="188"/>
        </w:trPr>
        <w:tc>
          <w:tcPr>
            <w:tcW w:w="460" w:type="dxa"/>
            <w:vAlign w:val="bottom"/>
          </w:tcPr>
          <w:p>
            <w:pPr>
              <w:ind w:left="80"/>
              <w:spacing w:after="0"/>
              <w:rPr>
                <w:sz w:val="20"/>
                <w:szCs w:val="20"/>
                <w:color w:val="auto"/>
              </w:rPr>
            </w:pPr>
            <w:r>
              <w:rPr>
                <w:rFonts w:ascii="Arial" w:cs="Arial" w:eastAsia="Arial" w:hAnsi="Arial"/>
                <w:sz w:val="16"/>
                <w:szCs w:val="16"/>
                <w:color w:val="auto"/>
              </w:rPr>
              <w:t>2019</w:t>
            </w:r>
          </w:p>
        </w:tc>
        <w:tc>
          <w:tcPr>
            <w:tcW w:w="4340" w:type="dxa"/>
            <w:vAlign w:val="bottom"/>
          </w:tcPr>
          <w:p>
            <w:pPr>
              <w:ind w:left="20"/>
              <w:spacing w:after="0" w:line="188" w:lineRule="exact"/>
              <w:rPr>
                <w:sz w:val="20"/>
                <w:szCs w:val="20"/>
                <w:color w:val="auto"/>
              </w:rPr>
            </w:pPr>
            <w:r>
              <w:rPr>
                <w:rFonts w:ascii="Arial" w:cs="Arial" w:eastAsia="Arial" w:hAnsi="Arial"/>
                <w:sz w:val="13"/>
                <w:szCs w:val="13"/>
                <w:color w:val="auto"/>
              </w:rPr>
              <w:t>- 2021</w:t>
            </w:r>
            <w:r>
              <w:rPr>
                <w:rFonts w:ascii="Arial" w:cs="Arial" w:eastAsia="Arial" w:hAnsi="Arial"/>
                <w:sz w:val="21"/>
                <w:szCs w:val="21"/>
                <w:color w:val="auto"/>
                <w:vertAlign w:val="superscript"/>
              </w:rPr>
              <w:t>(1)</w:t>
            </w:r>
          </w:p>
        </w:tc>
        <w:tc>
          <w:tcPr>
            <w:tcW w:w="6060" w:type="dxa"/>
            <w:vAlign w:val="bottom"/>
          </w:tcPr>
          <w:p>
            <w:pPr>
              <w:jc w:val="center"/>
              <w:ind w:left="2700"/>
              <w:spacing w:after="0"/>
              <w:rPr>
                <w:sz w:val="20"/>
                <w:szCs w:val="20"/>
                <w:color w:val="auto"/>
              </w:rPr>
            </w:pPr>
            <w:r>
              <w:rPr>
                <w:rFonts w:ascii="Arial" w:cs="Arial" w:eastAsia="Arial" w:hAnsi="Arial"/>
                <w:sz w:val="16"/>
                <w:szCs w:val="16"/>
                <w:color w:val="auto"/>
                <w:w w:val="99"/>
              </w:rPr>
              <w:t>73%</w:t>
            </w:r>
          </w:p>
        </w:tc>
      </w:tr>
      <w:tr>
        <w:trPr>
          <w:trHeight w:val="186"/>
        </w:trPr>
        <w:tc>
          <w:tcPr>
            <w:tcW w:w="460" w:type="dxa"/>
            <w:vAlign w:val="bottom"/>
          </w:tcPr>
          <w:p>
            <w:pPr>
              <w:ind w:left="80"/>
              <w:spacing w:after="0"/>
              <w:rPr>
                <w:sz w:val="20"/>
                <w:szCs w:val="20"/>
                <w:color w:val="auto"/>
              </w:rPr>
            </w:pPr>
            <w:r>
              <w:rPr>
                <w:rFonts w:ascii="Arial" w:cs="Arial" w:eastAsia="Arial" w:hAnsi="Arial"/>
                <w:sz w:val="16"/>
                <w:szCs w:val="16"/>
                <w:color w:val="auto"/>
              </w:rPr>
              <w:t>2020</w:t>
            </w:r>
          </w:p>
        </w:tc>
        <w:tc>
          <w:tcPr>
            <w:tcW w:w="4340" w:type="dxa"/>
            <w:vAlign w:val="bottom"/>
          </w:tcPr>
          <w:p>
            <w:pPr>
              <w:ind w:left="20"/>
              <w:spacing w:after="0"/>
              <w:rPr>
                <w:sz w:val="20"/>
                <w:szCs w:val="20"/>
                <w:color w:val="auto"/>
              </w:rPr>
            </w:pPr>
            <w:r>
              <w:rPr>
                <w:rFonts w:ascii="Arial" w:cs="Arial" w:eastAsia="Arial" w:hAnsi="Arial"/>
                <w:sz w:val="16"/>
                <w:szCs w:val="16"/>
                <w:color w:val="auto"/>
              </w:rPr>
              <w:t>- 2022</w:t>
            </w:r>
          </w:p>
        </w:tc>
        <w:tc>
          <w:tcPr>
            <w:tcW w:w="6060" w:type="dxa"/>
            <w:vAlign w:val="bottom"/>
          </w:tcPr>
          <w:p>
            <w:pPr>
              <w:jc w:val="center"/>
              <w:ind w:left="2680"/>
              <w:spacing w:after="0"/>
              <w:rPr>
                <w:sz w:val="20"/>
                <w:szCs w:val="20"/>
                <w:color w:val="auto"/>
              </w:rPr>
            </w:pPr>
            <w:r>
              <w:rPr>
                <w:rFonts w:ascii="Arial" w:cs="Arial" w:eastAsia="Arial" w:hAnsi="Arial"/>
                <w:sz w:val="16"/>
                <w:szCs w:val="16"/>
                <w:color w:val="auto"/>
                <w:w w:val="99"/>
              </w:rPr>
              <w:t>—%</w:t>
            </w:r>
          </w:p>
        </w:tc>
      </w:tr>
      <w:tr>
        <w:trPr>
          <w:trHeight w:val="192"/>
        </w:trPr>
        <w:tc>
          <w:tcPr>
            <w:tcW w:w="460" w:type="dxa"/>
            <w:vAlign w:val="bottom"/>
          </w:tcPr>
          <w:p>
            <w:pPr>
              <w:ind w:left="80"/>
              <w:spacing w:after="0"/>
              <w:rPr>
                <w:sz w:val="20"/>
                <w:szCs w:val="20"/>
                <w:color w:val="auto"/>
              </w:rPr>
            </w:pPr>
            <w:r>
              <w:rPr>
                <w:rFonts w:ascii="Arial" w:cs="Arial" w:eastAsia="Arial" w:hAnsi="Arial"/>
                <w:sz w:val="16"/>
                <w:szCs w:val="16"/>
                <w:color w:val="auto"/>
              </w:rPr>
              <w:t>2021</w:t>
            </w:r>
          </w:p>
        </w:tc>
        <w:tc>
          <w:tcPr>
            <w:tcW w:w="4340" w:type="dxa"/>
            <w:vAlign w:val="bottom"/>
          </w:tcPr>
          <w:p>
            <w:pPr>
              <w:ind w:left="20"/>
              <w:spacing w:after="0"/>
              <w:rPr>
                <w:sz w:val="20"/>
                <w:szCs w:val="20"/>
                <w:color w:val="auto"/>
              </w:rPr>
            </w:pPr>
            <w:r>
              <w:rPr>
                <w:rFonts w:ascii="Arial" w:cs="Arial" w:eastAsia="Arial" w:hAnsi="Arial"/>
                <w:sz w:val="16"/>
                <w:szCs w:val="16"/>
                <w:color w:val="auto"/>
              </w:rPr>
              <w:t>- 2023</w:t>
            </w:r>
          </w:p>
        </w:tc>
        <w:tc>
          <w:tcPr>
            <w:tcW w:w="6060" w:type="dxa"/>
            <w:vAlign w:val="bottom"/>
          </w:tcPr>
          <w:p>
            <w:pPr>
              <w:jc w:val="center"/>
              <w:ind w:left="2680"/>
              <w:spacing w:after="0"/>
              <w:rPr>
                <w:sz w:val="20"/>
                <w:szCs w:val="20"/>
                <w:color w:val="auto"/>
              </w:rPr>
            </w:pPr>
            <w:r>
              <w:rPr>
                <w:rFonts w:ascii="Arial" w:cs="Arial" w:eastAsia="Arial" w:hAnsi="Arial"/>
                <w:sz w:val="16"/>
                <w:szCs w:val="16"/>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-4445</wp:posOffset>
            </wp:positionV>
            <wp:extent cx="688975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89750" cy="8255"/>
                    </a:xfrm>
                    <a:prstGeom prst="rect">
                      <a:avLst/>
                    </a:prstGeom>
                    <a:noFill/>
                  </pic:spPr>
                </pic:pic>
              </a:graphicData>
            </a:graphic>
          </wp:anchor>
        </w:drawing>
      </w:r>
    </w:p>
    <w:p>
      <w:pPr>
        <w:ind w:left="740" w:right="20" w:hanging="541"/>
        <w:spacing w:after="0" w:line="253" w:lineRule="auto"/>
        <w:tabs>
          <w:tab w:leader="none" w:pos="7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2019-2021 performance cycle payout is based on actual performance. The 2020-2022 and 2021-2023 is an estimate based on actual performance through 2021 and estimated performance for the remainder of the performance cycle.</w:t>
      </w:r>
    </w:p>
    <w:p>
      <w:pPr>
        <w:spacing w:after="0" w:line="153"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Performance Unit Awards</w:t>
      </w:r>
    </w:p>
    <w:p>
      <w:pPr>
        <w:spacing w:after="0" w:line="20" w:lineRule="exact"/>
        <w:rPr>
          <w:sz w:val="20"/>
          <w:szCs w:val="20"/>
          <w:color w:val="auto"/>
        </w:rPr>
      </w:pPr>
    </w:p>
    <w:p>
      <w:pPr>
        <w:jc w:val="both"/>
        <w:ind w:left="200" w:right="20"/>
        <w:spacing w:after="0" w:line="246" w:lineRule="auto"/>
        <w:rPr>
          <w:sz w:val="20"/>
          <w:szCs w:val="20"/>
          <w:color w:val="auto"/>
        </w:rPr>
      </w:pPr>
      <w:r>
        <w:rPr>
          <w:rFonts w:ascii="Arial" w:cs="Arial" w:eastAsia="Arial" w:hAnsi="Arial"/>
          <w:sz w:val="16"/>
          <w:szCs w:val="16"/>
          <w:color w:val="auto"/>
        </w:rPr>
        <w:t>Performance units may be earned and settled in shares at the end of a full three-year performance period, depending on the level of performance achieved. The Compensation Committee approves the absolute goals for both Adjusted Diluted EPS and Revenue Growth, including establishing a threshold level below which no performance units will vest. These goals are communicated to the NEOs at the time of grant, but we do not share them publicly until the end of the performance period to prevent us from sharing otherwise material non-public information about our financial forecast.</w:t>
      </w:r>
    </w:p>
    <w:p>
      <w:pPr>
        <w:spacing w:after="0" w:line="145"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Restricted Shares</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Restricted shares vest ratably over a three-year period, beginning on the first anniversary of the date of grant.</w:t>
      </w:r>
    </w:p>
    <w:p>
      <w:pPr>
        <w:spacing w:after="0" w:line="157"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Performance Unit Vesting</w:t>
      </w:r>
    </w:p>
    <w:p>
      <w:pPr>
        <w:spacing w:after="0" w:line="20" w:lineRule="exact"/>
        <w:rPr>
          <w:sz w:val="20"/>
          <w:szCs w:val="20"/>
          <w:color w:val="auto"/>
        </w:rPr>
      </w:pPr>
    </w:p>
    <w:p>
      <w:pPr>
        <w:jc w:val="both"/>
        <w:ind w:left="200" w:right="20"/>
        <w:spacing w:after="0" w:line="253" w:lineRule="auto"/>
        <w:rPr>
          <w:sz w:val="20"/>
          <w:szCs w:val="20"/>
          <w:color w:val="auto"/>
        </w:rPr>
      </w:pPr>
      <w:r>
        <w:rPr>
          <w:rFonts w:ascii="Arial" w:cs="Arial" w:eastAsia="Arial" w:hAnsi="Arial"/>
          <w:sz w:val="16"/>
          <w:szCs w:val="16"/>
          <w:color w:val="auto"/>
        </w:rPr>
        <w:t>The 2019 award of performance units completed its three-year performance cycle as of December 31, 2021. The table below illustrates the structure of the performance units granted in 2019.</w:t>
      </w:r>
    </w:p>
    <w:p>
      <w:pPr>
        <w:spacing w:after="0" w:line="22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240" w:type="dxa"/>
            <w:vAlign w:val="bottom"/>
            <w:shd w:val="clear" w:color="auto" w:fill="00548B"/>
          </w:tcPr>
          <w:p>
            <w:pPr>
              <w:spacing w:after="0"/>
              <w:rPr>
                <w:sz w:val="20"/>
                <w:szCs w:val="20"/>
                <w:color w:val="auto"/>
              </w:rPr>
            </w:pPr>
            <w:r>
              <w:rPr>
                <w:rFonts w:ascii="Arial" w:cs="Arial" w:eastAsia="Arial" w:hAnsi="Arial"/>
                <w:sz w:val="14"/>
                <w:szCs w:val="14"/>
                <w:b w:val="1"/>
                <w:bCs w:val="1"/>
                <w:color w:val="E5E5E5"/>
              </w:rPr>
              <w:t>Performance Measure</w:t>
            </w:r>
          </w:p>
        </w:tc>
        <w:tc>
          <w:tcPr>
            <w:tcW w:w="2760" w:type="dxa"/>
            <w:vAlign w:val="bottom"/>
            <w:shd w:val="clear" w:color="auto" w:fill="00548B"/>
          </w:tcPr>
          <w:p>
            <w:pPr>
              <w:jc w:val="center"/>
              <w:ind w:left="1323"/>
              <w:spacing w:after="0"/>
              <w:rPr>
                <w:sz w:val="20"/>
                <w:szCs w:val="20"/>
                <w:color w:val="auto"/>
              </w:rPr>
            </w:pPr>
            <w:r>
              <w:rPr>
                <w:rFonts w:ascii="Arial" w:cs="Arial" w:eastAsia="Arial" w:hAnsi="Arial"/>
                <w:sz w:val="14"/>
                <w:szCs w:val="14"/>
                <w:b w:val="1"/>
                <w:bCs w:val="1"/>
                <w:color w:val="E5E5E5"/>
              </w:rPr>
              <w:t>Weighting</w:t>
            </w:r>
          </w:p>
        </w:tc>
        <w:tc>
          <w:tcPr>
            <w:tcW w:w="1320" w:type="dxa"/>
            <w:vAlign w:val="bottom"/>
            <w:shd w:val="clear" w:color="auto" w:fill="00548B"/>
          </w:tcPr>
          <w:p>
            <w:pPr>
              <w:ind w:left="340"/>
              <w:spacing w:after="0"/>
              <w:rPr>
                <w:sz w:val="20"/>
                <w:szCs w:val="20"/>
                <w:color w:val="auto"/>
              </w:rPr>
            </w:pPr>
            <w:r>
              <w:rPr>
                <w:rFonts w:ascii="Arial" w:cs="Arial" w:eastAsia="Arial" w:hAnsi="Arial"/>
                <w:sz w:val="14"/>
                <w:szCs w:val="14"/>
                <w:b w:val="1"/>
                <w:bCs w:val="1"/>
                <w:color w:val="E5E5E5"/>
              </w:rPr>
              <w:t>Threshold</w:t>
            </w:r>
          </w:p>
        </w:tc>
        <w:tc>
          <w:tcPr>
            <w:tcW w:w="1220" w:type="dxa"/>
            <w:vAlign w:val="bottom"/>
            <w:shd w:val="clear" w:color="auto" w:fill="00548B"/>
          </w:tcPr>
          <w:p>
            <w:pPr>
              <w:ind w:left="400"/>
              <w:spacing w:after="0"/>
              <w:rPr>
                <w:sz w:val="20"/>
                <w:szCs w:val="20"/>
                <w:color w:val="auto"/>
              </w:rPr>
            </w:pPr>
            <w:r>
              <w:rPr>
                <w:rFonts w:ascii="Arial" w:cs="Arial" w:eastAsia="Arial" w:hAnsi="Arial"/>
                <w:sz w:val="14"/>
                <w:szCs w:val="14"/>
                <w:b w:val="1"/>
                <w:bCs w:val="1"/>
                <w:color w:val="E5E5E5"/>
              </w:rPr>
              <w:t>Target</w:t>
            </w:r>
          </w:p>
        </w:tc>
        <w:tc>
          <w:tcPr>
            <w:tcW w:w="1260" w:type="dxa"/>
            <w:vAlign w:val="bottom"/>
            <w:shd w:val="clear" w:color="auto" w:fill="00548B"/>
          </w:tcPr>
          <w:p>
            <w:pPr>
              <w:ind w:left="300"/>
              <w:spacing w:after="0"/>
              <w:rPr>
                <w:sz w:val="20"/>
                <w:szCs w:val="20"/>
                <w:color w:val="auto"/>
              </w:rPr>
            </w:pPr>
            <w:r>
              <w:rPr>
                <w:rFonts w:ascii="Arial" w:cs="Arial" w:eastAsia="Arial" w:hAnsi="Arial"/>
                <w:sz w:val="14"/>
                <w:szCs w:val="14"/>
                <w:b w:val="1"/>
                <w:bCs w:val="1"/>
                <w:color w:val="E5E5E5"/>
              </w:rPr>
              <w:t>Maximum</w:t>
            </w:r>
          </w:p>
        </w:tc>
        <w:tc>
          <w:tcPr>
            <w:tcW w:w="1060" w:type="dxa"/>
            <w:vAlign w:val="bottom"/>
            <w:shd w:val="clear" w:color="auto" w:fill="00548B"/>
          </w:tcPr>
          <w:p>
            <w:pPr>
              <w:ind w:left="380"/>
              <w:spacing w:after="0"/>
              <w:rPr>
                <w:sz w:val="20"/>
                <w:szCs w:val="20"/>
                <w:color w:val="auto"/>
              </w:rPr>
            </w:pPr>
            <w:r>
              <w:rPr>
                <w:rFonts w:ascii="Arial" w:cs="Arial" w:eastAsia="Arial" w:hAnsi="Arial"/>
                <w:sz w:val="14"/>
                <w:szCs w:val="14"/>
                <w:b w:val="1"/>
                <w:bCs w:val="1"/>
                <w:color w:val="E5E5E5"/>
              </w:rPr>
              <w:t>Actual</w:t>
            </w:r>
          </w:p>
        </w:tc>
      </w:tr>
      <w:tr>
        <w:trPr>
          <w:trHeight w:val="186"/>
        </w:trPr>
        <w:tc>
          <w:tcPr>
            <w:tcW w:w="3240" w:type="dxa"/>
            <w:vAlign w:val="bottom"/>
            <w:tcBorders>
              <w:bottom w:val="single" w:sz="8" w:color="999999"/>
            </w:tcBorders>
          </w:tcPr>
          <w:p>
            <w:pPr>
              <w:spacing w:after="0"/>
              <w:rPr>
                <w:sz w:val="20"/>
                <w:szCs w:val="20"/>
                <w:color w:val="auto"/>
              </w:rPr>
            </w:pPr>
            <w:r>
              <w:rPr>
                <w:rFonts w:ascii="Arial" w:cs="Arial" w:eastAsia="Arial" w:hAnsi="Arial"/>
                <w:sz w:val="16"/>
                <w:szCs w:val="16"/>
                <w:color w:val="auto"/>
              </w:rPr>
              <w:t>Adjusted Diluted EPS</w:t>
            </w:r>
          </w:p>
        </w:tc>
        <w:tc>
          <w:tcPr>
            <w:tcW w:w="2760" w:type="dxa"/>
            <w:vAlign w:val="bottom"/>
            <w:tcBorders>
              <w:bottom w:val="single" w:sz="8" w:color="999999"/>
            </w:tcBorders>
          </w:tcPr>
          <w:p>
            <w:pPr>
              <w:jc w:val="center"/>
              <w:ind w:left="1323"/>
              <w:spacing w:after="0"/>
              <w:rPr>
                <w:sz w:val="20"/>
                <w:szCs w:val="20"/>
                <w:color w:val="auto"/>
              </w:rPr>
            </w:pPr>
            <w:r>
              <w:rPr>
                <w:rFonts w:ascii="Arial" w:cs="Arial" w:eastAsia="Arial" w:hAnsi="Arial"/>
                <w:sz w:val="16"/>
                <w:szCs w:val="16"/>
                <w:color w:val="auto"/>
                <w:w w:val="99"/>
              </w:rPr>
              <w:t>57%</w:t>
            </w:r>
          </w:p>
        </w:tc>
        <w:tc>
          <w:tcPr>
            <w:tcW w:w="1320" w:type="dxa"/>
            <w:vAlign w:val="bottom"/>
            <w:tcBorders>
              <w:bottom w:val="single" w:sz="8" w:color="999999"/>
            </w:tcBorders>
          </w:tcPr>
          <w:p>
            <w:pPr>
              <w:jc w:val="right"/>
              <w:ind w:right="363"/>
              <w:spacing w:after="0"/>
              <w:rPr>
                <w:sz w:val="20"/>
                <w:szCs w:val="20"/>
                <w:color w:val="auto"/>
              </w:rPr>
            </w:pPr>
            <w:r>
              <w:rPr>
                <w:rFonts w:ascii="Arial" w:cs="Arial" w:eastAsia="Arial" w:hAnsi="Arial"/>
                <w:sz w:val="16"/>
                <w:szCs w:val="16"/>
                <w:color w:val="auto"/>
              </w:rPr>
              <w:t>$6.75</w:t>
            </w:r>
          </w:p>
        </w:tc>
        <w:tc>
          <w:tcPr>
            <w:tcW w:w="1220" w:type="dxa"/>
            <w:vAlign w:val="bottom"/>
            <w:tcBorders>
              <w:bottom w:val="single" w:sz="8" w:color="999999"/>
            </w:tcBorders>
          </w:tcPr>
          <w:p>
            <w:pPr>
              <w:jc w:val="right"/>
              <w:ind w:right="323"/>
              <w:spacing w:after="0"/>
              <w:rPr>
                <w:sz w:val="20"/>
                <w:szCs w:val="20"/>
                <w:color w:val="auto"/>
              </w:rPr>
            </w:pPr>
            <w:r>
              <w:rPr>
                <w:rFonts w:ascii="Arial" w:cs="Arial" w:eastAsia="Arial" w:hAnsi="Arial"/>
                <w:sz w:val="16"/>
                <w:szCs w:val="16"/>
                <w:color w:val="auto"/>
              </w:rPr>
              <w:t>$7.94</w:t>
            </w:r>
          </w:p>
        </w:tc>
        <w:tc>
          <w:tcPr>
            <w:tcW w:w="1260" w:type="dxa"/>
            <w:vAlign w:val="bottom"/>
            <w:tcBorders>
              <w:bottom w:val="single" w:sz="8" w:color="999999"/>
            </w:tcBorders>
          </w:tcPr>
          <w:p>
            <w:pPr>
              <w:jc w:val="right"/>
              <w:ind w:right="363"/>
              <w:spacing w:after="0"/>
              <w:rPr>
                <w:sz w:val="20"/>
                <w:szCs w:val="20"/>
                <w:color w:val="auto"/>
              </w:rPr>
            </w:pPr>
            <w:r>
              <w:rPr>
                <w:rFonts w:ascii="Arial" w:cs="Arial" w:eastAsia="Arial" w:hAnsi="Arial"/>
                <w:sz w:val="16"/>
                <w:szCs w:val="16"/>
                <w:color w:val="auto"/>
              </w:rPr>
              <w:t>$9.14</w:t>
            </w:r>
          </w:p>
        </w:tc>
        <w:tc>
          <w:tcPr>
            <w:tcW w:w="1060" w:type="dxa"/>
            <w:vAlign w:val="bottom"/>
            <w:tcBorders>
              <w:bottom w:val="single" w:sz="8" w:color="999999"/>
            </w:tcBorders>
          </w:tcPr>
          <w:p>
            <w:pPr>
              <w:jc w:val="right"/>
              <w:ind w:right="183"/>
              <w:spacing w:after="0"/>
              <w:rPr>
                <w:sz w:val="20"/>
                <w:szCs w:val="20"/>
                <w:color w:val="auto"/>
              </w:rPr>
            </w:pPr>
            <w:r>
              <w:rPr>
                <w:rFonts w:ascii="Arial" w:cs="Arial" w:eastAsia="Arial" w:hAnsi="Arial"/>
                <w:sz w:val="16"/>
                <w:szCs w:val="16"/>
                <w:color w:val="auto"/>
              </w:rPr>
              <w:t>$7.50</w:t>
            </w:r>
          </w:p>
        </w:tc>
      </w:tr>
      <w:tr>
        <w:trPr>
          <w:trHeight w:val="179"/>
        </w:trPr>
        <w:tc>
          <w:tcPr>
            <w:tcW w:w="3240" w:type="dxa"/>
            <w:vAlign w:val="bottom"/>
            <w:tcBorders>
              <w:bottom w:val="single" w:sz="8" w:color="00548B"/>
            </w:tcBorders>
          </w:tcPr>
          <w:p>
            <w:pPr>
              <w:spacing w:after="0" w:line="180" w:lineRule="exact"/>
              <w:rPr>
                <w:sz w:val="20"/>
                <w:szCs w:val="20"/>
                <w:color w:val="auto"/>
              </w:rPr>
            </w:pPr>
            <w:r>
              <w:rPr>
                <w:rFonts w:ascii="Arial" w:cs="Arial" w:eastAsia="Arial" w:hAnsi="Arial"/>
                <w:sz w:val="16"/>
                <w:szCs w:val="16"/>
                <w:color w:val="auto"/>
              </w:rPr>
              <w:t>Revenue Growth</w:t>
            </w:r>
          </w:p>
        </w:tc>
        <w:tc>
          <w:tcPr>
            <w:tcW w:w="2760" w:type="dxa"/>
            <w:vAlign w:val="bottom"/>
            <w:tcBorders>
              <w:bottom w:val="single" w:sz="8" w:color="00548B"/>
            </w:tcBorders>
          </w:tcPr>
          <w:p>
            <w:pPr>
              <w:jc w:val="center"/>
              <w:ind w:left="1323"/>
              <w:spacing w:after="0" w:line="180" w:lineRule="exact"/>
              <w:rPr>
                <w:sz w:val="20"/>
                <w:szCs w:val="20"/>
                <w:color w:val="auto"/>
              </w:rPr>
            </w:pPr>
            <w:r>
              <w:rPr>
                <w:rFonts w:ascii="Arial" w:cs="Arial" w:eastAsia="Arial" w:hAnsi="Arial"/>
                <w:sz w:val="16"/>
                <w:szCs w:val="16"/>
                <w:color w:val="auto"/>
                <w:w w:val="99"/>
              </w:rPr>
              <w:t>43%</w:t>
            </w:r>
          </w:p>
        </w:tc>
        <w:tc>
          <w:tcPr>
            <w:tcW w:w="1320" w:type="dxa"/>
            <w:vAlign w:val="bottom"/>
            <w:tcBorders>
              <w:bottom w:val="single" w:sz="8" w:color="00548B"/>
            </w:tcBorders>
          </w:tcPr>
          <w:p>
            <w:pPr>
              <w:jc w:val="center"/>
              <w:spacing w:after="0" w:line="180" w:lineRule="exact"/>
              <w:rPr>
                <w:sz w:val="20"/>
                <w:szCs w:val="20"/>
                <w:color w:val="auto"/>
              </w:rPr>
            </w:pPr>
            <w:r>
              <w:rPr>
                <w:rFonts w:ascii="Arial" w:cs="Arial" w:eastAsia="Arial" w:hAnsi="Arial"/>
                <w:sz w:val="16"/>
                <w:szCs w:val="16"/>
                <w:color w:val="auto"/>
                <w:w w:val="99"/>
              </w:rPr>
              <w:t>$2,541M</w:t>
            </w:r>
          </w:p>
        </w:tc>
        <w:tc>
          <w:tcPr>
            <w:tcW w:w="1220" w:type="dxa"/>
            <w:vAlign w:val="bottom"/>
            <w:tcBorders>
              <w:bottom w:val="single" w:sz="8" w:color="00548B"/>
            </w:tcBorders>
          </w:tcPr>
          <w:p>
            <w:pPr>
              <w:jc w:val="center"/>
              <w:spacing w:after="0" w:line="180" w:lineRule="exact"/>
              <w:rPr>
                <w:sz w:val="20"/>
                <w:szCs w:val="20"/>
                <w:color w:val="auto"/>
              </w:rPr>
            </w:pPr>
            <w:r>
              <w:rPr>
                <w:rFonts w:ascii="Arial" w:cs="Arial" w:eastAsia="Arial" w:hAnsi="Arial"/>
                <w:sz w:val="16"/>
                <w:szCs w:val="16"/>
                <w:color w:val="auto"/>
                <w:w w:val="99"/>
              </w:rPr>
              <w:t>$2,674M</w:t>
            </w:r>
          </w:p>
        </w:tc>
        <w:tc>
          <w:tcPr>
            <w:tcW w:w="1260" w:type="dxa"/>
            <w:vAlign w:val="bottom"/>
            <w:tcBorders>
              <w:bottom w:val="single" w:sz="8" w:color="00548B"/>
            </w:tcBorders>
          </w:tcPr>
          <w:p>
            <w:pPr>
              <w:jc w:val="center"/>
              <w:spacing w:after="0" w:line="180" w:lineRule="exact"/>
              <w:rPr>
                <w:sz w:val="20"/>
                <w:szCs w:val="20"/>
                <w:color w:val="auto"/>
              </w:rPr>
            </w:pPr>
            <w:r>
              <w:rPr>
                <w:rFonts w:ascii="Arial" w:cs="Arial" w:eastAsia="Arial" w:hAnsi="Arial"/>
                <w:sz w:val="16"/>
                <w:szCs w:val="16"/>
                <w:color w:val="auto"/>
                <w:w w:val="99"/>
              </w:rPr>
              <w:t>$2,982M</w:t>
            </w:r>
          </w:p>
        </w:tc>
        <w:tc>
          <w:tcPr>
            <w:tcW w:w="1060" w:type="dxa"/>
            <w:vAlign w:val="bottom"/>
            <w:tcBorders>
              <w:bottom w:val="single" w:sz="8" w:color="00548B"/>
            </w:tcBorders>
          </w:tcPr>
          <w:p>
            <w:pPr>
              <w:jc w:val="center"/>
              <w:ind w:left="43"/>
              <w:spacing w:after="0" w:line="180" w:lineRule="exact"/>
              <w:rPr>
                <w:sz w:val="20"/>
                <w:szCs w:val="20"/>
                <w:color w:val="auto"/>
              </w:rPr>
            </w:pPr>
            <w:r>
              <w:rPr>
                <w:rFonts w:ascii="Arial" w:cs="Arial" w:eastAsia="Arial" w:hAnsi="Arial"/>
                <w:sz w:val="16"/>
                <w:szCs w:val="16"/>
                <w:color w:val="auto"/>
                <w:w w:val="99"/>
              </w:rPr>
              <w:t>$2,627M</w:t>
            </w:r>
          </w:p>
        </w:tc>
      </w:tr>
    </w:tbl>
    <w:p>
      <w:pPr>
        <w:spacing w:after="0" w:line="188" w:lineRule="exact"/>
        <w:rPr>
          <w:sz w:val="20"/>
          <w:szCs w:val="20"/>
          <w:color w:val="auto"/>
        </w:rPr>
      </w:pPr>
    </w:p>
    <w:p>
      <w:pPr>
        <w:jc w:val="both"/>
        <w:ind w:left="200" w:right="20"/>
        <w:spacing w:after="0" w:line="253" w:lineRule="auto"/>
        <w:rPr>
          <w:sz w:val="20"/>
          <w:szCs w:val="20"/>
          <w:color w:val="auto"/>
        </w:rPr>
      </w:pPr>
      <w:r>
        <w:rPr>
          <w:rFonts w:ascii="Arial" w:cs="Arial" w:eastAsia="Arial" w:hAnsi="Arial"/>
          <w:sz w:val="16"/>
          <w:szCs w:val="16"/>
          <w:color w:val="auto"/>
        </w:rPr>
        <w:t>As a result of the actual performance achieved, the Compensation Committee approved vesting of 73% of the original target number of performance units.</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2021 Cash Retention Award</w:t>
      </w:r>
    </w:p>
    <w:p>
      <w:pPr>
        <w:spacing w:after="0" w:line="20" w:lineRule="exact"/>
        <w:rPr>
          <w:sz w:val="20"/>
          <w:szCs w:val="20"/>
          <w:color w:val="auto"/>
        </w:rPr>
      </w:pPr>
    </w:p>
    <w:p>
      <w:pPr>
        <w:jc w:val="both"/>
        <w:ind w:left="200" w:right="20"/>
        <w:spacing w:after="0" w:line="245" w:lineRule="auto"/>
        <w:rPr>
          <w:sz w:val="20"/>
          <w:szCs w:val="20"/>
          <w:color w:val="auto"/>
        </w:rPr>
      </w:pPr>
      <w:r>
        <w:rPr>
          <w:rFonts w:ascii="Arial" w:cs="Arial" w:eastAsia="Arial" w:hAnsi="Arial"/>
          <w:sz w:val="16"/>
          <w:szCs w:val="16"/>
          <w:color w:val="auto"/>
        </w:rPr>
        <w:t>During the course of 2020, the Compensation Committee spent considerable time discussing the impact of the COVID-19 pandemic on the Company’s business, customers and personnel and the related impact of the pandemic on the Company’s short and long-term compensation programs. After thorough consideration, the Compensation Committee decided not to make any adjustments to the pre-established financial performance metrics, performance periods or any other elements of the outstanding long-term incentive plans in 2020. The decision was based principally on two factors. First, the Compensation Committee was extremely reluctant to change performance targets in the middle of a plan cycle since the Compensation Committee did not believe this to be a good practice and, despite the extraordinary circumstances presented by the pandemic, did not</w:t>
      </w:r>
    </w:p>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00548B"/>
        </w:rPr>
        <w:t>33</w:t>
      </w:r>
    </w:p>
    <w:p>
      <w:pPr>
        <w:sectPr>
          <w:pgSz w:w="11900" w:h="16838" w:orient="portrait"/>
          <w:cols w:equalWidth="0" w:num="1">
            <w:col w:w="11060"/>
          </w:cols>
          <w:pgMar w:left="320" w:top="454" w:right="5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color w:val="auto"/>
        </w:rPr>
        <w:t>exercise discretion to do so. Second, in light of the uncertainty created by the pandemic, the Compensation Committee did not believe it had enough insight into the potential future impact of the pandemic to establish meaningful and sustainable revised performance targets.</w:t>
      </w:r>
    </w:p>
    <w:p>
      <w:pPr>
        <w:spacing w:after="0" w:line="171" w:lineRule="exact"/>
        <w:rPr>
          <w:sz w:val="20"/>
          <w:szCs w:val="20"/>
          <w:color w:val="auto"/>
        </w:rPr>
      </w:pPr>
    </w:p>
    <w:p>
      <w:pPr>
        <w:jc w:val="both"/>
        <w:ind w:left="200"/>
        <w:spacing w:after="0" w:line="243" w:lineRule="auto"/>
        <w:rPr>
          <w:sz w:val="20"/>
          <w:szCs w:val="20"/>
          <w:color w:val="auto"/>
        </w:rPr>
      </w:pPr>
      <w:r>
        <w:rPr>
          <w:rFonts w:ascii="Arial" w:cs="Arial" w:eastAsia="Arial" w:hAnsi="Arial"/>
          <w:sz w:val="16"/>
          <w:szCs w:val="16"/>
          <w:color w:val="auto"/>
        </w:rPr>
        <w:t>While the Compensation Committee did not adjust outstanding long-term incentive awards to address the very negative impact of the pandemic on multi-year performance cycles for the reasons discussed above, the Compensation Committee believed that the Company’s executive officers performed exceptionally in leading the Company during 2020 and that it was critical to implement a three-year retention program to ensure their continued leadership, specifically over the next few years as the challenges presented by the pandemic persist. As a result, in April 2021, the Compensation Committee approved retention awards to each NEO, through which each named executive officer is entitled to a cash payment so long as he remains continuously employed by Huron through the applicable vesting date. The total amount of the cash retention awards that could be earned are as follows: James H. Roth—$2,220,000; Mark Hussey—$1,290,000; John D. Kelly—$615,000; Ernest W. Torain—$240,000. One-third of such amount will be payable on each of March 1, 2022, March 1, 2023 and March 1, 2024 if the NEO remains continuously employed by Huron through such date. The Compensation Committee approved the payment of the awards in cash rather than equity, to align with our ongoing efforts to minimize dilution and manage our burn rate. These cash retention agreements were approved in response to extremely unique circumstances in 2021 stemming from the COVID-19 pandemic, and we do not intend to provide any cash-based retention awards to our NEOs in the future. Throughout 2021, we engaged with shareholders representing a significant percentage of our outstanding shares which included discussions of our NEO pay programs. During our outreach, we heard no concerns regarding our NEO pay programs, including the cash retention award.</w:t>
      </w:r>
    </w:p>
    <w:p>
      <w:pPr>
        <w:spacing w:after="0" w:line="153"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2022 NEO Compensation Program</w:t>
      </w:r>
    </w:p>
    <w:p>
      <w:pPr>
        <w:spacing w:after="0" w:line="20" w:lineRule="exact"/>
        <w:rPr>
          <w:sz w:val="20"/>
          <w:szCs w:val="20"/>
          <w:color w:val="auto"/>
        </w:rPr>
      </w:pPr>
    </w:p>
    <w:p>
      <w:pPr>
        <w:jc w:val="both"/>
        <w:ind w:left="200"/>
        <w:spacing w:after="0" w:line="245" w:lineRule="auto"/>
        <w:rPr>
          <w:sz w:val="20"/>
          <w:szCs w:val="20"/>
          <w:color w:val="auto"/>
        </w:rPr>
      </w:pPr>
      <w:r>
        <w:rPr>
          <w:rFonts w:ascii="Arial" w:cs="Arial" w:eastAsia="Arial" w:hAnsi="Arial"/>
          <w:sz w:val="16"/>
          <w:szCs w:val="16"/>
          <w:color w:val="auto"/>
        </w:rPr>
        <w:t>The Compensation Committee and management continue to believe that the NEOs should be critically focused on improving shareholder value through driving the profitable growth of the organization. As such, under the 2022 annual incentive program, the Compensation Committee retained Organic Revenue Growth and Adjusted EBITDA Margin as the primary annual incentive financial metrics, with a combined 75% weighting. The Compensation Committee and management also recognize the importance of the nature by which these financial results are achieved and retained Strategic Measures, including Environmental, Social and Governance (ESG) goals, with a 25% weighting. As in the prior year, 90% of the total annual incentive opportunity is tied to metrics that use predefined quantitative goals and performance assessment.</w:t>
      </w:r>
    </w:p>
    <w:p>
      <w:pPr>
        <w:spacing w:after="0" w:line="163" w:lineRule="exact"/>
        <w:rPr>
          <w:sz w:val="20"/>
          <w:szCs w:val="20"/>
          <w:color w:val="auto"/>
        </w:rPr>
      </w:pPr>
    </w:p>
    <w:p>
      <w:pPr>
        <w:jc w:val="both"/>
        <w:ind w:left="200"/>
        <w:spacing w:after="0" w:line="245" w:lineRule="auto"/>
        <w:rPr>
          <w:sz w:val="20"/>
          <w:szCs w:val="20"/>
          <w:color w:val="auto"/>
        </w:rPr>
      </w:pPr>
      <w:r>
        <w:rPr>
          <w:rFonts w:ascii="Arial" w:cs="Arial" w:eastAsia="Arial" w:hAnsi="Arial"/>
          <w:sz w:val="16"/>
          <w:szCs w:val="16"/>
          <w:color w:val="auto"/>
        </w:rPr>
        <w:t>Additionally, the Compensation Committee elected to return the 2022 long-term incentive program to the design used prior to 2021 due to the positive financial performance in 2021, increased clarity around future performance amidst the COVID-19 pandemic and a preference to use multi-year goals in assessing long-term performance. As such, 70% of the target long-term incentive program value was granted in the form of PSUs and 30% was granted in the form of RSUs. The final payout of the PSUs will be determined at the end of the full three-year period based on performance against predetermined cumulative three-year goals for Adjusted Diluted EPS and Revenue Growth. As in prior years, we cannot disclose these goals at this time due to their material, non-public nature.</w:t>
      </w:r>
    </w:p>
    <w:p>
      <w:pPr>
        <w:spacing w:after="0" w:line="176"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color w:val="auto"/>
        </w:rPr>
        <w:t>For 2022, the Compensation Committee made the following compensation adjustments for Mr. Kelly and Mr. Torain in recognition of their individual performance and contributions as well as part of a multi-year strategy to position their pay closer to market median:</w:t>
      </w:r>
    </w:p>
    <w:p>
      <w:pPr>
        <w:spacing w:after="0" w:line="104" w:lineRule="exact"/>
        <w:rPr>
          <w:sz w:val="20"/>
          <w:szCs w:val="20"/>
          <w:color w:val="auto"/>
        </w:rPr>
      </w:pPr>
    </w:p>
    <w:p>
      <w:pPr>
        <w:ind w:left="1060" w:hanging="329"/>
        <w:spacing w:after="0"/>
        <w:tabs>
          <w:tab w:leader="none" w:pos="1060" w:val="left"/>
        </w:tabs>
        <w:numPr>
          <w:ilvl w:val="0"/>
          <w:numId w:val="25"/>
        </w:numPr>
        <w:rPr>
          <w:rFonts w:ascii="Arial" w:cs="Arial" w:eastAsia="Arial" w:hAnsi="Arial"/>
          <w:sz w:val="16"/>
          <w:szCs w:val="16"/>
          <w:color w:val="00548B"/>
        </w:rPr>
      </w:pPr>
      <w:r>
        <w:rPr>
          <w:rFonts w:ascii="Arial" w:cs="Arial" w:eastAsia="Arial" w:hAnsi="Arial"/>
          <w:sz w:val="16"/>
          <w:szCs w:val="16"/>
          <w:color w:val="auto"/>
        </w:rPr>
        <w:t>Mr. Kelly’s long-term incentive opportunity increased from 150% to 170%. 2022 will be Mr. Kelly’s sixth year in the role.</w:t>
      </w:r>
    </w:p>
    <w:p>
      <w:pPr>
        <w:spacing w:after="0" w:line="2" w:lineRule="exact"/>
        <w:rPr>
          <w:rFonts w:ascii="Arial" w:cs="Arial" w:eastAsia="Arial" w:hAnsi="Arial"/>
          <w:sz w:val="16"/>
          <w:szCs w:val="16"/>
          <w:color w:val="00548B"/>
        </w:rPr>
      </w:pPr>
    </w:p>
    <w:p>
      <w:pPr>
        <w:ind w:left="1060" w:hanging="329"/>
        <w:spacing w:after="0" w:line="253" w:lineRule="auto"/>
        <w:tabs>
          <w:tab w:leader="none" w:pos="1060" w:val="left"/>
        </w:tabs>
        <w:numPr>
          <w:ilvl w:val="0"/>
          <w:numId w:val="25"/>
        </w:numPr>
        <w:rPr>
          <w:rFonts w:ascii="Arial" w:cs="Arial" w:eastAsia="Arial" w:hAnsi="Arial"/>
          <w:sz w:val="16"/>
          <w:szCs w:val="16"/>
          <w:color w:val="00548B"/>
        </w:rPr>
      </w:pPr>
      <w:r>
        <w:rPr>
          <w:rFonts w:ascii="Arial" w:cs="Arial" w:eastAsia="Arial" w:hAnsi="Arial"/>
          <w:sz w:val="16"/>
          <w:szCs w:val="16"/>
          <w:color w:val="auto"/>
        </w:rPr>
        <w:t>Mr. Torain’s base salary increased from $360,000 to $400,000 and his long-term incentive opportunity increased from 90% to 115%. 2022 will be Mr. Torain’s third year in the role.</w:t>
      </w:r>
    </w:p>
    <w:p>
      <w:pPr>
        <w:spacing w:after="0" w:line="12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34</w:t>
      </w:r>
    </w:p>
    <w:p>
      <w:pPr>
        <w:sectPr>
          <w:pgSz w:w="11900" w:h="16838" w:orient="portrait"/>
          <w:cols w:equalWidth="0" w:num="1">
            <w:col w:w="11040"/>
          </w:cols>
          <w:pgMar w:left="320" w:top="454" w:right="5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200660</wp:posOffset>
            </wp:positionV>
            <wp:extent cx="6889750" cy="1606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89750" cy="160655"/>
                    </a:xfrm>
                    <a:prstGeom prst="rect">
                      <a:avLst/>
                    </a:prstGeom>
                    <a:noFill/>
                  </pic:spPr>
                </pic:pic>
              </a:graphicData>
            </a:graphic>
          </wp:anchor>
        </w:drawing>
      </w:r>
    </w:p>
    <w:p>
      <w:pPr>
        <w:spacing w:after="0" w:line="32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D8D8D8"/>
        </w:rPr>
        <w:t>SECTION 4 - ADDITIONAL INFORMATION ON OUR COMPENSATION PROGRAMS</w:t>
      </w:r>
    </w:p>
    <w:p>
      <w:pPr>
        <w:spacing w:after="0" w:line="79"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Competitive Market Data</w:t>
      </w:r>
    </w:p>
    <w:p>
      <w:pPr>
        <w:spacing w:after="0" w:line="20" w:lineRule="exact"/>
        <w:rPr>
          <w:sz w:val="20"/>
          <w:szCs w:val="20"/>
          <w:color w:val="auto"/>
        </w:rPr>
      </w:pPr>
    </w:p>
    <w:p>
      <w:pPr>
        <w:ind w:left="200"/>
        <w:spacing w:after="0" w:line="253" w:lineRule="auto"/>
        <w:rPr>
          <w:sz w:val="20"/>
          <w:szCs w:val="20"/>
          <w:color w:val="auto"/>
        </w:rPr>
      </w:pPr>
      <w:r>
        <w:rPr>
          <w:rFonts w:ascii="Arial" w:cs="Arial" w:eastAsia="Arial" w:hAnsi="Arial"/>
          <w:sz w:val="16"/>
          <w:szCs w:val="16"/>
          <w:color w:val="auto"/>
        </w:rPr>
        <w:t>The Compensation Committee reviews external market data to inform its decisions about NEO target pay opportunities. When determining NEO pay for 2021, the Compensation Committee relied on two market data sets:</w:t>
      </w:r>
    </w:p>
    <w:p>
      <w:pPr>
        <w:spacing w:after="0" w:line="197" w:lineRule="exact"/>
        <w:rPr>
          <w:sz w:val="20"/>
          <w:szCs w:val="20"/>
          <w:color w:val="auto"/>
        </w:rPr>
      </w:pPr>
    </w:p>
    <w:p>
      <w:pPr>
        <w:ind w:left="1060" w:hanging="435"/>
        <w:spacing w:after="0"/>
        <w:tabs>
          <w:tab w:leader="none" w:pos="10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Publicly reported compensation data from a Compensation Committee-approved peer group</w:t>
      </w:r>
    </w:p>
    <w:p>
      <w:pPr>
        <w:spacing w:after="0" w:line="214" w:lineRule="exact"/>
        <w:rPr>
          <w:rFonts w:ascii="Arial" w:cs="Arial" w:eastAsia="Arial" w:hAnsi="Arial"/>
          <w:sz w:val="16"/>
          <w:szCs w:val="16"/>
          <w:color w:val="auto"/>
        </w:rPr>
      </w:pPr>
    </w:p>
    <w:p>
      <w:pPr>
        <w:ind w:left="1060" w:hanging="435"/>
        <w:spacing w:after="0"/>
        <w:tabs>
          <w:tab w:leader="none" w:pos="10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Survey data for similarly sized companies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 October 2020, the Compensation Committee approved two changes for the 2021 peer group:</w:t>
      </w:r>
    </w:p>
    <w:p>
      <w:pPr>
        <w:spacing w:after="0" w:line="122" w:lineRule="exact"/>
        <w:rPr>
          <w:sz w:val="20"/>
          <w:szCs w:val="20"/>
          <w:color w:val="auto"/>
        </w:rPr>
      </w:pPr>
    </w:p>
    <w:p>
      <w:pPr>
        <w:ind w:left="1060" w:hanging="329"/>
        <w:spacing w:after="0"/>
        <w:tabs>
          <w:tab w:leader="none" w:pos="1060" w:val="left"/>
        </w:tabs>
        <w:numPr>
          <w:ilvl w:val="0"/>
          <w:numId w:val="27"/>
        </w:numPr>
        <w:rPr>
          <w:rFonts w:ascii="Arial" w:cs="Arial" w:eastAsia="Arial" w:hAnsi="Arial"/>
          <w:sz w:val="16"/>
          <w:szCs w:val="16"/>
          <w:color w:val="00548B"/>
        </w:rPr>
      </w:pPr>
      <w:r>
        <w:rPr>
          <w:rFonts w:ascii="Arial" w:cs="Arial" w:eastAsia="Arial" w:hAnsi="Arial"/>
          <w:sz w:val="16"/>
          <w:szCs w:val="16"/>
          <w:color w:val="auto"/>
        </w:rPr>
        <w:t>Navigant Consulting Inc. was removed as it was acquired in October 2019 which resulted in a lack of public NEO pay data.</w:t>
      </w:r>
    </w:p>
    <w:p>
      <w:pPr>
        <w:spacing w:after="0" w:line="2" w:lineRule="exact"/>
        <w:rPr>
          <w:rFonts w:ascii="Arial" w:cs="Arial" w:eastAsia="Arial" w:hAnsi="Arial"/>
          <w:sz w:val="16"/>
          <w:szCs w:val="16"/>
          <w:color w:val="00548B"/>
        </w:rPr>
      </w:pPr>
    </w:p>
    <w:p>
      <w:pPr>
        <w:ind w:left="1060" w:hanging="329"/>
        <w:spacing w:after="0"/>
        <w:tabs>
          <w:tab w:leader="none" w:pos="1060" w:val="left"/>
        </w:tabs>
        <w:numPr>
          <w:ilvl w:val="0"/>
          <w:numId w:val="27"/>
        </w:numPr>
        <w:rPr>
          <w:rFonts w:ascii="Arial" w:cs="Arial" w:eastAsia="Arial" w:hAnsi="Arial"/>
          <w:sz w:val="16"/>
          <w:szCs w:val="16"/>
          <w:color w:val="00548B"/>
        </w:rPr>
      </w:pPr>
      <w:r>
        <w:rPr>
          <w:rFonts w:ascii="Arial" w:cs="Arial" w:eastAsia="Arial" w:hAnsi="Arial"/>
          <w:sz w:val="16"/>
          <w:szCs w:val="16"/>
          <w:color w:val="auto"/>
        </w:rPr>
        <w:t>Allscripts Healthcare Solutions, Inc. was added because it met the screening criteria described below.</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2021 peer group consisted of the following 13 companies:</w:t>
      </w:r>
    </w:p>
    <w:p>
      <w:pPr>
        <w:sectPr>
          <w:pgSz w:w="11900" w:h="16838" w:orient="portrait"/>
          <w:cols w:equalWidth="0" w:num="1">
            <w:col w:w="11040"/>
          </w:cols>
          <w:pgMar w:left="320" w:top="454" w:right="539" w:bottom="1440" w:gutter="0" w:footer="0" w:header="0"/>
        </w:sectPr>
      </w:pPr>
    </w:p>
    <w:p>
      <w:pPr>
        <w:spacing w:after="0" w:line="241" w:lineRule="exact"/>
        <w:rPr>
          <w:sz w:val="20"/>
          <w:szCs w:val="20"/>
          <w:color w:val="auto"/>
        </w:rPr>
      </w:pPr>
    </w:p>
    <w:p>
      <w:pPr>
        <w:ind w:left="200"/>
        <w:spacing w:after="0"/>
        <w:rPr>
          <w:sz w:val="20"/>
          <w:szCs w:val="20"/>
          <w:color w:val="auto"/>
        </w:rPr>
      </w:pPr>
      <w:r>
        <w:rPr>
          <w:rFonts w:ascii="Arial" w:cs="Arial" w:eastAsia="Arial" w:hAnsi="Arial"/>
          <w:sz w:val="15"/>
          <w:szCs w:val="15"/>
          <w:color w:val="auto"/>
        </w:rPr>
        <w:t>Allscripts Healthcare Solutions, Inc.</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ICF International, Inc.</w:t>
      </w:r>
    </w:p>
    <w:p>
      <w:pPr>
        <w:spacing w:after="0" w:line="107" w:lineRule="exact"/>
        <w:rPr>
          <w:sz w:val="20"/>
          <w:szCs w:val="20"/>
          <w:color w:val="auto"/>
        </w:rPr>
      </w:pPr>
    </w:p>
    <w:p>
      <w:pPr>
        <w:sectPr>
          <w:pgSz w:w="11900" w:h="16838" w:orient="portrait"/>
          <w:cols w:equalWidth="0" w:num="2">
            <w:col w:w="5140" w:space="720"/>
            <w:col w:w="5180"/>
          </w:cols>
          <w:pgMar w:left="320" w:top="454" w:right="53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CBIZ,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Korn Ferry</w:t>
      </w:r>
    </w:p>
    <w:p>
      <w:pPr>
        <w:spacing w:after="0" w:line="107" w:lineRule="exact"/>
        <w:rPr>
          <w:sz w:val="20"/>
          <w:szCs w:val="20"/>
          <w:color w:val="auto"/>
        </w:rPr>
      </w:pPr>
    </w:p>
    <w:p>
      <w:pPr>
        <w:sectPr>
          <w:pgSz w:w="11900" w:h="16838" w:orient="portrait"/>
          <w:cols w:equalWidth="0" w:num="2">
            <w:col w:w="5140" w:space="720"/>
            <w:col w:w="5180"/>
          </w:cols>
          <w:pgMar w:left="320" w:top="454" w:right="53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CRA International,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LiveRamp Holdings, Inc.</w:t>
      </w:r>
    </w:p>
    <w:p>
      <w:pPr>
        <w:spacing w:after="0" w:line="107" w:lineRule="exact"/>
        <w:rPr>
          <w:sz w:val="20"/>
          <w:szCs w:val="20"/>
          <w:color w:val="auto"/>
        </w:rPr>
      </w:pPr>
    </w:p>
    <w:p>
      <w:pPr>
        <w:sectPr>
          <w:pgSz w:w="11900" w:h="16838" w:orient="portrait"/>
          <w:cols w:equalWidth="0" w:num="2">
            <w:col w:w="5140" w:space="720"/>
            <w:col w:w="5180"/>
          </w:cols>
          <w:pgMar w:left="320" w:top="454" w:right="53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Exponent,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NextGen Healthcare, Inc.</w:t>
      </w:r>
    </w:p>
    <w:p>
      <w:pPr>
        <w:spacing w:after="0" w:line="107" w:lineRule="exact"/>
        <w:rPr>
          <w:sz w:val="20"/>
          <w:szCs w:val="20"/>
          <w:color w:val="auto"/>
        </w:rPr>
      </w:pPr>
    </w:p>
    <w:p>
      <w:pPr>
        <w:sectPr>
          <w:pgSz w:w="11900" w:h="16838" w:orient="portrait"/>
          <w:cols w:equalWidth="0" w:num="2">
            <w:col w:w="5140" w:space="720"/>
            <w:col w:w="5180"/>
          </w:cols>
          <w:pgMar w:left="320" w:top="454" w:right="53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FTI Consulting Inc.</w:t>
      </w:r>
    </w:p>
    <w:p>
      <w:pPr>
        <w:spacing w:after="0" w:line="20" w:lineRule="exact"/>
        <w:rPr>
          <w:sz w:val="20"/>
          <w:szCs w:val="20"/>
          <w:color w:val="auto"/>
        </w:rPr>
      </w:pPr>
      <w:r>
        <w:rPr>
          <w:sz w:val="20"/>
          <w:szCs w:val="20"/>
          <w:color w:val="auto"/>
        </w:rPr>
        <w:br w:type="column"/>
      </w:r>
    </w:p>
    <w:p>
      <w:pPr>
        <w:jc w:val="center"/>
        <w:ind w:right="4300"/>
        <w:spacing w:after="0"/>
        <w:rPr>
          <w:sz w:val="20"/>
          <w:szCs w:val="20"/>
          <w:color w:val="auto"/>
        </w:rPr>
      </w:pPr>
      <w:r>
        <w:rPr>
          <w:rFonts w:ascii="Arial" w:cs="Arial" w:eastAsia="Arial" w:hAnsi="Arial"/>
          <w:sz w:val="15"/>
          <w:szCs w:val="15"/>
          <w:color w:val="auto"/>
        </w:rPr>
        <w:t>Premier, Inc.</w:t>
      </w:r>
    </w:p>
    <w:p>
      <w:pPr>
        <w:spacing w:after="0" w:line="107" w:lineRule="exact"/>
        <w:rPr>
          <w:sz w:val="20"/>
          <w:szCs w:val="20"/>
          <w:color w:val="auto"/>
        </w:rPr>
      </w:pPr>
    </w:p>
    <w:p>
      <w:pPr>
        <w:sectPr>
          <w:pgSz w:w="11900" w:h="16838" w:orient="portrait"/>
          <w:cols w:equalWidth="0" w:num="2">
            <w:col w:w="5140" w:space="720"/>
            <w:col w:w="5180"/>
          </w:cols>
          <w:pgMar w:left="320" w:top="454" w:right="53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Heidrick &amp; Struggles International, Inc.</w:t>
      </w:r>
    </w:p>
    <w:p>
      <w:pPr>
        <w:spacing w:after="0" w:line="20" w:lineRule="exact"/>
        <w:rPr>
          <w:sz w:val="20"/>
          <w:szCs w:val="20"/>
          <w:color w:val="auto"/>
        </w:rPr>
      </w:pPr>
      <w:r>
        <w:rPr>
          <w:sz w:val="20"/>
          <w:szCs w:val="20"/>
          <w:color w:val="auto"/>
        </w:rPr>
        <w:br w:type="column"/>
      </w:r>
    </w:p>
    <w:p>
      <w:pPr>
        <w:jc w:val="center"/>
        <w:ind w:right="3240"/>
        <w:spacing w:after="0"/>
        <w:rPr>
          <w:sz w:val="20"/>
          <w:szCs w:val="20"/>
          <w:color w:val="auto"/>
        </w:rPr>
      </w:pPr>
      <w:r>
        <w:rPr>
          <w:rFonts w:ascii="Arial" w:cs="Arial" w:eastAsia="Arial" w:hAnsi="Arial"/>
          <w:sz w:val="15"/>
          <w:szCs w:val="15"/>
          <w:color w:val="auto"/>
        </w:rPr>
        <w:t>Resources Connection, Inc.</w:t>
      </w:r>
    </w:p>
    <w:p>
      <w:pPr>
        <w:spacing w:after="0" w:line="107" w:lineRule="exact"/>
        <w:rPr>
          <w:sz w:val="20"/>
          <w:szCs w:val="20"/>
          <w:color w:val="auto"/>
        </w:rPr>
      </w:pPr>
    </w:p>
    <w:p>
      <w:pPr>
        <w:sectPr>
          <w:pgSz w:w="11900" w:h="16838" w:orient="portrait"/>
          <w:cols w:equalWidth="0" w:num="2">
            <w:col w:w="5140" w:space="720"/>
            <w:col w:w="5180"/>
          </w:cols>
          <w:pgMar w:left="320" w:top="454" w:right="53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HMS Holdings Corp.</w:t>
      </w:r>
    </w:p>
    <w:p>
      <w:pPr>
        <w:sectPr>
          <w:pgSz w:w="11900" w:h="16838" w:orient="portrait"/>
          <w:cols w:equalWidth="0" w:num="1">
            <w:col w:w="11040"/>
          </w:cols>
          <w:pgMar w:left="320" w:top="454" w:right="539" w:bottom="1440" w:gutter="0" w:footer="0" w:header="0"/>
          <w:type w:val="continuous"/>
        </w:sectPr>
      </w:pPr>
    </w:p>
    <w:p>
      <w:pPr>
        <w:spacing w:after="0" w:line="281" w:lineRule="exact"/>
        <w:rPr>
          <w:sz w:val="20"/>
          <w:szCs w:val="20"/>
          <w:color w:val="auto"/>
        </w:rPr>
      </w:pPr>
    </w:p>
    <w:p>
      <w:pPr>
        <w:ind w:left="200"/>
        <w:spacing w:after="0" w:line="253" w:lineRule="auto"/>
        <w:rPr>
          <w:sz w:val="20"/>
          <w:szCs w:val="20"/>
          <w:color w:val="auto"/>
        </w:rPr>
      </w:pPr>
      <w:r>
        <w:rPr>
          <w:rFonts w:ascii="Arial" w:cs="Arial" w:eastAsia="Arial" w:hAnsi="Arial"/>
          <w:sz w:val="16"/>
          <w:szCs w:val="16"/>
          <w:color w:val="auto"/>
        </w:rPr>
        <w:t>The peer companies represent business-to-business service providers in the Research and Consulting Services, Human Resource and Employment Services, Health Care Technology, Health Care Services, or IT Consulting and Other Services industry sectors with:</w:t>
      </w:r>
    </w:p>
    <w:p>
      <w:pPr>
        <w:spacing w:after="0" w:line="104" w:lineRule="exact"/>
        <w:rPr>
          <w:sz w:val="20"/>
          <w:szCs w:val="20"/>
          <w:color w:val="auto"/>
        </w:rPr>
      </w:pPr>
    </w:p>
    <w:p>
      <w:pPr>
        <w:ind w:left="1060" w:hanging="329"/>
        <w:spacing w:after="0"/>
        <w:tabs>
          <w:tab w:leader="none" w:pos="1060" w:val="left"/>
        </w:tabs>
        <w:numPr>
          <w:ilvl w:val="0"/>
          <w:numId w:val="28"/>
        </w:numPr>
        <w:rPr>
          <w:rFonts w:ascii="Arial" w:cs="Arial" w:eastAsia="Arial" w:hAnsi="Arial"/>
          <w:sz w:val="16"/>
          <w:szCs w:val="16"/>
          <w:color w:val="00548B"/>
        </w:rPr>
      </w:pPr>
      <w:r>
        <w:rPr>
          <w:rFonts w:ascii="Arial" w:cs="Arial" w:eastAsia="Arial" w:hAnsi="Arial"/>
          <w:sz w:val="16"/>
          <w:szCs w:val="16"/>
          <w:color w:val="auto"/>
        </w:rPr>
        <w:t>Revenues from 0.4x to 2.5x Huron’s revenues and</w:t>
      </w:r>
    </w:p>
    <w:p>
      <w:pPr>
        <w:spacing w:after="0" w:line="2" w:lineRule="exact"/>
        <w:rPr>
          <w:rFonts w:ascii="Arial" w:cs="Arial" w:eastAsia="Arial" w:hAnsi="Arial"/>
          <w:sz w:val="16"/>
          <w:szCs w:val="16"/>
          <w:color w:val="00548B"/>
        </w:rPr>
      </w:pPr>
    </w:p>
    <w:p>
      <w:pPr>
        <w:ind w:left="1060" w:hanging="329"/>
        <w:spacing w:after="0"/>
        <w:tabs>
          <w:tab w:leader="none" w:pos="1060" w:val="left"/>
        </w:tabs>
        <w:numPr>
          <w:ilvl w:val="0"/>
          <w:numId w:val="28"/>
        </w:numPr>
        <w:rPr>
          <w:rFonts w:ascii="Arial" w:cs="Arial" w:eastAsia="Arial" w:hAnsi="Arial"/>
          <w:sz w:val="16"/>
          <w:szCs w:val="16"/>
          <w:color w:val="00548B"/>
        </w:rPr>
      </w:pPr>
      <w:r>
        <w:rPr>
          <w:rFonts w:ascii="Arial" w:cs="Arial" w:eastAsia="Arial" w:hAnsi="Arial"/>
          <w:sz w:val="16"/>
          <w:szCs w:val="16"/>
          <w:color w:val="auto"/>
        </w:rPr>
        <w:t>Market capitalization 0.1x to 5x Huron’s market capitalization.</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Survey data represents companies with revenues between $500 million and $1 billion from the Radford Global Technology Survey.</w:t>
      </w:r>
    </w:p>
    <w:p>
      <w:pPr>
        <w:spacing w:after="0" w:line="157"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Employment Agreements</w:t>
      </w:r>
    </w:p>
    <w:p>
      <w:pPr>
        <w:spacing w:after="0" w:line="20" w:lineRule="exact"/>
        <w:rPr>
          <w:sz w:val="20"/>
          <w:szCs w:val="20"/>
          <w:color w:val="auto"/>
        </w:rPr>
      </w:pPr>
    </w:p>
    <w:p>
      <w:pPr>
        <w:jc w:val="both"/>
        <w:ind w:left="200"/>
        <w:spacing w:after="0" w:line="244" w:lineRule="auto"/>
        <w:rPr>
          <w:sz w:val="20"/>
          <w:szCs w:val="20"/>
          <w:color w:val="auto"/>
        </w:rPr>
      </w:pPr>
      <w:r>
        <w:rPr>
          <w:rFonts w:ascii="Arial" w:cs="Arial" w:eastAsia="Arial" w:hAnsi="Arial"/>
          <w:sz w:val="16"/>
          <w:szCs w:val="16"/>
          <w:color w:val="auto"/>
        </w:rPr>
        <w:t>Huron has entered into agreements with each of the named executive officers that provide for benefits upon termination of employment under certain circumstances, including in connection with a change of control of the Company. Huron provides these benefits as a means of remaining competitive, retaining executive officers, focusing executive officers on shareholder interests when considering strategic alternatives, and providing income protection in the event of involuntary loss of employment. In general, these arrangements provide for severance benefits upon Huron’s termination of the executive’s employment without cause or resignation by the executive for good reason (constructive termination). In the event of a change of control of Huron and if the executive’s employment is terminated without cause or he resigns for good reason, the executive will receive enhanced severance benefits. Huron provides these enhanced severance benefits only with a “double trigger” because the Company believes that the executive officers would be materially harmed in a change of control only if it results in reduced responsibilities or compensation or loss of employment for the executive. Huron employment agreements do not provide for any gross-ups.</w:t>
      </w:r>
    </w:p>
    <w:p>
      <w:pPr>
        <w:spacing w:after="0" w:line="178"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color w:val="auto"/>
        </w:rPr>
        <w:t>More information on our use of employment agreements, including the estimated payments and benefits payable to the named executive officers, is provided under the “Potential Payments Upon Termination or Change of Control” section of this Proxy Statement.</w:t>
      </w:r>
    </w:p>
    <w:p>
      <w:pPr>
        <w:spacing w:after="0" w:line="12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35</w:t>
      </w:r>
    </w:p>
    <w:p>
      <w:pPr>
        <w:sectPr>
          <w:pgSz w:w="11900" w:h="16838" w:orient="portrait"/>
          <w:cols w:equalWidth="0" w:num="1">
            <w:col w:w="11040"/>
          </w:cols>
          <w:pgMar w:left="320" w:top="454" w:right="53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Role of Compensation Committee</w:t>
      </w:r>
    </w:p>
    <w:p>
      <w:pPr>
        <w:spacing w:after="0" w:line="20" w:lineRule="exact"/>
        <w:rPr>
          <w:sz w:val="20"/>
          <w:szCs w:val="20"/>
          <w:color w:val="auto"/>
        </w:rPr>
      </w:pPr>
    </w:p>
    <w:p>
      <w:pPr>
        <w:ind w:left="200"/>
        <w:spacing w:after="0" w:line="253" w:lineRule="auto"/>
        <w:rPr>
          <w:sz w:val="20"/>
          <w:szCs w:val="20"/>
          <w:color w:val="auto"/>
        </w:rPr>
      </w:pPr>
      <w:r>
        <w:rPr>
          <w:rFonts w:ascii="Arial" w:cs="Arial" w:eastAsia="Arial" w:hAnsi="Arial"/>
          <w:sz w:val="16"/>
          <w:szCs w:val="16"/>
          <w:color w:val="auto"/>
        </w:rPr>
        <w:t>The Compensation Committee is primarily responsible for administering our executive compensation program in a manner consistent with our compensation philosophy and objectives. The principal functions of the Compensation Committee are to:</w:t>
      </w:r>
    </w:p>
    <w:p>
      <w:pPr>
        <w:spacing w:after="0" w:line="197" w:lineRule="exact"/>
        <w:rPr>
          <w:sz w:val="20"/>
          <w:szCs w:val="20"/>
          <w:color w:val="auto"/>
        </w:rPr>
      </w:pPr>
    </w:p>
    <w:p>
      <w:pPr>
        <w:ind w:left="1060" w:hanging="435"/>
        <w:spacing w:after="0" w:line="242" w:lineRule="auto"/>
        <w:tabs>
          <w:tab w:leader="none" w:pos="1060" w:val="left"/>
        </w:tabs>
        <w:numPr>
          <w:ilvl w:val="0"/>
          <w:numId w:val="29"/>
        </w:numPr>
        <w:rPr>
          <w:rFonts w:ascii="Arial" w:cs="Arial" w:eastAsia="Arial" w:hAnsi="Arial"/>
          <w:sz w:val="16"/>
          <w:szCs w:val="16"/>
          <w:color w:val="00548B"/>
        </w:rPr>
      </w:pPr>
      <w:r>
        <w:rPr>
          <w:rFonts w:ascii="Arial" w:cs="Arial" w:eastAsia="Arial" w:hAnsi="Arial"/>
          <w:sz w:val="16"/>
          <w:szCs w:val="16"/>
          <w:color w:val="auto"/>
        </w:rPr>
        <w:t>set salaries and annual and long-term incentive levels for the CEO and other named executive officers, so that the program is promoting shareholder value;</w:t>
      </w:r>
    </w:p>
    <w:p>
      <w:pPr>
        <w:spacing w:after="0" w:line="1" w:lineRule="exact"/>
        <w:rPr>
          <w:rFonts w:ascii="Arial" w:cs="Arial" w:eastAsia="Arial" w:hAnsi="Arial"/>
          <w:sz w:val="16"/>
          <w:szCs w:val="16"/>
          <w:color w:val="00548B"/>
        </w:rPr>
      </w:pPr>
    </w:p>
    <w:p>
      <w:pPr>
        <w:ind w:left="1060" w:hanging="435"/>
        <w:spacing w:after="0" w:line="242" w:lineRule="auto"/>
        <w:tabs>
          <w:tab w:leader="none" w:pos="1060" w:val="left"/>
        </w:tabs>
        <w:numPr>
          <w:ilvl w:val="0"/>
          <w:numId w:val="29"/>
        </w:numPr>
        <w:rPr>
          <w:rFonts w:ascii="Arial" w:cs="Arial" w:eastAsia="Arial" w:hAnsi="Arial"/>
          <w:sz w:val="16"/>
          <w:szCs w:val="16"/>
          <w:color w:val="00548B"/>
        </w:rPr>
      </w:pPr>
      <w:r>
        <w:rPr>
          <w:rFonts w:ascii="Arial" w:cs="Arial" w:eastAsia="Arial" w:hAnsi="Arial"/>
          <w:sz w:val="16"/>
          <w:szCs w:val="16"/>
          <w:color w:val="auto"/>
        </w:rPr>
        <w:t>evaluate annually the performance of the CEO (in coordination with the full board) and review the CEO evaluations of the other named executive officers;</w:t>
      </w:r>
    </w:p>
    <w:p>
      <w:pPr>
        <w:spacing w:after="0" w:line="1" w:lineRule="exact"/>
        <w:rPr>
          <w:rFonts w:ascii="Arial" w:cs="Arial" w:eastAsia="Arial" w:hAnsi="Arial"/>
          <w:sz w:val="16"/>
          <w:szCs w:val="16"/>
          <w:color w:val="00548B"/>
        </w:rPr>
      </w:pPr>
    </w:p>
    <w:p>
      <w:pPr>
        <w:ind w:left="1060" w:hanging="435"/>
        <w:spacing w:after="0"/>
        <w:tabs>
          <w:tab w:leader="none" w:pos="1060" w:val="left"/>
        </w:tabs>
        <w:numPr>
          <w:ilvl w:val="0"/>
          <w:numId w:val="29"/>
        </w:numPr>
        <w:rPr>
          <w:rFonts w:ascii="Arial" w:cs="Arial" w:eastAsia="Arial" w:hAnsi="Arial"/>
          <w:sz w:val="16"/>
          <w:szCs w:val="16"/>
          <w:color w:val="00548B"/>
        </w:rPr>
      </w:pPr>
      <w:r>
        <w:rPr>
          <w:rFonts w:ascii="Arial" w:cs="Arial" w:eastAsia="Arial" w:hAnsi="Arial"/>
          <w:sz w:val="16"/>
          <w:szCs w:val="16"/>
          <w:color w:val="auto"/>
        </w:rPr>
        <w:t>review and approve the design and competitiveness of our compensation plans, executive benefits and perquisites;</w:t>
      </w:r>
    </w:p>
    <w:p>
      <w:pPr>
        <w:spacing w:after="0" w:line="2" w:lineRule="exact"/>
        <w:rPr>
          <w:rFonts w:ascii="Arial" w:cs="Arial" w:eastAsia="Arial" w:hAnsi="Arial"/>
          <w:sz w:val="16"/>
          <w:szCs w:val="16"/>
          <w:color w:val="00548B"/>
        </w:rPr>
      </w:pPr>
    </w:p>
    <w:p>
      <w:pPr>
        <w:ind w:left="1060" w:hanging="435"/>
        <w:spacing w:after="0" w:line="242" w:lineRule="auto"/>
        <w:tabs>
          <w:tab w:leader="none" w:pos="1060" w:val="left"/>
        </w:tabs>
        <w:numPr>
          <w:ilvl w:val="0"/>
          <w:numId w:val="29"/>
        </w:numPr>
        <w:rPr>
          <w:rFonts w:ascii="Arial" w:cs="Arial" w:eastAsia="Arial" w:hAnsi="Arial"/>
          <w:sz w:val="16"/>
          <w:szCs w:val="16"/>
          <w:color w:val="00548B"/>
        </w:rPr>
      </w:pPr>
      <w:r>
        <w:rPr>
          <w:rFonts w:ascii="Arial" w:cs="Arial" w:eastAsia="Arial" w:hAnsi="Arial"/>
          <w:sz w:val="16"/>
          <w:szCs w:val="16"/>
          <w:color w:val="auto"/>
        </w:rPr>
        <w:t>review and approve the total cash and stock bonus pools for the organization, and approve the individual incentive payout awards for the named executive officers;</w:t>
      </w:r>
    </w:p>
    <w:p>
      <w:pPr>
        <w:spacing w:after="0" w:line="1" w:lineRule="exact"/>
        <w:rPr>
          <w:rFonts w:ascii="Arial" w:cs="Arial" w:eastAsia="Arial" w:hAnsi="Arial"/>
          <w:sz w:val="16"/>
          <w:szCs w:val="16"/>
          <w:color w:val="00548B"/>
        </w:rPr>
      </w:pPr>
    </w:p>
    <w:p>
      <w:pPr>
        <w:ind w:left="1060" w:hanging="435"/>
        <w:spacing w:after="0"/>
        <w:tabs>
          <w:tab w:leader="none" w:pos="1060" w:val="left"/>
        </w:tabs>
        <w:numPr>
          <w:ilvl w:val="0"/>
          <w:numId w:val="29"/>
        </w:numPr>
        <w:rPr>
          <w:rFonts w:ascii="Arial" w:cs="Arial" w:eastAsia="Arial" w:hAnsi="Arial"/>
          <w:sz w:val="16"/>
          <w:szCs w:val="16"/>
          <w:color w:val="00548B"/>
        </w:rPr>
      </w:pPr>
      <w:r>
        <w:rPr>
          <w:rFonts w:ascii="Arial" w:cs="Arial" w:eastAsia="Arial" w:hAnsi="Arial"/>
          <w:sz w:val="16"/>
          <w:szCs w:val="16"/>
          <w:color w:val="auto"/>
        </w:rPr>
        <w:t>review director compensation and make recommendations to the board;</w:t>
      </w:r>
    </w:p>
    <w:p>
      <w:pPr>
        <w:spacing w:after="0" w:line="2" w:lineRule="exact"/>
        <w:rPr>
          <w:rFonts w:ascii="Arial" w:cs="Arial" w:eastAsia="Arial" w:hAnsi="Arial"/>
          <w:sz w:val="16"/>
          <w:szCs w:val="16"/>
          <w:color w:val="00548B"/>
        </w:rPr>
      </w:pPr>
    </w:p>
    <w:p>
      <w:pPr>
        <w:ind w:left="1060" w:hanging="435"/>
        <w:spacing w:after="0"/>
        <w:tabs>
          <w:tab w:leader="none" w:pos="1060" w:val="left"/>
        </w:tabs>
        <w:numPr>
          <w:ilvl w:val="0"/>
          <w:numId w:val="29"/>
        </w:numPr>
        <w:rPr>
          <w:rFonts w:ascii="Arial" w:cs="Arial" w:eastAsia="Arial" w:hAnsi="Arial"/>
          <w:sz w:val="16"/>
          <w:szCs w:val="16"/>
          <w:color w:val="00548B"/>
        </w:rPr>
      </w:pPr>
      <w:r>
        <w:rPr>
          <w:rFonts w:ascii="Arial" w:cs="Arial" w:eastAsia="Arial" w:hAnsi="Arial"/>
          <w:sz w:val="16"/>
          <w:szCs w:val="16"/>
          <w:color w:val="auto"/>
        </w:rPr>
        <w:t>review and approve goals used for the annual and long-term incentive plans;</w:t>
      </w:r>
    </w:p>
    <w:p>
      <w:pPr>
        <w:spacing w:after="0" w:line="2" w:lineRule="exact"/>
        <w:rPr>
          <w:rFonts w:ascii="Arial" w:cs="Arial" w:eastAsia="Arial" w:hAnsi="Arial"/>
          <w:sz w:val="16"/>
          <w:szCs w:val="16"/>
          <w:color w:val="00548B"/>
        </w:rPr>
      </w:pPr>
    </w:p>
    <w:p>
      <w:pPr>
        <w:ind w:left="1060" w:hanging="435"/>
        <w:spacing w:after="0"/>
        <w:tabs>
          <w:tab w:leader="none" w:pos="1060" w:val="left"/>
        </w:tabs>
        <w:numPr>
          <w:ilvl w:val="0"/>
          <w:numId w:val="29"/>
        </w:numPr>
        <w:rPr>
          <w:rFonts w:ascii="Arial" w:cs="Arial" w:eastAsia="Arial" w:hAnsi="Arial"/>
          <w:sz w:val="16"/>
          <w:szCs w:val="16"/>
          <w:color w:val="00548B"/>
        </w:rPr>
      </w:pPr>
      <w:r>
        <w:rPr>
          <w:rFonts w:ascii="Arial" w:cs="Arial" w:eastAsia="Arial" w:hAnsi="Arial"/>
          <w:sz w:val="16"/>
          <w:szCs w:val="16"/>
          <w:color w:val="auto"/>
        </w:rPr>
        <w:t>retain or terminate, in its sole discretion, any independent compensation consultant used to assist the Compensation Committee;</w:t>
      </w:r>
    </w:p>
    <w:p>
      <w:pPr>
        <w:spacing w:after="0" w:line="2" w:lineRule="exact"/>
        <w:rPr>
          <w:rFonts w:ascii="Arial" w:cs="Arial" w:eastAsia="Arial" w:hAnsi="Arial"/>
          <w:sz w:val="16"/>
          <w:szCs w:val="16"/>
          <w:color w:val="00548B"/>
        </w:rPr>
      </w:pPr>
    </w:p>
    <w:p>
      <w:pPr>
        <w:ind w:left="1060" w:hanging="435"/>
        <w:spacing w:after="0"/>
        <w:tabs>
          <w:tab w:leader="none" w:pos="1060" w:val="left"/>
        </w:tabs>
        <w:numPr>
          <w:ilvl w:val="0"/>
          <w:numId w:val="29"/>
        </w:numPr>
        <w:rPr>
          <w:rFonts w:ascii="Arial" w:cs="Arial" w:eastAsia="Arial" w:hAnsi="Arial"/>
          <w:sz w:val="16"/>
          <w:szCs w:val="16"/>
          <w:color w:val="00548B"/>
        </w:rPr>
      </w:pPr>
      <w:r>
        <w:rPr>
          <w:rFonts w:ascii="Arial" w:cs="Arial" w:eastAsia="Arial" w:hAnsi="Arial"/>
          <w:sz w:val="16"/>
          <w:szCs w:val="16"/>
          <w:color w:val="auto"/>
        </w:rPr>
        <w:t>review and evaluate compensation arrangements to assess whether they could encourage undue risk taking; and</w:t>
      </w:r>
    </w:p>
    <w:p>
      <w:pPr>
        <w:spacing w:after="0" w:line="2" w:lineRule="exact"/>
        <w:rPr>
          <w:rFonts w:ascii="Arial" w:cs="Arial" w:eastAsia="Arial" w:hAnsi="Arial"/>
          <w:sz w:val="16"/>
          <w:szCs w:val="16"/>
          <w:color w:val="00548B"/>
        </w:rPr>
      </w:pPr>
    </w:p>
    <w:p>
      <w:pPr>
        <w:ind w:left="1060" w:hanging="435"/>
        <w:spacing w:after="0"/>
        <w:tabs>
          <w:tab w:leader="none" w:pos="1060" w:val="left"/>
        </w:tabs>
        <w:numPr>
          <w:ilvl w:val="0"/>
          <w:numId w:val="29"/>
        </w:numPr>
        <w:rPr>
          <w:rFonts w:ascii="Arial" w:cs="Arial" w:eastAsia="Arial" w:hAnsi="Arial"/>
          <w:sz w:val="16"/>
          <w:szCs w:val="16"/>
          <w:color w:val="00548B"/>
        </w:rPr>
      </w:pPr>
      <w:r>
        <w:rPr>
          <w:rFonts w:ascii="Arial" w:cs="Arial" w:eastAsia="Arial" w:hAnsi="Arial"/>
          <w:sz w:val="16"/>
          <w:szCs w:val="16"/>
          <w:color w:val="auto"/>
        </w:rPr>
        <w:t>create a Compensation Committee report on executive compensation for inclusion in the Proxy Statement.</w:t>
      </w:r>
    </w:p>
    <w:p>
      <w:pPr>
        <w:spacing w:after="0" w:line="188" w:lineRule="exact"/>
        <w:rPr>
          <w:sz w:val="20"/>
          <w:szCs w:val="20"/>
          <w:color w:val="auto"/>
        </w:rPr>
      </w:pPr>
    </w:p>
    <w:p>
      <w:pPr>
        <w:jc w:val="both"/>
        <w:ind w:left="200"/>
        <w:spacing w:after="0" w:line="248" w:lineRule="auto"/>
        <w:rPr>
          <w:sz w:val="20"/>
          <w:szCs w:val="20"/>
          <w:color w:val="auto"/>
        </w:rPr>
      </w:pPr>
      <w:r>
        <w:rPr>
          <w:rFonts w:ascii="Arial" w:cs="Arial" w:eastAsia="Arial" w:hAnsi="Arial"/>
          <w:sz w:val="16"/>
          <w:szCs w:val="16"/>
          <w:color w:val="auto"/>
        </w:rPr>
        <w:t>The Compensation Committee acts independently and works closely with our board of directors and the executive management team in making many of its decisions. To support its decision making, the Compensation Committee has retained the services of an independent compensation consultant. The Compensation Committee has the sole authority to amend or terminate the services of its independent consultant.</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 2021, the Compensation Committee was comprised entirely of independent directors.</w:t>
      </w:r>
    </w:p>
    <w:p>
      <w:pPr>
        <w:spacing w:after="0" w:line="157"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Role of Management</w:t>
      </w:r>
    </w:p>
    <w:p>
      <w:pPr>
        <w:spacing w:after="0" w:line="20" w:lineRule="exact"/>
        <w:rPr>
          <w:sz w:val="20"/>
          <w:szCs w:val="20"/>
          <w:color w:val="auto"/>
        </w:rPr>
      </w:pPr>
    </w:p>
    <w:p>
      <w:pPr>
        <w:jc w:val="both"/>
        <w:ind w:left="200"/>
        <w:spacing w:after="0" w:line="244" w:lineRule="auto"/>
        <w:rPr>
          <w:sz w:val="20"/>
          <w:szCs w:val="20"/>
          <w:color w:val="auto"/>
        </w:rPr>
      </w:pPr>
      <w:r>
        <w:rPr>
          <w:rFonts w:ascii="Arial" w:cs="Arial" w:eastAsia="Arial" w:hAnsi="Arial"/>
          <w:sz w:val="16"/>
          <w:szCs w:val="16"/>
          <w:color w:val="auto"/>
        </w:rPr>
        <w:t>Our CEO works together with the Chief Human Resources Officer and the Compensation Committee of our board to establish, review and evaluate compensation packages and policies for our executive officers. Our CEO reviews the performance of each named executive officer and makes recommendations to the Compensation Committee based on his review. Our CEO, COO and President, CFO and General Counsel provide input into our strategic goals for future performance periods. The Compensation Committee carefully reviews all information before finalizing incentive goals, as we believe such a process is consistent with good governance. Prior to determining the size of the bonus pool for all employees other than NEOs, management reviews Company and practice-level performance with the board so that the bonus pool and Company profitability balances shareholder returns and retention of employees. Our CEO does not participate in the decisions related to his own compensation.</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Role of Compensation Advisor</w:t>
      </w:r>
    </w:p>
    <w:p>
      <w:pPr>
        <w:spacing w:after="0" w:line="20" w:lineRule="exact"/>
        <w:rPr>
          <w:sz w:val="20"/>
          <w:szCs w:val="20"/>
          <w:color w:val="auto"/>
        </w:rPr>
      </w:pPr>
    </w:p>
    <w:p>
      <w:pPr>
        <w:jc w:val="both"/>
        <w:ind w:left="200"/>
        <w:spacing w:after="0" w:line="246" w:lineRule="auto"/>
        <w:rPr>
          <w:sz w:val="20"/>
          <w:szCs w:val="20"/>
          <w:color w:val="auto"/>
        </w:rPr>
      </w:pPr>
      <w:r>
        <w:rPr>
          <w:rFonts w:ascii="Arial" w:cs="Arial" w:eastAsia="Arial" w:hAnsi="Arial"/>
          <w:sz w:val="16"/>
          <w:szCs w:val="16"/>
          <w:color w:val="auto"/>
        </w:rPr>
        <w:t>The Compensation Committee retains an independent advisor to assist in the ongoing assessment of our executive compensation strategy and program. The Compensation Committee’s independent advisor reports directly to the Compensation Committee and serves at its sole discretion and does not perform any services for the Company other than those in connection with its work for the Compensation Committee. Pay Governance serves as the Compensation Committee’s independent advisor.</w:t>
      </w:r>
    </w:p>
    <w:p>
      <w:pPr>
        <w:spacing w:after="0" w:line="163" w:lineRule="exact"/>
        <w:rPr>
          <w:sz w:val="20"/>
          <w:szCs w:val="20"/>
          <w:color w:val="auto"/>
        </w:rPr>
      </w:pPr>
    </w:p>
    <w:p>
      <w:pPr>
        <w:jc w:val="both"/>
        <w:ind w:left="200"/>
        <w:spacing w:after="0" w:line="248" w:lineRule="auto"/>
        <w:rPr>
          <w:sz w:val="20"/>
          <w:szCs w:val="20"/>
          <w:color w:val="auto"/>
        </w:rPr>
      </w:pPr>
      <w:r>
        <w:rPr>
          <w:rFonts w:ascii="Arial" w:cs="Arial" w:eastAsia="Arial" w:hAnsi="Arial"/>
          <w:sz w:val="16"/>
          <w:szCs w:val="16"/>
          <w:color w:val="auto"/>
        </w:rPr>
        <w:t>The Compensation Committee annually assesses whether the independent advisor’s work has raised any conflict of interest. The Compensation Committee has determined, based on its analysis of NASDAQ requirements, that the work of Pay Governance and the individual compensation advisors employed by Pay Governance as compensation consultants to the Company has not created any conflict of interest.</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Health and Welfare Benefits</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named executive officers are eligible for the same health and welfare benefits generally available to Huron employees.</w:t>
      </w:r>
    </w:p>
    <w:p>
      <w:pPr>
        <w:spacing w:after="0" w:line="14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36</w:t>
      </w:r>
    </w:p>
    <w:p>
      <w:pPr>
        <w:sectPr>
          <w:pgSz w:w="11900" w:h="16838" w:orient="portrait"/>
          <w:cols w:equalWidth="0" w:num="1">
            <w:col w:w="11040"/>
          </w:cols>
          <w:pgMar w:left="320" w:top="454" w:right="5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Deferred Compensation Plan</w:t>
      </w:r>
    </w:p>
    <w:p>
      <w:pPr>
        <w:spacing w:after="0" w:line="20" w:lineRule="exact"/>
        <w:rPr>
          <w:sz w:val="20"/>
          <w:szCs w:val="20"/>
          <w:color w:val="auto"/>
        </w:rPr>
      </w:pPr>
    </w:p>
    <w:p>
      <w:pPr>
        <w:jc w:val="both"/>
        <w:ind w:left="200" w:right="20"/>
        <w:spacing w:after="0" w:line="245" w:lineRule="auto"/>
        <w:rPr>
          <w:sz w:val="20"/>
          <w:szCs w:val="20"/>
          <w:color w:val="auto"/>
        </w:rPr>
      </w:pPr>
      <w:r>
        <w:rPr>
          <w:rFonts w:ascii="Arial" w:cs="Arial" w:eastAsia="Arial" w:hAnsi="Arial"/>
          <w:sz w:val="16"/>
          <w:szCs w:val="16"/>
          <w:color w:val="auto"/>
        </w:rPr>
        <w:t>The Company also offers a nonqualified deferred compensation plan (the “DCP”) to all managing directors, corporate vice presidents, named executive officers and non-employee directors. The DCP allows participants to elect to defer up to 75% of their base salary and 100% of their annual cash incentive into a deferred compensation account and to choose from a number of investment alternatives. Non-employee directors may elect to defer up to 100% of their board fees into the DCP. Earnings are credited based on the returns of the investment options selected by the participant. Any amounts contributed may be deferred until a later date or may become payable in connection with a participant’s retirement, death, disability or other separation from service.</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Perquisites</w:t>
      </w:r>
    </w:p>
    <w:p>
      <w:pPr>
        <w:spacing w:after="0" w:line="20" w:lineRule="exact"/>
        <w:rPr>
          <w:sz w:val="20"/>
          <w:szCs w:val="20"/>
          <w:color w:val="auto"/>
        </w:rPr>
      </w:pPr>
    </w:p>
    <w:p>
      <w:pPr>
        <w:jc w:val="both"/>
        <w:ind w:left="200" w:right="20"/>
        <w:spacing w:after="0" w:line="248" w:lineRule="auto"/>
        <w:rPr>
          <w:sz w:val="20"/>
          <w:szCs w:val="20"/>
          <w:color w:val="auto"/>
        </w:rPr>
      </w:pPr>
      <w:r>
        <w:rPr>
          <w:rFonts w:ascii="Arial" w:cs="Arial" w:eastAsia="Arial" w:hAnsi="Arial"/>
          <w:sz w:val="16"/>
          <w:szCs w:val="16"/>
          <w:color w:val="auto"/>
        </w:rPr>
        <w:t>Huron did not provide material perquisites that are not provided widely within Huron to any named executive officer in 2021. The Company provides enhanced disability and life insurance benefits to all of its managing directors, corporate vice presidents and executive officers. Named executive officers and practice leaders are also offered reimbursement of the cost of an annual executive physical examination.</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Clawback Provisions</w:t>
      </w:r>
    </w:p>
    <w:p>
      <w:pPr>
        <w:spacing w:after="0" w:line="20" w:lineRule="exact"/>
        <w:rPr>
          <w:sz w:val="20"/>
          <w:szCs w:val="20"/>
          <w:color w:val="auto"/>
        </w:rPr>
      </w:pPr>
    </w:p>
    <w:p>
      <w:pPr>
        <w:jc w:val="both"/>
        <w:ind w:left="200" w:right="20"/>
        <w:spacing w:after="0" w:line="244" w:lineRule="auto"/>
        <w:rPr>
          <w:sz w:val="20"/>
          <w:szCs w:val="20"/>
          <w:color w:val="auto"/>
        </w:rPr>
      </w:pPr>
      <w:r>
        <w:rPr>
          <w:rFonts w:ascii="Arial" w:cs="Arial" w:eastAsia="Arial" w:hAnsi="Arial"/>
          <w:sz w:val="16"/>
          <w:szCs w:val="16"/>
          <w:color w:val="auto"/>
        </w:rPr>
        <w:t>The Company’s incentive compensation recoupment policy (commonly referred to as a “clawback policy”) provides for the potential recoupment of bonuses or awards paid to executive officers and such other individuals designated by our non-employee directors under our short-term and long-term incentive compensation plans, where the payout or actual award received was determined based in part on the financial performance of the Company. In the event of a material restatement of our quarterly or annual financial results, our non-employee directors will review all incentive compensation awarded to those individuals covered by the policy based upon the achievement of financial results that were the subject of the restatement. The non-employee directors have the authority to recoup all or a portion of the incentive compensation to the extent that the amount of such compensation would have been lower than the amount actually awarded, granted, paid, earned, deferred or vested based on the achievement of financial results that were subsequently reduced due to such restatement.</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Stock Ownership Guidelines and Holding Requirements</w:t>
      </w:r>
    </w:p>
    <w:p>
      <w:pPr>
        <w:spacing w:after="0" w:line="20" w:lineRule="exact"/>
        <w:rPr>
          <w:sz w:val="20"/>
          <w:szCs w:val="20"/>
          <w:color w:val="auto"/>
        </w:rPr>
      </w:pPr>
    </w:p>
    <w:p>
      <w:pPr>
        <w:jc w:val="both"/>
        <w:ind w:left="200" w:right="20"/>
        <w:spacing w:after="0" w:line="253" w:lineRule="auto"/>
        <w:rPr>
          <w:sz w:val="20"/>
          <w:szCs w:val="20"/>
          <w:color w:val="auto"/>
        </w:rPr>
      </w:pPr>
      <w:r>
        <w:rPr>
          <w:rFonts w:ascii="Arial" w:cs="Arial" w:eastAsia="Arial" w:hAnsi="Arial"/>
          <w:sz w:val="16"/>
          <w:szCs w:val="16"/>
          <w:color w:val="auto"/>
        </w:rPr>
        <w:t>The stock ownership guidelines for Huron’s named executive officers and non-employee directors, set forth below, are consistent with peer practices and designed to promote alignment with the interests of stockholders and the Company’s commitment to sound corporate governance.</w:t>
      </w:r>
    </w:p>
    <w:p>
      <w:pPr>
        <w:spacing w:after="0" w:line="22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740" w:type="dxa"/>
            <w:vAlign w:val="bottom"/>
            <w:shd w:val="clear" w:color="auto" w:fill="00548B"/>
          </w:tcPr>
          <w:p>
            <w:pPr>
              <w:spacing w:after="0"/>
              <w:rPr>
                <w:sz w:val="20"/>
                <w:szCs w:val="20"/>
                <w:color w:val="auto"/>
              </w:rPr>
            </w:pPr>
            <w:r>
              <w:rPr>
                <w:rFonts w:ascii="Arial" w:cs="Arial" w:eastAsia="Arial" w:hAnsi="Arial"/>
                <w:sz w:val="14"/>
                <w:szCs w:val="14"/>
                <w:b w:val="1"/>
                <w:bCs w:val="1"/>
                <w:color w:val="D8D8D8"/>
              </w:rPr>
              <w:t>Position</w:t>
            </w:r>
          </w:p>
        </w:tc>
        <w:tc>
          <w:tcPr>
            <w:tcW w:w="7120" w:type="dxa"/>
            <w:vAlign w:val="bottom"/>
            <w:shd w:val="clear" w:color="auto" w:fill="00548B"/>
          </w:tcPr>
          <w:p>
            <w:pPr>
              <w:ind w:left="2000"/>
              <w:spacing w:after="0"/>
              <w:rPr>
                <w:sz w:val="20"/>
                <w:szCs w:val="20"/>
                <w:color w:val="auto"/>
              </w:rPr>
            </w:pPr>
            <w:r>
              <w:rPr>
                <w:rFonts w:ascii="Arial" w:cs="Arial" w:eastAsia="Arial" w:hAnsi="Arial"/>
                <w:sz w:val="14"/>
                <w:szCs w:val="14"/>
                <w:b w:val="1"/>
                <w:bCs w:val="1"/>
                <w:color w:val="D8D8D8"/>
              </w:rPr>
              <w:t>Stock Ownership Guideline</w:t>
            </w:r>
          </w:p>
        </w:tc>
      </w:tr>
      <w:tr>
        <w:trPr>
          <w:trHeight w:val="186"/>
        </w:trPr>
        <w:tc>
          <w:tcPr>
            <w:tcW w:w="3740" w:type="dxa"/>
            <w:vAlign w:val="bottom"/>
            <w:tcBorders>
              <w:bottom w:val="single" w:sz="8" w:color="999999"/>
            </w:tcBorders>
          </w:tcPr>
          <w:p>
            <w:pPr>
              <w:spacing w:after="0"/>
              <w:rPr>
                <w:sz w:val="20"/>
                <w:szCs w:val="20"/>
                <w:color w:val="auto"/>
              </w:rPr>
            </w:pPr>
            <w:r>
              <w:rPr>
                <w:rFonts w:ascii="Arial" w:cs="Arial" w:eastAsia="Arial" w:hAnsi="Arial"/>
                <w:sz w:val="16"/>
                <w:szCs w:val="16"/>
                <w:color w:val="auto"/>
              </w:rPr>
              <w:t>CEO</w:t>
            </w:r>
          </w:p>
        </w:tc>
        <w:tc>
          <w:tcPr>
            <w:tcW w:w="7120" w:type="dxa"/>
            <w:vAlign w:val="bottom"/>
            <w:tcBorders>
              <w:bottom w:val="single" w:sz="8" w:color="999999"/>
            </w:tcBorders>
          </w:tcPr>
          <w:p>
            <w:pPr>
              <w:ind w:left="2000"/>
              <w:spacing w:after="0"/>
              <w:rPr>
                <w:sz w:val="20"/>
                <w:szCs w:val="20"/>
                <w:color w:val="auto"/>
              </w:rPr>
            </w:pPr>
            <w:r>
              <w:rPr>
                <w:rFonts w:ascii="Arial" w:cs="Arial" w:eastAsia="Arial" w:hAnsi="Arial"/>
                <w:sz w:val="16"/>
                <w:szCs w:val="16"/>
                <w:color w:val="auto"/>
              </w:rPr>
              <w:t>5x salary</w:t>
            </w:r>
          </w:p>
        </w:tc>
      </w:tr>
      <w:tr>
        <w:trPr>
          <w:trHeight w:val="179"/>
        </w:trPr>
        <w:tc>
          <w:tcPr>
            <w:tcW w:w="3740" w:type="dxa"/>
            <w:vAlign w:val="bottom"/>
            <w:tcBorders>
              <w:bottom w:val="single" w:sz="8" w:color="999999"/>
            </w:tcBorders>
          </w:tcPr>
          <w:p>
            <w:pPr>
              <w:spacing w:after="0" w:line="180" w:lineRule="exact"/>
              <w:rPr>
                <w:sz w:val="20"/>
                <w:szCs w:val="20"/>
                <w:color w:val="auto"/>
              </w:rPr>
            </w:pPr>
            <w:r>
              <w:rPr>
                <w:rFonts w:ascii="Arial" w:cs="Arial" w:eastAsia="Arial" w:hAnsi="Arial"/>
                <w:sz w:val="16"/>
                <w:szCs w:val="16"/>
                <w:color w:val="auto"/>
              </w:rPr>
              <w:t>COO and CFO</w:t>
            </w:r>
          </w:p>
        </w:tc>
        <w:tc>
          <w:tcPr>
            <w:tcW w:w="7120" w:type="dxa"/>
            <w:vAlign w:val="bottom"/>
            <w:tcBorders>
              <w:bottom w:val="single" w:sz="8" w:color="999999"/>
            </w:tcBorders>
          </w:tcPr>
          <w:p>
            <w:pPr>
              <w:ind w:left="2000"/>
              <w:spacing w:after="0" w:line="180" w:lineRule="exact"/>
              <w:rPr>
                <w:sz w:val="20"/>
                <w:szCs w:val="20"/>
                <w:color w:val="auto"/>
              </w:rPr>
            </w:pPr>
            <w:r>
              <w:rPr>
                <w:rFonts w:ascii="Arial" w:cs="Arial" w:eastAsia="Arial" w:hAnsi="Arial"/>
                <w:sz w:val="16"/>
                <w:szCs w:val="16"/>
                <w:color w:val="auto"/>
              </w:rPr>
              <w:t>2x salary</w:t>
            </w:r>
          </w:p>
        </w:tc>
      </w:tr>
      <w:tr>
        <w:trPr>
          <w:trHeight w:val="179"/>
        </w:trPr>
        <w:tc>
          <w:tcPr>
            <w:tcW w:w="3740" w:type="dxa"/>
            <w:vAlign w:val="bottom"/>
            <w:tcBorders>
              <w:bottom w:val="single" w:sz="8" w:color="999999"/>
            </w:tcBorders>
          </w:tcPr>
          <w:p>
            <w:pPr>
              <w:spacing w:after="0" w:line="180" w:lineRule="exact"/>
              <w:rPr>
                <w:sz w:val="20"/>
                <w:szCs w:val="20"/>
                <w:color w:val="auto"/>
              </w:rPr>
            </w:pPr>
            <w:r>
              <w:rPr>
                <w:rFonts w:ascii="Arial" w:cs="Arial" w:eastAsia="Arial" w:hAnsi="Arial"/>
                <w:sz w:val="16"/>
                <w:szCs w:val="16"/>
                <w:color w:val="auto"/>
              </w:rPr>
              <w:t>Other Executive Officers</w:t>
            </w:r>
          </w:p>
        </w:tc>
        <w:tc>
          <w:tcPr>
            <w:tcW w:w="7120" w:type="dxa"/>
            <w:vAlign w:val="bottom"/>
            <w:tcBorders>
              <w:bottom w:val="single" w:sz="8" w:color="999999"/>
            </w:tcBorders>
          </w:tcPr>
          <w:p>
            <w:pPr>
              <w:ind w:left="2000"/>
              <w:spacing w:after="0" w:line="180" w:lineRule="exact"/>
              <w:rPr>
                <w:sz w:val="20"/>
                <w:szCs w:val="20"/>
                <w:color w:val="auto"/>
              </w:rPr>
            </w:pPr>
            <w:r>
              <w:rPr>
                <w:rFonts w:ascii="Arial" w:cs="Arial" w:eastAsia="Arial" w:hAnsi="Arial"/>
                <w:sz w:val="16"/>
                <w:szCs w:val="16"/>
                <w:color w:val="auto"/>
              </w:rPr>
              <w:t>1x salary</w:t>
            </w:r>
          </w:p>
        </w:tc>
      </w:tr>
      <w:tr>
        <w:trPr>
          <w:trHeight w:val="179"/>
        </w:trPr>
        <w:tc>
          <w:tcPr>
            <w:tcW w:w="3740" w:type="dxa"/>
            <w:vAlign w:val="bottom"/>
            <w:tcBorders>
              <w:bottom w:val="single" w:sz="8" w:color="00548B"/>
            </w:tcBorders>
          </w:tcPr>
          <w:p>
            <w:pPr>
              <w:spacing w:after="0" w:line="180" w:lineRule="exact"/>
              <w:rPr>
                <w:sz w:val="20"/>
                <w:szCs w:val="20"/>
                <w:color w:val="auto"/>
              </w:rPr>
            </w:pPr>
            <w:r>
              <w:rPr>
                <w:rFonts w:ascii="Arial" w:cs="Arial" w:eastAsia="Arial" w:hAnsi="Arial"/>
                <w:sz w:val="16"/>
                <w:szCs w:val="16"/>
                <w:color w:val="auto"/>
              </w:rPr>
              <w:t>Non-employee Directors</w:t>
            </w:r>
          </w:p>
        </w:tc>
        <w:tc>
          <w:tcPr>
            <w:tcW w:w="7120" w:type="dxa"/>
            <w:vAlign w:val="bottom"/>
            <w:tcBorders>
              <w:bottom w:val="single" w:sz="8" w:color="00548B"/>
            </w:tcBorders>
          </w:tcPr>
          <w:p>
            <w:pPr>
              <w:ind w:left="2000"/>
              <w:spacing w:after="0" w:line="180" w:lineRule="exact"/>
              <w:rPr>
                <w:sz w:val="20"/>
                <w:szCs w:val="20"/>
                <w:color w:val="auto"/>
              </w:rPr>
            </w:pPr>
            <w:r>
              <w:rPr>
                <w:rFonts w:ascii="Arial" w:cs="Arial" w:eastAsia="Arial" w:hAnsi="Arial"/>
                <w:sz w:val="16"/>
                <w:szCs w:val="16"/>
                <w:color w:val="auto"/>
              </w:rPr>
              <w:t>5x the annual retainer of $60,000</w:t>
            </w:r>
          </w:p>
        </w:tc>
      </w:tr>
    </w:tbl>
    <w:p>
      <w:pPr>
        <w:spacing w:after="0" w:line="188" w:lineRule="exact"/>
        <w:rPr>
          <w:sz w:val="20"/>
          <w:szCs w:val="20"/>
          <w:color w:val="auto"/>
        </w:rPr>
      </w:pPr>
    </w:p>
    <w:p>
      <w:pPr>
        <w:jc w:val="both"/>
        <w:ind w:left="200" w:right="20"/>
        <w:spacing w:after="0" w:line="245" w:lineRule="auto"/>
        <w:rPr>
          <w:sz w:val="20"/>
          <w:szCs w:val="20"/>
          <w:color w:val="auto"/>
        </w:rPr>
      </w:pPr>
      <w:r>
        <w:rPr>
          <w:rFonts w:ascii="Arial" w:cs="Arial" w:eastAsia="Arial" w:hAnsi="Arial"/>
          <w:sz w:val="16"/>
          <w:szCs w:val="16"/>
          <w:color w:val="auto"/>
        </w:rPr>
        <w:t>Until the relevant stock ownership target is achieved, executive officers and non-employee directors are required to retain a number of shares equal to at least 60% of the net after tax proceeds from the exercise of stock options or vesting of restricted stock and performance units. Only shares owned outright count towards ownership requirements. Unexercised stock options and unvested performance units or unvested restricted stock do not count. Each of our NEOs and non-employee directors are in compliance with the terms of our share ownership guidelines, except that, as of the date of this Proxy Statement, Mr. Roth is not in compliance with his ownership requirement as a result of the decrease in the price of our stock during 2021. We anticipate Mr. Roth will be back in compliance with his ownership guideline during 2022.</w:t>
      </w:r>
    </w:p>
    <w:p>
      <w:pPr>
        <w:spacing w:after="0" w:line="145"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Hedging and Pledging</w:t>
      </w:r>
    </w:p>
    <w:p>
      <w:pPr>
        <w:spacing w:after="0" w:line="20" w:lineRule="exact"/>
        <w:rPr>
          <w:sz w:val="20"/>
          <w:szCs w:val="20"/>
          <w:color w:val="auto"/>
        </w:rPr>
      </w:pPr>
    </w:p>
    <w:p>
      <w:pPr>
        <w:jc w:val="both"/>
        <w:ind w:left="200" w:right="20"/>
        <w:spacing w:after="0" w:line="248" w:lineRule="auto"/>
        <w:rPr>
          <w:sz w:val="20"/>
          <w:szCs w:val="20"/>
          <w:color w:val="auto"/>
        </w:rPr>
      </w:pPr>
      <w:r>
        <w:rPr>
          <w:rFonts w:ascii="Arial" w:cs="Arial" w:eastAsia="Arial" w:hAnsi="Arial"/>
          <w:sz w:val="16"/>
          <w:szCs w:val="16"/>
          <w:color w:val="auto"/>
        </w:rPr>
        <w:t>The Company has an insider trading policy that prohibits directors, officers, employees and contractors from entering into transactions in publicly traded puts, calls or other derivative securities with respect to Huron’s stock and prohibits any other transaction that “hedges” the ownership in Huron’s stock or holding Company securities in a margin account or pledging Company securities as collateral for a loan.</w:t>
      </w:r>
    </w:p>
    <w:p>
      <w:pPr>
        <w:spacing w:after="0" w:line="13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00548B"/>
        </w:rPr>
        <w:t>37</w:t>
      </w:r>
    </w:p>
    <w:p>
      <w:pPr>
        <w:sectPr>
          <w:pgSz w:w="11900" w:h="16838" w:orient="portrait"/>
          <w:cols w:equalWidth="0" w:num="1">
            <w:col w:w="11060"/>
          </w:cols>
          <w:pgMar w:left="320" w:top="454" w:right="5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Tax Considerations</w:t>
      </w:r>
    </w:p>
    <w:p>
      <w:pPr>
        <w:spacing w:after="0" w:line="20" w:lineRule="exact"/>
        <w:rPr>
          <w:sz w:val="20"/>
          <w:szCs w:val="20"/>
          <w:color w:val="auto"/>
        </w:rPr>
      </w:pPr>
    </w:p>
    <w:p>
      <w:pPr>
        <w:jc w:val="both"/>
        <w:ind w:left="200"/>
        <w:spacing w:after="0" w:line="245" w:lineRule="auto"/>
        <w:rPr>
          <w:sz w:val="20"/>
          <w:szCs w:val="20"/>
          <w:color w:val="auto"/>
        </w:rPr>
      </w:pPr>
      <w:r>
        <w:rPr>
          <w:rFonts w:ascii="Arial" w:cs="Arial" w:eastAsia="Arial" w:hAnsi="Arial"/>
          <w:sz w:val="16"/>
          <w:szCs w:val="16"/>
          <w:b w:val="1"/>
          <w:bCs w:val="1"/>
          <w:i w:val="1"/>
          <w:iCs w:val="1"/>
          <w:color w:val="00548B"/>
        </w:rPr>
        <w:t>Section 162(m)</w:t>
      </w:r>
      <w:r>
        <w:rPr>
          <w:rFonts w:ascii="Arial" w:cs="Arial" w:eastAsia="Arial" w:hAnsi="Arial"/>
          <w:sz w:val="16"/>
          <w:szCs w:val="16"/>
          <w:color w:val="000000"/>
        </w:rPr>
        <w:t>. Section 162(m) of the Code generally disallows a tax deduction to public companies for compensation paid in excess of $1 million for</w:t>
      </w:r>
      <w:r>
        <w:rPr>
          <w:rFonts w:ascii="Arial" w:cs="Arial" w:eastAsia="Arial" w:hAnsi="Arial"/>
          <w:sz w:val="16"/>
          <w:szCs w:val="16"/>
          <w:b w:val="1"/>
          <w:bCs w:val="1"/>
          <w:i w:val="1"/>
          <w:iCs w:val="1"/>
          <w:color w:val="00548B"/>
        </w:rPr>
        <w:t xml:space="preserve"> </w:t>
      </w:r>
      <w:r>
        <w:rPr>
          <w:rFonts w:ascii="Arial" w:cs="Arial" w:eastAsia="Arial" w:hAnsi="Arial"/>
          <w:sz w:val="16"/>
          <w:szCs w:val="16"/>
          <w:color w:val="000000"/>
        </w:rPr>
        <w:t>any fiscal year to a company’s “covered employees”. The Compensation Committee expects in the future to authorize compensation in excess of $1 million to employees that will not be deductible under Section 162(m) when it believes doing so is in the best interests of the Company and its shareholders. The Company considers it important to retain the flexibility to design a compensation program that is in the best long-term interests of the Company and its shareholders, even if certain payments under the program are not deductible under Section 162(m).</w:t>
      </w:r>
    </w:p>
    <w:p>
      <w:pPr>
        <w:spacing w:after="0" w:line="160" w:lineRule="exact"/>
        <w:rPr>
          <w:sz w:val="20"/>
          <w:szCs w:val="20"/>
          <w:color w:val="auto"/>
        </w:rPr>
      </w:pPr>
    </w:p>
    <w:p>
      <w:pPr>
        <w:jc w:val="both"/>
        <w:ind w:left="200"/>
        <w:spacing w:after="0" w:line="254" w:lineRule="auto"/>
        <w:rPr>
          <w:sz w:val="20"/>
          <w:szCs w:val="20"/>
          <w:color w:val="auto"/>
        </w:rPr>
      </w:pPr>
      <w:r>
        <w:rPr>
          <w:rFonts w:ascii="Arial" w:cs="Arial" w:eastAsia="Arial" w:hAnsi="Arial"/>
          <w:sz w:val="16"/>
          <w:szCs w:val="16"/>
          <w:b w:val="1"/>
          <w:bCs w:val="1"/>
          <w:i w:val="1"/>
          <w:iCs w:val="1"/>
          <w:color w:val="00548B"/>
        </w:rPr>
        <w:t>Section 280G</w:t>
      </w:r>
      <w:r>
        <w:rPr>
          <w:rFonts w:ascii="Arial" w:cs="Arial" w:eastAsia="Arial" w:hAnsi="Arial"/>
          <w:sz w:val="16"/>
          <w:szCs w:val="16"/>
          <w:color w:val="000000"/>
        </w:rPr>
        <w:t>. Section 280G of the Code disallows a company’s tax deduction for certain payments in connection with a change of control defined as</w:t>
      </w:r>
      <w:r>
        <w:rPr>
          <w:rFonts w:ascii="Arial" w:cs="Arial" w:eastAsia="Arial" w:hAnsi="Arial"/>
          <w:sz w:val="16"/>
          <w:szCs w:val="16"/>
          <w:b w:val="1"/>
          <w:bCs w:val="1"/>
          <w:i w:val="1"/>
          <w:iCs w:val="1"/>
          <w:color w:val="00548B"/>
        </w:rPr>
        <w:t xml:space="preserve"> </w:t>
      </w:r>
      <w:r>
        <w:rPr>
          <w:rFonts w:ascii="Arial" w:cs="Arial" w:eastAsia="Arial" w:hAnsi="Arial"/>
          <w:sz w:val="16"/>
          <w:szCs w:val="16"/>
          <w:color w:val="000000"/>
        </w:rPr>
        <w:t>“excess parachute payments,” and Section 4999 of the Code imposes a 20% excise tax on certain persons who receive excess parachute payments. The Senior Management Agreements in effect ensure that any covered payments would be reduced to the extent necessary so that no portion of such payments is subject to the excise tax.</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C</w:t>
      </w:r>
      <w:r>
        <w:rPr>
          <w:rFonts w:ascii="Arial" w:cs="Arial" w:eastAsia="Arial" w:hAnsi="Arial"/>
          <w:sz w:val="14"/>
          <w:szCs w:val="14"/>
          <w:b w:val="1"/>
          <w:bCs w:val="1"/>
          <w:color w:val="00548B"/>
        </w:rPr>
        <w:t>OMPENSATION</w:t>
      </w:r>
      <w:r>
        <w:rPr>
          <w:rFonts w:ascii="Arial" w:cs="Arial" w:eastAsia="Arial" w:hAnsi="Arial"/>
          <w:sz w:val="18"/>
          <w:szCs w:val="18"/>
          <w:b w:val="1"/>
          <w:bCs w:val="1"/>
          <w:color w:val="00548B"/>
        </w:rPr>
        <w:t xml:space="preserve"> C</w:t>
      </w:r>
      <w:r>
        <w:rPr>
          <w:rFonts w:ascii="Arial" w:cs="Arial" w:eastAsia="Arial" w:hAnsi="Arial"/>
          <w:sz w:val="14"/>
          <w:szCs w:val="14"/>
          <w:b w:val="1"/>
          <w:bCs w:val="1"/>
          <w:color w:val="00548B"/>
        </w:rPr>
        <w:t>OMMITTEE</w:t>
      </w:r>
      <w:r>
        <w:rPr>
          <w:rFonts w:ascii="Arial" w:cs="Arial" w:eastAsia="Arial" w:hAnsi="Arial"/>
          <w:sz w:val="18"/>
          <w:szCs w:val="18"/>
          <w:b w:val="1"/>
          <w:bCs w:val="1"/>
          <w:color w:val="00548B"/>
        </w:rPr>
        <w:t xml:space="preserve"> R</w:t>
      </w:r>
      <w:r>
        <w:rPr>
          <w:rFonts w:ascii="Arial" w:cs="Arial" w:eastAsia="Arial" w:hAnsi="Arial"/>
          <w:sz w:val="14"/>
          <w:szCs w:val="14"/>
          <w:b w:val="1"/>
          <w:bCs w:val="1"/>
          <w:color w:val="00548B"/>
        </w:rPr>
        <w:t>EPORT</w:t>
      </w:r>
    </w:p>
    <w:p>
      <w:pPr>
        <w:spacing w:after="0" w:line="17" w:lineRule="exact"/>
        <w:rPr>
          <w:sz w:val="20"/>
          <w:szCs w:val="20"/>
          <w:color w:val="auto"/>
        </w:rPr>
      </w:pPr>
    </w:p>
    <w:p>
      <w:pPr>
        <w:jc w:val="both"/>
        <w:ind w:left="200"/>
        <w:spacing w:after="0" w:line="248" w:lineRule="auto"/>
        <w:rPr>
          <w:sz w:val="20"/>
          <w:szCs w:val="20"/>
          <w:color w:val="auto"/>
        </w:rPr>
      </w:pPr>
      <w:r>
        <w:rPr>
          <w:rFonts w:ascii="Arial" w:cs="Arial" w:eastAsia="Arial" w:hAnsi="Arial"/>
          <w:sz w:val="16"/>
          <w:szCs w:val="16"/>
          <w:color w:val="auto"/>
        </w:rPr>
        <w:t>The Compensation Committee has reviewed and discussed with management the information contained under the caption “Compensation Discussion and Analysis” and, based on this review and discussion, has recommended to the board of directors that it be included in this Proxy Statement and incorporated by reference into our 2021 Annual Report on Form 10-K.</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Debra Zumwalt, Chair</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H. Eugene Lockhart</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Hugh E. Sawyer</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Ekta Singh-Bushell</w:t>
      </w:r>
    </w:p>
    <w:p>
      <w:pPr>
        <w:spacing w:after="0" w:line="14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38</w:t>
      </w:r>
    </w:p>
    <w:p>
      <w:pPr>
        <w:sectPr>
          <w:pgSz w:w="11900" w:h="16838" w:orient="portrait"/>
          <w:cols w:equalWidth="0" w:num="1">
            <w:col w:w="11040"/>
          </w:cols>
          <w:pgMar w:left="320" w:top="454" w:right="5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200660</wp:posOffset>
            </wp:positionV>
            <wp:extent cx="6889750" cy="1606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89750" cy="160655"/>
                    </a:xfrm>
                    <a:prstGeom prst="rect">
                      <a:avLst/>
                    </a:prstGeom>
                    <a:noFill/>
                  </pic:spPr>
                </pic:pic>
              </a:graphicData>
            </a:graphic>
          </wp:anchor>
        </w:drawing>
      </w:r>
    </w:p>
    <w:p>
      <w:pPr>
        <w:spacing w:after="0" w:line="32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D8D8D8"/>
        </w:rPr>
        <w:t>REQUIRED COMPENSATION DISCLOSURES</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2021 S</w:t>
      </w:r>
      <w:r>
        <w:rPr>
          <w:rFonts w:ascii="Arial" w:cs="Arial" w:eastAsia="Arial" w:hAnsi="Arial"/>
          <w:sz w:val="14"/>
          <w:szCs w:val="14"/>
          <w:b w:val="1"/>
          <w:bCs w:val="1"/>
          <w:color w:val="00548B"/>
        </w:rPr>
        <w:t>UMMARY</w:t>
      </w:r>
      <w:r>
        <w:rPr>
          <w:rFonts w:ascii="Arial" w:cs="Arial" w:eastAsia="Arial" w:hAnsi="Arial"/>
          <w:sz w:val="18"/>
          <w:szCs w:val="18"/>
          <w:b w:val="1"/>
          <w:bCs w:val="1"/>
          <w:color w:val="00548B"/>
        </w:rPr>
        <w:t xml:space="preserve"> C</w:t>
      </w:r>
      <w:r>
        <w:rPr>
          <w:rFonts w:ascii="Arial" w:cs="Arial" w:eastAsia="Arial" w:hAnsi="Arial"/>
          <w:sz w:val="14"/>
          <w:szCs w:val="14"/>
          <w:b w:val="1"/>
          <w:bCs w:val="1"/>
          <w:color w:val="00548B"/>
        </w:rPr>
        <w:t>OMPENSATION</w:t>
      </w:r>
      <w:r>
        <w:rPr>
          <w:rFonts w:ascii="Arial" w:cs="Arial" w:eastAsia="Arial" w:hAnsi="Arial"/>
          <w:sz w:val="18"/>
          <w:szCs w:val="18"/>
          <w:b w:val="1"/>
          <w:bCs w:val="1"/>
          <w:color w:val="00548B"/>
        </w:rPr>
        <w:t xml:space="preserve"> T</w:t>
      </w:r>
      <w:r>
        <w:rPr>
          <w:rFonts w:ascii="Arial" w:cs="Arial" w:eastAsia="Arial" w:hAnsi="Arial"/>
          <w:sz w:val="14"/>
          <w:szCs w:val="14"/>
          <w:b w:val="1"/>
          <w:bCs w:val="1"/>
          <w:color w:val="00548B"/>
        </w:rPr>
        <w:t>ABLE</w:t>
      </w:r>
    </w:p>
    <w:p>
      <w:pPr>
        <w:spacing w:after="0" w:line="137" w:lineRule="exact"/>
        <w:rPr>
          <w:sz w:val="20"/>
          <w:szCs w:val="20"/>
          <w:color w:val="auto"/>
        </w:rPr>
      </w:pPr>
    </w:p>
    <w:tbl>
      <w:tblPr>
        <w:tblLayout w:type="fixed"/>
        <w:tblInd w:w="2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660" w:type="dxa"/>
            <w:vAlign w:val="bottom"/>
            <w:shd w:val="clear" w:color="auto" w:fill="00548B"/>
          </w:tcPr>
          <w:p>
            <w:pPr>
              <w:spacing w:after="0"/>
              <w:rPr>
                <w:sz w:val="12"/>
                <w:szCs w:val="12"/>
                <w:color w:val="auto"/>
              </w:rPr>
            </w:pPr>
          </w:p>
        </w:tc>
        <w:tc>
          <w:tcPr>
            <w:tcW w:w="1860" w:type="dxa"/>
            <w:vAlign w:val="bottom"/>
            <w:shd w:val="clear" w:color="auto" w:fill="00548B"/>
          </w:tcPr>
          <w:p>
            <w:pPr>
              <w:spacing w:after="0"/>
              <w:rPr>
                <w:sz w:val="12"/>
                <w:szCs w:val="12"/>
                <w:color w:val="auto"/>
              </w:rPr>
            </w:pPr>
          </w:p>
        </w:tc>
        <w:tc>
          <w:tcPr>
            <w:tcW w:w="680" w:type="dxa"/>
            <w:vAlign w:val="bottom"/>
            <w:shd w:val="clear" w:color="auto" w:fill="00548B"/>
          </w:tcPr>
          <w:p>
            <w:pPr>
              <w:spacing w:after="0"/>
              <w:rPr>
                <w:sz w:val="12"/>
                <w:szCs w:val="12"/>
                <w:color w:val="auto"/>
              </w:rPr>
            </w:pPr>
          </w:p>
        </w:tc>
        <w:tc>
          <w:tcPr>
            <w:tcW w:w="700" w:type="dxa"/>
            <w:vAlign w:val="bottom"/>
            <w:shd w:val="clear" w:color="auto" w:fill="00548B"/>
          </w:tcPr>
          <w:p>
            <w:pPr>
              <w:spacing w:after="0"/>
              <w:rPr>
                <w:sz w:val="12"/>
                <w:szCs w:val="12"/>
                <w:color w:val="auto"/>
              </w:rPr>
            </w:pPr>
          </w:p>
        </w:tc>
        <w:tc>
          <w:tcPr>
            <w:tcW w:w="1100" w:type="dxa"/>
            <w:vAlign w:val="bottom"/>
            <w:shd w:val="clear" w:color="auto" w:fill="00548B"/>
          </w:tcPr>
          <w:p>
            <w:pPr>
              <w:jc w:val="center"/>
              <w:spacing w:after="0"/>
              <w:rPr>
                <w:sz w:val="20"/>
                <w:szCs w:val="20"/>
                <w:color w:val="auto"/>
              </w:rPr>
            </w:pPr>
            <w:r>
              <w:rPr>
                <w:rFonts w:ascii="Arial" w:cs="Arial" w:eastAsia="Arial" w:hAnsi="Arial"/>
                <w:sz w:val="12"/>
                <w:szCs w:val="12"/>
                <w:b w:val="1"/>
                <w:bCs w:val="1"/>
                <w:color w:val="D8D8D8"/>
              </w:rPr>
              <w:t>Non Equity</w:t>
            </w:r>
          </w:p>
        </w:tc>
        <w:tc>
          <w:tcPr>
            <w:tcW w:w="800" w:type="dxa"/>
            <w:vAlign w:val="bottom"/>
            <w:shd w:val="clear" w:color="auto" w:fill="00548B"/>
          </w:tcPr>
          <w:p>
            <w:pPr>
              <w:spacing w:after="0"/>
              <w:rPr>
                <w:sz w:val="12"/>
                <w:szCs w:val="12"/>
                <w:color w:val="auto"/>
              </w:rPr>
            </w:pPr>
          </w:p>
        </w:tc>
        <w:tc>
          <w:tcPr>
            <w:tcW w:w="1060" w:type="dxa"/>
            <w:vAlign w:val="bottom"/>
            <w:shd w:val="clear" w:color="auto" w:fill="00548B"/>
          </w:tcPr>
          <w:p>
            <w:pPr>
              <w:spacing w:after="0"/>
              <w:rPr>
                <w:sz w:val="12"/>
                <w:szCs w:val="12"/>
                <w:color w:val="auto"/>
              </w:rPr>
            </w:pPr>
          </w:p>
        </w:tc>
        <w:tc>
          <w:tcPr>
            <w:tcW w:w="980" w:type="dxa"/>
            <w:vAlign w:val="bottom"/>
            <w:shd w:val="clear" w:color="auto" w:fill="00548B"/>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660" w:type="dxa"/>
            <w:vAlign w:val="bottom"/>
            <w:shd w:val="clear" w:color="auto" w:fill="00548B"/>
          </w:tcPr>
          <w:p>
            <w:pPr>
              <w:spacing w:after="0"/>
              <w:rPr>
                <w:sz w:val="11"/>
                <w:szCs w:val="11"/>
                <w:color w:val="auto"/>
              </w:rPr>
            </w:pPr>
          </w:p>
        </w:tc>
        <w:tc>
          <w:tcPr>
            <w:tcW w:w="1860" w:type="dxa"/>
            <w:vAlign w:val="bottom"/>
            <w:shd w:val="clear" w:color="auto" w:fill="00548B"/>
          </w:tcPr>
          <w:p>
            <w:pPr>
              <w:spacing w:after="0"/>
              <w:rPr>
                <w:sz w:val="11"/>
                <w:szCs w:val="11"/>
                <w:color w:val="auto"/>
              </w:rPr>
            </w:pPr>
          </w:p>
        </w:tc>
        <w:tc>
          <w:tcPr>
            <w:tcW w:w="680" w:type="dxa"/>
            <w:vAlign w:val="bottom"/>
            <w:shd w:val="clear" w:color="auto" w:fill="00548B"/>
          </w:tcPr>
          <w:p>
            <w:pPr>
              <w:spacing w:after="0"/>
              <w:rPr>
                <w:sz w:val="11"/>
                <w:szCs w:val="11"/>
                <w:color w:val="auto"/>
              </w:rPr>
            </w:pPr>
          </w:p>
        </w:tc>
        <w:tc>
          <w:tcPr>
            <w:tcW w:w="700" w:type="dxa"/>
            <w:vAlign w:val="bottom"/>
            <w:shd w:val="clear" w:color="auto" w:fill="00548B"/>
          </w:tcPr>
          <w:p>
            <w:pPr>
              <w:spacing w:after="0"/>
              <w:rPr>
                <w:sz w:val="11"/>
                <w:szCs w:val="11"/>
                <w:color w:val="auto"/>
              </w:rPr>
            </w:pPr>
          </w:p>
        </w:tc>
        <w:tc>
          <w:tcPr>
            <w:tcW w:w="1100" w:type="dxa"/>
            <w:vAlign w:val="bottom"/>
            <w:shd w:val="clear" w:color="auto" w:fill="00548B"/>
          </w:tcPr>
          <w:p>
            <w:pPr>
              <w:jc w:val="center"/>
              <w:spacing w:after="0" w:line="133" w:lineRule="exact"/>
              <w:rPr>
                <w:sz w:val="20"/>
                <w:szCs w:val="20"/>
                <w:color w:val="auto"/>
              </w:rPr>
            </w:pPr>
            <w:r>
              <w:rPr>
                <w:rFonts w:ascii="Arial" w:cs="Arial" w:eastAsia="Arial" w:hAnsi="Arial"/>
                <w:sz w:val="12"/>
                <w:szCs w:val="12"/>
                <w:b w:val="1"/>
                <w:bCs w:val="1"/>
                <w:color w:val="D8D8D8"/>
              </w:rPr>
              <w:t>Incentive Plan</w:t>
            </w:r>
          </w:p>
        </w:tc>
        <w:tc>
          <w:tcPr>
            <w:tcW w:w="800" w:type="dxa"/>
            <w:vAlign w:val="bottom"/>
            <w:shd w:val="clear" w:color="auto" w:fill="00548B"/>
          </w:tcPr>
          <w:p>
            <w:pPr>
              <w:jc w:val="right"/>
              <w:ind w:right="178"/>
              <w:spacing w:after="0" w:line="133" w:lineRule="exact"/>
              <w:rPr>
                <w:sz w:val="20"/>
                <w:szCs w:val="20"/>
                <w:color w:val="auto"/>
              </w:rPr>
            </w:pPr>
            <w:r>
              <w:rPr>
                <w:rFonts w:ascii="Arial" w:cs="Arial" w:eastAsia="Arial" w:hAnsi="Arial"/>
                <w:sz w:val="12"/>
                <w:szCs w:val="12"/>
                <w:b w:val="1"/>
                <w:bCs w:val="1"/>
                <w:color w:val="D8D8D8"/>
              </w:rPr>
              <w:t>Stock</w:t>
            </w:r>
          </w:p>
        </w:tc>
        <w:tc>
          <w:tcPr>
            <w:tcW w:w="1060" w:type="dxa"/>
            <w:vAlign w:val="bottom"/>
            <w:shd w:val="clear" w:color="auto" w:fill="00548B"/>
          </w:tcPr>
          <w:p>
            <w:pPr>
              <w:jc w:val="center"/>
              <w:spacing w:after="0" w:line="133" w:lineRule="exact"/>
              <w:rPr>
                <w:sz w:val="20"/>
                <w:szCs w:val="20"/>
                <w:color w:val="auto"/>
              </w:rPr>
            </w:pPr>
            <w:r>
              <w:rPr>
                <w:rFonts w:ascii="Arial" w:cs="Arial" w:eastAsia="Arial" w:hAnsi="Arial"/>
                <w:sz w:val="12"/>
                <w:szCs w:val="12"/>
                <w:b w:val="1"/>
                <w:bCs w:val="1"/>
                <w:color w:val="D8D8D8"/>
              </w:rPr>
              <w:t>All Other</w:t>
            </w:r>
          </w:p>
        </w:tc>
        <w:tc>
          <w:tcPr>
            <w:tcW w:w="980" w:type="dxa"/>
            <w:vAlign w:val="bottom"/>
            <w:shd w:val="clear" w:color="auto" w:fill="00548B"/>
          </w:tcPr>
          <w:p>
            <w:pPr>
              <w:jc w:val="center"/>
              <w:ind w:left="38"/>
              <w:spacing w:after="0" w:line="133" w:lineRule="exact"/>
              <w:rPr>
                <w:sz w:val="20"/>
                <w:szCs w:val="20"/>
                <w:color w:val="auto"/>
              </w:rPr>
            </w:pPr>
            <w:r>
              <w:rPr>
                <w:rFonts w:ascii="Arial" w:cs="Arial" w:eastAsia="Arial" w:hAnsi="Arial"/>
                <w:sz w:val="12"/>
                <w:szCs w:val="12"/>
                <w:b w:val="1"/>
                <w:bCs w:val="1"/>
                <w:color w:val="D8D8D8"/>
                <w:w w:val="97"/>
              </w:rPr>
              <w:t>Total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660" w:type="dxa"/>
            <w:vAlign w:val="bottom"/>
            <w:shd w:val="clear" w:color="auto" w:fill="00548B"/>
          </w:tcPr>
          <w:p>
            <w:pPr>
              <w:spacing w:after="0"/>
              <w:rPr>
                <w:sz w:val="11"/>
                <w:szCs w:val="11"/>
                <w:color w:val="auto"/>
              </w:rPr>
            </w:pPr>
          </w:p>
        </w:tc>
        <w:tc>
          <w:tcPr>
            <w:tcW w:w="1860" w:type="dxa"/>
            <w:vAlign w:val="bottom"/>
            <w:shd w:val="clear" w:color="auto" w:fill="00548B"/>
          </w:tcPr>
          <w:p>
            <w:pPr>
              <w:spacing w:after="0"/>
              <w:rPr>
                <w:sz w:val="11"/>
                <w:szCs w:val="11"/>
                <w:color w:val="auto"/>
              </w:rPr>
            </w:pPr>
          </w:p>
        </w:tc>
        <w:tc>
          <w:tcPr>
            <w:tcW w:w="680" w:type="dxa"/>
            <w:vAlign w:val="bottom"/>
            <w:shd w:val="clear" w:color="auto" w:fill="00548B"/>
          </w:tcPr>
          <w:p>
            <w:pPr>
              <w:ind w:left="140"/>
              <w:spacing w:after="0" w:line="133" w:lineRule="exact"/>
              <w:rPr>
                <w:sz w:val="20"/>
                <w:szCs w:val="20"/>
                <w:color w:val="auto"/>
              </w:rPr>
            </w:pPr>
            <w:r>
              <w:rPr>
                <w:rFonts w:ascii="Arial" w:cs="Arial" w:eastAsia="Arial" w:hAnsi="Arial"/>
                <w:sz w:val="12"/>
                <w:szCs w:val="12"/>
                <w:b w:val="1"/>
                <w:bCs w:val="1"/>
                <w:color w:val="D8D8D8"/>
              </w:rPr>
              <w:t>Salary</w:t>
            </w:r>
          </w:p>
        </w:tc>
        <w:tc>
          <w:tcPr>
            <w:tcW w:w="700" w:type="dxa"/>
            <w:vAlign w:val="bottom"/>
            <w:shd w:val="clear" w:color="auto" w:fill="00548B"/>
          </w:tcPr>
          <w:p>
            <w:pPr>
              <w:jc w:val="right"/>
              <w:ind w:right="118"/>
              <w:spacing w:after="0" w:line="133" w:lineRule="exact"/>
              <w:rPr>
                <w:sz w:val="20"/>
                <w:szCs w:val="20"/>
                <w:color w:val="auto"/>
              </w:rPr>
            </w:pPr>
            <w:r>
              <w:rPr>
                <w:rFonts w:ascii="Arial" w:cs="Arial" w:eastAsia="Arial" w:hAnsi="Arial"/>
                <w:sz w:val="12"/>
                <w:szCs w:val="12"/>
                <w:b w:val="1"/>
                <w:bCs w:val="1"/>
                <w:color w:val="D8D8D8"/>
              </w:rPr>
              <w:t>Bonus</w:t>
            </w:r>
          </w:p>
        </w:tc>
        <w:tc>
          <w:tcPr>
            <w:tcW w:w="1100" w:type="dxa"/>
            <w:vAlign w:val="bottom"/>
            <w:shd w:val="clear" w:color="auto" w:fill="00548B"/>
          </w:tcPr>
          <w:p>
            <w:pPr>
              <w:jc w:val="center"/>
              <w:spacing w:after="0" w:line="133" w:lineRule="exact"/>
              <w:rPr>
                <w:sz w:val="20"/>
                <w:szCs w:val="20"/>
                <w:color w:val="auto"/>
              </w:rPr>
            </w:pPr>
            <w:r>
              <w:rPr>
                <w:rFonts w:ascii="Arial" w:cs="Arial" w:eastAsia="Arial" w:hAnsi="Arial"/>
                <w:sz w:val="12"/>
                <w:szCs w:val="12"/>
                <w:b w:val="1"/>
                <w:bCs w:val="1"/>
                <w:color w:val="D8D8D8"/>
              </w:rPr>
              <w:t>Compensation</w:t>
            </w:r>
          </w:p>
        </w:tc>
        <w:tc>
          <w:tcPr>
            <w:tcW w:w="800" w:type="dxa"/>
            <w:vAlign w:val="bottom"/>
            <w:shd w:val="clear" w:color="auto" w:fill="00548B"/>
          </w:tcPr>
          <w:p>
            <w:pPr>
              <w:jc w:val="right"/>
              <w:ind w:right="138"/>
              <w:spacing w:after="0" w:line="133" w:lineRule="exact"/>
              <w:rPr>
                <w:sz w:val="20"/>
                <w:szCs w:val="20"/>
                <w:color w:val="auto"/>
              </w:rPr>
            </w:pPr>
            <w:r>
              <w:rPr>
                <w:rFonts w:ascii="Arial" w:cs="Arial" w:eastAsia="Arial" w:hAnsi="Arial"/>
                <w:sz w:val="12"/>
                <w:szCs w:val="12"/>
                <w:b w:val="1"/>
                <w:bCs w:val="1"/>
                <w:color w:val="D8D8D8"/>
              </w:rPr>
              <w:t>Awards</w:t>
            </w:r>
          </w:p>
        </w:tc>
        <w:tc>
          <w:tcPr>
            <w:tcW w:w="1060" w:type="dxa"/>
            <w:vAlign w:val="bottom"/>
            <w:shd w:val="clear" w:color="auto" w:fill="00548B"/>
          </w:tcPr>
          <w:p>
            <w:pPr>
              <w:jc w:val="center"/>
              <w:spacing w:after="0" w:line="133" w:lineRule="exact"/>
              <w:rPr>
                <w:sz w:val="20"/>
                <w:szCs w:val="20"/>
                <w:color w:val="auto"/>
              </w:rPr>
            </w:pPr>
            <w:r>
              <w:rPr>
                <w:rFonts w:ascii="Arial" w:cs="Arial" w:eastAsia="Arial" w:hAnsi="Arial"/>
                <w:sz w:val="12"/>
                <w:szCs w:val="12"/>
                <w:b w:val="1"/>
                <w:bCs w:val="1"/>
                <w:color w:val="D8D8D8"/>
              </w:rPr>
              <w:t>Compensation</w:t>
            </w:r>
          </w:p>
        </w:tc>
        <w:tc>
          <w:tcPr>
            <w:tcW w:w="980" w:type="dxa"/>
            <w:vAlign w:val="bottom"/>
            <w:shd w:val="clear" w:color="auto" w:fill="00548B"/>
          </w:tcPr>
          <w:p>
            <w:pPr>
              <w:jc w:val="center"/>
              <w:ind w:left="18"/>
              <w:spacing w:after="0" w:line="133" w:lineRule="exact"/>
              <w:rPr>
                <w:sz w:val="20"/>
                <w:szCs w:val="20"/>
                <w:color w:val="auto"/>
              </w:rPr>
            </w:pPr>
            <w:r>
              <w:rPr>
                <w:rFonts w:ascii="Arial" w:cs="Arial" w:eastAsia="Arial" w:hAnsi="Arial"/>
                <w:sz w:val="12"/>
                <w:szCs w:val="12"/>
                <w:b w:val="1"/>
                <w:bCs w:val="1"/>
                <w:color w:val="D8D8D8"/>
              </w:rPr>
              <w:t>Compensation</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660" w:type="dxa"/>
            <w:vAlign w:val="bottom"/>
            <w:shd w:val="clear" w:color="auto" w:fill="00548B"/>
          </w:tcPr>
          <w:p>
            <w:pPr>
              <w:spacing w:after="0"/>
              <w:rPr>
                <w:sz w:val="20"/>
                <w:szCs w:val="20"/>
                <w:color w:val="auto"/>
              </w:rPr>
            </w:pPr>
            <w:r>
              <w:rPr>
                <w:rFonts w:ascii="Arial" w:cs="Arial" w:eastAsia="Arial" w:hAnsi="Arial"/>
                <w:sz w:val="12"/>
                <w:szCs w:val="12"/>
                <w:b w:val="1"/>
                <w:bCs w:val="1"/>
                <w:color w:val="D8D8D8"/>
              </w:rPr>
              <w:t>Name and Principal Position</w:t>
            </w:r>
          </w:p>
        </w:tc>
        <w:tc>
          <w:tcPr>
            <w:tcW w:w="1860" w:type="dxa"/>
            <w:vAlign w:val="bottom"/>
            <w:shd w:val="clear" w:color="auto" w:fill="00548B"/>
          </w:tcPr>
          <w:p>
            <w:pPr>
              <w:ind w:left="1480"/>
              <w:spacing w:after="0"/>
              <w:rPr>
                <w:sz w:val="20"/>
                <w:szCs w:val="20"/>
                <w:color w:val="auto"/>
              </w:rPr>
            </w:pPr>
            <w:r>
              <w:rPr>
                <w:rFonts w:ascii="Arial" w:cs="Arial" w:eastAsia="Arial" w:hAnsi="Arial"/>
                <w:sz w:val="12"/>
                <w:szCs w:val="12"/>
                <w:b w:val="1"/>
                <w:bCs w:val="1"/>
                <w:color w:val="D8D8D8"/>
              </w:rPr>
              <w:t>Year</w:t>
            </w:r>
          </w:p>
        </w:tc>
        <w:tc>
          <w:tcPr>
            <w:tcW w:w="680" w:type="dxa"/>
            <w:vAlign w:val="bottom"/>
            <w:shd w:val="clear" w:color="auto" w:fill="00548B"/>
          </w:tcPr>
          <w:p>
            <w:pPr>
              <w:jc w:val="center"/>
              <w:spacing w:after="0"/>
              <w:rPr>
                <w:sz w:val="20"/>
                <w:szCs w:val="20"/>
                <w:color w:val="auto"/>
              </w:rPr>
            </w:pPr>
            <w:r>
              <w:rPr>
                <w:rFonts w:ascii="Arial" w:cs="Arial" w:eastAsia="Arial" w:hAnsi="Arial"/>
                <w:sz w:val="12"/>
                <w:szCs w:val="12"/>
                <w:b w:val="1"/>
                <w:bCs w:val="1"/>
                <w:color w:val="D8D8D8"/>
              </w:rPr>
              <w:t>($)</w:t>
            </w:r>
          </w:p>
        </w:tc>
        <w:tc>
          <w:tcPr>
            <w:tcW w:w="700" w:type="dxa"/>
            <w:vAlign w:val="bottom"/>
            <w:shd w:val="clear" w:color="auto" w:fill="00548B"/>
          </w:tcPr>
          <w:p>
            <w:pPr>
              <w:jc w:val="right"/>
              <w:ind w:right="158"/>
              <w:spacing w:after="0"/>
              <w:rPr>
                <w:sz w:val="20"/>
                <w:szCs w:val="20"/>
                <w:color w:val="auto"/>
              </w:rPr>
            </w:pPr>
            <w:r>
              <w:rPr>
                <w:rFonts w:ascii="Arial" w:cs="Arial" w:eastAsia="Arial" w:hAnsi="Arial"/>
                <w:sz w:val="12"/>
                <w:szCs w:val="12"/>
                <w:b w:val="1"/>
                <w:bCs w:val="1"/>
                <w:color w:val="D8D8D8"/>
              </w:rPr>
              <w:t>($)(1)</w:t>
            </w:r>
          </w:p>
        </w:tc>
        <w:tc>
          <w:tcPr>
            <w:tcW w:w="1100" w:type="dxa"/>
            <w:vAlign w:val="bottom"/>
            <w:shd w:val="clear" w:color="auto" w:fill="00548B"/>
          </w:tcPr>
          <w:p>
            <w:pPr>
              <w:jc w:val="center"/>
              <w:spacing w:after="0"/>
              <w:rPr>
                <w:sz w:val="20"/>
                <w:szCs w:val="20"/>
                <w:color w:val="auto"/>
              </w:rPr>
            </w:pPr>
            <w:r>
              <w:rPr>
                <w:rFonts w:ascii="Arial" w:cs="Arial" w:eastAsia="Arial" w:hAnsi="Arial"/>
                <w:sz w:val="12"/>
                <w:szCs w:val="12"/>
                <w:b w:val="1"/>
                <w:bCs w:val="1"/>
                <w:color w:val="D8D8D8"/>
                <w:w w:val="95"/>
              </w:rPr>
              <w:t>($)</w:t>
            </w:r>
          </w:p>
        </w:tc>
        <w:tc>
          <w:tcPr>
            <w:tcW w:w="800" w:type="dxa"/>
            <w:vAlign w:val="bottom"/>
            <w:shd w:val="clear" w:color="auto" w:fill="00548B"/>
          </w:tcPr>
          <w:p>
            <w:pPr>
              <w:jc w:val="right"/>
              <w:ind w:right="138"/>
              <w:spacing w:after="0"/>
              <w:rPr>
                <w:sz w:val="20"/>
                <w:szCs w:val="20"/>
                <w:color w:val="auto"/>
              </w:rPr>
            </w:pPr>
            <w:r>
              <w:rPr>
                <w:rFonts w:ascii="Arial" w:cs="Arial" w:eastAsia="Arial" w:hAnsi="Arial"/>
                <w:sz w:val="12"/>
                <w:szCs w:val="12"/>
                <w:b w:val="1"/>
                <w:bCs w:val="1"/>
                <w:color w:val="D8D8D8"/>
              </w:rPr>
              <w:t>($)(2)(3)</w:t>
            </w:r>
          </w:p>
        </w:tc>
        <w:tc>
          <w:tcPr>
            <w:tcW w:w="1060" w:type="dxa"/>
            <w:vAlign w:val="bottom"/>
            <w:shd w:val="clear" w:color="auto" w:fill="00548B"/>
          </w:tcPr>
          <w:p>
            <w:pPr>
              <w:jc w:val="center"/>
              <w:spacing w:after="0"/>
              <w:rPr>
                <w:sz w:val="20"/>
                <w:szCs w:val="20"/>
                <w:color w:val="auto"/>
              </w:rPr>
            </w:pPr>
            <w:r>
              <w:rPr>
                <w:rFonts w:ascii="Arial" w:cs="Arial" w:eastAsia="Arial" w:hAnsi="Arial"/>
                <w:sz w:val="12"/>
                <w:szCs w:val="12"/>
                <w:b w:val="1"/>
                <w:bCs w:val="1"/>
                <w:color w:val="D8D8D8"/>
                <w:w w:val="91"/>
              </w:rPr>
              <w:t>($ )(4)</w:t>
            </w:r>
          </w:p>
        </w:tc>
        <w:tc>
          <w:tcPr>
            <w:tcW w:w="980" w:type="dxa"/>
            <w:vAlign w:val="bottom"/>
            <w:shd w:val="clear" w:color="auto" w:fill="00548B"/>
          </w:tcPr>
          <w:p>
            <w:pPr>
              <w:jc w:val="center"/>
              <w:ind w:left="38"/>
              <w:spacing w:after="0"/>
              <w:rPr>
                <w:sz w:val="20"/>
                <w:szCs w:val="20"/>
                <w:color w:val="auto"/>
              </w:rPr>
            </w:pPr>
            <w:r>
              <w:rPr>
                <w:rFonts w:ascii="Arial" w:cs="Arial" w:eastAsia="Arial" w:hAnsi="Arial"/>
                <w:sz w:val="12"/>
                <w:szCs w:val="12"/>
                <w:b w:val="1"/>
                <w:bCs w:val="1"/>
                <w:color w:val="D8D8D8"/>
              </w:rPr>
              <w: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660" w:type="dxa"/>
            <w:vAlign w:val="bottom"/>
          </w:tcPr>
          <w:p>
            <w:pPr>
              <w:spacing w:after="0" w:line="127" w:lineRule="exact"/>
              <w:rPr>
                <w:sz w:val="20"/>
                <w:szCs w:val="20"/>
                <w:color w:val="auto"/>
              </w:rPr>
            </w:pPr>
            <w:r>
              <w:rPr>
                <w:rFonts w:ascii="Arial" w:cs="Arial" w:eastAsia="Arial" w:hAnsi="Arial"/>
                <w:sz w:val="12"/>
                <w:szCs w:val="12"/>
                <w:b w:val="1"/>
                <w:bCs w:val="1"/>
                <w:color w:val="00548B"/>
              </w:rPr>
              <w:t>James H. Roth</w:t>
            </w:r>
          </w:p>
        </w:tc>
        <w:tc>
          <w:tcPr>
            <w:tcW w:w="1860" w:type="dxa"/>
            <w:vAlign w:val="bottom"/>
          </w:tcPr>
          <w:p>
            <w:pPr>
              <w:ind w:left="1480"/>
              <w:spacing w:after="0" w:line="127" w:lineRule="exact"/>
              <w:rPr>
                <w:sz w:val="20"/>
                <w:szCs w:val="20"/>
                <w:color w:val="auto"/>
              </w:rPr>
            </w:pPr>
            <w:r>
              <w:rPr>
                <w:rFonts w:ascii="Arial" w:cs="Arial" w:eastAsia="Arial" w:hAnsi="Arial"/>
                <w:sz w:val="12"/>
                <w:szCs w:val="12"/>
                <w:color w:val="auto"/>
              </w:rPr>
              <w:t>2021</w:t>
            </w:r>
          </w:p>
        </w:tc>
        <w:tc>
          <w:tcPr>
            <w:tcW w:w="680" w:type="dxa"/>
            <w:vAlign w:val="bottom"/>
          </w:tcPr>
          <w:p>
            <w:pPr>
              <w:jc w:val="center"/>
              <w:spacing w:after="0" w:line="127" w:lineRule="exact"/>
              <w:rPr>
                <w:sz w:val="20"/>
                <w:szCs w:val="20"/>
                <w:color w:val="auto"/>
              </w:rPr>
            </w:pPr>
            <w:r>
              <w:rPr>
                <w:rFonts w:ascii="Arial" w:cs="Arial" w:eastAsia="Arial" w:hAnsi="Arial"/>
                <w:sz w:val="12"/>
                <w:szCs w:val="12"/>
                <w:color w:val="auto"/>
              </w:rPr>
              <w:t>950,000</w:t>
            </w:r>
          </w:p>
        </w:tc>
        <w:tc>
          <w:tcPr>
            <w:tcW w:w="700" w:type="dxa"/>
            <w:vAlign w:val="bottom"/>
          </w:tcPr>
          <w:p>
            <w:pPr>
              <w:jc w:val="right"/>
              <w:ind w:right="38"/>
              <w:spacing w:after="0" w:line="127" w:lineRule="exact"/>
              <w:rPr>
                <w:sz w:val="20"/>
                <w:szCs w:val="20"/>
                <w:color w:val="auto"/>
              </w:rPr>
            </w:pPr>
            <w:r>
              <w:rPr>
                <w:rFonts w:ascii="Arial" w:cs="Arial" w:eastAsia="Arial" w:hAnsi="Arial"/>
                <w:sz w:val="12"/>
                <w:szCs w:val="12"/>
                <w:color w:val="auto"/>
              </w:rPr>
              <w:t>—</w:t>
            </w:r>
          </w:p>
        </w:tc>
        <w:tc>
          <w:tcPr>
            <w:tcW w:w="1100" w:type="dxa"/>
            <w:vAlign w:val="bottom"/>
          </w:tcPr>
          <w:p>
            <w:pPr>
              <w:jc w:val="right"/>
              <w:ind w:right="78"/>
              <w:spacing w:after="0" w:line="127" w:lineRule="exact"/>
              <w:rPr>
                <w:sz w:val="20"/>
                <w:szCs w:val="20"/>
                <w:color w:val="auto"/>
              </w:rPr>
            </w:pPr>
            <w:r>
              <w:rPr>
                <w:rFonts w:ascii="Arial" w:cs="Arial" w:eastAsia="Arial" w:hAnsi="Arial"/>
                <w:sz w:val="12"/>
                <w:szCs w:val="12"/>
                <w:color w:val="auto"/>
              </w:rPr>
              <w:t>1,330,000</w:t>
            </w:r>
          </w:p>
        </w:tc>
        <w:tc>
          <w:tcPr>
            <w:tcW w:w="800" w:type="dxa"/>
            <w:vAlign w:val="bottom"/>
          </w:tcPr>
          <w:p>
            <w:pPr>
              <w:jc w:val="right"/>
              <w:ind w:right="38"/>
              <w:spacing w:after="0" w:line="127" w:lineRule="exact"/>
              <w:rPr>
                <w:sz w:val="20"/>
                <w:szCs w:val="20"/>
                <w:color w:val="auto"/>
              </w:rPr>
            </w:pPr>
            <w:r>
              <w:rPr>
                <w:rFonts w:ascii="Arial" w:cs="Arial" w:eastAsia="Arial" w:hAnsi="Arial"/>
                <w:sz w:val="12"/>
                <w:szCs w:val="12"/>
                <w:color w:val="auto"/>
              </w:rPr>
              <w:t>1,282,475</w:t>
            </w:r>
          </w:p>
        </w:tc>
        <w:tc>
          <w:tcPr>
            <w:tcW w:w="1060" w:type="dxa"/>
            <w:vAlign w:val="bottom"/>
          </w:tcPr>
          <w:p>
            <w:pPr>
              <w:jc w:val="right"/>
              <w:ind w:right="118"/>
              <w:spacing w:after="0" w:line="127" w:lineRule="exact"/>
              <w:rPr>
                <w:sz w:val="20"/>
                <w:szCs w:val="20"/>
                <w:color w:val="auto"/>
              </w:rPr>
            </w:pPr>
            <w:r>
              <w:rPr>
                <w:rFonts w:ascii="Arial" w:cs="Arial" w:eastAsia="Arial" w:hAnsi="Arial"/>
                <w:sz w:val="12"/>
                <w:szCs w:val="12"/>
                <w:color w:val="auto"/>
              </w:rPr>
              <w:t>33,380</w:t>
            </w:r>
          </w:p>
        </w:tc>
        <w:tc>
          <w:tcPr>
            <w:tcW w:w="980" w:type="dxa"/>
            <w:vAlign w:val="bottom"/>
          </w:tcPr>
          <w:p>
            <w:pPr>
              <w:jc w:val="right"/>
              <w:spacing w:after="0" w:line="127" w:lineRule="exact"/>
              <w:rPr>
                <w:sz w:val="20"/>
                <w:szCs w:val="20"/>
                <w:color w:val="auto"/>
              </w:rPr>
            </w:pPr>
            <w:r>
              <w:rPr>
                <w:rFonts w:ascii="Arial" w:cs="Arial" w:eastAsia="Arial" w:hAnsi="Arial"/>
                <w:sz w:val="12"/>
                <w:szCs w:val="12"/>
                <w:color w:val="auto"/>
              </w:rPr>
              <w:t>3,595,855</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660" w:type="dxa"/>
            <w:vAlign w:val="bottom"/>
          </w:tcPr>
          <w:p>
            <w:pPr>
              <w:ind w:left="160"/>
              <w:spacing w:after="0" w:line="133" w:lineRule="exact"/>
              <w:rPr>
                <w:sz w:val="20"/>
                <w:szCs w:val="20"/>
                <w:color w:val="auto"/>
              </w:rPr>
            </w:pPr>
            <w:r>
              <w:rPr>
                <w:rFonts w:ascii="Arial" w:cs="Arial" w:eastAsia="Arial" w:hAnsi="Arial"/>
                <w:sz w:val="12"/>
                <w:szCs w:val="12"/>
                <w:color w:val="auto"/>
              </w:rPr>
              <w:t>Chief Executive Officer</w:t>
            </w:r>
          </w:p>
        </w:tc>
        <w:tc>
          <w:tcPr>
            <w:tcW w:w="1860" w:type="dxa"/>
            <w:vAlign w:val="bottom"/>
          </w:tcPr>
          <w:p>
            <w:pPr>
              <w:ind w:left="1480"/>
              <w:spacing w:after="0" w:line="133" w:lineRule="exact"/>
              <w:rPr>
                <w:sz w:val="20"/>
                <w:szCs w:val="20"/>
                <w:color w:val="auto"/>
              </w:rPr>
            </w:pPr>
            <w:r>
              <w:rPr>
                <w:rFonts w:ascii="Arial" w:cs="Arial" w:eastAsia="Arial" w:hAnsi="Arial"/>
                <w:sz w:val="12"/>
                <w:szCs w:val="12"/>
                <w:color w:val="auto"/>
              </w:rPr>
              <w:t>2020</w:t>
            </w:r>
          </w:p>
        </w:tc>
        <w:tc>
          <w:tcPr>
            <w:tcW w:w="680" w:type="dxa"/>
            <w:vAlign w:val="bottom"/>
          </w:tcPr>
          <w:p>
            <w:pPr>
              <w:jc w:val="center"/>
              <w:spacing w:after="0" w:line="133" w:lineRule="exact"/>
              <w:rPr>
                <w:sz w:val="20"/>
                <w:szCs w:val="20"/>
                <w:color w:val="auto"/>
              </w:rPr>
            </w:pPr>
            <w:r>
              <w:rPr>
                <w:rFonts w:ascii="Arial" w:cs="Arial" w:eastAsia="Arial" w:hAnsi="Arial"/>
                <w:sz w:val="12"/>
                <w:szCs w:val="12"/>
                <w:color w:val="auto"/>
              </w:rPr>
              <w:t>947,917</w:t>
            </w:r>
          </w:p>
        </w:tc>
        <w:tc>
          <w:tcPr>
            <w:tcW w:w="7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394,478</w:t>
            </w:r>
          </w:p>
        </w:tc>
        <w:tc>
          <w:tcPr>
            <w:tcW w:w="1100" w:type="dxa"/>
            <w:vAlign w:val="bottom"/>
          </w:tcPr>
          <w:p>
            <w:pPr>
              <w:jc w:val="right"/>
              <w:ind w:right="78"/>
              <w:spacing w:after="0" w:line="133" w:lineRule="exact"/>
              <w:rPr>
                <w:sz w:val="20"/>
                <w:szCs w:val="20"/>
                <w:color w:val="auto"/>
              </w:rPr>
            </w:pPr>
            <w:r>
              <w:rPr>
                <w:rFonts w:ascii="Arial" w:cs="Arial" w:eastAsia="Arial" w:hAnsi="Arial"/>
                <w:sz w:val="12"/>
                <w:szCs w:val="12"/>
                <w:color w:val="auto"/>
              </w:rPr>
              <w:t>470,022</w:t>
            </w:r>
          </w:p>
        </w:tc>
        <w:tc>
          <w:tcPr>
            <w:tcW w:w="8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2,137,486</w:t>
            </w:r>
          </w:p>
        </w:tc>
        <w:tc>
          <w:tcPr>
            <w:tcW w:w="106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41,543</w:t>
            </w:r>
          </w:p>
        </w:tc>
        <w:tc>
          <w:tcPr>
            <w:tcW w:w="980" w:type="dxa"/>
            <w:vAlign w:val="bottom"/>
          </w:tcPr>
          <w:p>
            <w:pPr>
              <w:jc w:val="right"/>
              <w:spacing w:after="0" w:line="133" w:lineRule="exact"/>
              <w:rPr>
                <w:sz w:val="20"/>
                <w:szCs w:val="20"/>
                <w:color w:val="auto"/>
              </w:rPr>
            </w:pPr>
            <w:r>
              <w:rPr>
                <w:rFonts w:ascii="Arial" w:cs="Arial" w:eastAsia="Arial" w:hAnsi="Arial"/>
                <w:sz w:val="12"/>
                <w:szCs w:val="12"/>
                <w:color w:val="auto"/>
              </w:rPr>
              <w:t>3,991,446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860" w:type="dxa"/>
            <w:vAlign w:val="bottom"/>
          </w:tcPr>
          <w:p>
            <w:pPr>
              <w:ind w:left="1480"/>
              <w:spacing w:after="0"/>
              <w:rPr>
                <w:sz w:val="20"/>
                <w:szCs w:val="20"/>
                <w:color w:val="auto"/>
              </w:rPr>
            </w:pPr>
            <w:r>
              <w:rPr>
                <w:rFonts w:ascii="Arial" w:cs="Arial" w:eastAsia="Arial" w:hAnsi="Arial"/>
                <w:sz w:val="12"/>
                <w:szCs w:val="12"/>
                <w:color w:val="auto"/>
              </w:rPr>
              <w:t>2019</w:t>
            </w:r>
          </w:p>
        </w:tc>
        <w:tc>
          <w:tcPr>
            <w:tcW w:w="680" w:type="dxa"/>
            <w:vAlign w:val="bottom"/>
          </w:tcPr>
          <w:p>
            <w:pPr>
              <w:jc w:val="center"/>
              <w:spacing w:after="0"/>
              <w:rPr>
                <w:sz w:val="20"/>
                <w:szCs w:val="20"/>
                <w:color w:val="auto"/>
              </w:rPr>
            </w:pPr>
            <w:r>
              <w:rPr>
                <w:rFonts w:ascii="Arial" w:cs="Arial" w:eastAsia="Arial" w:hAnsi="Arial"/>
                <w:sz w:val="12"/>
                <w:szCs w:val="12"/>
                <w:color w:val="auto"/>
              </w:rPr>
              <w:t>900,000</w:t>
            </w:r>
          </w:p>
        </w:tc>
        <w:tc>
          <w:tcPr>
            <w:tcW w:w="70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1100" w:type="dxa"/>
            <w:vAlign w:val="bottom"/>
          </w:tcPr>
          <w:p>
            <w:pPr>
              <w:jc w:val="right"/>
              <w:ind w:right="78"/>
              <w:spacing w:after="0"/>
              <w:rPr>
                <w:sz w:val="20"/>
                <w:szCs w:val="20"/>
                <w:color w:val="auto"/>
              </w:rPr>
            </w:pPr>
            <w:r>
              <w:rPr>
                <w:rFonts w:ascii="Arial" w:cs="Arial" w:eastAsia="Arial" w:hAnsi="Arial"/>
                <w:sz w:val="12"/>
                <w:szCs w:val="12"/>
                <w:color w:val="auto"/>
              </w:rPr>
              <w:t>1,285,614</w:t>
            </w:r>
          </w:p>
        </w:tc>
        <w:tc>
          <w:tcPr>
            <w:tcW w:w="800" w:type="dxa"/>
            <w:vAlign w:val="bottom"/>
          </w:tcPr>
          <w:p>
            <w:pPr>
              <w:jc w:val="right"/>
              <w:ind w:right="38"/>
              <w:spacing w:after="0"/>
              <w:rPr>
                <w:sz w:val="20"/>
                <w:szCs w:val="20"/>
                <w:color w:val="auto"/>
              </w:rPr>
            </w:pPr>
            <w:r>
              <w:rPr>
                <w:rFonts w:ascii="Arial" w:cs="Arial" w:eastAsia="Arial" w:hAnsi="Arial"/>
                <w:sz w:val="12"/>
                <w:szCs w:val="12"/>
                <w:color w:val="auto"/>
              </w:rPr>
              <w:t>2,024,994</w:t>
            </w:r>
          </w:p>
        </w:tc>
        <w:tc>
          <w:tcPr>
            <w:tcW w:w="1060" w:type="dxa"/>
            <w:vAlign w:val="bottom"/>
          </w:tcPr>
          <w:p>
            <w:pPr>
              <w:jc w:val="right"/>
              <w:ind w:right="118"/>
              <w:spacing w:after="0"/>
              <w:rPr>
                <w:sz w:val="20"/>
                <w:szCs w:val="20"/>
                <w:color w:val="auto"/>
              </w:rPr>
            </w:pPr>
            <w:r>
              <w:rPr>
                <w:rFonts w:ascii="Arial" w:cs="Arial" w:eastAsia="Arial" w:hAnsi="Arial"/>
                <w:sz w:val="12"/>
                <w:szCs w:val="12"/>
                <w:color w:val="auto"/>
              </w:rPr>
              <w:t>32,954</w:t>
            </w:r>
          </w:p>
        </w:tc>
        <w:tc>
          <w:tcPr>
            <w:tcW w:w="980" w:type="dxa"/>
            <w:vAlign w:val="bottom"/>
          </w:tcPr>
          <w:p>
            <w:pPr>
              <w:jc w:val="right"/>
              <w:spacing w:after="0"/>
              <w:rPr>
                <w:sz w:val="20"/>
                <w:szCs w:val="20"/>
                <w:color w:val="auto"/>
              </w:rPr>
            </w:pPr>
            <w:r>
              <w:rPr>
                <w:rFonts w:ascii="Arial" w:cs="Arial" w:eastAsia="Arial" w:hAnsi="Arial"/>
                <w:sz w:val="12"/>
                <w:szCs w:val="12"/>
                <w:color w:val="auto"/>
              </w:rPr>
              <w:t>4,243,562</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3660" w:type="dxa"/>
            <w:vAlign w:val="bottom"/>
            <w:tcBorders>
              <w:bottom w:val="single" w:sz="8" w:color="999999"/>
            </w:tcBorders>
          </w:tcPr>
          <w:p>
            <w:pPr>
              <w:spacing w:after="0"/>
              <w:rPr>
                <w:sz w:val="3"/>
                <w:szCs w:val="3"/>
                <w:color w:val="auto"/>
              </w:rPr>
            </w:pPr>
          </w:p>
        </w:tc>
        <w:tc>
          <w:tcPr>
            <w:tcW w:w="1860" w:type="dxa"/>
            <w:vAlign w:val="bottom"/>
            <w:tcBorders>
              <w:bottom w:val="single" w:sz="8" w:color="999999"/>
            </w:tcBorders>
          </w:tcPr>
          <w:p>
            <w:pPr>
              <w:spacing w:after="0"/>
              <w:rPr>
                <w:sz w:val="3"/>
                <w:szCs w:val="3"/>
                <w:color w:val="auto"/>
              </w:rPr>
            </w:pPr>
          </w:p>
        </w:tc>
        <w:tc>
          <w:tcPr>
            <w:tcW w:w="680" w:type="dxa"/>
            <w:vAlign w:val="bottom"/>
            <w:tcBorders>
              <w:bottom w:val="single" w:sz="8" w:color="999999"/>
            </w:tcBorders>
          </w:tcPr>
          <w:p>
            <w:pPr>
              <w:spacing w:after="0"/>
              <w:rPr>
                <w:sz w:val="3"/>
                <w:szCs w:val="3"/>
                <w:color w:val="auto"/>
              </w:rPr>
            </w:pPr>
          </w:p>
        </w:tc>
        <w:tc>
          <w:tcPr>
            <w:tcW w:w="700" w:type="dxa"/>
            <w:vAlign w:val="bottom"/>
            <w:tcBorders>
              <w:bottom w:val="single" w:sz="8" w:color="999999"/>
            </w:tcBorders>
          </w:tcPr>
          <w:p>
            <w:pPr>
              <w:spacing w:after="0"/>
              <w:rPr>
                <w:sz w:val="3"/>
                <w:szCs w:val="3"/>
                <w:color w:val="auto"/>
              </w:rPr>
            </w:pPr>
          </w:p>
        </w:tc>
        <w:tc>
          <w:tcPr>
            <w:tcW w:w="1100" w:type="dxa"/>
            <w:vAlign w:val="bottom"/>
            <w:tcBorders>
              <w:bottom w:val="single" w:sz="8" w:color="999999"/>
            </w:tcBorders>
          </w:tcPr>
          <w:p>
            <w:pPr>
              <w:spacing w:after="0"/>
              <w:rPr>
                <w:sz w:val="3"/>
                <w:szCs w:val="3"/>
                <w:color w:val="auto"/>
              </w:rPr>
            </w:pPr>
          </w:p>
        </w:tc>
        <w:tc>
          <w:tcPr>
            <w:tcW w:w="800" w:type="dxa"/>
            <w:vAlign w:val="bottom"/>
            <w:tcBorders>
              <w:bottom w:val="single" w:sz="8" w:color="999999"/>
            </w:tcBorders>
          </w:tcPr>
          <w:p>
            <w:pPr>
              <w:spacing w:after="0"/>
              <w:rPr>
                <w:sz w:val="3"/>
                <w:szCs w:val="3"/>
                <w:color w:val="auto"/>
              </w:rPr>
            </w:pPr>
          </w:p>
        </w:tc>
        <w:tc>
          <w:tcPr>
            <w:tcW w:w="1060" w:type="dxa"/>
            <w:vAlign w:val="bottom"/>
            <w:tcBorders>
              <w:bottom w:val="single" w:sz="8" w:color="999999"/>
            </w:tcBorders>
          </w:tcPr>
          <w:p>
            <w:pPr>
              <w:spacing w:after="0"/>
              <w:rPr>
                <w:sz w:val="3"/>
                <w:szCs w:val="3"/>
                <w:color w:val="auto"/>
              </w:rPr>
            </w:pPr>
          </w:p>
        </w:tc>
        <w:tc>
          <w:tcPr>
            <w:tcW w:w="980" w:type="dxa"/>
            <w:vAlign w:val="bottom"/>
            <w:tcBorders>
              <w:bottom w:val="single" w:sz="8" w:color="999999"/>
            </w:tcBorders>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20" w:type="dxa"/>
            <w:vAlign w:val="bottom"/>
            <w:vMerge w:val="continue"/>
          </w:tcPr>
          <w:p>
            <w:pPr>
              <w:spacing w:after="0"/>
              <w:rPr>
                <w:sz w:val="10"/>
                <w:szCs w:val="10"/>
                <w:color w:val="auto"/>
              </w:rPr>
            </w:pPr>
          </w:p>
        </w:tc>
        <w:tc>
          <w:tcPr>
            <w:tcW w:w="3660" w:type="dxa"/>
            <w:vAlign w:val="bottom"/>
          </w:tcPr>
          <w:p>
            <w:pPr>
              <w:spacing w:after="0" w:line="121" w:lineRule="exact"/>
              <w:rPr>
                <w:sz w:val="20"/>
                <w:szCs w:val="20"/>
                <w:color w:val="auto"/>
              </w:rPr>
            </w:pPr>
            <w:r>
              <w:rPr>
                <w:rFonts w:ascii="Arial" w:cs="Arial" w:eastAsia="Arial" w:hAnsi="Arial"/>
                <w:sz w:val="12"/>
                <w:szCs w:val="12"/>
                <w:b w:val="1"/>
                <w:bCs w:val="1"/>
                <w:color w:val="00548B"/>
              </w:rPr>
              <w:t>C. Mark Hussey</w:t>
            </w:r>
          </w:p>
        </w:tc>
        <w:tc>
          <w:tcPr>
            <w:tcW w:w="1860" w:type="dxa"/>
            <w:vAlign w:val="bottom"/>
          </w:tcPr>
          <w:p>
            <w:pPr>
              <w:ind w:left="1480"/>
              <w:spacing w:after="0" w:line="121" w:lineRule="exact"/>
              <w:rPr>
                <w:sz w:val="20"/>
                <w:szCs w:val="20"/>
                <w:color w:val="auto"/>
              </w:rPr>
            </w:pPr>
            <w:r>
              <w:rPr>
                <w:rFonts w:ascii="Arial" w:cs="Arial" w:eastAsia="Arial" w:hAnsi="Arial"/>
                <w:sz w:val="12"/>
                <w:szCs w:val="12"/>
                <w:color w:val="auto"/>
              </w:rPr>
              <w:t>2021</w:t>
            </w:r>
          </w:p>
        </w:tc>
        <w:tc>
          <w:tcPr>
            <w:tcW w:w="680" w:type="dxa"/>
            <w:vAlign w:val="bottom"/>
          </w:tcPr>
          <w:p>
            <w:pPr>
              <w:jc w:val="center"/>
              <w:spacing w:after="0" w:line="121" w:lineRule="exact"/>
              <w:rPr>
                <w:sz w:val="20"/>
                <w:szCs w:val="20"/>
                <w:color w:val="auto"/>
              </w:rPr>
            </w:pPr>
            <w:r>
              <w:rPr>
                <w:rFonts w:ascii="Arial" w:cs="Arial" w:eastAsia="Arial" w:hAnsi="Arial"/>
                <w:sz w:val="12"/>
                <w:szCs w:val="12"/>
                <w:color w:val="auto"/>
              </w:rPr>
              <w:t>800,000</w:t>
            </w:r>
          </w:p>
        </w:tc>
        <w:tc>
          <w:tcPr>
            <w:tcW w:w="700" w:type="dxa"/>
            <w:vAlign w:val="bottom"/>
          </w:tcPr>
          <w:p>
            <w:pPr>
              <w:jc w:val="right"/>
              <w:ind w:right="38"/>
              <w:spacing w:after="0" w:line="121" w:lineRule="exact"/>
              <w:rPr>
                <w:sz w:val="20"/>
                <w:szCs w:val="20"/>
                <w:color w:val="auto"/>
              </w:rPr>
            </w:pPr>
            <w:r>
              <w:rPr>
                <w:rFonts w:ascii="Arial" w:cs="Arial" w:eastAsia="Arial" w:hAnsi="Arial"/>
                <w:sz w:val="12"/>
                <w:szCs w:val="12"/>
                <w:color w:val="auto"/>
              </w:rPr>
              <w:t>—</w:t>
            </w:r>
          </w:p>
        </w:tc>
        <w:tc>
          <w:tcPr>
            <w:tcW w:w="1100" w:type="dxa"/>
            <w:vAlign w:val="bottom"/>
          </w:tcPr>
          <w:p>
            <w:pPr>
              <w:jc w:val="right"/>
              <w:ind w:right="78"/>
              <w:spacing w:after="0" w:line="121" w:lineRule="exact"/>
              <w:rPr>
                <w:sz w:val="20"/>
                <w:szCs w:val="20"/>
                <w:color w:val="auto"/>
              </w:rPr>
            </w:pPr>
            <w:r>
              <w:rPr>
                <w:rFonts w:ascii="Arial" w:cs="Arial" w:eastAsia="Arial" w:hAnsi="Arial"/>
                <w:sz w:val="12"/>
                <w:szCs w:val="12"/>
                <w:color w:val="auto"/>
              </w:rPr>
              <w:t>800,000</w:t>
            </w:r>
          </w:p>
        </w:tc>
        <w:tc>
          <w:tcPr>
            <w:tcW w:w="800" w:type="dxa"/>
            <w:vAlign w:val="bottom"/>
          </w:tcPr>
          <w:p>
            <w:pPr>
              <w:jc w:val="right"/>
              <w:ind w:right="38"/>
              <w:spacing w:after="0" w:line="121" w:lineRule="exact"/>
              <w:rPr>
                <w:sz w:val="20"/>
                <w:szCs w:val="20"/>
                <w:color w:val="auto"/>
              </w:rPr>
            </w:pPr>
            <w:r>
              <w:rPr>
                <w:rFonts w:ascii="Arial" w:cs="Arial" w:eastAsia="Arial" w:hAnsi="Arial"/>
                <w:sz w:val="12"/>
                <w:szCs w:val="12"/>
                <w:color w:val="auto"/>
              </w:rPr>
              <w:t>840,005</w:t>
            </w:r>
          </w:p>
        </w:tc>
        <w:tc>
          <w:tcPr>
            <w:tcW w:w="1060" w:type="dxa"/>
            <w:vAlign w:val="bottom"/>
          </w:tcPr>
          <w:p>
            <w:pPr>
              <w:jc w:val="right"/>
              <w:ind w:right="118"/>
              <w:spacing w:after="0" w:line="121" w:lineRule="exact"/>
              <w:rPr>
                <w:sz w:val="20"/>
                <w:szCs w:val="20"/>
                <w:color w:val="auto"/>
              </w:rPr>
            </w:pPr>
            <w:r>
              <w:rPr>
                <w:rFonts w:ascii="Arial" w:cs="Arial" w:eastAsia="Arial" w:hAnsi="Arial"/>
                <w:sz w:val="12"/>
                <w:szCs w:val="12"/>
                <w:color w:val="auto"/>
              </w:rPr>
              <w:t>35,394</w:t>
            </w:r>
          </w:p>
        </w:tc>
        <w:tc>
          <w:tcPr>
            <w:tcW w:w="980" w:type="dxa"/>
            <w:vAlign w:val="bottom"/>
          </w:tcPr>
          <w:p>
            <w:pPr>
              <w:jc w:val="right"/>
              <w:spacing w:after="0" w:line="121" w:lineRule="exact"/>
              <w:rPr>
                <w:sz w:val="20"/>
                <w:szCs w:val="20"/>
                <w:color w:val="auto"/>
              </w:rPr>
            </w:pPr>
            <w:r>
              <w:rPr>
                <w:rFonts w:ascii="Arial" w:cs="Arial" w:eastAsia="Arial" w:hAnsi="Arial"/>
                <w:sz w:val="12"/>
                <w:szCs w:val="12"/>
                <w:color w:val="auto"/>
              </w:rPr>
              <w:t>2,475,399</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660" w:type="dxa"/>
            <w:vAlign w:val="bottom"/>
          </w:tcPr>
          <w:p>
            <w:pPr>
              <w:ind w:left="160"/>
              <w:spacing w:after="0" w:line="133" w:lineRule="exact"/>
              <w:rPr>
                <w:sz w:val="20"/>
                <w:szCs w:val="20"/>
                <w:color w:val="auto"/>
              </w:rPr>
            </w:pPr>
            <w:r>
              <w:rPr>
                <w:rFonts w:ascii="Arial" w:cs="Arial" w:eastAsia="Arial" w:hAnsi="Arial"/>
                <w:sz w:val="12"/>
                <w:szCs w:val="12"/>
                <w:color w:val="auto"/>
              </w:rPr>
              <w:t>President and</w:t>
            </w:r>
          </w:p>
        </w:tc>
        <w:tc>
          <w:tcPr>
            <w:tcW w:w="1860" w:type="dxa"/>
            <w:vAlign w:val="bottom"/>
          </w:tcPr>
          <w:p>
            <w:pPr>
              <w:ind w:left="1480"/>
              <w:spacing w:after="0" w:line="133" w:lineRule="exact"/>
              <w:rPr>
                <w:sz w:val="20"/>
                <w:szCs w:val="20"/>
                <w:color w:val="auto"/>
              </w:rPr>
            </w:pPr>
            <w:r>
              <w:rPr>
                <w:rFonts w:ascii="Arial" w:cs="Arial" w:eastAsia="Arial" w:hAnsi="Arial"/>
                <w:sz w:val="12"/>
                <w:szCs w:val="12"/>
                <w:color w:val="auto"/>
              </w:rPr>
              <w:t>2020</w:t>
            </w:r>
          </w:p>
        </w:tc>
        <w:tc>
          <w:tcPr>
            <w:tcW w:w="680" w:type="dxa"/>
            <w:vAlign w:val="bottom"/>
          </w:tcPr>
          <w:p>
            <w:pPr>
              <w:jc w:val="center"/>
              <w:spacing w:after="0" w:line="133" w:lineRule="exact"/>
              <w:rPr>
                <w:sz w:val="20"/>
                <w:szCs w:val="20"/>
                <w:color w:val="auto"/>
              </w:rPr>
            </w:pPr>
            <w:r>
              <w:rPr>
                <w:rFonts w:ascii="Arial" w:cs="Arial" w:eastAsia="Arial" w:hAnsi="Arial"/>
                <w:sz w:val="12"/>
                <w:szCs w:val="12"/>
                <w:color w:val="auto"/>
              </w:rPr>
              <w:t>797,917</w:t>
            </w:r>
          </w:p>
        </w:tc>
        <w:tc>
          <w:tcPr>
            <w:tcW w:w="7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237,280</w:t>
            </w:r>
          </w:p>
        </w:tc>
        <w:tc>
          <w:tcPr>
            <w:tcW w:w="1100" w:type="dxa"/>
            <w:vAlign w:val="bottom"/>
          </w:tcPr>
          <w:p>
            <w:pPr>
              <w:jc w:val="right"/>
              <w:ind w:right="78"/>
              <w:spacing w:after="0" w:line="133" w:lineRule="exact"/>
              <w:rPr>
                <w:sz w:val="20"/>
                <w:szCs w:val="20"/>
                <w:color w:val="auto"/>
              </w:rPr>
            </w:pPr>
            <w:r>
              <w:rPr>
                <w:rFonts w:ascii="Arial" w:cs="Arial" w:eastAsia="Arial" w:hAnsi="Arial"/>
                <w:sz w:val="12"/>
                <w:szCs w:val="12"/>
                <w:color w:val="auto"/>
              </w:rPr>
              <w:t>282,720</w:t>
            </w:r>
          </w:p>
        </w:tc>
        <w:tc>
          <w:tcPr>
            <w:tcW w:w="8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1,400,009</w:t>
            </w:r>
          </w:p>
        </w:tc>
        <w:tc>
          <w:tcPr>
            <w:tcW w:w="106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32,650</w:t>
            </w:r>
          </w:p>
        </w:tc>
        <w:tc>
          <w:tcPr>
            <w:tcW w:w="980" w:type="dxa"/>
            <w:vAlign w:val="bottom"/>
          </w:tcPr>
          <w:p>
            <w:pPr>
              <w:jc w:val="right"/>
              <w:spacing w:after="0" w:line="133" w:lineRule="exact"/>
              <w:rPr>
                <w:sz w:val="20"/>
                <w:szCs w:val="20"/>
                <w:color w:val="auto"/>
              </w:rPr>
            </w:pPr>
            <w:r>
              <w:rPr>
                <w:rFonts w:ascii="Arial" w:cs="Arial" w:eastAsia="Arial" w:hAnsi="Arial"/>
                <w:sz w:val="12"/>
                <w:szCs w:val="12"/>
                <w:color w:val="auto"/>
              </w:rPr>
              <w:t>2,750,576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60" w:type="dxa"/>
            <w:vAlign w:val="bottom"/>
          </w:tcPr>
          <w:p>
            <w:pPr>
              <w:ind w:left="160"/>
              <w:spacing w:after="0"/>
              <w:rPr>
                <w:sz w:val="20"/>
                <w:szCs w:val="20"/>
                <w:color w:val="auto"/>
              </w:rPr>
            </w:pPr>
            <w:r>
              <w:rPr>
                <w:rFonts w:ascii="Arial" w:cs="Arial" w:eastAsia="Arial" w:hAnsi="Arial"/>
                <w:sz w:val="12"/>
                <w:szCs w:val="12"/>
                <w:color w:val="auto"/>
              </w:rPr>
              <w:t>Chief Operating Officer</w:t>
            </w:r>
          </w:p>
        </w:tc>
        <w:tc>
          <w:tcPr>
            <w:tcW w:w="1860" w:type="dxa"/>
            <w:vAlign w:val="bottom"/>
          </w:tcPr>
          <w:p>
            <w:pPr>
              <w:ind w:left="1480"/>
              <w:spacing w:after="0"/>
              <w:rPr>
                <w:sz w:val="20"/>
                <w:szCs w:val="20"/>
                <w:color w:val="auto"/>
              </w:rPr>
            </w:pPr>
            <w:r>
              <w:rPr>
                <w:rFonts w:ascii="Arial" w:cs="Arial" w:eastAsia="Arial" w:hAnsi="Arial"/>
                <w:sz w:val="12"/>
                <w:szCs w:val="12"/>
                <w:color w:val="auto"/>
              </w:rPr>
              <w:t>2019</w:t>
            </w:r>
          </w:p>
        </w:tc>
        <w:tc>
          <w:tcPr>
            <w:tcW w:w="680" w:type="dxa"/>
            <w:vAlign w:val="bottom"/>
          </w:tcPr>
          <w:p>
            <w:pPr>
              <w:jc w:val="center"/>
              <w:spacing w:after="0"/>
              <w:rPr>
                <w:sz w:val="20"/>
                <w:szCs w:val="20"/>
                <w:color w:val="auto"/>
              </w:rPr>
            </w:pPr>
            <w:r>
              <w:rPr>
                <w:rFonts w:ascii="Arial" w:cs="Arial" w:eastAsia="Arial" w:hAnsi="Arial"/>
                <w:sz w:val="12"/>
                <w:szCs w:val="12"/>
                <w:color w:val="auto"/>
              </w:rPr>
              <w:t>750,000</w:t>
            </w:r>
          </w:p>
        </w:tc>
        <w:tc>
          <w:tcPr>
            <w:tcW w:w="70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1100" w:type="dxa"/>
            <w:vAlign w:val="bottom"/>
          </w:tcPr>
          <w:p>
            <w:pPr>
              <w:jc w:val="right"/>
              <w:ind w:right="78"/>
              <w:spacing w:after="0"/>
              <w:rPr>
                <w:sz w:val="20"/>
                <w:szCs w:val="20"/>
                <w:color w:val="auto"/>
              </w:rPr>
            </w:pPr>
            <w:r>
              <w:rPr>
                <w:rFonts w:ascii="Arial" w:cs="Arial" w:eastAsia="Arial" w:hAnsi="Arial"/>
                <w:sz w:val="12"/>
                <w:szCs w:val="12"/>
                <w:color w:val="auto"/>
              </w:rPr>
              <w:t>973,950</w:t>
            </w:r>
          </w:p>
        </w:tc>
        <w:tc>
          <w:tcPr>
            <w:tcW w:w="800" w:type="dxa"/>
            <w:vAlign w:val="bottom"/>
          </w:tcPr>
          <w:p>
            <w:pPr>
              <w:jc w:val="right"/>
              <w:ind w:right="38"/>
              <w:spacing w:after="0"/>
              <w:rPr>
                <w:sz w:val="20"/>
                <w:szCs w:val="20"/>
                <w:color w:val="auto"/>
              </w:rPr>
            </w:pPr>
            <w:r>
              <w:rPr>
                <w:rFonts w:ascii="Arial" w:cs="Arial" w:eastAsia="Arial" w:hAnsi="Arial"/>
                <w:sz w:val="12"/>
                <w:szCs w:val="12"/>
                <w:color w:val="auto"/>
              </w:rPr>
              <w:t>1,312,515</w:t>
            </w:r>
          </w:p>
        </w:tc>
        <w:tc>
          <w:tcPr>
            <w:tcW w:w="1060" w:type="dxa"/>
            <w:vAlign w:val="bottom"/>
          </w:tcPr>
          <w:p>
            <w:pPr>
              <w:jc w:val="right"/>
              <w:ind w:right="118"/>
              <w:spacing w:after="0"/>
              <w:rPr>
                <w:sz w:val="20"/>
                <w:szCs w:val="20"/>
                <w:color w:val="auto"/>
              </w:rPr>
            </w:pPr>
            <w:r>
              <w:rPr>
                <w:rFonts w:ascii="Arial" w:cs="Arial" w:eastAsia="Arial" w:hAnsi="Arial"/>
                <w:sz w:val="12"/>
                <w:szCs w:val="12"/>
                <w:color w:val="auto"/>
              </w:rPr>
              <w:t>31,575</w:t>
            </w:r>
          </w:p>
        </w:tc>
        <w:tc>
          <w:tcPr>
            <w:tcW w:w="980" w:type="dxa"/>
            <w:vAlign w:val="bottom"/>
          </w:tcPr>
          <w:p>
            <w:pPr>
              <w:jc w:val="right"/>
              <w:spacing w:after="0"/>
              <w:rPr>
                <w:sz w:val="20"/>
                <w:szCs w:val="20"/>
                <w:color w:val="auto"/>
              </w:rPr>
            </w:pPr>
            <w:r>
              <w:rPr>
                <w:rFonts w:ascii="Arial" w:cs="Arial" w:eastAsia="Arial" w:hAnsi="Arial"/>
                <w:sz w:val="12"/>
                <w:szCs w:val="12"/>
                <w:color w:val="auto"/>
              </w:rPr>
              <w:t>3,068,040</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3660" w:type="dxa"/>
            <w:vAlign w:val="bottom"/>
            <w:tcBorders>
              <w:bottom w:val="single" w:sz="8" w:color="999999"/>
            </w:tcBorders>
          </w:tcPr>
          <w:p>
            <w:pPr>
              <w:spacing w:after="0"/>
              <w:rPr>
                <w:sz w:val="3"/>
                <w:szCs w:val="3"/>
                <w:color w:val="auto"/>
              </w:rPr>
            </w:pPr>
          </w:p>
        </w:tc>
        <w:tc>
          <w:tcPr>
            <w:tcW w:w="1860" w:type="dxa"/>
            <w:vAlign w:val="bottom"/>
            <w:tcBorders>
              <w:bottom w:val="single" w:sz="8" w:color="999999"/>
            </w:tcBorders>
          </w:tcPr>
          <w:p>
            <w:pPr>
              <w:spacing w:after="0"/>
              <w:rPr>
                <w:sz w:val="3"/>
                <w:szCs w:val="3"/>
                <w:color w:val="auto"/>
              </w:rPr>
            </w:pPr>
          </w:p>
        </w:tc>
        <w:tc>
          <w:tcPr>
            <w:tcW w:w="680" w:type="dxa"/>
            <w:vAlign w:val="bottom"/>
            <w:tcBorders>
              <w:bottom w:val="single" w:sz="8" w:color="999999"/>
            </w:tcBorders>
          </w:tcPr>
          <w:p>
            <w:pPr>
              <w:spacing w:after="0"/>
              <w:rPr>
                <w:sz w:val="3"/>
                <w:szCs w:val="3"/>
                <w:color w:val="auto"/>
              </w:rPr>
            </w:pPr>
          </w:p>
        </w:tc>
        <w:tc>
          <w:tcPr>
            <w:tcW w:w="700" w:type="dxa"/>
            <w:vAlign w:val="bottom"/>
            <w:tcBorders>
              <w:bottom w:val="single" w:sz="8" w:color="999999"/>
            </w:tcBorders>
          </w:tcPr>
          <w:p>
            <w:pPr>
              <w:spacing w:after="0"/>
              <w:rPr>
                <w:sz w:val="3"/>
                <w:szCs w:val="3"/>
                <w:color w:val="auto"/>
              </w:rPr>
            </w:pPr>
          </w:p>
        </w:tc>
        <w:tc>
          <w:tcPr>
            <w:tcW w:w="1100" w:type="dxa"/>
            <w:vAlign w:val="bottom"/>
            <w:tcBorders>
              <w:bottom w:val="single" w:sz="8" w:color="999999"/>
            </w:tcBorders>
          </w:tcPr>
          <w:p>
            <w:pPr>
              <w:spacing w:after="0"/>
              <w:rPr>
                <w:sz w:val="3"/>
                <w:szCs w:val="3"/>
                <w:color w:val="auto"/>
              </w:rPr>
            </w:pPr>
          </w:p>
        </w:tc>
        <w:tc>
          <w:tcPr>
            <w:tcW w:w="800" w:type="dxa"/>
            <w:vAlign w:val="bottom"/>
            <w:tcBorders>
              <w:bottom w:val="single" w:sz="8" w:color="999999"/>
            </w:tcBorders>
          </w:tcPr>
          <w:p>
            <w:pPr>
              <w:spacing w:after="0"/>
              <w:rPr>
                <w:sz w:val="3"/>
                <w:szCs w:val="3"/>
                <w:color w:val="auto"/>
              </w:rPr>
            </w:pPr>
          </w:p>
        </w:tc>
        <w:tc>
          <w:tcPr>
            <w:tcW w:w="1060" w:type="dxa"/>
            <w:vAlign w:val="bottom"/>
            <w:tcBorders>
              <w:bottom w:val="single" w:sz="8" w:color="999999"/>
            </w:tcBorders>
          </w:tcPr>
          <w:p>
            <w:pPr>
              <w:spacing w:after="0"/>
              <w:rPr>
                <w:sz w:val="3"/>
                <w:szCs w:val="3"/>
                <w:color w:val="auto"/>
              </w:rPr>
            </w:pPr>
          </w:p>
        </w:tc>
        <w:tc>
          <w:tcPr>
            <w:tcW w:w="980" w:type="dxa"/>
            <w:vAlign w:val="bottom"/>
            <w:tcBorders>
              <w:bottom w:val="single" w:sz="8" w:color="999999"/>
            </w:tcBorders>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20" w:type="dxa"/>
            <w:vAlign w:val="bottom"/>
            <w:vMerge w:val="continue"/>
          </w:tcPr>
          <w:p>
            <w:pPr>
              <w:spacing w:after="0"/>
              <w:rPr>
                <w:sz w:val="10"/>
                <w:szCs w:val="10"/>
                <w:color w:val="auto"/>
              </w:rPr>
            </w:pPr>
          </w:p>
        </w:tc>
        <w:tc>
          <w:tcPr>
            <w:tcW w:w="3660" w:type="dxa"/>
            <w:vAlign w:val="bottom"/>
          </w:tcPr>
          <w:p>
            <w:pPr>
              <w:spacing w:after="0" w:line="121" w:lineRule="exact"/>
              <w:rPr>
                <w:sz w:val="20"/>
                <w:szCs w:val="20"/>
                <w:color w:val="auto"/>
              </w:rPr>
            </w:pPr>
            <w:r>
              <w:rPr>
                <w:rFonts w:ascii="Arial" w:cs="Arial" w:eastAsia="Arial" w:hAnsi="Arial"/>
                <w:sz w:val="12"/>
                <w:szCs w:val="12"/>
                <w:b w:val="1"/>
                <w:bCs w:val="1"/>
                <w:color w:val="00548B"/>
              </w:rPr>
              <w:t>John D. Kelly</w:t>
            </w:r>
          </w:p>
        </w:tc>
        <w:tc>
          <w:tcPr>
            <w:tcW w:w="1860" w:type="dxa"/>
            <w:vAlign w:val="bottom"/>
          </w:tcPr>
          <w:p>
            <w:pPr>
              <w:ind w:left="1480"/>
              <w:spacing w:after="0" w:line="121" w:lineRule="exact"/>
              <w:rPr>
                <w:sz w:val="20"/>
                <w:szCs w:val="20"/>
                <w:color w:val="auto"/>
              </w:rPr>
            </w:pPr>
            <w:r>
              <w:rPr>
                <w:rFonts w:ascii="Arial" w:cs="Arial" w:eastAsia="Arial" w:hAnsi="Arial"/>
                <w:sz w:val="12"/>
                <w:szCs w:val="12"/>
                <w:color w:val="auto"/>
              </w:rPr>
              <w:t>2021</w:t>
            </w:r>
          </w:p>
        </w:tc>
        <w:tc>
          <w:tcPr>
            <w:tcW w:w="680" w:type="dxa"/>
            <w:vAlign w:val="bottom"/>
          </w:tcPr>
          <w:p>
            <w:pPr>
              <w:jc w:val="center"/>
              <w:spacing w:after="0" w:line="121" w:lineRule="exact"/>
              <w:rPr>
                <w:sz w:val="20"/>
                <w:szCs w:val="20"/>
                <w:color w:val="auto"/>
              </w:rPr>
            </w:pPr>
            <w:r>
              <w:rPr>
                <w:rFonts w:ascii="Arial" w:cs="Arial" w:eastAsia="Arial" w:hAnsi="Arial"/>
                <w:sz w:val="12"/>
                <w:szCs w:val="12"/>
                <w:color w:val="auto"/>
              </w:rPr>
              <w:t>525,000</w:t>
            </w:r>
          </w:p>
        </w:tc>
        <w:tc>
          <w:tcPr>
            <w:tcW w:w="700" w:type="dxa"/>
            <w:vAlign w:val="bottom"/>
          </w:tcPr>
          <w:p>
            <w:pPr>
              <w:jc w:val="right"/>
              <w:ind w:right="38"/>
              <w:spacing w:after="0" w:line="121" w:lineRule="exact"/>
              <w:rPr>
                <w:sz w:val="20"/>
                <w:szCs w:val="20"/>
                <w:color w:val="auto"/>
              </w:rPr>
            </w:pPr>
            <w:r>
              <w:rPr>
                <w:rFonts w:ascii="Arial" w:cs="Arial" w:eastAsia="Arial" w:hAnsi="Arial"/>
                <w:sz w:val="12"/>
                <w:szCs w:val="12"/>
                <w:color w:val="auto"/>
              </w:rPr>
              <w:t>—</w:t>
            </w:r>
          </w:p>
        </w:tc>
        <w:tc>
          <w:tcPr>
            <w:tcW w:w="1100" w:type="dxa"/>
            <w:vAlign w:val="bottom"/>
          </w:tcPr>
          <w:p>
            <w:pPr>
              <w:jc w:val="right"/>
              <w:ind w:right="78"/>
              <w:spacing w:after="0" w:line="121" w:lineRule="exact"/>
              <w:rPr>
                <w:sz w:val="20"/>
                <w:szCs w:val="20"/>
                <w:color w:val="auto"/>
              </w:rPr>
            </w:pPr>
            <w:r>
              <w:rPr>
                <w:rFonts w:ascii="Arial" w:cs="Arial" w:eastAsia="Arial" w:hAnsi="Arial"/>
                <w:sz w:val="12"/>
                <w:szCs w:val="12"/>
                <w:color w:val="auto"/>
              </w:rPr>
              <w:t>472,500</w:t>
            </w:r>
          </w:p>
        </w:tc>
        <w:tc>
          <w:tcPr>
            <w:tcW w:w="800" w:type="dxa"/>
            <w:vAlign w:val="bottom"/>
          </w:tcPr>
          <w:p>
            <w:pPr>
              <w:jc w:val="right"/>
              <w:ind w:right="38"/>
              <w:spacing w:after="0" w:line="121" w:lineRule="exact"/>
              <w:rPr>
                <w:sz w:val="20"/>
                <w:szCs w:val="20"/>
                <w:color w:val="auto"/>
              </w:rPr>
            </w:pPr>
            <w:r>
              <w:rPr>
                <w:rFonts w:ascii="Arial" w:cs="Arial" w:eastAsia="Arial" w:hAnsi="Arial"/>
                <w:sz w:val="12"/>
                <w:szCs w:val="12"/>
                <w:color w:val="auto"/>
              </w:rPr>
              <w:t>472,463</w:t>
            </w:r>
          </w:p>
        </w:tc>
        <w:tc>
          <w:tcPr>
            <w:tcW w:w="1060" w:type="dxa"/>
            <w:vAlign w:val="bottom"/>
          </w:tcPr>
          <w:p>
            <w:pPr>
              <w:jc w:val="right"/>
              <w:ind w:right="118"/>
              <w:spacing w:after="0" w:line="121" w:lineRule="exact"/>
              <w:rPr>
                <w:sz w:val="20"/>
                <w:szCs w:val="20"/>
                <w:color w:val="auto"/>
              </w:rPr>
            </w:pPr>
            <w:r>
              <w:rPr>
                <w:rFonts w:ascii="Arial" w:cs="Arial" w:eastAsia="Arial" w:hAnsi="Arial"/>
                <w:sz w:val="12"/>
                <w:szCs w:val="12"/>
                <w:color w:val="auto"/>
              </w:rPr>
              <w:t>26,977</w:t>
            </w:r>
          </w:p>
        </w:tc>
        <w:tc>
          <w:tcPr>
            <w:tcW w:w="980" w:type="dxa"/>
            <w:vAlign w:val="bottom"/>
          </w:tcPr>
          <w:p>
            <w:pPr>
              <w:jc w:val="right"/>
              <w:spacing w:after="0" w:line="121" w:lineRule="exact"/>
              <w:rPr>
                <w:sz w:val="20"/>
                <w:szCs w:val="20"/>
                <w:color w:val="auto"/>
              </w:rPr>
            </w:pPr>
            <w:r>
              <w:rPr>
                <w:rFonts w:ascii="Arial" w:cs="Arial" w:eastAsia="Arial" w:hAnsi="Arial"/>
                <w:sz w:val="12"/>
                <w:szCs w:val="12"/>
                <w:color w:val="auto"/>
              </w:rPr>
              <w:t>1,496,940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660" w:type="dxa"/>
            <w:vAlign w:val="bottom"/>
          </w:tcPr>
          <w:p>
            <w:pPr>
              <w:ind w:left="160"/>
              <w:spacing w:after="0" w:line="133" w:lineRule="exact"/>
              <w:rPr>
                <w:sz w:val="20"/>
                <w:szCs w:val="20"/>
                <w:color w:val="auto"/>
              </w:rPr>
            </w:pPr>
            <w:r>
              <w:rPr>
                <w:rFonts w:ascii="Arial" w:cs="Arial" w:eastAsia="Arial" w:hAnsi="Arial"/>
                <w:sz w:val="12"/>
                <w:szCs w:val="12"/>
                <w:color w:val="auto"/>
              </w:rPr>
              <w:t>Executive Vice President,</w:t>
            </w:r>
          </w:p>
        </w:tc>
        <w:tc>
          <w:tcPr>
            <w:tcW w:w="1860" w:type="dxa"/>
            <w:vAlign w:val="bottom"/>
          </w:tcPr>
          <w:p>
            <w:pPr>
              <w:ind w:left="1480"/>
              <w:spacing w:after="0" w:line="133" w:lineRule="exact"/>
              <w:rPr>
                <w:sz w:val="20"/>
                <w:szCs w:val="20"/>
                <w:color w:val="auto"/>
              </w:rPr>
            </w:pPr>
            <w:r>
              <w:rPr>
                <w:rFonts w:ascii="Arial" w:cs="Arial" w:eastAsia="Arial" w:hAnsi="Arial"/>
                <w:sz w:val="12"/>
                <w:szCs w:val="12"/>
                <w:color w:val="auto"/>
              </w:rPr>
              <w:t>2020</w:t>
            </w:r>
          </w:p>
        </w:tc>
        <w:tc>
          <w:tcPr>
            <w:tcW w:w="680" w:type="dxa"/>
            <w:vAlign w:val="bottom"/>
          </w:tcPr>
          <w:p>
            <w:pPr>
              <w:jc w:val="center"/>
              <w:spacing w:after="0" w:line="133" w:lineRule="exact"/>
              <w:rPr>
                <w:sz w:val="20"/>
                <w:szCs w:val="20"/>
                <w:color w:val="auto"/>
              </w:rPr>
            </w:pPr>
            <w:r>
              <w:rPr>
                <w:rFonts w:ascii="Arial" w:cs="Arial" w:eastAsia="Arial" w:hAnsi="Arial"/>
                <w:sz w:val="12"/>
                <w:szCs w:val="12"/>
                <w:color w:val="auto"/>
              </w:rPr>
              <w:t>522,292</w:t>
            </w:r>
          </w:p>
        </w:tc>
        <w:tc>
          <w:tcPr>
            <w:tcW w:w="7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140,144</w:t>
            </w:r>
          </w:p>
        </w:tc>
        <w:tc>
          <w:tcPr>
            <w:tcW w:w="1100" w:type="dxa"/>
            <w:vAlign w:val="bottom"/>
          </w:tcPr>
          <w:p>
            <w:pPr>
              <w:jc w:val="right"/>
              <w:ind w:right="78"/>
              <w:spacing w:after="0" w:line="133" w:lineRule="exact"/>
              <w:rPr>
                <w:sz w:val="20"/>
                <w:szCs w:val="20"/>
                <w:color w:val="auto"/>
              </w:rPr>
            </w:pPr>
            <w:r>
              <w:rPr>
                <w:rFonts w:ascii="Arial" w:cs="Arial" w:eastAsia="Arial" w:hAnsi="Arial"/>
                <w:sz w:val="12"/>
                <w:szCs w:val="12"/>
                <w:color w:val="auto"/>
              </w:rPr>
              <w:t>166,982</w:t>
            </w:r>
          </w:p>
        </w:tc>
        <w:tc>
          <w:tcPr>
            <w:tcW w:w="8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1,537,500</w:t>
            </w:r>
          </w:p>
        </w:tc>
        <w:tc>
          <w:tcPr>
            <w:tcW w:w="106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26,677</w:t>
            </w:r>
          </w:p>
        </w:tc>
        <w:tc>
          <w:tcPr>
            <w:tcW w:w="980" w:type="dxa"/>
            <w:vAlign w:val="bottom"/>
          </w:tcPr>
          <w:p>
            <w:pPr>
              <w:jc w:val="right"/>
              <w:spacing w:after="0" w:line="133" w:lineRule="exact"/>
              <w:rPr>
                <w:sz w:val="20"/>
                <w:szCs w:val="20"/>
                <w:color w:val="auto"/>
              </w:rPr>
            </w:pPr>
            <w:r>
              <w:rPr>
                <w:rFonts w:ascii="Arial" w:cs="Arial" w:eastAsia="Arial" w:hAnsi="Arial"/>
                <w:sz w:val="12"/>
                <w:szCs w:val="12"/>
                <w:color w:val="auto"/>
              </w:rPr>
              <w:t>2,393,595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60" w:type="dxa"/>
            <w:vAlign w:val="bottom"/>
          </w:tcPr>
          <w:p>
            <w:pPr>
              <w:ind w:left="160"/>
              <w:spacing w:after="0"/>
              <w:rPr>
                <w:sz w:val="20"/>
                <w:szCs w:val="20"/>
                <w:color w:val="auto"/>
              </w:rPr>
            </w:pPr>
            <w:r>
              <w:rPr>
                <w:rFonts w:ascii="Arial" w:cs="Arial" w:eastAsia="Arial" w:hAnsi="Arial"/>
                <w:sz w:val="12"/>
                <w:szCs w:val="12"/>
                <w:color w:val="auto"/>
              </w:rPr>
              <w:t>Chief Financial Officer and Treasurer</w:t>
            </w:r>
          </w:p>
        </w:tc>
        <w:tc>
          <w:tcPr>
            <w:tcW w:w="1860" w:type="dxa"/>
            <w:vAlign w:val="bottom"/>
          </w:tcPr>
          <w:p>
            <w:pPr>
              <w:ind w:left="1480"/>
              <w:spacing w:after="0"/>
              <w:rPr>
                <w:sz w:val="20"/>
                <w:szCs w:val="20"/>
                <w:color w:val="auto"/>
              </w:rPr>
            </w:pPr>
            <w:r>
              <w:rPr>
                <w:rFonts w:ascii="Arial" w:cs="Arial" w:eastAsia="Arial" w:hAnsi="Arial"/>
                <w:sz w:val="12"/>
                <w:szCs w:val="12"/>
                <w:color w:val="auto"/>
              </w:rPr>
              <w:t>2019</w:t>
            </w:r>
          </w:p>
        </w:tc>
        <w:tc>
          <w:tcPr>
            <w:tcW w:w="680" w:type="dxa"/>
            <w:vAlign w:val="bottom"/>
          </w:tcPr>
          <w:p>
            <w:pPr>
              <w:jc w:val="center"/>
              <w:spacing w:after="0"/>
              <w:rPr>
                <w:sz w:val="20"/>
                <w:szCs w:val="20"/>
                <w:color w:val="auto"/>
              </w:rPr>
            </w:pPr>
            <w:r>
              <w:rPr>
                <w:rFonts w:ascii="Arial" w:cs="Arial" w:eastAsia="Arial" w:hAnsi="Arial"/>
                <w:sz w:val="12"/>
                <w:szCs w:val="12"/>
                <w:color w:val="auto"/>
              </w:rPr>
              <w:t>457,500</w:t>
            </w:r>
          </w:p>
        </w:tc>
        <w:tc>
          <w:tcPr>
            <w:tcW w:w="70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1100" w:type="dxa"/>
            <w:vAlign w:val="bottom"/>
          </w:tcPr>
          <w:p>
            <w:pPr>
              <w:jc w:val="right"/>
              <w:ind w:right="78"/>
              <w:spacing w:after="0"/>
              <w:rPr>
                <w:sz w:val="20"/>
                <w:szCs w:val="20"/>
                <w:color w:val="auto"/>
              </w:rPr>
            </w:pPr>
            <w:r>
              <w:rPr>
                <w:rFonts w:ascii="Arial" w:cs="Arial" w:eastAsia="Arial" w:hAnsi="Arial"/>
                <w:sz w:val="12"/>
                <w:szCs w:val="12"/>
                <w:color w:val="auto"/>
              </w:rPr>
              <w:t>418,149</w:t>
            </w:r>
          </w:p>
        </w:tc>
        <w:tc>
          <w:tcPr>
            <w:tcW w:w="800" w:type="dxa"/>
            <w:vAlign w:val="bottom"/>
          </w:tcPr>
          <w:p>
            <w:pPr>
              <w:jc w:val="right"/>
              <w:ind w:right="38"/>
              <w:spacing w:after="0"/>
              <w:rPr>
                <w:sz w:val="20"/>
                <w:szCs w:val="20"/>
                <w:color w:val="auto"/>
              </w:rPr>
            </w:pPr>
            <w:r>
              <w:rPr>
                <w:rFonts w:ascii="Arial" w:cs="Arial" w:eastAsia="Arial" w:hAnsi="Arial"/>
                <w:sz w:val="12"/>
                <w:szCs w:val="12"/>
                <w:color w:val="auto"/>
              </w:rPr>
              <w:t>690,001</w:t>
            </w:r>
          </w:p>
        </w:tc>
        <w:tc>
          <w:tcPr>
            <w:tcW w:w="1060" w:type="dxa"/>
            <w:vAlign w:val="bottom"/>
          </w:tcPr>
          <w:p>
            <w:pPr>
              <w:jc w:val="right"/>
              <w:ind w:right="118"/>
              <w:spacing w:after="0"/>
              <w:rPr>
                <w:sz w:val="20"/>
                <w:szCs w:val="20"/>
                <w:color w:val="auto"/>
              </w:rPr>
            </w:pPr>
            <w:r>
              <w:rPr>
                <w:rFonts w:ascii="Arial" w:cs="Arial" w:eastAsia="Arial" w:hAnsi="Arial"/>
                <w:sz w:val="12"/>
                <w:szCs w:val="12"/>
                <w:color w:val="auto"/>
              </w:rPr>
              <w:t>25,473</w:t>
            </w:r>
          </w:p>
        </w:tc>
        <w:tc>
          <w:tcPr>
            <w:tcW w:w="980" w:type="dxa"/>
            <w:vAlign w:val="bottom"/>
          </w:tcPr>
          <w:p>
            <w:pPr>
              <w:jc w:val="right"/>
              <w:spacing w:after="0"/>
              <w:rPr>
                <w:sz w:val="20"/>
                <w:szCs w:val="20"/>
                <w:color w:val="auto"/>
              </w:rPr>
            </w:pPr>
            <w:r>
              <w:rPr>
                <w:rFonts w:ascii="Arial" w:cs="Arial" w:eastAsia="Arial" w:hAnsi="Arial"/>
                <w:sz w:val="12"/>
                <w:szCs w:val="12"/>
                <w:color w:val="auto"/>
              </w:rPr>
              <w:t>1,591,123</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3660" w:type="dxa"/>
            <w:vAlign w:val="bottom"/>
            <w:tcBorders>
              <w:bottom w:val="single" w:sz="8" w:color="999999"/>
            </w:tcBorders>
          </w:tcPr>
          <w:p>
            <w:pPr>
              <w:spacing w:after="0"/>
              <w:rPr>
                <w:sz w:val="3"/>
                <w:szCs w:val="3"/>
                <w:color w:val="auto"/>
              </w:rPr>
            </w:pPr>
          </w:p>
        </w:tc>
        <w:tc>
          <w:tcPr>
            <w:tcW w:w="1860" w:type="dxa"/>
            <w:vAlign w:val="bottom"/>
            <w:tcBorders>
              <w:bottom w:val="single" w:sz="8" w:color="999999"/>
            </w:tcBorders>
          </w:tcPr>
          <w:p>
            <w:pPr>
              <w:spacing w:after="0"/>
              <w:rPr>
                <w:sz w:val="3"/>
                <w:szCs w:val="3"/>
                <w:color w:val="auto"/>
              </w:rPr>
            </w:pPr>
          </w:p>
        </w:tc>
        <w:tc>
          <w:tcPr>
            <w:tcW w:w="680" w:type="dxa"/>
            <w:vAlign w:val="bottom"/>
            <w:tcBorders>
              <w:bottom w:val="single" w:sz="8" w:color="999999"/>
            </w:tcBorders>
          </w:tcPr>
          <w:p>
            <w:pPr>
              <w:spacing w:after="0"/>
              <w:rPr>
                <w:sz w:val="3"/>
                <w:szCs w:val="3"/>
                <w:color w:val="auto"/>
              </w:rPr>
            </w:pPr>
          </w:p>
        </w:tc>
        <w:tc>
          <w:tcPr>
            <w:tcW w:w="700" w:type="dxa"/>
            <w:vAlign w:val="bottom"/>
            <w:tcBorders>
              <w:bottom w:val="single" w:sz="8" w:color="999999"/>
            </w:tcBorders>
          </w:tcPr>
          <w:p>
            <w:pPr>
              <w:spacing w:after="0"/>
              <w:rPr>
                <w:sz w:val="3"/>
                <w:szCs w:val="3"/>
                <w:color w:val="auto"/>
              </w:rPr>
            </w:pPr>
          </w:p>
        </w:tc>
        <w:tc>
          <w:tcPr>
            <w:tcW w:w="1100" w:type="dxa"/>
            <w:vAlign w:val="bottom"/>
            <w:tcBorders>
              <w:bottom w:val="single" w:sz="8" w:color="999999"/>
            </w:tcBorders>
          </w:tcPr>
          <w:p>
            <w:pPr>
              <w:spacing w:after="0"/>
              <w:rPr>
                <w:sz w:val="3"/>
                <w:szCs w:val="3"/>
                <w:color w:val="auto"/>
              </w:rPr>
            </w:pPr>
          </w:p>
        </w:tc>
        <w:tc>
          <w:tcPr>
            <w:tcW w:w="800" w:type="dxa"/>
            <w:vAlign w:val="bottom"/>
            <w:tcBorders>
              <w:bottom w:val="single" w:sz="8" w:color="999999"/>
            </w:tcBorders>
          </w:tcPr>
          <w:p>
            <w:pPr>
              <w:spacing w:after="0"/>
              <w:rPr>
                <w:sz w:val="3"/>
                <w:szCs w:val="3"/>
                <w:color w:val="auto"/>
              </w:rPr>
            </w:pPr>
          </w:p>
        </w:tc>
        <w:tc>
          <w:tcPr>
            <w:tcW w:w="1060" w:type="dxa"/>
            <w:vAlign w:val="bottom"/>
            <w:tcBorders>
              <w:bottom w:val="single" w:sz="8" w:color="999999"/>
            </w:tcBorders>
          </w:tcPr>
          <w:p>
            <w:pPr>
              <w:spacing w:after="0"/>
              <w:rPr>
                <w:sz w:val="3"/>
                <w:szCs w:val="3"/>
                <w:color w:val="auto"/>
              </w:rPr>
            </w:pPr>
          </w:p>
        </w:tc>
        <w:tc>
          <w:tcPr>
            <w:tcW w:w="980" w:type="dxa"/>
            <w:vAlign w:val="bottom"/>
            <w:tcBorders>
              <w:bottom w:val="single" w:sz="8" w:color="999999"/>
            </w:tcBorders>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20" w:type="dxa"/>
            <w:vAlign w:val="bottom"/>
            <w:vMerge w:val="continue"/>
          </w:tcPr>
          <w:p>
            <w:pPr>
              <w:spacing w:after="0"/>
              <w:rPr>
                <w:sz w:val="10"/>
                <w:szCs w:val="10"/>
                <w:color w:val="auto"/>
              </w:rPr>
            </w:pPr>
          </w:p>
        </w:tc>
        <w:tc>
          <w:tcPr>
            <w:tcW w:w="3660" w:type="dxa"/>
            <w:vAlign w:val="bottom"/>
          </w:tcPr>
          <w:p>
            <w:pPr>
              <w:spacing w:after="0" w:line="121" w:lineRule="exact"/>
              <w:rPr>
                <w:sz w:val="20"/>
                <w:szCs w:val="20"/>
                <w:color w:val="auto"/>
              </w:rPr>
            </w:pPr>
            <w:r>
              <w:rPr>
                <w:rFonts w:ascii="Arial" w:cs="Arial" w:eastAsia="Arial" w:hAnsi="Arial"/>
                <w:sz w:val="12"/>
                <w:szCs w:val="12"/>
                <w:b w:val="1"/>
                <w:bCs w:val="1"/>
                <w:color w:val="00548B"/>
              </w:rPr>
              <w:t>Ernest W. Torain, Jr.</w:t>
            </w:r>
            <w:r>
              <w:rPr>
                <w:rFonts w:ascii="Arial" w:cs="Arial" w:eastAsia="Arial" w:hAnsi="Arial"/>
                <w:sz w:val="10"/>
                <w:szCs w:val="10"/>
                <w:b w:val="1"/>
                <w:bCs w:val="1"/>
                <w:color w:val="00548B"/>
              </w:rPr>
              <w:t>(5)</w:t>
            </w:r>
          </w:p>
        </w:tc>
        <w:tc>
          <w:tcPr>
            <w:tcW w:w="1860" w:type="dxa"/>
            <w:vAlign w:val="bottom"/>
          </w:tcPr>
          <w:p>
            <w:pPr>
              <w:ind w:left="1480"/>
              <w:spacing w:after="0" w:line="121" w:lineRule="exact"/>
              <w:rPr>
                <w:sz w:val="20"/>
                <w:szCs w:val="20"/>
                <w:color w:val="auto"/>
              </w:rPr>
            </w:pPr>
            <w:r>
              <w:rPr>
                <w:rFonts w:ascii="Arial" w:cs="Arial" w:eastAsia="Arial" w:hAnsi="Arial"/>
                <w:sz w:val="12"/>
                <w:szCs w:val="12"/>
                <w:color w:val="auto"/>
              </w:rPr>
              <w:t>2021</w:t>
            </w:r>
          </w:p>
        </w:tc>
        <w:tc>
          <w:tcPr>
            <w:tcW w:w="680" w:type="dxa"/>
            <w:vAlign w:val="bottom"/>
          </w:tcPr>
          <w:p>
            <w:pPr>
              <w:jc w:val="center"/>
              <w:spacing w:after="0" w:line="121" w:lineRule="exact"/>
              <w:rPr>
                <w:sz w:val="20"/>
                <w:szCs w:val="20"/>
                <w:color w:val="auto"/>
              </w:rPr>
            </w:pPr>
            <w:r>
              <w:rPr>
                <w:rFonts w:ascii="Arial" w:cs="Arial" w:eastAsia="Arial" w:hAnsi="Arial"/>
                <w:sz w:val="12"/>
                <w:szCs w:val="12"/>
                <w:color w:val="auto"/>
              </w:rPr>
              <w:t>360,000</w:t>
            </w:r>
          </w:p>
        </w:tc>
        <w:tc>
          <w:tcPr>
            <w:tcW w:w="700" w:type="dxa"/>
            <w:vAlign w:val="bottom"/>
          </w:tcPr>
          <w:p>
            <w:pPr>
              <w:jc w:val="right"/>
              <w:ind w:right="38"/>
              <w:spacing w:after="0" w:line="121" w:lineRule="exact"/>
              <w:rPr>
                <w:sz w:val="20"/>
                <w:szCs w:val="20"/>
                <w:color w:val="auto"/>
              </w:rPr>
            </w:pPr>
            <w:r>
              <w:rPr>
                <w:rFonts w:ascii="Arial" w:cs="Arial" w:eastAsia="Arial" w:hAnsi="Arial"/>
                <w:sz w:val="12"/>
                <w:szCs w:val="12"/>
                <w:color w:val="auto"/>
              </w:rPr>
              <w:t>—</w:t>
            </w:r>
          </w:p>
        </w:tc>
        <w:tc>
          <w:tcPr>
            <w:tcW w:w="1100" w:type="dxa"/>
            <w:vAlign w:val="bottom"/>
          </w:tcPr>
          <w:p>
            <w:pPr>
              <w:jc w:val="right"/>
              <w:ind w:right="78"/>
              <w:spacing w:after="0" w:line="121" w:lineRule="exact"/>
              <w:rPr>
                <w:sz w:val="20"/>
                <w:szCs w:val="20"/>
                <w:color w:val="auto"/>
              </w:rPr>
            </w:pPr>
            <w:r>
              <w:rPr>
                <w:rFonts w:ascii="Arial" w:cs="Arial" w:eastAsia="Arial" w:hAnsi="Arial"/>
                <w:sz w:val="12"/>
                <w:szCs w:val="12"/>
                <w:color w:val="auto"/>
              </w:rPr>
              <w:t>180,000</w:t>
            </w:r>
          </w:p>
        </w:tc>
        <w:tc>
          <w:tcPr>
            <w:tcW w:w="800" w:type="dxa"/>
            <w:vAlign w:val="bottom"/>
          </w:tcPr>
          <w:p>
            <w:pPr>
              <w:jc w:val="right"/>
              <w:ind w:right="38"/>
              <w:spacing w:after="0" w:line="121" w:lineRule="exact"/>
              <w:rPr>
                <w:sz w:val="20"/>
                <w:szCs w:val="20"/>
                <w:color w:val="auto"/>
              </w:rPr>
            </w:pPr>
            <w:r>
              <w:rPr>
                <w:rFonts w:ascii="Arial" w:cs="Arial" w:eastAsia="Arial" w:hAnsi="Arial"/>
                <w:sz w:val="12"/>
                <w:szCs w:val="12"/>
                <w:color w:val="auto"/>
              </w:rPr>
              <w:t>194,414</w:t>
            </w:r>
          </w:p>
        </w:tc>
        <w:tc>
          <w:tcPr>
            <w:tcW w:w="1060" w:type="dxa"/>
            <w:vAlign w:val="bottom"/>
          </w:tcPr>
          <w:p>
            <w:pPr>
              <w:jc w:val="right"/>
              <w:ind w:right="118"/>
              <w:spacing w:after="0" w:line="121" w:lineRule="exact"/>
              <w:rPr>
                <w:sz w:val="20"/>
                <w:szCs w:val="20"/>
                <w:color w:val="auto"/>
              </w:rPr>
            </w:pPr>
            <w:r>
              <w:rPr>
                <w:rFonts w:ascii="Arial" w:cs="Arial" w:eastAsia="Arial" w:hAnsi="Arial"/>
                <w:sz w:val="12"/>
                <w:szCs w:val="12"/>
                <w:color w:val="auto"/>
              </w:rPr>
              <w:t>31,024</w:t>
            </w:r>
          </w:p>
        </w:tc>
        <w:tc>
          <w:tcPr>
            <w:tcW w:w="980" w:type="dxa"/>
            <w:vAlign w:val="bottom"/>
          </w:tcPr>
          <w:p>
            <w:pPr>
              <w:jc w:val="right"/>
              <w:spacing w:after="0" w:line="121" w:lineRule="exact"/>
              <w:rPr>
                <w:sz w:val="20"/>
                <w:szCs w:val="20"/>
                <w:color w:val="auto"/>
              </w:rPr>
            </w:pPr>
            <w:r>
              <w:rPr>
                <w:rFonts w:ascii="Arial" w:cs="Arial" w:eastAsia="Arial" w:hAnsi="Arial"/>
                <w:sz w:val="12"/>
                <w:szCs w:val="12"/>
                <w:color w:val="auto"/>
              </w:rPr>
              <w:t>765,438</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660" w:type="dxa"/>
            <w:vAlign w:val="bottom"/>
          </w:tcPr>
          <w:p>
            <w:pPr>
              <w:ind w:left="160"/>
              <w:spacing w:after="0" w:line="133" w:lineRule="exact"/>
              <w:rPr>
                <w:sz w:val="20"/>
                <w:szCs w:val="20"/>
                <w:color w:val="auto"/>
              </w:rPr>
            </w:pPr>
            <w:r>
              <w:rPr>
                <w:rFonts w:ascii="Arial" w:cs="Arial" w:eastAsia="Arial" w:hAnsi="Arial"/>
                <w:sz w:val="12"/>
                <w:szCs w:val="12"/>
                <w:color w:val="auto"/>
              </w:rPr>
              <w:t>Executive Vice President,</w:t>
            </w:r>
          </w:p>
        </w:tc>
        <w:tc>
          <w:tcPr>
            <w:tcW w:w="1860" w:type="dxa"/>
            <w:vAlign w:val="bottom"/>
          </w:tcPr>
          <w:p>
            <w:pPr>
              <w:ind w:left="1480"/>
              <w:spacing w:after="0" w:line="133" w:lineRule="exact"/>
              <w:rPr>
                <w:sz w:val="20"/>
                <w:szCs w:val="20"/>
                <w:color w:val="auto"/>
              </w:rPr>
            </w:pPr>
            <w:r>
              <w:rPr>
                <w:rFonts w:ascii="Arial" w:cs="Arial" w:eastAsia="Arial" w:hAnsi="Arial"/>
                <w:sz w:val="12"/>
                <w:szCs w:val="12"/>
                <w:color w:val="auto"/>
              </w:rPr>
              <w:t>2020</w:t>
            </w:r>
          </w:p>
        </w:tc>
        <w:tc>
          <w:tcPr>
            <w:tcW w:w="680" w:type="dxa"/>
            <w:vAlign w:val="bottom"/>
          </w:tcPr>
          <w:p>
            <w:pPr>
              <w:jc w:val="center"/>
              <w:spacing w:after="0" w:line="133" w:lineRule="exact"/>
              <w:rPr>
                <w:sz w:val="20"/>
                <w:szCs w:val="20"/>
                <w:color w:val="auto"/>
              </w:rPr>
            </w:pPr>
            <w:r>
              <w:rPr>
                <w:rFonts w:ascii="Arial" w:cs="Arial" w:eastAsia="Arial" w:hAnsi="Arial"/>
                <w:sz w:val="12"/>
                <w:szCs w:val="12"/>
                <w:color w:val="auto"/>
              </w:rPr>
              <w:t>285,000</w:t>
            </w:r>
          </w:p>
        </w:tc>
        <w:tc>
          <w:tcPr>
            <w:tcW w:w="7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53,388</w:t>
            </w:r>
          </w:p>
        </w:tc>
        <w:tc>
          <w:tcPr>
            <w:tcW w:w="1100" w:type="dxa"/>
            <w:vAlign w:val="bottom"/>
          </w:tcPr>
          <w:p>
            <w:pPr>
              <w:jc w:val="right"/>
              <w:ind w:right="78"/>
              <w:spacing w:after="0" w:line="133" w:lineRule="exact"/>
              <w:rPr>
                <w:sz w:val="20"/>
                <w:szCs w:val="20"/>
                <w:color w:val="auto"/>
              </w:rPr>
            </w:pPr>
            <w:r>
              <w:rPr>
                <w:rFonts w:ascii="Arial" w:cs="Arial" w:eastAsia="Arial" w:hAnsi="Arial"/>
                <w:sz w:val="12"/>
                <w:szCs w:val="12"/>
                <w:color w:val="auto"/>
              </w:rPr>
              <w:t>63,612</w:t>
            </w:r>
          </w:p>
        </w:tc>
        <w:tc>
          <w:tcPr>
            <w:tcW w:w="8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423,985</w:t>
            </w:r>
          </w:p>
        </w:tc>
        <w:tc>
          <w:tcPr>
            <w:tcW w:w="106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25,537</w:t>
            </w:r>
          </w:p>
        </w:tc>
        <w:tc>
          <w:tcPr>
            <w:tcW w:w="980" w:type="dxa"/>
            <w:vAlign w:val="bottom"/>
          </w:tcPr>
          <w:p>
            <w:pPr>
              <w:jc w:val="right"/>
              <w:spacing w:after="0" w:line="133" w:lineRule="exact"/>
              <w:rPr>
                <w:sz w:val="20"/>
                <w:szCs w:val="20"/>
                <w:color w:val="auto"/>
              </w:rPr>
            </w:pPr>
            <w:r>
              <w:rPr>
                <w:rFonts w:ascii="Arial" w:cs="Arial" w:eastAsia="Arial" w:hAnsi="Arial"/>
                <w:sz w:val="12"/>
                <w:szCs w:val="12"/>
                <w:color w:val="auto"/>
              </w:rPr>
              <w:t>851,522</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660" w:type="dxa"/>
            <w:vAlign w:val="bottom"/>
          </w:tcPr>
          <w:p>
            <w:pPr>
              <w:ind w:left="160"/>
              <w:spacing w:after="0" w:line="133" w:lineRule="exact"/>
              <w:rPr>
                <w:sz w:val="20"/>
                <w:szCs w:val="20"/>
                <w:color w:val="auto"/>
              </w:rPr>
            </w:pPr>
            <w:r>
              <w:rPr>
                <w:rFonts w:ascii="Arial" w:cs="Arial" w:eastAsia="Arial" w:hAnsi="Arial"/>
                <w:sz w:val="12"/>
                <w:szCs w:val="12"/>
                <w:color w:val="auto"/>
              </w:rPr>
              <w:t>General Counsel and</w:t>
            </w:r>
          </w:p>
        </w:tc>
        <w:tc>
          <w:tcPr>
            <w:tcW w:w="1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60" w:type="dxa"/>
            <w:vAlign w:val="bottom"/>
          </w:tcPr>
          <w:p>
            <w:pPr>
              <w:ind w:left="160"/>
              <w:spacing w:after="0"/>
              <w:rPr>
                <w:sz w:val="20"/>
                <w:szCs w:val="20"/>
                <w:color w:val="auto"/>
              </w:rPr>
            </w:pPr>
            <w:r>
              <w:rPr>
                <w:rFonts w:ascii="Arial" w:cs="Arial" w:eastAsia="Arial" w:hAnsi="Arial"/>
                <w:sz w:val="12"/>
                <w:szCs w:val="12"/>
                <w:color w:val="auto"/>
              </w:rPr>
              <w:t>Corporate Secretary</w:t>
            </w:r>
          </w:p>
        </w:tc>
        <w:tc>
          <w:tcPr>
            <w:tcW w:w="1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3660" w:type="dxa"/>
            <w:vAlign w:val="bottom"/>
            <w:tcBorders>
              <w:bottom w:val="single" w:sz="8" w:color="00548B"/>
            </w:tcBorders>
          </w:tcPr>
          <w:p>
            <w:pPr>
              <w:spacing w:after="0"/>
              <w:rPr>
                <w:sz w:val="4"/>
                <w:szCs w:val="4"/>
                <w:color w:val="auto"/>
              </w:rPr>
            </w:pPr>
          </w:p>
        </w:tc>
        <w:tc>
          <w:tcPr>
            <w:tcW w:w="1860" w:type="dxa"/>
            <w:vAlign w:val="bottom"/>
            <w:tcBorders>
              <w:bottom w:val="single" w:sz="8" w:color="00548B"/>
            </w:tcBorders>
          </w:tcPr>
          <w:p>
            <w:pPr>
              <w:spacing w:after="0"/>
              <w:rPr>
                <w:sz w:val="4"/>
                <w:szCs w:val="4"/>
                <w:color w:val="auto"/>
              </w:rPr>
            </w:pPr>
          </w:p>
        </w:tc>
        <w:tc>
          <w:tcPr>
            <w:tcW w:w="680" w:type="dxa"/>
            <w:vAlign w:val="bottom"/>
            <w:tcBorders>
              <w:bottom w:val="single" w:sz="8" w:color="00548B"/>
            </w:tcBorders>
          </w:tcPr>
          <w:p>
            <w:pPr>
              <w:spacing w:after="0"/>
              <w:rPr>
                <w:sz w:val="4"/>
                <w:szCs w:val="4"/>
                <w:color w:val="auto"/>
              </w:rPr>
            </w:pPr>
          </w:p>
        </w:tc>
        <w:tc>
          <w:tcPr>
            <w:tcW w:w="700" w:type="dxa"/>
            <w:vAlign w:val="bottom"/>
            <w:tcBorders>
              <w:bottom w:val="single" w:sz="8" w:color="00548B"/>
            </w:tcBorders>
          </w:tcPr>
          <w:p>
            <w:pPr>
              <w:spacing w:after="0"/>
              <w:rPr>
                <w:sz w:val="4"/>
                <w:szCs w:val="4"/>
                <w:color w:val="auto"/>
              </w:rPr>
            </w:pPr>
          </w:p>
        </w:tc>
        <w:tc>
          <w:tcPr>
            <w:tcW w:w="1100" w:type="dxa"/>
            <w:vAlign w:val="bottom"/>
            <w:tcBorders>
              <w:bottom w:val="single" w:sz="8" w:color="00548B"/>
            </w:tcBorders>
          </w:tcPr>
          <w:p>
            <w:pPr>
              <w:spacing w:after="0"/>
              <w:rPr>
                <w:sz w:val="4"/>
                <w:szCs w:val="4"/>
                <w:color w:val="auto"/>
              </w:rPr>
            </w:pPr>
          </w:p>
        </w:tc>
        <w:tc>
          <w:tcPr>
            <w:tcW w:w="800" w:type="dxa"/>
            <w:vAlign w:val="bottom"/>
            <w:tcBorders>
              <w:bottom w:val="single" w:sz="8" w:color="00548B"/>
            </w:tcBorders>
          </w:tcPr>
          <w:p>
            <w:pPr>
              <w:spacing w:after="0"/>
              <w:rPr>
                <w:sz w:val="4"/>
                <w:szCs w:val="4"/>
                <w:color w:val="auto"/>
              </w:rPr>
            </w:pPr>
          </w:p>
        </w:tc>
        <w:tc>
          <w:tcPr>
            <w:tcW w:w="1060" w:type="dxa"/>
            <w:vAlign w:val="bottom"/>
            <w:tcBorders>
              <w:bottom w:val="single" w:sz="8" w:color="00548B"/>
            </w:tcBorders>
          </w:tcPr>
          <w:p>
            <w:pPr>
              <w:spacing w:after="0"/>
              <w:rPr>
                <w:sz w:val="4"/>
                <w:szCs w:val="4"/>
                <w:color w:val="auto"/>
              </w:rPr>
            </w:pPr>
          </w:p>
        </w:tc>
        <w:tc>
          <w:tcPr>
            <w:tcW w:w="980" w:type="dxa"/>
            <w:vAlign w:val="bottom"/>
            <w:tcBorders>
              <w:bottom w:val="single" w:sz="8" w:color="00548B"/>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740" w:right="20" w:hanging="541"/>
        <w:spacing w:after="0" w:line="253" w:lineRule="auto"/>
        <w:tabs>
          <w:tab w:leader="none" w:pos="7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Bonus amounts awarded in 2020 represent discretionary awards approved by the Compensation Committee to align the NEO’s total payout, as a percentage of target, with the broader corporate bonus funding level.</w:t>
      </w:r>
    </w:p>
    <w:p>
      <w:pPr>
        <w:spacing w:after="0" w:line="64" w:lineRule="exact"/>
        <w:rPr>
          <w:rFonts w:ascii="Arial" w:cs="Arial" w:eastAsia="Arial" w:hAnsi="Arial"/>
          <w:sz w:val="16"/>
          <w:szCs w:val="16"/>
          <w:color w:val="auto"/>
        </w:rPr>
      </w:pPr>
    </w:p>
    <w:p>
      <w:pPr>
        <w:jc w:val="both"/>
        <w:ind w:left="740" w:right="20" w:hanging="541"/>
        <w:spacing w:after="0" w:line="248" w:lineRule="auto"/>
        <w:tabs>
          <w:tab w:leader="none" w:pos="7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This column represents the aggregate grant date fair value of restricted stock and/or performance share unit awards. The value of the performance share units in the table is consistent with the estimate of aggregate compensation cost to be recognized over the service period determined as of the grant date under FASB ASC Topic 718.</w:t>
      </w:r>
    </w:p>
    <w:p>
      <w:pPr>
        <w:spacing w:after="0" w:line="67" w:lineRule="exact"/>
        <w:rPr>
          <w:rFonts w:ascii="Arial" w:cs="Arial" w:eastAsia="Arial" w:hAnsi="Arial"/>
          <w:sz w:val="16"/>
          <w:szCs w:val="16"/>
          <w:color w:val="auto"/>
        </w:rPr>
      </w:pPr>
    </w:p>
    <w:p>
      <w:pPr>
        <w:jc w:val="both"/>
        <w:ind w:left="740" w:right="20" w:hanging="541"/>
        <w:spacing w:after="0" w:line="245" w:lineRule="auto"/>
        <w:tabs>
          <w:tab w:leader="none" w:pos="7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stock awards granted in 2021 include the grant date fair value of restricted stock and performance share unit awards. The grant date fair value of the performance share unit awards represents one-third of the overall value awarded under the 2021 long-term incentive program. The performance share unit awards included in the table above are to be earned based on performance against approved 2021 goals. As the 2022 and 2023 goals against which the second and third components of the award will be measured will be approved by the Compensation Committee in February 2022 and February 2023, respectively, these shares were not granted in 2021 as defined under FASB ASC Topic 718.</w:t>
      </w:r>
    </w:p>
    <w:p>
      <w:pPr>
        <w:spacing w:after="0" w:line="71" w:lineRule="exact"/>
        <w:rPr>
          <w:rFonts w:ascii="Arial" w:cs="Arial" w:eastAsia="Arial" w:hAnsi="Arial"/>
          <w:sz w:val="16"/>
          <w:szCs w:val="16"/>
          <w:color w:val="auto"/>
        </w:rPr>
      </w:pPr>
    </w:p>
    <w:p>
      <w:pPr>
        <w:ind w:left="740" w:hanging="541"/>
        <w:spacing w:after="0"/>
        <w:tabs>
          <w:tab w:leader="none" w:pos="7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All Other Compensation for 2021 is detailed in the table below.</w:t>
      </w:r>
    </w:p>
    <w:p>
      <w:pPr>
        <w:spacing w:after="0" w:line="81" w:lineRule="exact"/>
        <w:rPr>
          <w:rFonts w:ascii="Arial" w:cs="Arial" w:eastAsia="Arial" w:hAnsi="Arial"/>
          <w:sz w:val="16"/>
          <w:szCs w:val="16"/>
          <w:color w:val="auto"/>
        </w:rPr>
      </w:pPr>
    </w:p>
    <w:p>
      <w:pPr>
        <w:ind w:left="740" w:hanging="541"/>
        <w:spacing w:after="0"/>
        <w:tabs>
          <w:tab w:leader="none" w:pos="7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Mr. Torain has served as Executive Vice President, General Counsel, and Secretary since March 1, 2020.</w:t>
      </w:r>
    </w:p>
    <w:p>
      <w:pPr>
        <w:spacing w:after="0" w:line="157"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2021 All Other Compensation</w:t>
      </w:r>
    </w:p>
    <w:p>
      <w:pPr>
        <w:spacing w:after="0" w:line="15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960" w:type="dxa"/>
            <w:vAlign w:val="bottom"/>
            <w:shd w:val="clear" w:color="auto" w:fill="00548B"/>
          </w:tcPr>
          <w:p>
            <w:pPr>
              <w:spacing w:after="0"/>
              <w:rPr>
                <w:sz w:val="14"/>
                <w:szCs w:val="14"/>
                <w:color w:val="auto"/>
              </w:rPr>
            </w:pPr>
          </w:p>
        </w:tc>
        <w:tc>
          <w:tcPr>
            <w:tcW w:w="2100" w:type="dxa"/>
            <w:vAlign w:val="bottom"/>
            <w:shd w:val="clear" w:color="auto" w:fill="00548B"/>
          </w:tcPr>
          <w:p>
            <w:pPr>
              <w:spacing w:after="0"/>
              <w:rPr>
                <w:sz w:val="14"/>
                <w:szCs w:val="14"/>
                <w:color w:val="auto"/>
              </w:rPr>
            </w:pPr>
          </w:p>
        </w:tc>
        <w:tc>
          <w:tcPr>
            <w:tcW w:w="176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w w:val="99"/>
              </w:rPr>
              <w:t>Executive $1MM</w:t>
            </w:r>
          </w:p>
        </w:tc>
        <w:tc>
          <w:tcPr>
            <w:tcW w:w="1920" w:type="dxa"/>
            <w:vAlign w:val="bottom"/>
            <w:shd w:val="clear" w:color="auto" w:fill="00548B"/>
          </w:tcPr>
          <w:p>
            <w:pPr>
              <w:spacing w:after="0"/>
              <w:rPr>
                <w:sz w:val="14"/>
                <w:szCs w:val="14"/>
                <w:color w:val="auto"/>
              </w:rPr>
            </w:pPr>
          </w:p>
        </w:tc>
        <w:tc>
          <w:tcPr>
            <w:tcW w:w="168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Other Benefits</w:t>
            </w:r>
          </w:p>
        </w:tc>
        <w:tc>
          <w:tcPr>
            <w:tcW w:w="1440" w:type="dxa"/>
            <w:vAlign w:val="bottom"/>
            <w:shd w:val="clear" w:color="auto" w:fill="00548B"/>
          </w:tcPr>
          <w:p>
            <w:pPr>
              <w:jc w:val="center"/>
              <w:ind w:left="209"/>
              <w:spacing w:after="0"/>
              <w:rPr>
                <w:sz w:val="20"/>
                <w:szCs w:val="20"/>
                <w:color w:val="auto"/>
              </w:rPr>
            </w:pPr>
            <w:r>
              <w:rPr>
                <w:rFonts w:ascii="Arial" w:cs="Arial" w:eastAsia="Arial" w:hAnsi="Arial"/>
                <w:sz w:val="14"/>
                <w:szCs w:val="14"/>
                <w:b w:val="1"/>
                <w:bCs w:val="1"/>
                <w:color w:val="D8D8D8"/>
              </w:rPr>
              <w:t>Total All</w:t>
            </w:r>
          </w:p>
        </w:tc>
      </w:tr>
      <w:tr>
        <w:trPr>
          <w:trHeight w:val="160"/>
        </w:trPr>
        <w:tc>
          <w:tcPr>
            <w:tcW w:w="1960" w:type="dxa"/>
            <w:vAlign w:val="bottom"/>
            <w:shd w:val="clear" w:color="auto" w:fill="00548B"/>
          </w:tcPr>
          <w:p>
            <w:pPr>
              <w:spacing w:after="0"/>
              <w:rPr>
                <w:sz w:val="13"/>
                <w:szCs w:val="13"/>
                <w:color w:val="auto"/>
              </w:rPr>
            </w:pPr>
          </w:p>
        </w:tc>
        <w:tc>
          <w:tcPr>
            <w:tcW w:w="2100" w:type="dxa"/>
            <w:vAlign w:val="bottom"/>
            <w:shd w:val="clear" w:color="auto" w:fill="00548B"/>
          </w:tcPr>
          <w:p>
            <w:pPr>
              <w:jc w:val="center"/>
              <w:ind w:left="289"/>
              <w:spacing w:after="0" w:line="159" w:lineRule="exact"/>
              <w:rPr>
                <w:sz w:val="20"/>
                <w:szCs w:val="20"/>
                <w:color w:val="auto"/>
              </w:rPr>
            </w:pPr>
            <w:r>
              <w:rPr>
                <w:rFonts w:ascii="Arial" w:cs="Arial" w:eastAsia="Arial" w:hAnsi="Arial"/>
                <w:sz w:val="14"/>
                <w:szCs w:val="14"/>
                <w:b w:val="1"/>
                <w:bCs w:val="1"/>
                <w:color w:val="D8D8D8"/>
              </w:rPr>
              <w:t>Executive Long-</w:t>
            </w:r>
          </w:p>
        </w:tc>
        <w:tc>
          <w:tcPr>
            <w:tcW w:w="1760" w:type="dxa"/>
            <w:vAlign w:val="bottom"/>
            <w:shd w:val="clear" w:color="auto" w:fill="00548B"/>
          </w:tcPr>
          <w:p>
            <w:pPr>
              <w:jc w:val="center"/>
              <w:spacing w:after="0" w:line="159" w:lineRule="exact"/>
              <w:rPr>
                <w:sz w:val="20"/>
                <w:szCs w:val="20"/>
                <w:color w:val="auto"/>
              </w:rPr>
            </w:pPr>
            <w:r>
              <w:rPr>
                <w:rFonts w:ascii="Arial" w:cs="Arial" w:eastAsia="Arial" w:hAnsi="Arial"/>
                <w:sz w:val="14"/>
                <w:szCs w:val="14"/>
                <w:b w:val="1"/>
                <w:bCs w:val="1"/>
                <w:color w:val="D8D8D8"/>
              </w:rPr>
              <w:t>Term Life</w:t>
            </w:r>
          </w:p>
        </w:tc>
        <w:tc>
          <w:tcPr>
            <w:tcW w:w="1920" w:type="dxa"/>
            <w:vAlign w:val="bottom"/>
            <w:shd w:val="clear" w:color="auto" w:fill="00548B"/>
          </w:tcPr>
          <w:p>
            <w:pPr>
              <w:jc w:val="center"/>
              <w:spacing w:after="0" w:line="159" w:lineRule="exact"/>
              <w:rPr>
                <w:sz w:val="20"/>
                <w:szCs w:val="20"/>
                <w:color w:val="auto"/>
              </w:rPr>
            </w:pPr>
            <w:r>
              <w:rPr>
                <w:rFonts w:ascii="Arial" w:cs="Arial" w:eastAsia="Arial" w:hAnsi="Arial"/>
                <w:sz w:val="14"/>
                <w:szCs w:val="14"/>
                <w:b w:val="1"/>
                <w:bCs w:val="1"/>
                <w:color w:val="D8D8D8"/>
              </w:rPr>
              <w:t>Company Provided</w:t>
            </w:r>
          </w:p>
        </w:tc>
        <w:tc>
          <w:tcPr>
            <w:tcW w:w="1680" w:type="dxa"/>
            <w:vAlign w:val="bottom"/>
            <w:shd w:val="clear" w:color="auto" w:fill="00548B"/>
          </w:tcPr>
          <w:p>
            <w:pPr>
              <w:jc w:val="center"/>
              <w:spacing w:after="0" w:line="159" w:lineRule="exact"/>
              <w:rPr>
                <w:sz w:val="20"/>
                <w:szCs w:val="20"/>
                <w:color w:val="auto"/>
              </w:rPr>
            </w:pPr>
            <w:r>
              <w:rPr>
                <w:rFonts w:ascii="Arial" w:cs="Arial" w:eastAsia="Arial" w:hAnsi="Arial"/>
                <w:sz w:val="14"/>
                <w:szCs w:val="14"/>
                <w:b w:val="1"/>
                <w:bCs w:val="1"/>
                <w:color w:val="D8D8D8"/>
                <w:w w:val="96"/>
              </w:rPr>
              <w:t>and</w:t>
            </w:r>
          </w:p>
        </w:tc>
        <w:tc>
          <w:tcPr>
            <w:tcW w:w="1440" w:type="dxa"/>
            <w:vAlign w:val="bottom"/>
            <w:shd w:val="clear" w:color="auto" w:fill="00548B"/>
          </w:tcPr>
          <w:p>
            <w:pPr>
              <w:jc w:val="center"/>
              <w:ind w:left="189"/>
              <w:spacing w:after="0" w:line="159" w:lineRule="exact"/>
              <w:rPr>
                <w:sz w:val="20"/>
                <w:szCs w:val="20"/>
                <w:color w:val="auto"/>
              </w:rPr>
            </w:pPr>
            <w:r>
              <w:rPr>
                <w:rFonts w:ascii="Arial" w:cs="Arial" w:eastAsia="Arial" w:hAnsi="Arial"/>
                <w:sz w:val="14"/>
                <w:szCs w:val="14"/>
                <w:b w:val="1"/>
                <w:bCs w:val="1"/>
                <w:color w:val="D8D8D8"/>
              </w:rPr>
              <w:t>Other</w:t>
            </w:r>
          </w:p>
        </w:tc>
      </w:tr>
      <w:tr>
        <w:trPr>
          <w:trHeight w:val="160"/>
        </w:trPr>
        <w:tc>
          <w:tcPr>
            <w:tcW w:w="1960" w:type="dxa"/>
            <w:vAlign w:val="bottom"/>
            <w:shd w:val="clear" w:color="auto" w:fill="00548B"/>
          </w:tcPr>
          <w:p>
            <w:pPr>
              <w:spacing w:after="0"/>
              <w:rPr>
                <w:sz w:val="13"/>
                <w:szCs w:val="13"/>
                <w:color w:val="auto"/>
              </w:rPr>
            </w:pPr>
          </w:p>
        </w:tc>
        <w:tc>
          <w:tcPr>
            <w:tcW w:w="2100" w:type="dxa"/>
            <w:vAlign w:val="bottom"/>
            <w:shd w:val="clear" w:color="auto" w:fill="00548B"/>
          </w:tcPr>
          <w:p>
            <w:pPr>
              <w:jc w:val="center"/>
              <w:ind w:left="309"/>
              <w:spacing w:after="0" w:line="159" w:lineRule="exact"/>
              <w:rPr>
                <w:sz w:val="20"/>
                <w:szCs w:val="20"/>
                <w:color w:val="auto"/>
              </w:rPr>
            </w:pPr>
            <w:r>
              <w:rPr>
                <w:rFonts w:ascii="Arial" w:cs="Arial" w:eastAsia="Arial" w:hAnsi="Arial"/>
                <w:sz w:val="14"/>
                <w:szCs w:val="14"/>
                <w:b w:val="1"/>
                <w:bCs w:val="1"/>
                <w:color w:val="D8D8D8"/>
                <w:w w:val="99"/>
              </w:rPr>
              <w:t>Term Disability</w:t>
            </w:r>
          </w:p>
        </w:tc>
        <w:tc>
          <w:tcPr>
            <w:tcW w:w="1760" w:type="dxa"/>
            <w:vAlign w:val="bottom"/>
            <w:shd w:val="clear" w:color="auto" w:fill="00548B"/>
          </w:tcPr>
          <w:p>
            <w:pPr>
              <w:jc w:val="center"/>
              <w:spacing w:after="0" w:line="159" w:lineRule="exact"/>
              <w:rPr>
                <w:sz w:val="20"/>
                <w:szCs w:val="20"/>
                <w:color w:val="auto"/>
              </w:rPr>
            </w:pPr>
            <w:r>
              <w:rPr>
                <w:rFonts w:ascii="Arial" w:cs="Arial" w:eastAsia="Arial" w:hAnsi="Arial"/>
                <w:sz w:val="14"/>
                <w:szCs w:val="14"/>
                <w:b w:val="1"/>
                <w:bCs w:val="1"/>
                <w:color w:val="D8D8D8"/>
              </w:rPr>
              <w:t>Insurance</w:t>
            </w:r>
          </w:p>
        </w:tc>
        <w:tc>
          <w:tcPr>
            <w:tcW w:w="1920" w:type="dxa"/>
            <w:vAlign w:val="bottom"/>
            <w:shd w:val="clear" w:color="auto" w:fill="00548B"/>
          </w:tcPr>
          <w:p>
            <w:pPr>
              <w:jc w:val="center"/>
              <w:spacing w:after="0" w:line="159" w:lineRule="exact"/>
              <w:rPr>
                <w:sz w:val="20"/>
                <w:szCs w:val="20"/>
                <w:color w:val="auto"/>
              </w:rPr>
            </w:pPr>
            <w:r>
              <w:rPr>
                <w:rFonts w:ascii="Arial" w:cs="Arial" w:eastAsia="Arial" w:hAnsi="Arial"/>
                <w:sz w:val="14"/>
                <w:szCs w:val="14"/>
                <w:b w:val="1"/>
                <w:bCs w:val="1"/>
                <w:color w:val="D8D8D8"/>
                <w:w w:val="99"/>
              </w:rPr>
              <w:t>401(k) Match</w:t>
            </w:r>
          </w:p>
        </w:tc>
        <w:tc>
          <w:tcPr>
            <w:tcW w:w="1680" w:type="dxa"/>
            <w:vAlign w:val="bottom"/>
            <w:shd w:val="clear" w:color="auto" w:fill="00548B"/>
          </w:tcPr>
          <w:p>
            <w:pPr>
              <w:jc w:val="center"/>
              <w:spacing w:after="0" w:line="159" w:lineRule="exact"/>
              <w:rPr>
                <w:sz w:val="20"/>
                <w:szCs w:val="20"/>
                <w:color w:val="auto"/>
              </w:rPr>
            </w:pPr>
            <w:r>
              <w:rPr>
                <w:rFonts w:ascii="Arial" w:cs="Arial" w:eastAsia="Arial" w:hAnsi="Arial"/>
                <w:sz w:val="14"/>
                <w:szCs w:val="14"/>
                <w:b w:val="1"/>
                <w:bCs w:val="1"/>
                <w:color w:val="D8D8D8"/>
              </w:rPr>
              <w:t>Perquisites</w:t>
            </w:r>
          </w:p>
        </w:tc>
        <w:tc>
          <w:tcPr>
            <w:tcW w:w="1440" w:type="dxa"/>
            <w:vAlign w:val="bottom"/>
            <w:shd w:val="clear" w:color="auto" w:fill="00548B"/>
          </w:tcPr>
          <w:p>
            <w:pPr>
              <w:jc w:val="center"/>
              <w:ind w:left="189"/>
              <w:spacing w:after="0" w:line="159" w:lineRule="exact"/>
              <w:rPr>
                <w:sz w:val="20"/>
                <w:szCs w:val="20"/>
                <w:color w:val="auto"/>
              </w:rPr>
            </w:pPr>
            <w:r>
              <w:rPr>
                <w:rFonts w:ascii="Arial" w:cs="Arial" w:eastAsia="Arial" w:hAnsi="Arial"/>
                <w:sz w:val="14"/>
                <w:szCs w:val="14"/>
                <w:b w:val="1"/>
                <w:bCs w:val="1"/>
                <w:color w:val="D8D8D8"/>
              </w:rPr>
              <w:t>Compensation</w:t>
            </w:r>
          </w:p>
        </w:tc>
      </w:tr>
      <w:tr>
        <w:trPr>
          <w:trHeight w:val="186"/>
        </w:trPr>
        <w:tc>
          <w:tcPr>
            <w:tcW w:w="1960" w:type="dxa"/>
            <w:vAlign w:val="bottom"/>
            <w:shd w:val="clear" w:color="auto" w:fill="00548B"/>
          </w:tcPr>
          <w:p>
            <w:pPr>
              <w:spacing w:after="0"/>
              <w:rPr>
                <w:sz w:val="20"/>
                <w:szCs w:val="20"/>
                <w:color w:val="auto"/>
              </w:rPr>
            </w:pPr>
            <w:r>
              <w:rPr>
                <w:rFonts w:ascii="Arial" w:cs="Arial" w:eastAsia="Arial" w:hAnsi="Arial"/>
                <w:sz w:val="14"/>
                <w:szCs w:val="14"/>
                <w:b w:val="1"/>
                <w:bCs w:val="1"/>
                <w:color w:val="D8D8D8"/>
              </w:rPr>
              <w:t>Name</w:t>
            </w:r>
          </w:p>
        </w:tc>
        <w:tc>
          <w:tcPr>
            <w:tcW w:w="2100" w:type="dxa"/>
            <w:vAlign w:val="bottom"/>
            <w:shd w:val="clear" w:color="auto" w:fill="00548B"/>
          </w:tcPr>
          <w:p>
            <w:pPr>
              <w:jc w:val="center"/>
              <w:ind w:left="309"/>
              <w:spacing w:after="0"/>
              <w:rPr>
                <w:sz w:val="20"/>
                <w:szCs w:val="20"/>
                <w:color w:val="auto"/>
              </w:rPr>
            </w:pPr>
            <w:r>
              <w:rPr>
                <w:rFonts w:ascii="Arial" w:cs="Arial" w:eastAsia="Arial" w:hAnsi="Arial"/>
                <w:sz w:val="14"/>
                <w:szCs w:val="14"/>
                <w:b w:val="1"/>
                <w:bCs w:val="1"/>
                <w:color w:val="D8D8D8"/>
              </w:rPr>
              <w:t>($)(1)</w:t>
            </w:r>
          </w:p>
        </w:tc>
        <w:tc>
          <w:tcPr>
            <w:tcW w:w="176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($)(2)</w:t>
            </w:r>
          </w:p>
        </w:tc>
        <w:tc>
          <w:tcPr>
            <w:tcW w:w="192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($)(3)</w:t>
            </w:r>
          </w:p>
        </w:tc>
        <w:tc>
          <w:tcPr>
            <w:tcW w:w="168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w w:val="96"/>
              </w:rPr>
              <w:t>$(4)</w:t>
            </w:r>
          </w:p>
        </w:tc>
        <w:tc>
          <w:tcPr>
            <w:tcW w:w="1440" w:type="dxa"/>
            <w:vAlign w:val="bottom"/>
            <w:shd w:val="clear" w:color="auto" w:fill="00548B"/>
          </w:tcPr>
          <w:p>
            <w:pPr>
              <w:jc w:val="center"/>
              <w:ind w:left="209"/>
              <w:spacing w:after="0"/>
              <w:rPr>
                <w:sz w:val="20"/>
                <w:szCs w:val="20"/>
                <w:color w:val="auto"/>
              </w:rPr>
            </w:pPr>
            <w:r>
              <w:rPr>
                <w:rFonts w:ascii="Arial" w:cs="Arial" w:eastAsia="Arial" w:hAnsi="Arial"/>
                <w:sz w:val="14"/>
                <w:szCs w:val="14"/>
                <w:b w:val="1"/>
                <w:bCs w:val="1"/>
                <w:color w:val="D8D8D8"/>
                <w:w w:val="93"/>
              </w:rPr>
              <w:t>($)</w:t>
            </w:r>
          </w:p>
        </w:tc>
      </w:tr>
      <w:tr>
        <w:trPr>
          <w:trHeight w:val="160"/>
        </w:trPr>
        <w:tc>
          <w:tcPr>
            <w:tcW w:w="1960" w:type="dxa"/>
            <w:vAlign w:val="bottom"/>
            <w:tcBorders>
              <w:bottom w:val="single" w:sz="8" w:color="999999"/>
            </w:tcBorders>
          </w:tcPr>
          <w:p>
            <w:pPr>
              <w:spacing w:after="0" w:line="159" w:lineRule="exact"/>
              <w:rPr>
                <w:sz w:val="20"/>
                <w:szCs w:val="20"/>
                <w:color w:val="auto"/>
              </w:rPr>
            </w:pPr>
            <w:r>
              <w:rPr>
                <w:rFonts w:ascii="Arial" w:cs="Arial" w:eastAsia="Arial" w:hAnsi="Arial"/>
                <w:sz w:val="14"/>
                <w:szCs w:val="14"/>
                <w:color w:val="auto"/>
              </w:rPr>
              <w:t>James H. Roth</w:t>
            </w:r>
          </w:p>
        </w:tc>
        <w:tc>
          <w:tcPr>
            <w:tcW w:w="2100" w:type="dxa"/>
            <w:vAlign w:val="bottom"/>
            <w:tcBorders>
              <w:bottom w:val="single" w:sz="8" w:color="999999"/>
            </w:tcBorders>
          </w:tcPr>
          <w:p>
            <w:pPr>
              <w:jc w:val="right"/>
              <w:ind w:right="549"/>
              <w:spacing w:after="0" w:line="159" w:lineRule="exact"/>
              <w:rPr>
                <w:sz w:val="20"/>
                <w:szCs w:val="20"/>
                <w:color w:val="auto"/>
              </w:rPr>
            </w:pPr>
            <w:r>
              <w:rPr>
                <w:rFonts w:ascii="Arial" w:cs="Arial" w:eastAsia="Arial" w:hAnsi="Arial"/>
                <w:sz w:val="14"/>
                <w:szCs w:val="14"/>
                <w:color w:val="auto"/>
              </w:rPr>
              <w:t>6,777</w:t>
            </w:r>
          </w:p>
        </w:tc>
        <w:tc>
          <w:tcPr>
            <w:tcW w:w="1760" w:type="dxa"/>
            <w:vAlign w:val="bottom"/>
            <w:tcBorders>
              <w:bottom w:val="single" w:sz="8" w:color="999999"/>
            </w:tcBorders>
          </w:tcPr>
          <w:p>
            <w:pPr>
              <w:jc w:val="right"/>
              <w:ind w:right="489"/>
              <w:spacing w:after="0" w:line="159" w:lineRule="exact"/>
              <w:rPr>
                <w:sz w:val="20"/>
                <w:szCs w:val="20"/>
                <w:color w:val="auto"/>
              </w:rPr>
            </w:pPr>
            <w:r>
              <w:rPr>
                <w:rFonts w:ascii="Arial" w:cs="Arial" w:eastAsia="Arial" w:hAnsi="Arial"/>
                <w:sz w:val="14"/>
                <w:szCs w:val="14"/>
                <w:color w:val="auto"/>
              </w:rPr>
              <w:t>4,433</w:t>
            </w:r>
          </w:p>
        </w:tc>
        <w:tc>
          <w:tcPr>
            <w:tcW w:w="1920" w:type="dxa"/>
            <w:vAlign w:val="bottom"/>
            <w:tcBorders>
              <w:bottom w:val="single" w:sz="8" w:color="999999"/>
            </w:tcBorders>
          </w:tcPr>
          <w:p>
            <w:pPr>
              <w:jc w:val="right"/>
              <w:ind w:right="589"/>
              <w:spacing w:after="0" w:line="159" w:lineRule="exact"/>
              <w:rPr>
                <w:sz w:val="20"/>
                <w:szCs w:val="20"/>
                <w:color w:val="auto"/>
              </w:rPr>
            </w:pPr>
            <w:r>
              <w:rPr>
                <w:rFonts w:ascii="Arial" w:cs="Arial" w:eastAsia="Arial" w:hAnsi="Arial"/>
                <w:sz w:val="14"/>
                <w:szCs w:val="14"/>
                <w:color w:val="auto"/>
              </w:rPr>
              <w:t>17,400</w:t>
            </w:r>
          </w:p>
        </w:tc>
        <w:tc>
          <w:tcPr>
            <w:tcW w:w="1680" w:type="dxa"/>
            <w:vAlign w:val="bottom"/>
            <w:tcBorders>
              <w:bottom w:val="single" w:sz="8" w:color="999999"/>
            </w:tcBorders>
          </w:tcPr>
          <w:p>
            <w:pPr>
              <w:jc w:val="right"/>
              <w:ind w:right="529"/>
              <w:spacing w:after="0" w:line="159" w:lineRule="exact"/>
              <w:rPr>
                <w:sz w:val="20"/>
                <w:szCs w:val="20"/>
                <w:color w:val="auto"/>
              </w:rPr>
            </w:pPr>
            <w:r>
              <w:rPr>
                <w:rFonts w:ascii="Arial" w:cs="Arial" w:eastAsia="Arial" w:hAnsi="Arial"/>
                <w:sz w:val="14"/>
                <w:szCs w:val="14"/>
                <w:color w:val="auto"/>
              </w:rPr>
              <w:t>4,770</w:t>
            </w:r>
          </w:p>
        </w:tc>
        <w:tc>
          <w:tcPr>
            <w:tcW w:w="1440" w:type="dxa"/>
            <w:vAlign w:val="bottom"/>
            <w:tcBorders>
              <w:bottom w:val="single" w:sz="8" w:color="999999"/>
            </w:tcBorders>
          </w:tcPr>
          <w:p>
            <w:pPr>
              <w:jc w:val="right"/>
              <w:ind w:right="209"/>
              <w:spacing w:after="0" w:line="159" w:lineRule="exact"/>
              <w:rPr>
                <w:sz w:val="20"/>
                <w:szCs w:val="20"/>
                <w:color w:val="auto"/>
              </w:rPr>
            </w:pPr>
            <w:r>
              <w:rPr>
                <w:rFonts w:ascii="Arial" w:cs="Arial" w:eastAsia="Arial" w:hAnsi="Arial"/>
                <w:sz w:val="14"/>
                <w:szCs w:val="14"/>
                <w:color w:val="auto"/>
              </w:rPr>
              <w:t>33,380</w:t>
            </w:r>
          </w:p>
        </w:tc>
      </w:tr>
      <w:tr>
        <w:trPr>
          <w:trHeight w:val="153"/>
        </w:trPr>
        <w:tc>
          <w:tcPr>
            <w:tcW w:w="1960" w:type="dxa"/>
            <w:vAlign w:val="bottom"/>
            <w:tcBorders>
              <w:bottom w:val="single" w:sz="8" w:color="999999"/>
            </w:tcBorders>
          </w:tcPr>
          <w:p>
            <w:pPr>
              <w:spacing w:after="0" w:line="153" w:lineRule="exact"/>
              <w:rPr>
                <w:sz w:val="20"/>
                <w:szCs w:val="20"/>
                <w:color w:val="auto"/>
              </w:rPr>
            </w:pPr>
            <w:r>
              <w:rPr>
                <w:rFonts w:ascii="Arial" w:cs="Arial" w:eastAsia="Arial" w:hAnsi="Arial"/>
                <w:sz w:val="14"/>
                <w:szCs w:val="14"/>
                <w:color w:val="auto"/>
              </w:rPr>
              <w:t>C. Mark Hussey</w:t>
            </w:r>
          </w:p>
        </w:tc>
        <w:tc>
          <w:tcPr>
            <w:tcW w:w="2100" w:type="dxa"/>
            <w:vAlign w:val="bottom"/>
            <w:tcBorders>
              <w:bottom w:val="single" w:sz="8" w:color="999999"/>
            </w:tcBorders>
          </w:tcPr>
          <w:p>
            <w:pPr>
              <w:jc w:val="right"/>
              <w:ind w:right="549"/>
              <w:spacing w:after="0" w:line="153" w:lineRule="exact"/>
              <w:rPr>
                <w:sz w:val="20"/>
                <w:szCs w:val="20"/>
                <w:color w:val="auto"/>
              </w:rPr>
            </w:pPr>
            <w:r>
              <w:rPr>
                <w:rFonts w:ascii="Arial" w:cs="Arial" w:eastAsia="Arial" w:hAnsi="Arial"/>
                <w:sz w:val="14"/>
                <w:szCs w:val="14"/>
                <w:color w:val="auto"/>
              </w:rPr>
              <w:t>7,101</w:t>
            </w:r>
          </w:p>
        </w:tc>
        <w:tc>
          <w:tcPr>
            <w:tcW w:w="1760" w:type="dxa"/>
            <w:vAlign w:val="bottom"/>
            <w:tcBorders>
              <w:bottom w:val="single" w:sz="8" w:color="999999"/>
            </w:tcBorders>
          </w:tcPr>
          <w:p>
            <w:pPr>
              <w:jc w:val="right"/>
              <w:ind w:right="489"/>
              <w:spacing w:after="0" w:line="153" w:lineRule="exact"/>
              <w:rPr>
                <w:sz w:val="20"/>
                <w:szCs w:val="20"/>
                <w:color w:val="auto"/>
              </w:rPr>
            </w:pPr>
            <w:r>
              <w:rPr>
                <w:rFonts w:ascii="Arial" w:cs="Arial" w:eastAsia="Arial" w:hAnsi="Arial"/>
                <w:sz w:val="14"/>
                <w:szCs w:val="14"/>
                <w:color w:val="auto"/>
              </w:rPr>
              <w:t>5,648</w:t>
            </w:r>
          </w:p>
        </w:tc>
        <w:tc>
          <w:tcPr>
            <w:tcW w:w="1920" w:type="dxa"/>
            <w:vAlign w:val="bottom"/>
            <w:tcBorders>
              <w:bottom w:val="single" w:sz="8" w:color="999999"/>
            </w:tcBorders>
          </w:tcPr>
          <w:p>
            <w:pPr>
              <w:jc w:val="right"/>
              <w:ind w:right="589"/>
              <w:spacing w:after="0" w:line="153" w:lineRule="exact"/>
              <w:rPr>
                <w:sz w:val="20"/>
                <w:szCs w:val="20"/>
                <w:color w:val="auto"/>
              </w:rPr>
            </w:pPr>
            <w:r>
              <w:rPr>
                <w:rFonts w:ascii="Arial" w:cs="Arial" w:eastAsia="Arial" w:hAnsi="Arial"/>
                <w:sz w:val="14"/>
                <w:szCs w:val="14"/>
                <w:color w:val="auto"/>
              </w:rPr>
              <w:t>17,400</w:t>
            </w:r>
          </w:p>
        </w:tc>
        <w:tc>
          <w:tcPr>
            <w:tcW w:w="1680" w:type="dxa"/>
            <w:vAlign w:val="bottom"/>
            <w:tcBorders>
              <w:bottom w:val="single" w:sz="8" w:color="999999"/>
            </w:tcBorders>
          </w:tcPr>
          <w:p>
            <w:pPr>
              <w:jc w:val="right"/>
              <w:ind w:right="529"/>
              <w:spacing w:after="0" w:line="153" w:lineRule="exact"/>
              <w:rPr>
                <w:sz w:val="20"/>
                <w:szCs w:val="20"/>
                <w:color w:val="auto"/>
              </w:rPr>
            </w:pPr>
            <w:r>
              <w:rPr>
                <w:rFonts w:ascii="Arial" w:cs="Arial" w:eastAsia="Arial" w:hAnsi="Arial"/>
                <w:sz w:val="14"/>
                <w:szCs w:val="14"/>
                <w:color w:val="auto"/>
              </w:rPr>
              <w:t>5,245</w:t>
            </w:r>
          </w:p>
        </w:tc>
        <w:tc>
          <w:tcPr>
            <w:tcW w:w="1440" w:type="dxa"/>
            <w:vAlign w:val="bottom"/>
            <w:tcBorders>
              <w:bottom w:val="single" w:sz="8" w:color="999999"/>
            </w:tcBorders>
          </w:tcPr>
          <w:p>
            <w:pPr>
              <w:jc w:val="right"/>
              <w:ind w:right="209"/>
              <w:spacing w:after="0" w:line="153" w:lineRule="exact"/>
              <w:rPr>
                <w:sz w:val="20"/>
                <w:szCs w:val="20"/>
                <w:color w:val="auto"/>
              </w:rPr>
            </w:pPr>
            <w:r>
              <w:rPr>
                <w:rFonts w:ascii="Arial" w:cs="Arial" w:eastAsia="Arial" w:hAnsi="Arial"/>
                <w:sz w:val="14"/>
                <w:szCs w:val="14"/>
                <w:color w:val="auto"/>
              </w:rPr>
              <w:t>35,394</w:t>
            </w:r>
          </w:p>
        </w:tc>
      </w:tr>
      <w:tr>
        <w:trPr>
          <w:trHeight w:val="153"/>
        </w:trPr>
        <w:tc>
          <w:tcPr>
            <w:tcW w:w="1960" w:type="dxa"/>
            <w:vAlign w:val="bottom"/>
            <w:tcBorders>
              <w:bottom w:val="single" w:sz="8" w:color="999999"/>
            </w:tcBorders>
          </w:tcPr>
          <w:p>
            <w:pPr>
              <w:spacing w:after="0" w:line="153" w:lineRule="exact"/>
              <w:rPr>
                <w:sz w:val="20"/>
                <w:szCs w:val="20"/>
                <w:color w:val="auto"/>
              </w:rPr>
            </w:pPr>
            <w:r>
              <w:rPr>
                <w:rFonts w:ascii="Arial" w:cs="Arial" w:eastAsia="Arial" w:hAnsi="Arial"/>
                <w:sz w:val="14"/>
                <w:szCs w:val="14"/>
                <w:color w:val="auto"/>
              </w:rPr>
              <w:t>John D. Kelly</w:t>
            </w:r>
          </w:p>
        </w:tc>
        <w:tc>
          <w:tcPr>
            <w:tcW w:w="2100" w:type="dxa"/>
            <w:vAlign w:val="bottom"/>
            <w:tcBorders>
              <w:bottom w:val="single" w:sz="8" w:color="999999"/>
            </w:tcBorders>
          </w:tcPr>
          <w:p>
            <w:pPr>
              <w:jc w:val="right"/>
              <w:ind w:right="549"/>
              <w:spacing w:after="0" w:line="153" w:lineRule="exact"/>
              <w:rPr>
                <w:sz w:val="20"/>
                <w:szCs w:val="20"/>
                <w:color w:val="auto"/>
              </w:rPr>
            </w:pPr>
            <w:r>
              <w:rPr>
                <w:rFonts w:ascii="Arial" w:cs="Arial" w:eastAsia="Arial" w:hAnsi="Arial"/>
                <w:sz w:val="14"/>
                <w:szCs w:val="14"/>
                <w:color w:val="auto"/>
              </w:rPr>
              <w:t>3,749</w:t>
            </w:r>
          </w:p>
        </w:tc>
        <w:tc>
          <w:tcPr>
            <w:tcW w:w="1760" w:type="dxa"/>
            <w:vAlign w:val="bottom"/>
            <w:tcBorders>
              <w:bottom w:val="single" w:sz="8" w:color="999999"/>
            </w:tcBorders>
          </w:tcPr>
          <w:p>
            <w:pPr>
              <w:jc w:val="right"/>
              <w:ind w:right="489"/>
              <w:spacing w:after="0" w:line="153" w:lineRule="exact"/>
              <w:rPr>
                <w:sz w:val="20"/>
                <w:szCs w:val="20"/>
                <w:color w:val="auto"/>
              </w:rPr>
            </w:pPr>
            <w:r>
              <w:rPr>
                <w:rFonts w:ascii="Arial" w:cs="Arial" w:eastAsia="Arial" w:hAnsi="Arial"/>
                <w:sz w:val="14"/>
                <w:szCs w:val="14"/>
                <w:color w:val="auto"/>
              </w:rPr>
              <w:t>1,058</w:t>
            </w:r>
          </w:p>
        </w:tc>
        <w:tc>
          <w:tcPr>
            <w:tcW w:w="1920" w:type="dxa"/>
            <w:vAlign w:val="bottom"/>
            <w:tcBorders>
              <w:bottom w:val="single" w:sz="8" w:color="999999"/>
            </w:tcBorders>
          </w:tcPr>
          <w:p>
            <w:pPr>
              <w:jc w:val="right"/>
              <w:ind w:right="589"/>
              <w:spacing w:after="0" w:line="153" w:lineRule="exact"/>
              <w:rPr>
                <w:sz w:val="20"/>
                <w:szCs w:val="20"/>
                <w:color w:val="auto"/>
              </w:rPr>
            </w:pPr>
            <w:r>
              <w:rPr>
                <w:rFonts w:ascii="Arial" w:cs="Arial" w:eastAsia="Arial" w:hAnsi="Arial"/>
                <w:sz w:val="14"/>
                <w:szCs w:val="14"/>
                <w:color w:val="auto"/>
              </w:rPr>
              <w:t>17,400</w:t>
            </w:r>
          </w:p>
        </w:tc>
        <w:tc>
          <w:tcPr>
            <w:tcW w:w="1680" w:type="dxa"/>
            <w:vAlign w:val="bottom"/>
            <w:tcBorders>
              <w:bottom w:val="single" w:sz="8" w:color="999999"/>
            </w:tcBorders>
          </w:tcPr>
          <w:p>
            <w:pPr>
              <w:jc w:val="right"/>
              <w:ind w:right="529"/>
              <w:spacing w:after="0" w:line="153" w:lineRule="exact"/>
              <w:rPr>
                <w:sz w:val="20"/>
                <w:szCs w:val="20"/>
                <w:color w:val="auto"/>
              </w:rPr>
            </w:pPr>
            <w:r>
              <w:rPr>
                <w:rFonts w:ascii="Arial" w:cs="Arial" w:eastAsia="Arial" w:hAnsi="Arial"/>
                <w:sz w:val="14"/>
                <w:szCs w:val="14"/>
                <w:color w:val="auto"/>
              </w:rPr>
              <w:t>4,770</w:t>
            </w:r>
          </w:p>
        </w:tc>
        <w:tc>
          <w:tcPr>
            <w:tcW w:w="1440" w:type="dxa"/>
            <w:vAlign w:val="bottom"/>
            <w:tcBorders>
              <w:bottom w:val="single" w:sz="8" w:color="999999"/>
            </w:tcBorders>
          </w:tcPr>
          <w:p>
            <w:pPr>
              <w:jc w:val="right"/>
              <w:ind w:right="209"/>
              <w:spacing w:after="0" w:line="153" w:lineRule="exact"/>
              <w:rPr>
                <w:sz w:val="20"/>
                <w:szCs w:val="20"/>
                <w:color w:val="auto"/>
              </w:rPr>
            </w:pPr>
            <w:r>
              <w:rPr>
                <w:rFonts w:ascii="Arial" w:cs="Arial" w:eastAsia="Arial" w:hAnsi="Arial"/>
                <w:sz w:val="14"/>
                <w:szCs w:val="14"/>
                <w:color w:val="auto"/>
              </w:rPr>
              <w:t>26,977</w:t>
            </w:r>
          </w:p>
        </w:tc>
      </w:tr>
      <w:tr>
        <w:trPr>
          <w:trHeight w:val="153"/>
        </w:trPr>
        <w:tc>
          <w:tcPr>
            <w:tcW w:w="1960" w:type="dxa"/>
            <w:vAlign w:val="bottom"/>
            <w:tcBorders>
              <w:bottom w:val="single" w:sz="8" w:color="00548B"/>
            </w:tcBorders>
          </w:tcPr>
          <w:p>
            <w:pPr>
              <w:spacing w:after="0" w:line="153" w:lineRule="exact"/>
              <w:rPr>
                <w:sz w:val="20"/>
                <w:szCs w:val="20"/>
                <w:color w:val="auto"/>
              </w:rPr>
            </w:pPr>
            <w:r>
              <w:rPr>
                <w:rFonts w:ascii="Arial" w:cs="Arial" w:eastAsia="Arial" w:hAnsi="Arial"/>
                <w:sz w:val="14"/>
                <w:szCs w:val="14"/>
                <w:color w:val="auto"/>
              </w:rPr>
              <w:t>Ernest W. Torain, Jr.</w:t>
            </w:r>
          </w:p>
        </w:tc>
        <w:tc>
          <w:tcPr>
            <w:tcW w:w="2100" w:type="dxa"/>
            <w:vAlign w:val="bottom"/>
            <w:tcBorders>
              <w:bottom w:val="single" w:sz="8" w:color="00548B"/>
            </w:tcBorders>
          </w:tcPr>
          <w:p>
            <w:pPr>
              <w:jc w:val="right"/>
              <w:ind w:right="549"/>
              <w:spacing w:after="0" w:line="153" w:lineRule="exact"/>
              <w:rPr>
                <w:sz w:val="20"/>
                <w:szCs w:val="20"/>
                <w:color w:val="auto"/>
              </w:rPr>
            </w:pPr>
            <w:r>
              <w:rPr>
                <w:rFonts w:ascii="Arial" w:cs="Arial" w:eastAsia="Arial" w:hAnsi="Arial"/>
                <w:sz w:val="14"/>
                <w:szCs w:val="14"/>
                <w:color w:val="auto"/>
              </w:rPr>
              <w:t>3,910</w:t>
            </w:r>
          </w:p>
        </w:tc>
        <w:tc>
          <w:tcPr>
            <w:tcW w:w="1760" w:type="dxa"/>
            <w:vAlign w:val="bottom"/>
            <w:tcBorders>
              <w:bottom w:val="single" w:sz="8" w:color="00548B"/>
            </w:tcBorders>
          </w:tcPr>
          <w:p>
            <w:pPr>
              <w:jc w:val="right"/>
              <w:ind w:right="489"/>
              <w:spacing w:after="0" w:line="153" w:lineRule="exact"/>
              <w:rPr>
                <w:sz w:val="20"/>
                <w:szCs w:val="20"/>
                <w:color w:val="auto"/>
              </w:rPr>
            </w:pPr>
            <w:r>
              <w:rPr>
                <w:rFonts w:ascii="Arial" w:cs="Arial" w:eastAsia="Arial" w:hAnsi="Arial"/>
                <w:sz w:val="14"/>
                <w:szCs w:val="14"/>
                <w:color w:val="auto"/>
              </w:rPr>
              <w:t>4,944</w:t>
            </w:r>
          </w:p>
        </w:tc>
        <w:tc>
          <w:tcPr>
            <w:tcW w:w="1920" w:type="dxa"/>
            <w:vAlign w:val="bottom"/>
            <w:tcBorders>
              <w:bottom w:val="single" w:sz="8" w:color="00548B"/>
            </w:tcBorders>
          </w:tcPr>
          <w:p>
            <w:pPr>
              <w:jc w:val="right"/>
              <w:ind w:right="589"/>
              <w:spacing w:after="0" w:line="153" w:lineRule="exact"/>
              <w:rPr>
                <w:sz w:val="20"/>
                <w:szCs w:val="20"/>
                <w:color w:val="auto"/>
              </w:rPr>
            </w:pPr>
            <w:r>
              <w:rPr>
                <w:rFonts w:ascii="Arial" w:cs="Arial" w:eastAsia="Arial" w:hAnsi="Arial"/>
                <w:sz w:val="14"/>
                <w:szCs w:val="14"/>
                <w:color w:val="auto"/>
              </w:rPr>
              <w:t>17,400</w:t>
            </w:r>
          </w:p>
        </w:tc>
        <w:tc>
          <w:tcPr>
            <w:tcW w:w="1680" w:type="dxa"/>
            <w:vAlign w:val="bottom"/>
            <w:tcBorders>
              <w:bottom w:val="single" w:sz="8" w:color="00548B"/>
            </w:tcBorders>
          </w:tcPr>
          <w:p>
            <w:pPr>
              <w:jc w:val="right"/>
              <w:ind w:right="529"/>
              <w:spacing w:after="0" w:line="153" w:lineRule="exact"/>
              <w:rPr>
                <w:sz w:val="20"/>
                <w:szCs w:val="20"/>
                <w:color w:val="auto"/>
              </w:rPr>
            </w:pPr>
            <w:r>
              <w:rPr>
                <w:rFonts w:ascii="Arial" w:cs="Arial" w:eastAsia="Arial" w:hAnsi="Arial"/>
                <w:sz w:val="14"/>
                <w:szCs w:val="14"/>
                <w:color w:val="auto"/>
              </w:rPr>
              <w:t>4,770</w:t>
            </w:r>
          </w:p>
        </w:tc>
        <w:tc>
          <w:tcPr>
            <w:tcW w:w="1440" w:type="dxa"/>
            <w:vAlign w:val="bottom"/>
            <w:tcBorders>
              <w:bottom w:val="single" w:sz="8" w:color="00548B"/>
            </w:tcBorders>
          </w:tcPr>
          <w:p>
            <w:pPr>
              <w:jc w:val="right"/>
              <w:ind w:right="209"/>
              <w:spacing w:after="0" w:line="153" w:lineRule="exact"/>
              <w:rPr>
                <w:sz w:val="20"/>
                <w:szCs w:val="20"/>
                <w:color w:val="auto"/>
              </w:rPr>
            </w:pPr>
            <w:r>
              <w:rPr>
                <w:rFonts w:ascii="Arial" w:cs="Arial" w:eastAsia="Arial" w:hAnsi="Arial"/>
                <w:sz w:val="14"/>
                <w:szCs w:val="14"/>
                <w:color w:val="auto"/>
              </w:rPr>
              <w:t>31,024</w:t>
            </w:r>
          </w:p>
        </w:tc>
      </w:tr>
    </w:tbl>
    <w:p>
      <w:pPr>
        <w:spacing w:after="0" w:line="215" w:lineRule="exact"/>
        <w:rPr>
          <w:sz w:val="20"/>
          <w:szCs w:val="20"/>
          <w:color w:val="auto"/>
        </w:rPr>
      </w:pPr>
    </w:p>
    <w:p>
      <w:pPr>
        <w:ind w:left="740" w:hanging="541"/>
        <w:spacing w:after="0"/>
        <w:tabs>
          <w:tab w:leader="none" w:pos="7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Executive Long-Term Disability is provided to all executives and managing directors.</w:t>
      </w:r>
    </w:p>
    <w:p>
      <w:pPr>
        <w:spacing w:after="0" w:line="81" w:lineRule="exact"/>
        <w:rPr>
          <w:rFonts w:ascii="Arial" w:cs="Arial" w:eastAsia="Arial" w:hAnsi="Arial"/>
          <w:sz w:val="16"/>
          <w:szCs w:val="16"/>
          <w:color w:val="auto"/>
        </w:rPr>
      </w:pPr>
    </w:p>
    <w:p>
      <w:pPr>
        <w:ind w:left="740" w:hanging="541"/>
        <w:spacing w:after="0"/>
        <w:tabs>
          <w:tab w:leader="none" w:pos="7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Executive Term Life Insurance is provided to all executives and managing directors.</w:t>
      </w:r>
    </w:p>
    <w:p>
      <w:pPr>
        <w:spacing w:after="0" w:line="81" w:lineRule="exact"/>
        <w:rPr>
          <w:rFonts w:ascii="Arial" w:cs="Arial" w:eastAsia="Arial" w:hAnsi="Arial"/>
          <w:sz w:val="16"/>
          <w:szCs w:val="16"/>
          <w:color w:val="auto"/>
        </w:rPr>
      </w:pPr>
    </w:p>
    <w:p>
      <w:pPr>
        <w:ind w:left="740" w:hanging="541"/>
        <w:spacing w:after="0"/>
        <w:tabs>
          <w:tab w:leader="none" w:pos="7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Huron provides a Company 401(k) match to all participating employees.</w:t>
      </w:r>
    </w:p>
    <w:p>
      <w:pPr>
        <w:spacing w:after="0" w:line="81" w:lineRule="exact"/>
        <w:rPr>
          <w:rFonts w:ascii="Arial" w:cs="Arial" w:eastAsia="Arial" w:hAnsi="Arial"/>
          <w:sz w:val="16"/>
          <w:szCs w:val="16"/>
          <w:color w:val="auto"/>
        </w:rPr>
      </w:pPr>
    </w:p>
    <w:p>
      <w:pPr>
        <w:ind w:left="740" w:hanging="541"/>
        <w:spacing w:after="0"/>
        <w:tabs>
          <w:tab w:leader="none" w:pos="7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Other Benefits and Perquisites include the cost of executive physicals, which Huron pays for executives and certain managing directors.</w:t>
      </w:r>
    </w:p>
    <w:p>
      <w:pPr>
        <w:spacing w:after="0" w:line="14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00548B"/>
        </w:rPr>
        <w:t>39</w:t>
      </w:r>
    </w:p>
    <w:p>
      <w:pPr>
        <w:sectPr>
          <w:pgSz w:w="11900" w:h="16838" w:orient="portrait"/>
          <w:cols w:equalWidth="0" w:num="1">
            <w:col w:w="11060"/>
          </w:cols>
          <w:pgMar w:left="320" w:top="454" w:right="5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CEO Pay Ratio</w:t>
      </w:r>
    </w:p>
    <w:p>
      <w:pPr>
        <w:spacing w:after="0" w:line="20" w:lineRule="exact"/>
        <w:rPr>
          <w:sz w:val="20"/>
          <w:szCs w:val="20"/>
          <w:color w:val="auto"/>
        </w:rPr>
      </w:pPr>
    </w:p>
    <w:p>
      <w:pPr>
        <w:jc w:val="both"/>
        <w:ind w:left="200"/>
        <w:spacing w:after="0" w:line="245" w:lineRule="auto"/>
        <w:rPr>
          <w:sz w:val="20"/>
          <w:szCs w:val="20"/>
          <w:color w:val="auto"/>
        </w:rPr>
      </w:pPr>
      <w:r>
        <w:rPr>
          <w:rFonts w:ascii="Arial" w:cs="Arial" w:eastAsia="Arial" w:hAnsi="Arial"/>
          <w:sz w:val="16"/>
          <w:szCs w:val="16"/>
          <w:color w:val="auto"/>
        </w:rPr>
        <w:t>As required by Section 953(b) of the Dodd-Frank Wall Street Reform and Consumer Protection Act, the Company is providing the following disclosure about the relationship of the annual total compensation of our median-paid employee to the annual total compensation of Mr. Roth, our CEO. We believe that the pay ratio disclosed below is a reasonable estimate calculated in a manner consistent with Item 402(u) of Regulation S-K. SEC rules for identifying the median employee and calculating the pay ratio allow companies to apply various methodologies and apply various assumptions and, as a result, the pay ratio reported by us may not be comparable to the pay ratio reported by other companies.</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For 2021,</w:t>
      </w:r>
    </w:p>
    <w:p>
      <w:pPr>
        <w:spacing w:after="0" w:line="122" w:lineRule="exact"/>
        <w:rPr>
          <w:sz w:val="20"/>
          <w:szCs w:val="20"/>
          <w:color w:val="auto"/>
        </w:rPr>
      </w:pPr>
    </w:p>
    <w:p>
      <w:pPr>
        <w:ind w:left="1060" w:hanging="329"/>
        <w:spacing w:after="0"/>
        <w:tabs>
          <w:tab w:leader="none" w:pos="1060" w:val="left"/>
        </w:tabs>
        <w:numPr>
          <w:ilvl w:val="0"/>
          <w:numId w:val="32"/>
        </w:numPr>
        <w:rPr>
          <w:rFonts w:ascii="Arial" w:cs="Arial" w:eastAsia="Arial" w:hAnsi="Arial"/>
          <w:sz w:val="16"/>
          <w:szCs w:val="16"/>
          <w:color w:val="00548B"/>
        </w:rPr>
      </w:pPr>
      <w:r>
        <w:rPr>
          <w:rFonts w:ascii="Arial" w:cs="Arial" w:eastAsia="Arial" w:hAnsi="Arial"/>
          <w:sz w:val="16"/>
          <w:szCs w:val="16"/>
          <w:color w:val="auto"/>
        </w:rPr>
        <w:t>The annual total compensation of our median employee, was $146,370.</w:t>
      </w:r>
    </w:p>
    <w:p>
      <w:pPr>
        <w:spacing w:after="0" w:line="2" w:lineRule="exact"/>
        <w:rPr>
          <w:rFonts w:ascii="Arial" w:cs="Arial" w:eastAsia="Arial" w:hAnsi="Arial"/>
          <w:sz w:val="16"/>
          <w:szCs w:val="16"/>
          <w:color w:val="00548B"/>
        </w:rPr>
      </w:pPr>
    </w:p>
    <w:p>
      <w:pPr>
        <w:ind w:left="1060" w:hanging="329"/>
        <w:spacing w:after="0"/>
        <w:tabs>
          <w:tab w:leader="none" w:pos="1060" w:val="left"/>
        </w:tabs>
        <w:numPr>
          <w:ilvl w:val="0"/>
          <w:numId w:val="32"/>
        </w:numPr>
        <w:rPr>
          <w:rFonts w:ascii="Arial" w:cs="Arial" w:eastAsia="Arial" w:hAnsi="Arial"/>
          <w:sz w:val="16"/>
          <w:szCs w:val="16"/>
          <w:color w:val="00548B"/>
        </w:rPr>
      </w:pPr>
      <w:r>
        <w:rPr>
          <w:rFonts w:ascii="Arial" w:cs="Arial" w:eastAsia="Arial" w:hAnsi="Arial"/>
          <w:sz w:val="16"/>
          <w:szCs w:val="16"/>
          <w:color w:val="auto"/>
        </w:rPr>
        <w:t>Mr. Roth’s annual total compensation, as reflected in the Summary Compensation Table included in this Proxy Statement, was $3,595,855.</w:t>
      </w:r>
    </w:p>
    <w:p>
      <w:pPr>
        <w:spacing w:after="0" w:line="2" w:lineRule="exact"/>
        <w:rPr>
          <w:rFonts w:ascii="Arial" w:cs="Arial" w:eastAsia="Arial" w:hAnsi="Arial"/>
          <w:sz w:val="16"/>
          <w:szCs w:val="16"/>
          <w:color w:val="00548B"/>
        </w:rPr>
      </w:pPr>
    </w:p>
    <w:p>
      <w:pPr>
        <w:ind w:left="1060" w:hanging="329"/>
        <w:spacing w:after="0" w:line="253" w:lineRule="auto"/>
        <w:tabs>
          <w:tab w:leader="none" w:pos="1060" w:val="left"/>
        </w:tabs>
        <w:numPr>
          <w:ilvl w:val="0"/>
          <w:numId w:val="32"/>
        </w:numPr>
        <w:rPr>
          <w:rFonts w:ascii="Arial" w:cs="Arial" w:eastAsia="Arial" w:hAnsi="Arial"/>
          <w:sz w:val="16"/>
          <w:szCs w:val="16"/>
          <w:color w:val="00548B"/>
        </w:rPr>
      </w:pPr>
      <w:r>
        <w:rPr>
          <w:rFonts w:ascii="Arial" w:cs="Arial" w:eastAsia="Arial" w:hAnsi="Arial"/>
          <w:sz w:val="16"/>
          <w:szCs w:val="16"/>
          <w:color w:val="auto"/>
        </w:rPr>
        <w:t>Based on this information, the ratio of the annual total compensation of Mr. Roth to the annual total compensation of our median employee is estimated to be 24.6 to 1.</w:t>
      </w:r>
    </w:p>
    <w:p>
      <w:pPr>
        <w:spacing w:after="0" w:line="157" w:lineRule="exact"/>
        <w:rPr>
          <w:sz w:val="20"/>
          <w:szCs w:val="20"/>
          <w:color w:val="auto"/>
        </w:rPr>
      </w:pPr>
    </w:p>
    <w:p>
      <w:pPr>
        <w:jc w:val="both"/>
        <w:ind w:left="200"/>
        <w:spacing w:after="0" w:line="244" w:lineRule="auto"/>
        <w:rPr>
          <w:sz w:val="20"/>
          <w:szCs w:val="20"/>
          <w:color w:val="auto"/>
        </w:rPr>
      </w:pPr>
      <w:r>
        <w:rPr>
          <w:rFonts w:ascii="Arial" w:cs="Arial" w:eastAsia="Arial" w:hAnsi="Arial"/>
          <w:sz w:val="16"/>
          <w:szCs w:val="16"/>
          <w:color w:val="auto"/>
        </w:rPr>
        <w:t>The calculation of the 2021 CEO Pay Ratio used the same median employee as used in 2019 and 2020. As permitted by SEC rules, we used the same median employee that was identified in the preparation of our pay ratio in 2019 because there has been no change in our employee population or compensation arrangements that we believe would significantly impact our pay ratio disclosure. In 2019, we identified the median employee by examining the 2019 total compensation for all individuals using the same methodology we use for our NEOs as set forth in the 2019 Summary Compensation Table, excluding our CEO, who were employed by us on December 31, 2019. We included all employees, whether employed on a full-time or part-time basis. We annualized the base compensation and bonus for all employees that were not employed by us for all of 2019 unless they were designated as temporary or seasonal positions.</w:t>
      </w:r>
    </w:p>
    <w:p>
      <w:pPr>
        <w:spacing w:after="0" w:line="167" w:lineRule="exact"/>
        <w:rPr>
          <w:sz w:val="20"/>
          <w:szCs w:val="20"/>
          <w:color w:val="auto"/>
        </w:rPr>
      </w:pPr>
    </w:p>
    <w:p>
      <w:pPr>
        <w:jc w:val="both"/>
        <w:ind w:left="200"/>
        <w:spacing w:after="0" w:line="246" w:lineRule="auto"/>
        <w:rPr>
          <w:sz w:val="20"/>
          <w:szCs w:val="20"/>
          <w:color w:val="auto"/>
        </w:rPr>
      </w:pPr>
      <w:r>
        <w:rPr>
          <w:rFonts w:ascii="Arial" w:cs="Arial" w:eastAsia="Arial" w:hAnsi="Arial"/>
          <w:sz w:val="16"/>
          <w:szCs w:val="16"/>
          <w:color w:val="auto"/>
        </w:rPr>
        <w:t>In addition, in order to identify our median employee in 2019, we (i) utilized the exemption permitted under Item 402(u) of Regulation S-K to exclude a total of 140 employees from Canada, the United Kingdom, Singapore, and Switzerland (which, in the aggregate, comprised less than 5% of our total employee population as of December 31, 2019), resulting in a net employee population of 3,811 and (ii) adjusted non-U.S. employee pay applying foreign currency exchange rates as of December 31, 2019.</w:t>
      </w:r>
    </w:p>
    <w:p>
      <w:pPr>
        <w:spacing w:after="0" w:line="176" w:lineRule="exact"/>
        <w:rPr>
          <w:sz w:val="20"/>
          <w:szCs w:val="20"/>
          <w:color w:val="auto"/>
        </w:rPr>
      </w:pPr>
    </w:p>
    <w:p>
      <w:pPr>
        <w:jc w:val="both"/>
        <w:ind w:left="200"/>
        <w:spacing w:after="0" w:line="248" w:lineRule="auto"/>
        <w:rPr>
          <w:sz w:val="20"/>
          <w:szCs w:val="20"/>
          <w:color w:val="auto"/>
        </w:rPr>
      </w:pPr>
      <w:r>
        <w:rPr>
          <w:rFonts w:ascii="Arial" w:cs="Arial" w:eastAsia="Arial" w:hAnsi="Arial"/>
          <w:sz w:val="16"/>
          <w:szCs w:val="16"/>
          <w:color w:val="auto"/>
        </w:rPr>
        <w:t>When identifying the median employee for the 2019 Proxy Statement, we included all forms of compensation, including one-time, special and retention awards to identify our median employee. This resulted in identifying a median employee with compensation substantially similar to that of our median employee in the prior year.</w:t>
      </w:r>
    </w:p>
    <w:p>
      <w:pPr>
        <w:spacing w:after="0" w:line="161"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color w:val="auto"/>
        </w:rPr>
        <w:t>We calculated 2021 annual total compensation for our median employee using the same methodology we use for our NEOs as set forth in the Summary Compensation Table.</w:t>
      </w:r>
    </w:p>
    <w:p>
      <w:pPr>
        <w:spacing w:after="0" w:line="12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40</w:t>
      </w:r>
    </w:p>
    <w:p>
      <w:pPr>
        <w:sectPr>
          <w:pgSz w:w="11900" w:h="16838" w:orient="portrait"/>
          <w:cols w:equalWidth="0" w:num="1">
            <w:col w:w="11040"/>
          </w:cols>
          <w:pgMar w:left="320" w:top="454" w:right="5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2021 G</w:t>
      </w:r>
      <w:r>
        <w:rPr>
          <w:rFonts w:ascii="Arial" w:cs="Arial" w:eastAsia="Arial" w:hAnsi="Arial"/>
          <w:sz w:val="14"/>
          <w:szCs w:val="14"/>
          <w:b w:val="1"/>
          <w:bCs w:val="1"/>
          <w:color w:val="00548B"/>
        </w:rPr>
        <w:t>RANTS OF</w:t>
      </w:r>
      <w:r>
        <w:rPr>
          <w:rFonts w:ascii="Arial" w:cs="Arial" w:eastAsia="Arial" w:hAnsi="Arial"/>
          <w:sz w:val="18"/>
          <w:szCs w:val="18"/>
          <w:b w:val="1"/>
          <w:bCs w:val="1"/>
          <w:color w:val="00548B"/>
        </w:rPr>
        <w:t xml:space="preserve"> P</w:t>
      </w:r>
      <w:r>
        <w:rPr>
          <w:rFonts w:ascii="Arial" w:cs="Arial" w:eastAsia="Arial" w:hAnsi="Arial"/>
          <w:sz w:val="14"/>
          <w:szCs w:val="14"/>
          <w:b w:val="1"/>
          <w:bCs w:val="1"/>
          <w:color w:val="00548B"/>
        </w:rPr>
        <w:t>LAN</w:t>
      </w:r>
      <w:r>
        <w:rPr>
          <w:rFonts w:ascii="Arial" w:cs="Arial" w:eastAsia="Arial" w:hAnsi="Arial"/>
          <w:sz w:val="18"/>
          <w:szCs w:val="18"/>
          <w:b w:val="1"/>
          <w:bCs w:val="1"/>
          <w:color w:val="00548B"/>
        </w:rPr>
        <w:t>-B</w:t>
      </w:r>
      <w:r>
        <w:rPr>
          <w:rFonts w:ascii="Arial" w:cs="Arial" w:eastAsia="Arial" w:hAnsi="Arial"/>
          <w:sz w:val="14"/>
          <w:szCs w:val="14"/>
          <w:b w:val="1"/>
          <w:bCs w:val="1"/>
          <w:color w:val="00548B"/>
        </w:rPr>
        <w:t>ASED</w:t>
      </w:r>
      <w:r>
        <w:rPr>
          <w:rFonts w:ascii="Arial" w:cs="Arial" w:eastAsia="Arial" w:hAnsi="Arial"/>
          <w:sz w:val="18"/>
          <w:szCs w:val="18"/>
          <w:b w:val="1"/>
          <w:bCs w:val="1"/>
          <w:color w:val="00548B"/>
        </w:rPr>
        <w:t xml:space="preserve"> A</w:t>
      </w:r>
      <w:r>
        <w:rPr>
          <w:rFonts w:ascii="Arial" w:cs="Arial" w:eastAsia="Arial" w:hAnsi="Arial"/>
          <w:sz w:val="14"/>
          <w:szCs w:val="14"/>
          <w:b w:val="1"/>
          <w:bCs w:val="1"/>
          <w:color w:val="00548B"/>
        </w:rPr>
        <w:t>WARDS</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following table summarizes the grants of equity awards and annual cash incentive awards for 2021 to each named executive officer.</w:t>
      </w:r>
    </w:p>
    <w:p>
      <w:pPr>
        <w:spacing w:after="0" w:line="188" w:lineRule="exact"/>
        <w:rPr>
          <w:sz w:val="20"/>
          <w:szCs w:val="20"/>
          <w:color w:val="auto"/>
        </w:rPr>
      </w:pPr>
    </w:p>
    <w:tbl>
      <w:tblPr>
        <w:tblLayout w:type="fixed"/>
        <w:tblInd w:w="200" w:type="dxa"/>
        <w:tblCellMar>
          <w:top w:w="0" w:type="dxa"/>
          <w:left w:w="0" w:type="dxa"/>
          <w:bottom w:w="0" w:type="dxa"/>
          <w:right w:w="0" w:type="dxa"/>
        </w:tblCellMar>
      </w:tblPr>
      <w:tr>
        <w:trPr>
          <w:trHeight w:val="138"/>
        </w:trPr>
        <w:tc>
          <w:tcPr>
            <w:tcW w:w="2020" w:type="dxa"/>
            <w:vAlign w:val="bottom"/>
            <w:shd w:val="clear" w:color="auto" w:fill="00548B"/>
          </w:tcPr>
          <w:p>
            <w:pPr>
              <w:spacing w:after="0"/>
              <w:rPr>
                <w:sz w:val="12"/>
                <w:szCs w:val="12"/>
                <w:color w:val="auto"/>
              </w:rPr>
            </w:pPr>
          </w:p>
        </w:tc>
        <w:tc>
          <w:tcPr>
            <w:tcW w:w="700" w:type="dxa"/>
            <w:vAlign w:val="bottom"/>
            <w:shd w:val="clear" w:color="auto" w:fill="00548B"/>
          </w:tcPr>
          <w:p>
            <w:pPr>
              <w:spacing w:after="0"/>
              <w:rPr>
                <w:sz w:val="12"/>
                <w:szCs w:val="12"/>
                <w:color w:val="auto"/>
              </w:rPr>
            </w:pPr>
          </w:p>
        </w:tc>
        <w:tc>
          <w:tcPr>
            <w:tcW w:w="1000" w:type="dxa"/>
            <w:vAlign w:val="bottom"/>
            <w:shd w:val="clear" w:color="auto" w:fill="00548B"/>
          </w:tcPr>
          <w:p>
            <w:pPr>
              <w:spacing w:after="0"/>
              <w:rPr>
                <w:sz w:val="12"/>
                <w:szCs w:val="12"/>
                <w:color w:val="auto"/>
              </w:rPr>
            </w:pPr>
          </w:p>
        </w:tc>
        <w:tc>
          <w:tcPr>
            <w:tcW w:w="3060" w:type="dxa"/>
            <w:vAlign w:val="bottom"/>
            <w:gridSpan w:val="3"/>
            <w:shd w:val="clear" w:color="auto" w:fill="00548B"/>
          </w:tcPr>
          <w:p>
            <w:pPr>
              <w:jc w:val="center"/>
              <w:ind w:right="118"/>
              <w:spacing w:after="0"/>
              <w:rPr>
                <w:sz w:val="20"/>
                <w:szCs w:val="20"/>
                <w:color w:val="auto"/>
              </w:rPr>
            </w:pPr>
            <w:r>
              <w:rPr>
                <w:rFonts w:ascii="Arial" w:cs="Arial" w:eastAsia="Arial" w:hAnsi="Arial"/>
                <w:sz w:val="12"/>
                <w:szCs w:val="12"/>
                <w:b w:val="1"/>
                <w:bCs w:val="1"/>
                <w:color w:val="D8D8D8"/>
              </w:rPr>
              <w:t>Estimated Future Payouts Under</w:t>
            </w:r>
          </w:p>
        </w:tc>
        <w:tc>
          <w:tcPr>
            <w:tcW w:w="2700" w:type="dxa"/>
            <w:vAlign w:val="bottom"/>
            <w:gridSpan w:val="3"/>
            <w:shd w:val="clear" w:color="auto" w:fill="00548B"/>
          </w:tcPr>
          <w:p>
            <w:pPr>
              <w:jc w:val="center"/>
              <w:spacing w:after="0"/>
              <w:rPr>
                <w:sz w:val="20"/>
                <w:szCs w:val="20"/>
                <w:color w:val="auto"/>
              </w:rPr>
            </w:pPr>
            <w:r>
              <w:rPr>
                <w:rFonts w:ascii="Arial" w:cs="Arial" w:eastAsia="Arial" w:hAnsi="Arial"/>
                <w:sz w:val="12"/>
                <w:szCs w:val="12"/>
                <w:b w:val="1"/>
                <w:bCs w:val="1"/>
                <w:color w:val="D8D8D8"/>
              </w:rPr>
              <w:t>Estimated Future Payouts</w:t>
            </w:r>
          </w:p>
        </w:tc>
        <w:tc>
          <w:tcPr>
            <w:tcW w:w="740" w:type="dxa"/>
            <w:vAlign w:val="bottom"/>
            <w:shd w:val="clear" w:color="auto" w:fill="00548B"/>
          </w:tcPr>
          <w:p>
            <w:pPr>
              <w:spacing w:after="0"/>
              <w:rPr>
                <w:sz w:val="12"/>
                <w:szCs w:val="12"/>
                <w:color w:val="auto"/>
              </w:rPr>
            </w:pPr>
          </w:p>
        </w:tc>
        <w:tc>
          <w:tcPr>
            <w:tcW w:w="640" w:type="dxa"/>
            <w:vAlign w:val="bottom"/>
            <w:shd w:val="clear" w:color="auto" w:fill="00548B"/>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20" w:type="dxa"/>
            <w:vAlign w:val="bottom"/>
            <w:shd w:val="clear" w:color="auto" w:fill="00548B"/>
          </w:tcPr>
          <w:p>
            <w:pPr>
              <w:spacing w:after="0"/>
              <w:rPr>
                <w:sz w:val="11"/>
                <w:szCs w:val="11"/>
                <w:color w:val="auto"/>
              </w:rPr>
            </w:pPr>
          </w:p>
        </w:tc>
        <w:tc>
          <w:tcPr>
            <w:tcW w:w="700" w:type="dxa"/>
            <w:vAlign w:val="bottom"/>
            <w:shd w:val="clear" w:color="auto" w:fill="00548B"/>
          </w:tcPr>
          <w:p>
            <w:pPr>
              <w:spacing w:after="0"/>
              <w:rPr>
                <w:sz w:val="11"/>
                <w:szCs w:val="11"/>
                <w:color w:val="auto"/>
              </w:rPr>
            </w:pPr>
          </w:p>
        </w:tc>
        <w:tc>
          <w:tcPr>
            <w:tcW w:w="1000" w:type="dxa"/>
            <w:vAlign w:val="bottom"/>
            <w:shd w:val="clear" w:color="auto" w:fill="00548B"/>
          </w:tcPr>
          <w:p>
            <w:pPr>
              <w:spacing w:after="0"/>
              <w:rPr>
                <w:sz w:val="11"/>
                <w:szCs w:val="11"/>
                <w:color w:val="auto"/>
              </w:rPr>
            </w:pPr>
          </w:p>
        </w:tc>
        <w:tc>
          <w:tcPr>
            <w:tcW w:w="3060" w:type="dxa"/>
            <w:vAlign w:val="bottom"/>
            <w:gridSpan w:val="3"/>
            <w:shd w:val="clear" w:color="auto" w:fill="00548B"/>
          </w:tcPr>
          <w:p>
            <w:pPr>
              <w:jc w:val="center"/>
              <w:ind w:right="118"/>
              <w:spacing w:after="0" w:line="133" w:lineRule="exact"/>
              <w:rPr>
                <w:sz w:val="20"/>
                <w:szCs w:val="20"/>
                <w:color w:val="auto"/>
              </w:rPr>
            </w:pPr>
            <w:r>
              <w:rPr>
                <w:rFonts w:ascii="Arial" w:cs="Arial" w:eastAsia="Arial" w:hAnsi="Arial"/>
                <w:sz w:val="12"/>
                <w:szCs w:val="12"/>
                <w:b w:val="1"/>
                <w:bCs w:val="1"/>
                <w:color w:val="D8D8D8"/>
              </w:rPr>
              <w:t>Non Equity Incentive Plan</w:t>
            </w:r>
          </w:p>
        </w:tc>
        <w:tc>
          <w:tcPr>
            <w:tcW w:w="2700" w:type="dxa"/>
            <w:vAlign w:val="bottom"/>
            <w:gridSpan w:val="3"/>
            <w:shd w:val="clear" w:color="auto" w:fill="00548B"/>
          </w:tcPr>
          <w:p>
            <w:pPr>
              <w:jc w:val="center"/>
              <w:spacing w:after="0" w:line="133" w:lineRule="exact"/>
              <w:rPr>
                <w:sz w:val="20"/>
                <w:szCs w:val="20"/>
                <w:color w:val="auto"/>
              </w:rPr>
            </w:pPr>
            <w:r>
              <w:rPr>
                <w:rFonts w:ascii="Arial" w:cs="Arial" w:eastAsia="Arial" w:hAnsi="Arial"/>
                <w:sz w:val="12"/>
                <w:szCs w:val="12"/>
                <w:b w:val="1"/>
                <w:bCs w:val="1"/>
                <w:color w:val="D8D8D8"/>
              </w:rPr>
              <w:t>Under Equity Incentive</w:t>
            </w:r>
          </w:p>
        </w:tc>
        <w:tc>
          <w:tcPr>
            <w:tcW w:w="740" w:type="dxa"/>
            <w:vAlign w:val="bottom"/>
            <w:shd w:val="clear" w:color="auto" w:fill="00548B"/>
          </w:tcPr>
          <w:p>
            <w:pPr>
              <w:spacing w:after="0"/>
              <w:rPr>
                <w:sz w:val="11"/>
                <w:szCs w:val="11"/>
                <w:color w:val="auto"/>
              </w:rPr>
            </w:pPr>
          </w:p>
        </w:tc>
        <w:tc>
          <w:tcPr>
            <w:tcW w:w="640" w:type="dxa"/>
            <w:vAlign w:val="bottom"/>
            <w:shd w:val="clear" w:color="auto" w:fill="00548B"/>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20" w:type="dxa"/>
            <w:vAlign w:val="bottom"/>
            <w:shd w:val="clear" w:color="auto" w:fill="00548B"/>
          </w:tcPr>
          <w:p>
            <w:pPr>
              <w:spacing w:after="0"/>
              <w:rPr>
                <w:sz w:val="13"/>
                <w:szCs w:val="13"/>
                <w:color w:val="auto"/>
              </w:rPr>
            </w:pPr>
          </w:p>
        </w:tc>
        <w:tc>
          <w:tcPr>
            <w:tcW w:w="700" w:type="dxa"/>
            <w:vAlign w:val="bottom"/>
            <w:shd w:val="clear" w:color="auto" w:fill="00548B"/>
          </w:tcPr>
          <w:p>
            <w:pPr>
              <w:spacing w:after="0"/>
              <w:rPr>
                <w:sz w:val="13"/>
                <w:szCs w:val="13"/>
                <w:color w:val="auto"/>
              </w:rPr>
            </w:pPr>
          </w:p>
        </w:tc>
        <w:tc>
          <w:tcPr>
            <w:tcW w:w="1000" w:type="dxa"/>
            <w:vAlign w:val="bottom"/>
            <w:shd w:val="clear" w:color="auto" w:fill="00548B"/>
          </w:tcPr>
          <w:p>
            <w:pPr>
              <w:spacing w:after="0"/>
              <w:rPr>
                <w:sz w:val="13"/>
                <w:szCs w:val="13"/>
                <w:color w:val="auto"/>
              </w:rPr>
            </w:pPr>
          </w:p>
        </w:tc>
        <w:tc>
          <w:tcPr>
            <w:tcW w:w="1000" w:type="dxa"/>
            <w:vAlign w:val="bottom"/>
            <w:shd w:val="clear" w:color="auto" w:fill="00548B"/>
          </w:tcPr>
          <w:p>
            <w:pPr>
              <w:spacing w:after="0"/>
              <w:rPr>
                <w:sz w:val="13"/>
                <w:szCs w:val="13"/>
                <w:color w:val="auto"/>
              </w:rPr>
            </w:pPr>
          </w:p>
        </w:tc>
        <w:tc>
          <w:tcPr>
            <w:tcW w:w="1000" w:type="dxa"/>
            <w:vAlign w:val="bottom"/>
            <w:shd w:val="clear" w:color="auto" w:fill="00548B"/>
          </w:tcPr>
          <w:p>
            <w:pPr>
              <w:jc w:val="center"/>
              <w:ind w:right="78"/>
              <w:spacing w:after="0"/>
              <w:rPr>
                <w:sz w:val="20"/>
                <w:szCs w:val="20"/>
                <w:color w:val="auto"/>
              </w:rPr>
            </w:pPr>
            <w:r>
              <w:rPr>
                <w:rFonts w:ascii="Arial" w:cs="Arial" w:eastAsia="Arial" w:hAnsi="Arial"/>
                <w:sz w:val="12"/>
                <w:szCs w:val="12"/>
                <w:b w:val="1"/>
                <w:bCs w:val="1"/>
                <w:color w:val="D8D8D8"/>
              </w:rPr>
              <w:t>Awards (1)(6)</w:t>
            </w:r>
          </w:p>
        </w:tc>
        <w:tc>
          <w:tcPr>
            <w:tcW w:w="1060" w:type="dxa"/>
            <w:vAlign w:val="bottom"/>
            <w:shd w:val="clear" w:color="auto" w:fill="00548B"/>
          </w:tcPr>
          <w:p>
            <w:pPr>
              <w:spacing w:after="0"/>
              <w:rPr>
                <w:sz w:val="13"/>
                <w:szCs w:val="13"/>
                <w:color w:val="auto"/>
              </w:rPr>
            </w:pPr>
          </w:p>
        </w:tc>
        <w:tc>
          <w:tcPr>
            <w:tcW w:w="880" w:type="dxa"/>
            <w:vAlign w:val="bottom"/>
            <w:shd w:val="clear" w:color="auto" w:fill="00548B"/>
          </w:tcPr>
          <w:p>
            <w:pPr>
              <w:spacing w:after="0"/>
              <w:rPr>
                <w:sz w:val="13"/>
                <w:szCs w:val="13"/>
                <w:color w:val="auto"/>
              </w:rPr>
            </w:pPr>
          </w:p>
        </w:tc>
        <w:tc>
          <w:tcPr>
            <w:tcW w:w="980" w:type="dxa"/>
            <w:vAlign w:val="bottom"/>
            <w:shd w:val="clear" w:color="auto" w:fill="00548B"/>
          </w:tcPr>
          <w:p>
            <w:pPr>
              <w:jc w:val="center"/>
              <w:spacing w:after="0"/>
              <w:rPr>
                <w:sz w:val="20"/>
                <w:szCs w:val="20"/>
                <w:color w:val="auto"/>
              </w:rPr>
            </w:pPr>
            <w:r>
              <w:rPr>
                <w:rFonts w:ascii="Arial" w:cs="Arial" w:eastAsia="Arial" w:hAnsi="Arial"/>
                <w:sz w:val="12"/>
                <w:szCs w:val="12"/>
                <w:b w:val="1"/>
                <w:bCs w:val="1"/>
                <w:color w:val="D8D8D8"/>
              </w:rPr>
              <w:t>Plan Awards (2)</w:t>
            </w:r>
          </w:p>
        </w:tc>
        <w:tc>
          <w:tcPr>
            <w:tcW w:w="840" w:type="dxa"/>
            <w:vAlign w:val="bottom"/>
            <w:shd w:val="clear" w:color="auto" w:fill="00548B"/>
          </w:tcPr>
          <w:p>
            <w:pPr>
              <w:spacing w:after="0"/>
              <w:rPr>
                <w:sz w:val="13"/>
                <w:szCs w:val="13"/>
                <w:color w:val="auto"/>
              </w:rPr>
            </w:pPr>
          </w:p>
        </w:tc>
        <w:tc>
          <w:tcPr>
            <w:tcW w:w="740" w:type="dxa"/>
            <w:vAlign w:val="bottom"/>
            <w:vMerge w:val="restart"/>
            <w:shd w:val="clear" w:color="auto" w:fill="00548B"/>
          </w:tcPr>
          <w:p>
            <w:pPr>
              <w:jc w:val="center"/>
              <w:spacing w:after="0"/>
              <w:rPr>
                <w:sz w:val="20"/>
                <w:szCs w:val="20"/>
                <w:color w:val="auto"/>
              </w:rPr>
            </w:pPr>
            <w:r>
              <w:rPr>
                <w:rFonts w:ascii="Arial" w:cs="Arial" w:eastAsia="Arial" w:hAnsi="Arial"/>
                <w:sz w:val="12"/>
                <w:szCs w:val="12"/>
                <w:b w:val="1"/>
                <w:bCs w:val="1"/>
                <w:color w:val="D8D8D8"/>
              </w:rPr>
              <w:t>All Other</w:t>
            </w:r>
          </w:p>
        </w:tc>
        <w:tc>
          <w:tcPr>
            <w:tcW w:w="640" w:type="dxa"/>
            <w:vAlign w:val="bottom"/>
            <w:shd w:val="clear" w:color="auto" w:fill="00548B"/>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20" w:type="dxa"/>
            <w:vAlign w:val="bottom"/>
            <w:shd w:val="clear" w:color="auto" w:fill="00548B"/>
          </w:tcPr>
          <w:p>
            <w:pPr>
              <w:spacing w:after="0"/>
              <w:rPr>
                <w:sz w:val="9"/>
                <w:szCs w:val="9"/>
                <w:color w:val="auto"/>
              </w:rPr>
            </w:pPr>
          </w:p>
        </w:tc>
        <w:tc>
          <w:tcPr>
            <w:tcW w:w="700" w:type="dxa"/>
            <w:vAlign w:val="bottom"/>
            <w:shd w:val="clear" w:color="auto" w:fill="00548B"/>
          </w:tcPr>
          <w:p>
            <w:pPr>
              <w:spacing w:after="0"/>
              <w:rPr>
                <w:sz w:val="9"/>
                <w:szCs w:val="9"/>
                <w:color w:val="auto"/>
              </w:rPr>
            </w:pPr>
          </w:p>
        </w:tc>
        <w:tc>
          <w:tcPr>
            <w:tcW w:w="1000" w:type="dxa"/>
            <w:vAlign w:val="bottom"/>
            <w:shd w:val="clear" w:color="auto" w:fill="00548B"/>
          </w:tcPr>
          <w:p>
            <w:pPr>
              <w:spacing w:after="0"/>
              <w:rPr>
                <w:sz w:val="9"/>
                <w:szCs w:val="9"/>
                <w:color w:val="auto"/>
              </w:rPr>
            </w:pPr>
          </w:p>
        </w:tc>
        <w:tc>
          <w:tcPr>
            <w:tcW w:w="1000" w:type="dxa"/>
            <w:vAlign w:val="bottom"/>
            <w:shd w:val="clear" w:color="auto" w:fill="00548B"/>
          </w:tcPr>
          <w:p>
            <w:pPr>
              <w:spacing w:after="0"/>
              <w:rPr>
                <w:sz w:val="9"/>
                <w:szCs w:val="9"/>
                <w:color w:val="auto"/>
              </w:rPr>
            </w:pPr>
          </w:p>
        </w:tc>
        <w:tc>
          <w:tcPr>
            <w:tcW w:w="1000" w:type="dxa"/>
            <w:vAlign w:val="bottom"/>
            <w:shd w:val="clear" w:color="auto" w:fill="00548B"/>
          </w:tcPr>
          <w:p>
            <w:pPr>
              <w:spacing w:after="0"/>
              <w:rPr>
                <w:sz w:val="9"/>
                <w:szCs w:val="9"/>
                <w:color w:val="auto"/>
              </w:rPr>
            </w:pPr>
          </w:p>
        </w:tc>
        <w:tc>
          <w:tcPr>
            <w:tcW w:w="1060" w:type="dxa"/>
            <w:vAlign w:val="bottom"/>
            <w:shd w:val="clear" w:color="auto" w:fill="00548B"/>
          </w:tcPr>
          <w:p>
            <w:pPr>
              <w:spacing w:after="0"/>
              <w:rPr>
                <w:sz w:val="9"/>
                <w:szCs w:val="9"/>
                <w:color w:val="auto"/>
              </w:rPr>
            </w:pPr>
          </w:p>
        </w:tc>
        <w:tc>
          <w:tcPr>
            <w:tcW w:w="880" w:type="dxa"/>
            <w:vAlign w:val="bottom"/>
            <w:shd w:val="clear" w:color="auto" w:fill="00548B"/>
          </w:tcPr>
          <w:p>
            <w:pPr>
              <w:spacing w:after="0"/>
              <w:rPr>
                <w:sz w:val="9"/>
                <w:szCs w:val="9"/>
                <w:color w:val="auto"/>
              </w:rPr>
            </w:pPr>
          </w:p>
        </w:tc>
        <w:tc>
          <w:tcPr>
            <w:tcW w:w="980" w:type="dxa"/>
            <w:vAlign w:val="bottom"/>
            <w:shd w:val="clear" w:color="auto" w:fill="00548B"/>
          </w:tcPr>
          <w:p>
            <w:pPr>
              <w:spacing w:after="0"/>
              <w:rPr>
                <w:sz w:val="9"/>
                <w:szCs w:val="9"/>
                <w:color w:val="auto"/>
              </w:rPr>
            </w:pPr>
          </w:p>
        </w:tc>
        <w:tc>
          <w:tcPr>
            <w:tcW w:w="840" w:type="dxa"/>
            <w:vAlign w:val="bottom"/>
            <w:shd w:val="clear" w:color="auto" w:fill="00548B"/>
          </w:tcPr>
          <w:p>
            <w:pPr>
              <w:spacing w:after="0"/>
              <w:rPr>
                <w:sz w:val="9"/>
                <w:szCs w:val="9"/>
                <w:color w:val="auto"/>
              </w:rPr>
            </w:pPr>
          </w:p>
        </w:tc>
        <w:tc>
          <w:tcPr>
            <w:tcW w:w="740" w:type="dxa"/>
            <w:vAlign w:val="bottom"/>
            <w:vMerge w:val="continue"/>
            <w:shd w:val="clear" w:color="auto" w:fill="00548B"/>
          </w:tcPr>
          <w:p>
            <w:pPr>
              <w:spacing w:after="0"/>
              <w:rPr>
                <w:sz w:val="9"/>
                <w:szCs w:val="9"/>
                <w:color w:val="auto"/>
              </w:rPr>
            </w:pPr>
          </w:p>
        </w:tc>
        <w:tc>
          <w:tcPr>
            <w:tcW w:w="640" w:type="dxa"/>
            <w:vAlign w:val="bottom"/>
            <w:shd w:val="clear" w:color="auto" w:fill="00548B"/>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20" w:type="dxa"/>
            <w:vAlign w:val="bottom"/>
            <w:shd w:val="clear" w:color="auto" w:fill="00548B"/>
          </w:tcPr>
          <w:p>
            <w:pPr>
              <w:spacing w:after="0"/>
              <w:rPr>
                <w:sz w:val="11"/>
                <w:szCs w:val="11"/>
                <w:color w:val="auto"/>
              </w:rPr>
            </w:pPr>
          </w:p>
        </w:tc>
        <w:tc>
          <w:tcPr>
            <w:tcW w:w="700" w:type="dxa"/>
            <w:vAlign w:val="bottom"/>
            <w:shd w:val="clear" w:color="auto" w:fill="00548B"/>
          </w:tcPr>
          <w:p>
            <w:pPr>
              <w:spacing w:after="0"/>
              <w:rPr>
                <w:sz w:val="11"/>
                <w:szCs w:val="11"/>
                <w:color w:val="auto"/>
              </w:rPr>
            </w:pPr>
          </w:p>
        </w:tc>
        <w:tc>
          <w:tcPr>
            <w:tcW w:w="1000" w:type="dxa"/>
            <w:vAlign w:val="bottom"/>
            <w:shd w:val="clear" w:color="auto" w:fill="00548B"/>
          </w:tcPr>
          <w:p>
            <w:pPr>
              <w:spacing w:after="0"/>
              <w:rPr>
                <w:sz w:val="11"/>
                <w:szCs w:val="11"/>
                <w:color w:val="auto"/>
              </w:rPr>
            </w:pPr>
          </w:p>
        </w:tc>
        <w:tc>
          <w:tcPr>
            <w:tcW w:w="1000" w:type="dxa"/>
            <w:vAlign w:val="bottom"/>
            <w:shd w:val="clear" w:color="auto" w:fill="00548B"/>
          </w:tcPr>
          <w:p>
            <w:pPr>
              <w:spacing w:after="0"/>
              <w:rPr>
                <w:sz w:val="11"/>
                <w:szCs w:val="11"/>
                <w:color w:val="auto"/>
              </w:rPr>
            </w:pPr>
          </w:p>
        </w:tc>
        <w:tc>
          <w:tcPr>
            <w:tcW w:w="1000" w:type="dxa"/>
            <w:vAlign w:val="bottom"/>
            <w:shd w:val="clear" w:color="auto" w:fill="00548B"/>
          </w:tcPr>
          <w:p>
            <w:pPr>
              <w:spacing w:after="0"/>
              <w:rPr>
                <w:sz w:val="11"/>
                <w:szCs w:val="11"/>
                <w:color w:val="auto"/>
              </w:rPr>
            </w:pPr>
          </w:p>
        </w:tc>
        <w:tc>
          <w:tcPr>
            <w:tcW w:w="1060" w:type="dxa"/>
            <w:vAlign w:val="bottom"/>
            <w:shd w:val="clear" w:color="auto" w:fill="00548B"/>
          </w:tcPr>
          <w:p>
            <w:pPr>
              <w:spacing w:after="0"/>
              <w:rPr>
                <w:sz w:val="11"/>
                <w:szCs w:val="11"/>
                <w:color w:val="auto"/>
              </w:rPr>
            </w:pPr>
          </w:p>
        </w:tc>
        <w:tc>
          <w:tcPr>
            <w:tcW w:w="880" w:type="dxa"/>
            <w:vAlign w:val="bottom"/>
            <w:shd w:val="clear" w:color="auto" w:fill="00548B"/>
          </w:tcPr>
          <w:p>
            <w:pPr>
              <w:spacing w:after="0"/>
              <w:rPr>
                <w:sz w:val="11"/>
                <w:szCs w:val="11"/>
                <w:color w:val="auto"/>
              </w:rPr>
            </w:pPr>
          </w:p>
        </w:tc>
        <w:tc>
          <w:tcPr>
            <w:tcW w:w="980" w:type="dxa"/>
            <w:vAlign w:val="bottom"/>
            <w:shd w:val="clear" w:color="auto" w:fill="00548B"/>
          </w:tcPr>
          <w:p>
            <w:pPr>
              <w:spacing w:after="0"/>
              <w:rPr>
                <w:sz w:val="11"/>
                <w:szCs w:val="11"/>
                <w:color w:val="auto"/>
              </w:rPr>
            </w:pPr>
          </w:p>
        </w:tc>
        <w:tc>
          <w:tcPr>
            <w:tcW w:w="840" w:type="dxa"/>
            <w:vAlign w:val="bottom"/>
            <w:shd w:val="clear" w:color="auto" w:fill="00548B"/>
          </w:tcPr>
          <w:p>
            <w:pPr>
              <w:spacing w:after="0"/>
              <w:rPr>
                <w:sz w:val="11"/>
                <w:szCs w:val="11"/>
                <w:color w:val="auto"/>
              </w:rPr>
            </w:pPr>
          </w:p>
        </w:tc>
        <w:tc>
          <w:tcPr>
            <w:tcW w:w="740" w:type="dxa"/>
            <w:vAlign w:val="bottom"/>
            <w:shd w:val="clear" w:color="auto" w:fill="00548B"/>
          </w:tcPr>
          <w:p>
            <w:pPr>
              <w:jc w:val="center"/>
              <w:spacing w:after="0" w:line="133" w:lineRule="exact"/>
              <w:rPr>
                <w:sz w:val="20"/>
                <w:szCs w:val="20"/>
                <w:color w:val="auto"/>
              </w:rPr>
            </w:pPr>
            <w:r>
              <w:rPr>
                <w:rFonts w:ascii="Arial" w:cs="Arial" w:eastAsia="Arial" w:hAnsi="Arial"/>
                <w:sz w:val="12"/>
                <w:szCs w:val="12"/>
                <w:b w:val="1"/>
                <w:bCs w:val="1"/>
                <w:color w:val="D8D8D8"/>
              </w:rPr>
              <w:t>Stock</w:t>
            </w:r>
          </w:p>
        </w:tc>
        <w:tc>
          <w:tcPr>
            <w:tcW w:w="640" w:type="dxa"/>
            <w:vAlign w:val="bottom"/>
            <w:shd w:val="clear" w:color="auto" w:fill="00548B"/>
          </w:tcPr>
          <w:p>
            <w:pPr>
              <w:jc w:val="center"/>
              <w:spacing w:after="0" w:line="133" w:lineRule="exact"/>
              <w:rPr>
                <w:sz w:val="20"/>
                <w:szCs w:val="20"/>
                <w:color w:val="auto"/>
              </w:rPr>
            </w:pPr>
            <w:r>
              <w:rPr>
                <w:rFonts w:ascii="Arial" w:cs="Arial" w:eastAsia="Arial" w:hAnsi="Arial"/>
                <w:sz w:val="12"/>
                <w:szCs w:val="12"/>
                <w:b w:val="1"/>
                <w:bCs w:val="1"/>
                <w:color w:val="D8D8D8"/>
              </w:rPr>
              <w:t>Full Grant</w:t>
            </w:r>
          </w:p>
        </w:tc>
        <w:tc>
          <w:tcPr>
            <w:tcW w:w="0" w:type="dxa"/>
            <w:vAlign w:val="bottom"/>
          </w:tcPr>
          <w:p>
            <w:pPr>
              <w:spacing w:after="0"/>
              <w:rPr>
                <w:sz w:val="1"/>
                <w:szCs w:val="1"/>
                <w:color w:val="auto"/>
              </w:rPr>
            </w:pPr>
          </w:p>
        </w:tc>
      </w:tr>
      <w:tr>
        <w:trPr>
          <w:trHeight w:val="133"/>
        </w:trPr>
        <w:tc>
          <w:tcPr>
            <w:tcW w:w="2020" w:type="dxa"/>
            <w:vAlign w:val="bottom"/>
            <w:shd w:val="clear" w:color="auto" w:fill="00548B"/>
          </w:tcPr>
          <w:p>
            <w:pPr>
              <w:spacing w:after="0"/>
              <w:rPr>
                <w:sz w:val="11"/>
                <w:szCs w:val="11"/>
                <w:color w:val="auto"/>
              </w:rPr>
            </w:pPr>
          </w:p>
        </w:tc>
        <w:tc>
          <w:tcPr>
            <w:tcW w:w="700" w:type="dxa"/>
            <w:vAlign w:val="bottom"/>
            <w:shd w:val="clear" w:color="auto" w:fill="00548B"/>
          </w:tcPr>
          <w:p>
            <w:pPr>
              <w:spacing w:after="0"/>
              <w:rPr>
                <w:sz w:val="11"/>
                <w:szCs w:val="11"/>
                <w:color w:val="auto"/>
              </w:rPr>
            </w:pPr>
          </w:p>
        </w:tc>
        <w:tc>
          <w:tcPr>
            <w:tcW w:w="1000" w:type="dxa"/>
            <w:vAlign w:val="bottom"/>
            <w:shd w:val="clear" w:color="auto" w:fill="00548B"/>
          </w:tcPr>
          <w:p>
            <w:pPr>
              <w:spacing w:after="0"/>
              <w:rPr>
                <w:sz w:val="11"/>
                <w:szCs w:val="11"/>
                <w:color w:val="auto"/>
              </w:rPr>
            </w:pPr>
          </w:p>
        </w:tc>
        <w:tc>
          <w:tcPr>
            <w:tcW w:w="1000" w:type="dxa"/>
            <w:vAlign w:val="bottom"/>
            <w:shd w:val="clear" w:color="auto" w:fill="00548B"/>
          </w:tcPr>
          <w:p>
            <w:pPr>
              <w:spacing w:after="0"/>
              <w:rPr>
                <w:sz w:val="11"/>
                <w:szCs w:val="11"/>
                <w:color w:val="auto"/>
              </w:rPr>
            </w:pPr>
          </w:p>
        </w:tc>
        <w:tc>
          <w:tcPr>
            <w:tcW w:w="1000" w:type="dxa"/>
            <w:vAlign w:val="bottom"/>
            <w:shd w:val="clear" w:color="auto" w:fill="00548B"/>
          </w:tcPr>
          <w:p>
            <w:pPr>
              <w:spacing w:after="0"/>
              <w:rPr>
                <w:sz w:val="11"/>
                <w:szCs w:val="11"/>
                <w:color w:val="auto"/>
              </w:rPr>
            </w:pPr>
          </w:p>
        </w:tc>
        <w:tc>
          <w:tcPr>
            <w:tcW w:w="1060" w:type="dxa"/>
            <w:vAlign w:val="bottom"/>
            <w:shd w:val="clear" w:color="auto" w:fill="00548B"/>
          </w:tcPr>
          <w:p>
            <w:pPr>
              <w:spacing w:after="0"/>
              <w:rPr>
                <w:sz w:val="11"/>
                <w:szCs w:val="11"/>
                <w:color w:val="auto"/>
              </w:rPr>
            </w:pPr>
          </w:p>
        </w:tc>
        <w:tc>
          <w:tcPr>
            <w:tcW w:w="880" w:type="dxa"/>
            <w:vAlign w:val="bottom"/>
            <w:shd w:val="clear" w:color="auto" w:fill="00548B"/>
          </w:tcPr>
          <w:p>
            <w:pPr>
              <w:spacing w:after="0"/>
              <w:rPr>
                <w:sz w:val="11"/>
                <w:szCs w:val="11"/>
                <w:color w:val="auto"/>
              </w:rPr>
            </w:pPr>
          </w:p>
        </w:tc>
        <w:tc>
          <w:tcPr>
            <w:tcW w:w="980" w:type="dxa"/>
            <w:vAlign w:val="bottom"/>
            <w:shd w:val="clear" w:color="auto" w:fill="00548B"/>
          </w:tcPr>
          <w:p>
            <w:pPr>
              <w:spacing w:after="0"/>
              <w:rPr>
                <w:sz w:val="11"/>
                <w:szCs w:val="11"/>
                <w:color w:val="auto"/>
              </w:rPr>
            </w:pPr>
          </w:p>
        </w:tc>
        <w:tc>
          <w:tcPr>
            <w:tcW w:w="840" w:type="dxa"/>
            <w:vAlign w:val="bottom"/>
            <w:shd w:val="clear" w:color="auto" w:fill="00548B"/>
          </w:tcPr>
          <w:p>
            <w:pPr>
              <w:spacing w:after="0"/>
              <w:rPr>
                <w:sz w:val="11"/>
                <w:szCs w:val="11"/>
                <w:color w:val="auto"/>
              </w:rPr>
            </w:pPr>
          </w:p>
        </w:tc>
        <w:tc>
          <w:tcPr>
            <w:tcW w:w="740" w:type="dxa"/>
            <w:vAlign w:val="bottom"/>
            <w:shd w:val="clear" w:color="auto" w:fill="00548B"/>
          </w:tcPr>
          <w:p>
            <w:pPr>
              <w:jc w:val="center"/>
              <w:spacing w:after="0" w:line="133" w:lineRule="exact"/>
              <w:rPr>
                <w:sz w:val="20"/>
                <w:szCs w:val="20"/>
                <w:color w:val="auto"/>
              </w:rPr>
            </w:pPr>
            <w:r>
              <w:rPr>
                <w:rFonts w:ascii="Arial" w:cs="Arial" w:eastAsia="Arial" w:hAnsi="Arial"/>
                <w:sz w:val="12"/>
                <w:szCs w:val="12"/>
                <w:b w:val="1"/>
                <w:bCs w:val="1"/>
                <w:color w:val="D8D8D8"/>
              </w:rPr>
              <w:t>Awards:</w:t>
            </w:r>
          </w:p>
        </w:tc>
        <w:tc>
          <w:tcPr>
            <w:tcW w:w="640" w:type="dxa"/>
            <w:vAlign w:val="bottom"/>
            <w:shd w:val="clear" w:color="auto" w:fill="00548B"/>
          </w:tcPr>
          <w:p>
            <w:pPr>
              <w:jc w:val="center"/>
              <w:spacing w:after="0" w:line="133" w:lineRule="exact"/>
              <w:rPr>
                <w:sz w:val="20"/>
                <w:szCs w:val="20"/>
                <w:color w:val="auto"/>
              </w:rPr>
            </w:pPr>
            <w:r>
              <w:rPr>
                <w:rFonts w:ascii="Arial" w:cs="Arial" w:eastAsia="Arial" w:hAnsi="Arial"/>
                <w:sz w:val="12"/>
                <w:szCs w:val="12"/>
                <w:b w:val="1"/>
                <w:bCs w:val="1"/>
                <w:color w:val="D8D8D8"/>
              </w:rPr>
              <w:t>Date Fair</w:t>
            </w:r>
          </w:p>
        </w:tc>
        <w:tc>
          <w:tcPr>
            <w:tcW w:w="0" w:type="dxa"/>
            <w:vAlign w:val="bottom"/>
          </w:tcPr>
          <w:p>
            <w:pPr>
              <w:spacing w:after="0"/>
              <w:rPr>
                <w:sz w:val="1"/>
                <w:szCs w:val="1"/>
                <w:color w:val="auto"/>
              </w:rPr>
            </w:pPr>
          </w:p>
        </w:tc>
      </w:tr>
      <w:tr>
        <w:trPr>
          <w:trHeight w:val="133"/>
        </w:trPr>
        <w:tc>
          <w:tcPr>
            <w:tcW w:w="2020" w:type="dxa"/>
            <w:vAlign w:val="bottom"/>
            <w:shd w:val="clear" w:color="auto" w:fill="00548B"/>
          </w:tcPr>
          <w:p>
            <w:pPr>
              <w:spacing w:after="0"/>
              <w:rPr>
                <w:sz w:val="11"/>
                <w:szCs w:val="11"/>
                <w:color w:val="auto"/>
              </w:rPr>
            </w:pPr>
          </w:p>
        </w:tc>
        <w:tc>
          <w:tcPr>
            <w:tcW w:w="700" w:type="dxa"/>
            <w:vAlign w:val="bottom"/>
            <w:shd w:val="clear" w:color="auto" w:fill="00548B"/>
          </w:tcPr>
          <w:p>
            <w:pPr>
              <w:spacing w:after="0"/>
              <w:rPr>
                <w:sz w:val="11"/>
                <w:szCs w:val="11"/>
                <w:color w:val="auto"/>
              </w:rPr>
            </w:pPr>
          </w:p>
        </w:tc>
        <w:tc>
          <w:tcPr>
            <w:tcW w:w="1000" w:type="dxa"/>
            <w:vAlign w:val="bottom"/>
            <w:shd w:val="clear" w:color="auto" w:fill="00548B"/>
          </w:tcPr>
          <w:p>
            <w:pPr>
              <w:jc w:val="center"/>
              <w:ind w:left="38"/>
              <w:spacing w:after="0" w:line="133" w:lineRule="exact"/>
              <w:rPr>
                <w:sz w:val="20"/>
                <w:szCs w:val="20"/>
                <w:color w:val="auto"/>
              </w:rPr>
            </w:pPr>
            <w:r>
              <w:rPr>
                <w:rFonts w:ascii="Arial" w:cs="Arial" w:eastAsia="Arial" w:hAnsi="Arial"/>
                <w:sz w:val="12"/>
                <w:szCs w:val="12"/>
                <w:b w:val="1"/>
                <w:bCs w:val="1"/>
                <w:color w:val="D8D8D8"/>
              </w:rPr>
              <w:t>Date of</w:t>
            </w:r>
          </w:p>
        </w:tc>
        <w:tc>
          <w:tcPr>
            <w:tcW w:w="1000" w:type="dxa"/>
            <w:vAlign w:val="bottom"/>
            <w:shd w:val="clear" w:color="auto" w:fill="00548B"/>
          </w:tcPr>
          <w:p>
            <w:pPr>
              <w:spacing w:after="0"/>
              <w:rPr>
                <w:sz w:val="11"/>
                <w:szCs w:val="11"/>
                <w:color w:val="auto"/>
              </w:rPr>
            </w:pPr>
          </w:p>
        </w:tc>
        <w:tc>
          <w:tcPr>
            <w:tcW w:w="1000" w:type="dxa"/>
            <w:vAlign w:val="bottom"/>
            <w:shd w:val="clear" w:color="auto" w:fill="00548B"/>
          </w:tcPr>
          <w:p>
            <w:pPr>
              <w:spacing w:after="0"/>
              <w:rPr>
                <w:sz w:val="11"/>
                <w:szCs w:val="11"/>
                <w:color w:val="auto"/>
              </w:rPr>
            </w:pPr>
          </w:p>
        </w:tc>
        <w:tc>
          <w:tcPr>
            <w:tcW w:w="1060" w:type="dxa"/>
            <w:vAlign w:val="bottom"/>
            <w:shd w:val="clear" w:color="auto" w:fill="00548B"/>
          </w:tcPr>
          <w:p>
            <w:pPr>
              <w:spacing w:after="0"/>
              <w:rPr>
                <w:sz w:val="11"/>
                <w:szCs w:val="11"/>
                <w:color w:val="auto"/>
              </w:rPr>
            </w:pPr>
          </w:p>
        </w:tc>
        <w:tc>
          <w:tcPr>
            <w:tcW w:w="880" w:type="dxa"/>
            <w:vAlign w:val="bottom"/>
            <w:shd w:val="clear" w:color="auto" w:fill="00548B"/>
          </w:tcPr>
          <w:p>
            <w:pPr>
              <w:spacing w:after="0"/>
              <w:rPr>
                <w:sz w:val="11"/>
                <w:szCs w:val="11"/>
                <w:color w:val="auto"/>
              </w:rPr>
            </w:pPr>
          </w:p>
        </w:tc>
        <w:tc>
          <w:tcPr>
            <w:tcW w:w="980" w:type="dxa"/>
            <w:vAlign w:val="bottom"/>
            <w:shd w:val="clear" w:color="auto" w:fill="00548B"/>
          </w:tcPr>
          <w:p>
            <w:pPr>
              <w:spacing w:after="0"/>
              <w:rPr>
                <w:sz w:val="11"/>
                <w:szCs w:val="11"/>
                <w:color w:val="auto"/>
              </w:rPr>
            </w:pPr>
          </w:p>
        </w:tc>
        <w:tc>
          <w:tcPr>
            <w:tcW w:w="840" w:type="dxa"/>
            <w:vAlign w:val="bottom"/>
            <w:shd w:val="clear" w:color="auto" w:fill="00548B"/>
          </w:tcPr>
          <w:p>
            <w:pPr>
              <w:spacing w:after="0"/>
              <w:rPr>
                <w:sz w:val="11"/>
                <w:szCs w:val="11"/>
                <w:color w:val="auto"/>
              </w:rPr>
            </w:pPr>
          </w:p>
        </w:tc>
        <w:tc>
          <w:tcPr>
            <w:tcW w:w="740" w:type="dxa"/>
            <w:vAlign w:val="bottom"/>
            <w:shd w:val="clear" w:color="auto" w:fill="00548B"/>
          </w:tcPr>
          <w:p>
            <w:pPr>
              <w:jc w:val="center"/>
              <w:spacing w:after="0" w:line="133" w:lineRule="exact"/>
              <w:rPr>
                <w:sz w:val="20"/>
                <w:szCs w:val="20"/>
                <w:color w:val="auto"/>
              </w:rPr>
            </w:pPr>
            <w:r>
              <w:rPr>
                <w:rFonts w:ascii="Arial" w:cs="Arial" w:eastAsia="Arial" w:hAnsi="Arial"/>
                <w:sz w:val="12"/>
                <w:szCs w:val="12"/>
                <w:b w:val="1"/>
                <w:bCs w:val="1"/>
                <w:color w:val="D8D8D8"/>
              </w:rPr>
              <w:t>Number of</w:t>
            </w:r>
          </w:p>
        </w:tc>
        <w:tc>
          <w:tcPr>
            <w:tcW w:w="640" w:type="dxa"/>
            <w:vAlign w:val="bottom"/>
            <w:shd w:val="clear" w:color="auto" w:fill="00548B"/>
          </w:tcPr>
          <w:p>
            <w:pPr>
              <w:jc w:val="center"/>
              <w:spacing w:after="0" w:line="133" w:lineRule="exact"/>
              <w:rPr>
                <w:sz w:val="20"/>
                <w:szCs w:val="20"/>
                <w:color w:val="auto"/>
              </w:rPr>
            </w:pPr>
            <w:r>
              <w:rPr>
                <w:rFonts w:ascii="Arial" w:cs="Arial" w:eastAsia="Arial" w:hAnsi="Arial"/>
                <w:sz w:val="12"/>
                <w:szCs w:val="12"/>
                <w:b w:val="1"/>
                <w:bCs w:val="1"/>
                <w:color w:val="D8D8D8"/>
                <w:w w:val="98"/>
              </w:rPr>
              <w:t>Value of</w:t>
            </w:r>
          </w:p>
        </w:tc>
        <w:tc>
          <w:tcPr>
            <w:tcW w:w="0" w:type="dxa"/>
            <w:vAlign w:val="bottom"/>
          </w:tcPr>
          <w:p>
            <w:pPr>
              <w:spacing w:after="0"/>
              <w:rPr>
                <w:sz w:val="1"/>
                <w:szCs w:val="1"/>
                <w:color w:val="auto"/>
              </w:rPr>
            </w:pPr>
          </w:p>
        </w:tc>
      </w:tr>
      <w:tr>
        <w:trPr>
          <w:trHeight w:val="133"/>
        </w:trPr>
        <w:tc>
          <w:tcPr>
            <w:tcW w:w="2020" w:type="dxa"/>
            <w:vAlign w:val="bottom"/>
            <w:shd w:val="clear" w:color="auto" w:fill="00548B"/>
          </w:tcPr>
          <w:p>
            <w:pPr>
              <w:spacing w:after="0"/>
              <w:rPr>
                <w:sz w:val="11"/>
                <w:szCs w:val="11"/>
                <w:color w:val="auto"/>
              </w:rPr>
            </w:pPr>
          </w:p>
        </w:tc>
        <w:tc>
          <w:tcPr>
            <w:tcW w:w="700" w:type="dxa"/>
            <w:vAlign w:val="bottom"/>
            <w:shd w:val="clear" w:color="auto" w:fill="00548B"/>
          </w:tcPr>
          <w:p>
            <w:pPr>
              <w:spacing w:after="0"/>
              <w:rPr>
                <w:sz w:val="11"/>
                <w:szCs w:val="11"/>
                <w:color w:val="auto"/>
              </w:rPr>
            </w:pPr>
          </w:p>
        </w:tc>
        <w:tc>
          <w:tcPr>
            <w:tcW w:w="1000" w:type="dxa"/>
            <w:vAlign w:val="bottom"/>
            <w:shd w:val="clear" w:color="auto" w:fill="00548B"/>
          </w:tcPr>
          <w:p>
            <w:pPr>
              <w:jc w:val="center"/>
              <w:ind w:left="38"/>
              <w:spacing w:after="0" w:line="133" w:lineRule="exact"/>
              <w:rPr>
                <w:sz w:val="20"/>
                <w:szCs w:val="20"/>
                <w:color w:val="auto"/>
              </w:rPr>
            </w:pPr>
            <w:r>
              <w:rPr>
                <w:rFonts w:ascii="Arial" w:cs="Arial" w:eastAsia="Arial" w:hAnsi="Arial"/>
                <w:sz w:val="12"/>
                <w:szCs w:val="12"/>
                <w:b w:val="1"/>
                <w:bCs w:val="1"/>
                <w:color w:val="D8D8D8"/>
              </w:rPr>
              <w:t>Compensation</w:t>
            </w:r>
          </w:p>
        </w:tc>
        <w:tc>
          <w:tcPr>
            <w:tcW w:w="1000" w:type="dxa"/>
            <w:vAlign w:val="bottom"/>
            <w:shd w:val="clear" w:color="auto" w:fill="00548B"/>
          </w:tcPr>
          <w:p>
            <w:pPr>
              <w:spacing w:after="0"/>
              <w:rPr>
                <w:sz w:val="11"/>
                <w:szCs w:val="11"/>
                <w:color w:val="auto"/>
              </w:rPr>
            </w:pPr>
          </w:p>
        </w:tc>
        <w:tc>
          <w:tcPr>
            <w:tcW w:w="1000" w:type="dxa"/>
            <w:vAlign w:val="bottom"/>
            <w:shd w:val="clear" w:color="auto" w:fill="00548B"/>
          </w:tcPr>
          <w:p>
            <w:pPr>
              <w:spacing w:after="0"/>
              <w:rPr>
                <w:sz w:val="11"/>
                <w:szCs w:val="11"/>
                <w:color w:val="auto"/>
              </w:rPr>
            </w:pPr>
          </w:p>
        </w:tc>
        <w:tc>
          <w:tcPr>
            <w:tcW w:w="1060" w:type="dxa"/>
            <w:vAlign w:val="bottom"/>
            <w:shd w:val="clear" w:color="auto" w:fill="00548B"/>
          </w:tcPr>
          <w:p>
            <w:pPr>
              <w:spacing w:after="0"/>
              <w:rPr>
                <w:sz w:val="11"/>
                <w:szCs w:val="11"/>
                <w:color w:val="auto"/>
              </w:rPr>
            </w:pPr>
          </w:p>
        </w:tc>
        <w:tc>
          <w:tcPr>
            <w:tcW w:w="880" w:type="dxa"/>
            <w:vAlign w:val="bottom"/>
            <w:shd w:val="clear" w:color="auto" w:fill="00548B"/>
          </w:tcPr>
          <w:p>
            <w:pPr>
              <w:spacing w:after="0"/>
              <w:rPr>
                <w:sz w:val="11"/>
                <w:szCs w:val="11"/>
                <w:color w:val="auto"/>
              </w:rPr>
            </w:pPr>
          </w:p>
        </w:tc>
        <w:tc>
          <w:tcPr>
            <w:tcW w:w="980" w:type="dxa"/>
            <w:vAlign w:val="bottom"/>
            <w:shd w:val="clear" w:color="auto" w:fill="00548B"/>
          </w:tcPr>
          <w:p>
            <w:pPr>
              <w:spacing w:after="0"/>
              <w:rPr>
                <w:sz w:val="11"/>
                <w:szCs w:val="11"/>
                <w:color w:val="auto"/>
              </w:rPr>
            </w:pPr>
          </w:p>
        </w:tc>
        <w:tc>
          <w:tcPr>
            <w:tcW w:w="840" w:type="dxa"/>
            <w:vAlign w:val="bottom"/>
            <w:shd w:val="clear" w:color="auto" w:fill="00548B"/>
          </w:tcPr>
          <w:p>
            <w:pPr>
              <w:spacing w:after="0"/>
              <w:rPr>
                <w:sz w:val="11"/>
                <w:szCs w:val="11"/>
                <w:color w:val="auto"/>
              </w:rPr>
            </w:pPr>
          </w:p>
        </w:tc>
        <w:tc>
          <w:tcPr>
            <w:tcW w:w="740" w:type="dxa"/>
            <w:vAlign w:val="bottom"/>
            <w:shd w:val="clear" w:color="auto" w:fill="00548B"/>
          </w:tcPr>
          <w:p>
            <w:pPr>
              <w:jc w:val="center"/>
              <w:spacing w:after="0" w:line="133" w:lineRule="exact"/>
              <w:rPr>
                <w:sz w:val="20"/>
                <w:szCs w:val="20"/>
                <w:color w:val="auto"/>
              </w:rPr>
            </w:pPr>
            <w:r>
              <w:rPr>
                <w:rFonts w:ascii="Arial" w:cs="Arial" w:eastAsia="Arial" w:hAnsi="Arial"/>
                <w:sz w:val="12"/>
                <w:szCs w:val="12"/>
                <w:b w:val="1"/>
                <w:bCs w:val="1"/>
                <w:color w:val="D8D8D8"/>
              </w:rPr>
              <w:t>Shares of</w:t>
            </w:r>
          </w:p>
        </w:tc>
        <w:tc>
          <w:tcPr>
            <w:tcW w:w="640" w:type="dxa"/>
            <w:vAlign w:val="bottom"/>
            <w:shd w:val="clear" w:color="auto" w:fill="00548B"/>
          </w:tcPr>
          <w:p>
            <w:pPr>
              <w:jc w:val="center"/>
              <w:spacing w:after="0" w:line="133" w:lineRule="exact"/>
              <w:rPr>
                <w:sz w:val="20"/>
                <w:szCs w:val="20"/>
                <w:color w:val="auto"/>
              </w:rPr>
            </w:pPr>
            <w:r>
              <w:rPr>
                <w:rFonts w:ascii="Arial" w:cs="Arial" w:eastAsia="Arial" w:hAnsi="Arial"/>
                <w:sz w:val="12"/>
                <w:szCs w:val="12"/>
                <w:b w:val="1"/>
                <w:bCs w:val="1"/>
                <w:color w:val="D8D8D8"/>
              </w:rPr>
              <w:t>Each</w:t>
            </w:r>
          </w:p>
        </w:tc>
        <w:tc>
          <w:tcPr>
            <w:tcW w:w="0" w:type="dxa"/>
            <w:vAlign w:val="bottom"/>
          </w:tcPr>
          <w:p>
            <w:pPr>
              <w:spacing w:after="0"/>
              <w:rPr>
                <w:sz w:val="1"/>
                <w:szCs w:val="1"/>
                <w:color w:val="auto"/>
              </w:rPr>
            </w:pPr>
          </w:p>
        </w:tc>
      </w:tr>
      <w:tr>
        <w:trPr>
          <w:trHeight w:val="133"/>
        </w:trPr>
        <w:tc>
          <w:tcPr>
            <w:tcW w:w="2020" w:type="dxa"/>
            <w:vAlign w:val="bottom"/>
            <w:shd w:val="clear" w:color="auto" w:fill="00548B"/>
          </w:tcPr>
          <w:p>
            <w:pPr>
              <w:spacing w:after="0"/>
              <w:rPr>
                <w:sz w:val="11"/>
                <w:szCs w:val="11"/>
                <w:color w:val="auto"/>
              </w:rPr>
            </w:pPr>
          </w:p>
        </w:tc>
        <w:tc>
          <w:tcPr>
            <w:tcW w:w="700" w:type="dxa"/>
            <w:vAlign w:val="bottom"/>
            <w:shd w:val="clear" w:color="auto" w:fill="00548B"/>
          </w:tcPr>
          <w:p>
            <w:pPr>
              <w:jc w:val="center"/>
              <w:ind w:left="58"/>
              <w:spacing w:after="0" w:line="133" w:lineRule="exact"/>
              <w:rPr>
                <w:sz w:val="20"/>
                <w:szCs w:val="20"/>
                <w:color w:val="auto"/>
              </w:rPr>
            </w:pPr>
            <w:r>
              <w:rPr>
                <w:rFonts w:ascii="Arial" w:cs="Arial" w:eastAsia="Arial" w:hAnsi="Arial"/>
                <w:sz w:val="12"/>
                <w:szCs w:val="12"/>
                <w:b w:val="1"/>
                <w:bCs w:val="1"/>
                <w:color w:val="D8D8D8"/>
              </w:rPr>
              <w:t>Grant</w:t>
            </w:r>
          </w:p>
        </w:tc>
        <w:tc>
          <w:tcPr>
            <w:tcW w:w="1000" w:type="dxa"/>
            <w:vAlign w:val="bottom"/>
            <w:shd w:val="clear" w:color="auto" w:fill="00548B"/>
          </w:tcPr>
          <w:p>
            <w:pPr>
              <w:jc w:val="center"/>
              <w:ind w:left="58"/>
              <w:spacing w:after="0" w:line="133" w:lineRule="exact"/>
              <w:rPr>
                <w:sz w:val="20"/>
                <w:szCs w:val="20"/>
                <w:color w:val="auto"/>
              </w:rPr>
            </w:pPr>
            <w:r>
              <w:rPr>
                <w:rFonts w:ascii="Arial" w:cs="Arial" w:eastAsia="Arial" w:hAnsi="Arial"/>
                <w:sz w:val="12"/>
                <w:szCs w:val="12"/>
                <w:b w:val="1"/>
                <w:bCs w:val="1"/>
                <w:color w:val="D8D8D8"/>
              </w:rPr>
              <w:t>Committee</w:t>
            </w:r>
          </w:p>
        </w:tc>
        <w:tc>
          <w:tcPr>
            <w:tcW w:w="1000" w:type="dxa"/>
            <w:vAlign w:val="bottom"/>
            <w:shd w:val="clear" w:color="auto" w:fill="00548B"/>
          </w:tcPr>
          <w:p>
            <w:pPr>
              <w:jc w:val="center"/>
              <w:ind w:left="218"/>
              <w:spacing w:after="0" w:line="133" w:lineRule="exact"/>
              <w:rPr>
                <w:sz w:val="20"/>
                <w:szCs w:val="20"/>
                <w:color w:val="auto"/>
              </w:rPr>
            </w:pPr>
            <w:r>
              <w:rPr>
                <w:rFonts w:ascii="Arial" w:cs="Arial" w:eastAsia="Arial" w:hAnsi="Arial"/>
                <w:sz w:val="12"/>
                <w:szCs w:val="12"/>
                <w:b w:val="1"/>
                <w:bCs w:val="1"/>
                <w:color w:val="D8D8D8"/>
              </w:rPr>
              <w:t>Threshold</w:t>
            </w:r>
          </w:p>
        </w:tc>
        <w:tc>
          <w:tcPr>
            <w:tcW w:w="1000" w:type="dxa"/>
            <w:vAlign w:val="bottom"/>
            <w:shd w:val="clear" w:color="auto" w:fill="00548B"/>
          </w:tcPr>
          <w:p>
            <w:pPr>
              <w:jc w:val="center"/>
              <w:ind w:left="238"/>
              <w:spacing w:after="0" w:line="133" w:lineRule="exact"/>
              <w:rPr>
                <w:sz w:val="20"/>
                <w:szCs w:val="20"/>
                <w:color w:val="auto"/>
              </w:rPr>
            </w:pPr>
            <w:r>
              <w:rPr>
                <w:rFonts w:ascii="Arial" w:cs="Arial" w:eastAsia="Arial" w:hAnsi="Arial"/>
                <w:sz w:val="12"/>
                <w:szCs w:val="12"/>
                <w:b w:val="1"/>
                <w:bCs w:val="1"/>
                <w:color w:val="D8D8D8"/>
              </w:rPr>
              <w:t>Target</w:t>
            </w:r>
          </w:p>
        </w:tc>
        <w:tc>
          <w:tcPr>
            <w:tcW w:w="1060" w:type="dxa"/>
            <w:vAlign w:val="bottom"/>
            <w:shd w:val="clear" w:color="auto" w:fill="00548B"/>
          </w:tcPr>
          <w:p>
            <w:pPr>
              <w:jc w:val="center"/>
              <w:ind w:right="98"/>
              <w:spacing w:after="0" w:line="133" w:lineRule="exact"/>
              <w:rPr>
                <w:sz w:val="20"/>
                <w:szCs w:val="20"/>
                <w:color w:val="auto"/>
              </w:rPr>
            </w:pPr>
            <w:r>
              <w:rPr>
                <w:rFonts w:ascii="Arial" w:cs="Arial" w:eastAsia="Arial" w:hAnsi="Arial"/>
                <w:sz w:val="12"/>
                <w:szCs w:val="12"/>
                <w:b w:val="1"/>
                <w:bCs w:val="1"/>
                <w:color w:val="D8D8D8"/>
              </w:rPr>
              <w:t>Maximum</w:t>
            </w:r>
          </w:p>
        </w:tc>
        <w:tc>
          <w:tcPr>
            <w:tcW w:w="880" w:type="dxa"/>
            <w:vAlign w:val="bottom"/>
            <w:shd w:val="clear" w:color="auto" w:fill="00548B"/>
          </w:tcPr>
          <w:p>
            <w:pPr>
              <w:jc w:val="center"/>
              <w:ind w:left="178"/>
              <w:spacing w:after="0" w:line="133" w:lineRule="exact"/>
              <w:rPr>
                <w:sz w:val="20"/>
                <w:szCs w:val="20"/>
                <w:color w:val="auto"/>
              </w:rPr>
            </w:pPr>
            <w:r>
              <w:rPr>
                <w:rFonts w:ascii="Arial" w:cs="Arial" w:eastAsia="Arial" w:hAnsi="Arial"/>
                <w:sz w:val="12"/>
                <w:szCs w:val="12"/>
                <w:b w:val="1"/>
                <w:bCs w:val="1"/>
                <w:color w:val="D8D8D8"/>
              </w:rPr>
              <w:t>Threshold</w:t>
            </w:r>
          </w:p>
        </w:tc>
        <w:tc>
          <w:tcPr>
            <w:tcW w:w="980" w:type="dxa"/>
            <w:vAlign w:val="bottom"/>
            <w:shd w:val="clear" w:color="auto" w:fill="00548B"/>
          </w:tcPr>
          <w:p>
            <w:pPr>
              <w:jc w:val="center"/>
              <w:spacing w:after="0" w:line="133" w:lineRule="exact"/>
              <w:rPr>
                <w:sz w:val="20"/>
                <w:szCs w:val="20"/>
                <w:color w:val="auto"/>
              </w:rPr>
            </w:pPr>
            <w:r>
              <w:rPr>
                <w:rFonts w:ascii="Arial" w:cs="Arial" w:eastAsia="Arial" w:hAnsi="Arial"/>
                <w:sz w:val="12"/>
                <w:szCs w:val="12"/>
                <w:b w:val="1"/>
                <w:bCs w:val="1"/>
                <w:color w:val="D8D8D8"/>
              </w:rPr>
              <w:t>Target</w:t>
            </w:r>
          </w:p>
        </w:tc>
        <w:tc>
          <w:tcPr>
            <w:tcW w:w="840" w:type="dxa"/>
            <w:vAlign w:val="bottom"/>
            <w:shd w:val="clear" w:color="auto" w:fill="00548B"/>
          </w:tcPr>
          <w:p>
            <w:pPr>
              <w:jc w:val="center"/>
              <w:ind w:right="158"/>
              <w:spacing w:after="0" w:line="133" w:lineRule="exact"/>
              <w:rPr>
                <w:sz w:val="20"/>
                <w:szCs w:val="20"/>
                <w:color w:val="auto"/>
              </w:rPr>
            </w:pPr>
            <w:r>
              <w:rPr>
                <w:rFonts w:ascii="Arial" w:cs="Arial" w:eastAsia="Arial" w:hAnsi="Arial"/>
                <w:sz w:val="12"/>
                <w:szCs w:val="12"/>
                <w:b w:val="1"/>
                <w:bCs w:val="1"/>
                <w:color w:val="D8D8D8"/>
              </w:rPr>
              <w:t>Maximum</w:t>
            </w:r>
          </w:p>
        </w:tc>
        <w:tc>
          <w:tcPr>
            <w:tcW w:w="740" w:type="dxa"/>
            <w:vAlign w:val="bottom"/>
            <w:shd w:val="clear" w:color="auto" w:fill="00548B"/>
          </w:tcPr>
          <w:p>
            <w:pPr>
              <w:jc w:val="center"/>
              <w:spacing w:after="0" w:line="133" w:lineRule="exact"/>
              <w:rPr>
                <w:sz w:val="20"/>
                <w:szCs w:val="20"/>
                <w:color w:val="auto"/>
              </w:rPr>
            </w:pPr>
            <w:r>
              <w:rPr>
                <w:rFonts w:ascii="Arial" w:cs="Arial" w:eastAsia="Arial" w:hAnsi="Arial"/>
                <w:sz w:val="12"/>
                <w:szCs w:val="12"/>
                <w:b w:val="1"/>
                <w:bCs w:val="1"/>
                <w:color w:val="D8D8D8"/>
              </w:rPr>
              <w:t>Stock</w:t>
            </w:r>
          </w:p>
        </w:tc>
        <w:tc>
          <w:tcPr>
            <w:tcW w:w="640" w:type="dxa"/>
            <w:vAlign w:val="bottom"/>
            <w:shd w:val="clear" w:color="auto" w:fill="00548B"/>
          </w:tcPr>
          <w:p>
            <w:pPr>
              <w:jc w:val="center"/>
              <w:spacing w:after="0" w:line="133" w:lineRule="exact"/>
              <w:rPr>
                <w:sz w:val="20"/>
                <w:szCs w:val="20"/>
                <w:color w:val="auto"/>
              </w:rPr>
            </w:pPr>
            <w:r>
              <w:rPr>
                <w:rFonts w:ascii="Arial" w:cs="Arial" w:eastAsia="Arial" w:hAnsi="Arial"/>
                <w:sz w:val="12"/>
                <w:szCs w:val="12"/>
                <w:b w:val="1"/>
                <w:bCs w:val="1"/>
                <w:color w:val="D8D8D8"/>
              </w:rPr>
              <w:t>Award</w:t>
            </w:r>
          </w:p>
        </w:tc>
        <w:tc>
          <w:tcPr>
            <w:tcW w:w="0" w:type="dxa"/>
            <w:vAlign w:val="bottom"/>
          </w:tcPr>
          <w:p>
            <w:pPr>
              <w:spacing w:after="0"/>
              <w:rPr>
                <w:sz w:val="1"/>
                <w:szCs w:val="1"/>
                <w:color w:val="auto"/>
              </w:rPr>
            </w:pPr>
          </w:p>
        </w:tc>
      </w:tr>
      <w:tr>
        <w:trPr>
          <w:trHeight w:val="166"/>
        </w:trPr>
        <w:tc>
          <w:tcPr>
            <w:tcW w:w="2020" w:type="dxa"/>
            <w:vAlign w:val="bottom"/>
            <w:shd w:val="clear" w:color="auto" w:fill="00548B"/>
          </w:tcPr>
          <w:p>
            <w:pPr>
              <w:spacing w:after="0"/>
              <w:rPr>
                <w:sz w:val="20"/>
                <w:szCs w:val="20"/>
                <w:color w:val="auto"/>
              </w:rPr>
            </w:pPr>
            <w:r>
              <w:rPr>
                <w:rFonts w:ascii="Arial" w:cs="Arial" w:eastAsia="Arial" w:hAnsi="Arial"/>
                <w:sz w:val="12"/>
                <w:szCs w:val="12"/>
                <w:b w:val="1"/>
                <w:bCs w:val="1"/>
                <w:color w:val="D8D8D8"/>
              </w:rPr>
              <w:t>Name</w:t>
            </w:r>
          </w:p>
        </w:tc>
        <w:tc>
          <w:tcPr>
            <w:tcW w:w="700" w:type="dxa"/>
            <w:vAlign w:val="bottom"/>
            <w:shd w:val="clear" w:color="auto" w:fill="00548B"/>
          </w:tcPr>
          <w:p>
            <w:pPr>
              <w:jc w:val="center"/>
              <w:ind w:left="58"/>
              <w:spacing w:after="0"/>
              <w:rPr>
                <w:sz w:val="20"/>
                <w:szCs w:val="20"/>
                <w:color w:val="auto"/>
              </w:rPr>
            </w:pPr>
            <w:r>
              <w:rPr>
                <w:rFonts w:ascii="Arial" w:cs="Arial" w:eastAsia="Arial" w:hAnsi="Arial"/>
                <w:sz w:val="12"/>
                <w:szCs w:val="12"/>
                <w:b w:val="1"/>
                <w:bCs w:val="1"/>
                <w:color w:val="D8D8D8"/>
                <w:w w:val="99"/>
              </w:rPr>
              <w:t>Date</w:t>
            </w:r>
          </w:p>
        </w:tc>
        <w:tc>
          <w:tcPr>
            <w:tcW w:w="1000" w:type="dxa"/>
            <w:vAlign w:val="bottom"/>
            <w:shd w:val="clear" w:color="auto" w:fill="00548B"/>
          </w:tcPr>
          <w:p>
            <w:pPr>
              <w:jc w:val="center"/>
              <w:ind w:left="38"/>
              <w:spacing w:after="0"/>
              <w:rPr>
                <w:sz w:val="20"/>
                <w:szCs w:val="20"/>
                <w:color w:val="auto"/>
              </w:rPr>
            </w:pPr>
            <w:r>
              <w:rPr>
                <w:rFonts w:ascii="Arial" w:cs="Arial" w:eastAsia="Arial" w:hAnsi="Arial"/>
                <w:sz w:val="12"/>
                <w:szCs w:val="12"/>
                <w:b w:val="1"/>
                <w:bCs w:val="1"/>
                <w:color w:val="D8D8D8"/>
              </w:rPr>
              <w:t>Action</w:t>
            </w:r>
          </w:p>
        </w:tc>
        <w:tc>
          <w:tcPr>
            <w:tcW w:w="1000" w:type="dxa"/>
            <w:vAlign w:val="bottom"/>
            <w:shd w:val="clear" w:color="auto" w:fill="00548B"/>
          </w:tcPr>
          <w:p>
            <w:pPr>
              <w:jc w:val="right"/>
              <w:ind w:right="218"/>
              <w:spacing w:after="0"/>
              <w:rPr>
                <w:sz w:val="20"/>
                <w:szCs w:val="20"/>
                <w:color w:val="auto"/>
              </w:rPr>
            </w:pPr>
            <w:r>
              <w:rPr>
                <w:rFonts w:ascii="Arial" w:cs="Arial" w:eastAsia="Arial" w:hAnsi="Arial"/>
                <w:sz w:val="12"/>
                <w:szCs w:val="12"/>
                <w:b w:val="1"/>
                <w:bCs w:val="1"/>
                <w:color w:val="D8D8D8"/>
              </w:rPr>
              <w:t>($)</w:t>
            </w:r>
          </w:p>
        </w:tc>
        <w:tc>
          <w:tcPr>
            <w:tcW w:w="1000" w:type="dxa"/>
            <w:vAlign w:val="bottom"/>
            <w:shd w:val="clear" w:color="auto" w:fill="00548B"/>
          </w:tcPr>
          <w:p>
            <w:pPr>
              <w:jc w:val="right"/>
              <w:ind w:right="218"/>
              <w:spacing w:after="0"/>
              <w:rPr>
                <w:sz w:val="20"/>
                <w:szCs w:val="20"/>
                <w:color w:val="auto"/>
              </w:rPr>
            </w:pPr>
            <w:r>
              <w:rPr>
                <w:rFonts w:ascii="Arial" w:cs="Arial" w:eastAsia="Arial" w:hAnsi="Arial"/>
                <w:sz w:val="12"/>
                <w:szCs w:val="12"/>
                <w:b w:val="1"/>
                <w:bCs w:val="1"/>
                <w:color w:val="D8D8D8"/>
              </w:rPr>
              <w:t>($)</w:t>
            </w:r>
          </w:p>
        </w:tc>
        <w:tc>
          <w:tcPr>
            <w:tcW w:w="1060" w:type="dxa"/>
            <w:vAlign w:val="bottom"/>
            <w:shd w:val="clear" w:color="auto" w:fill="00548B"/>
          </w:tcPr>
          <w:p>
            <w:pPr>
              <w:jc w:val="right"/>
              <w:ind w:right="478"/>
              <w:spacing w:after="0"/>
              <w:rPr>
                <w:sz w:val="20"/>
                <w:szCs w:val="20"/>
                <w:color w:val="auto"/>
              </w:rPr>
            </w:pPr>
            <w:r>
              <w:rPr>
                <w:rFonts w:ascii="Arial" w:cs="Arial" w:eastAsia="Arial" w:hAnsi="Arial"/>
                <w:sz w:val="12"/>
                <w:szCs w:val="12"/>
                <w:b w:val="1"/>
                <w:bCs w:val="1"/>
                <w:color w:val="D8D8D8"/>
              </w:rPr>
              <w:t>($)</w:t>
            </w:r>
          </w:p>
        </w:tc>
        <w:tc>
          <w:tcPr>
            <w:tcW w:w="880" w:type="dxa"/>
            <w:vAlign w:val="bottom"/>
            <w:shd w:val="clear" w:color="auto" w:fill="00548B"/>
          </w:tcPr>
          <w:p>
            <w:pPr>
              <w:jc w:val="right"/>
              <w:ind w:right="178"/>
              <w:spacing w:after="0"/>
              <w:rPr>
                <w:sz w:val="20"/>
                <w:szCs w:val="20"/>
                <w:color w:val="auto"/>
              </w:rPr>
            </w:pPr>
            <w:r>
              <w:rPr>
                <w:rFonts w:ascii="Arial" w:cs="Arial" w:eastAsia="Arial" w:hAnsi="Arial"/>
                <w:sz w:val="12"/>
                <w:szCs w:val="12"/>
                <w:b w:val="1"/>
                <w:bCs w:val="1"/>
                <w:color w:val="D8D8D8"/>
              </w:rPr>
              <w:t>(#)</w:t>
            </w:r>
          </w:p>
        </w:tc>
        <w:tc>
          <w:tcPr>
            <w:tcW w:w="980" w:type="dxa"/>
            <w:vAlign w:val="bottom"/>
            <w:shd w:val="clear" w:color="auto" w:fill="00548B"/>
          </w:tcPr>
          <w:p>
            <w:pPr>
              <w:jc w:val="right"/>
              <w:ind w:right="378"/>
              <w:spacing w:after="0"/>
              <w:rPr>
                <w:sz w:val="20"/>
                <w:szCs w:val="20"/>
                <w:color w:val="auto"/>
              </w:rPr>
            </w:pPr>
            <w:r>
              <w:rPr>
                <w:rFonts w:ascii="Arial" w:cs="Arial" w:eastAsia="Arial" w:hAnsi="Arial"/>
                <w:sz w:val="12"/>
                <w:szCs w:val="12"/>
                <w:b w:val="1"/>
                <w:bCs w:val="1"/>
                <w:color w:val="D8D8D8"/>
              </w:rPr>
              <w:t>(#)</w:t>
            </w:r>
          </w:p>
        </w:tc>
        <w:tc>
          <w:tcPr>
            <w:tcW w:w="840" w:type="dxa"/>
            <w:vAlign w:val="bottom"/>
            <w:shd w:val="clear" w:color="auto" w:fill="00548B"/>
          </w:tcPr>
          <w:p>
            <w:pPr>
              <w:jc w:val="right"/>
              <w:ind w:right="398"/>
              <w:spacing w:after="0"/>
              <w:rPr>
                <w:sz w:val="20"/>
                <w:szCs w:val="20"/>
                <w:color w:val="auto"/>
              </w:rPr>
            </w:pPr>
            <w:r>
              <w:rPr>
                <w:rFonts w:ascii="Arial" w:cs="Arial" w:eastAsia="Arial" w:hAnsi="Arial"/>
                <w:sz w:val="12"/>
                <w:szCs w:val="12"/>
                <w:b w:val="1"/>
                <w:bCs w:val="1"/>
                <w:color w:val="D8D8D8"/>
              </w:rPr>
              <w:t>(#)</w:t>
            </w:r>
          </w:p>
        </w:tc>
        <w:tc>
          <w:tcPr>
            <w:tcW w:w="740" w:type="dxa"/>
            <w:vAlign w:val="bottom"/>
            <w:shd w:val="clear" w:color="auto" w:fill="00548B"/>
          </w:tcPr>
          <w:p>
            <w:pPr>
              <w:jc w:val="center"/>
              <w:spacing w:after="0"/>
              <w:rPr>
                <w:sz w:val="20"/>
                <w:szCs w:val="20"/>
                <w:color w:val="auto"/>
              </w:rPr>
            </w:pPr>
            <w:r>
              <w:rPr>
                <w:rFonts w:ascii="Arial" w:cs="Arial" w:eastAsia="Arial" w:hAnsi="Arial"/>
                <w:sz w:val="12"/>
                <w:szCs w:val="12"/>
                <w:b w:val="1"/>
                <w:bCs w:val="1"/>
                <w:color w:val="D8D8D8"/>
              </w:rPr>
              <w:t>(#)(3)</w:t>
            </w:r>
          </w:p>
        </w:tc>
        <w:tc>
          <w:tcPr>
            <w:tcW w:w="640" w:type="dxa"/>
            <w:vAlign w:val="bottom"/>
            <w:shd w:val="clear" w:color="auto" w:fill="00548B"/>
          </w:tcPr>
          <w:p>
            <w:pPr>
              <w:jc w:val="center"/>
              <w:spacing w:after="0"/>
              <w:rPr>
                <w:sz w:val="20"/>
                <w:szCs w:val="20"/>
                <w:color w:val="auto"/>
              </w:rPr>
            </w:pPr>
            <w:r>
              <w:rPr>
                <w:rFonts w:ascii="Arial" w:cs="Arial" w:eastAsia="Arial" w:hAnsi="Arial"/>
                <w:sz w:val="12"/>
                <w:szCs w:val="12"/>
                <w:b w:val="1"/>
                <w:bCs w:val="1"/>
                <w:color w:val="D8D8D8"/>
              </w:rPr>
              <w:t>($)(4)</w:t>
            </w:r>
          </w:p>
        </w:tc>
        <w:tc>
          <w:tcPr>
            <w:tcW w:w="0" w:type="dxa"/>
            <w:vAlign w:val="bottom"/>
          </w:tcPr>
          <w:p>
            <w:pPr>
              <w:spacing w:after="0"/>
              <w:rPr>
                <w:sz w:val="1"/>
                <w:szCs w:val="1"/>
                <w:color w:val="auto"/>
              </w:rPr>
            </w:pPr>
          </w:p>
        </w:tc>
      </w:tr>
    </w:tbl>
    <w:p>
      <w:pPr>
        <w:spacing w:after="0" w:line="3" w:lineRule="exact"/>
        <w:rPr>
          <w:sz w:val="20"/>
          <w:szCs w:val="20"/>
          <w:color w:val="auto"/>
        </w:rPr>
      </w:pPr>
    </w:p>
    <w:p>
      <w:pPr>
        <w:sectPr>
          <w:pgSz w:w="11900" w:h="16838" w:orient="portrait"/>
          <w:cols w:equalWidth="0" w:num="1">
            <w:col w:w="11060"/>
          </w:cols>
          <w:pgMar w:left="320" w:top="454" w:right="519" w:bottom="1440" w:gutter="0" w:footer="0" w:header="0"/>
        </w:sectPr>
      </w:pPr>
    </w:p>
    <w:tbl>
      <w:tblPr>
        <w:tblLayout w:type="fixed"/>
        <w:tblInd w:w="200" w:type="dxa"/>
        <w:tblCellMar>
          <w:top w:w="0" w:type="dxa"/>
          <w:left w:w="0" w:type="dxa"/>
          <w:bottom w:w="0" w:type="dxa"/>
          <w:right w:w="0" w:type="dxa"/>
        </w:tblCellMar>
      </w:tblPr>
      <w:tr>
        <w:trPr>
          <w:trHeight w:val="161"/>
        </w:trPr>
        <w:tc>
          <w:tcPr>
            <w:tcW w:w="1720" w:type="dxa"/>
            <w:vAlign w:val="bottom"/>
          </w:tcPr>
          <w:p>
            <w:pPr>
              <w:spacing w:after="0"/>
              <w:rPr>
                <w:sz w:val="20"/>
                <w:szCs w:val="20"/>
                <w:color w:val="auto"/>
              </w:rPr>
            </w:pPr>
            <w:r>
              <w:rPr>
                <w:rFonts w:ascii="Arial" w:cs="Arial" w:eastAsia="Arial" w:hAnsi="Arial"/>
                <w:sz w:val="14"/>
                <w:szCs w:val="14"/>
                <w:color w:val="auto"/>
              </w:rPr>
              <w:t>James H. Roth</w:t>
            </w:r>
          </w:p>
        </w:tc>
        <w:tc>
          <w:tcPr>
            <w:tcW w:w="1160" w:type="dxa"/>
            <w:vAlign w:val="bottom"/>
          </w:tcPr>
          <w:p>
            <w:pPr>
              <w:jc w:val="right"/>
              <w:ind w:right="89"/>
              <w:spacing w:after="0"/>
              <w:rPr>
                <w:sz w:val="20"/>
                <w:szCs w:val="20"/>
                <w:color w:val="auto"/>
              </w:rPr>
            </w:pPr>
            <w:r>
              <w:rPr>
                <w:rFonts w:ascii="Arial" w:cs="Arial" w:eastAsia="Arial" w:hAnsi="Arial"/>
                <w:sz w:val="14"/>
                <w:szCs w:val="14"/>
                <w:color w:val="auto"/>
              </w:rPr>
              <w:t>3/1/2021</w:t>
            </w:r>
          </w:p>
        </w:tc>
        <w:tc>
          <w:tcPr>
            <w:tcW w:w="1020" w:type="dxa"/>
            <w:vAlign w:val="bottom"/>
          </w:tcPr>
          <w:p>
            <w:pPr>
              <w:jc w:val="right"/>
              <w:ind w:right="169"/>
              <w:spacing w:after="0"/>
              <w:rPr>
                <w:sz w:val="20"/>
                <w:szCs w:val="20"/>
                <w:color w:val="auto"/>
              </w:rPr>
            </w:pPr>
            <w:r>
              <w:rPr>
                <w:rFonts w:ascii="Arial" w:cs="Arial" w:eastAsia="Arial" w:hAnsi="Arial"/>
                <w:sz w:val="14"/>
                <w:szCs w:val="14"/>
                <w:color w:val="auto"/>
              </w:rPr>
              <w:t>2/18/2021</w:t>
            </w:r>
          </w:p>
        </w:tc>
        <w:tc>
          <w:tcPr>
            <w:tcW w:w="960" w:type="dxa"/>
            <w:vAlign w:val="bottom"/>
          </w:tcPr>
          <w:p>
            <w:pPr>
              <w:jc w:val="center"/>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6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69"/>
              <w:spacing w:after="0"/>
              <w:rPr>
                <w:sz w:val="20"/>
                <w:szCs w:val="20"/>
                <w:color w:val="auto"/>
              </w:rPr>
            </w:pPr>
            <w:r>
              <w:rPr>
                <w:rFonts w:ascii="Arial" w:cs="Arial" w:eastAsia="Arial" w:hAnsi="Arial"/>
                <w:sz w:val="14"/>
                <w:szCs w:val="14"/>
                <w:color w:val="auto"/>
              </w:rPr>
              <w:t>—</w:t>
            </w:r>
          </w:p>
        </w:tc>
      </w:tr>
      <w:tr>
        <w:trPr>
          <w:trHeight w:val="160"/>
        </w:trPr>
        <w:tc>
          <w:tcPr>
            <w:tcW w:w="1720" w:type="dxa"/>
            <w:vAlign w:val="bottom"/>
          </w:tcPr>
          <w:p>
            <w:pPr>
              <w:spacing w:after="0"/>
              <w:rPr>
                <w:sz w:val="13"/>
                <w:szCs w:val="13"/>
                <w:color w:val="auto"/>
              </w:rPr>
            </w:pPr>
          </w:p>
        </w:tc>
        <w:tc>
          <w:tcPr>
            <w:tcW w:w="1160" w:type="dxa"/>
            <w:vAlign w:val="bottom"/>
          </w:tcPr>
          <w:p>
            <w:pPr>
              <w:jc w:val="right"/>
              <w:ind w:right="89"/>
              <w:spacing w:after="0" w:line="159" w:lineRule="exact"/>
              <w:rPr>
                <w:sz w:val="20"/>
                <w:szCs w:val="20"/>
                <w:color w:val="auto"/>
              </w:rPr>
            </w:pPr>
            <w:r>
              <w:rPr>
                <w:rFonts w:ascii="Arial" w:cs="Arial" w:eastAsia="Arial" w:hAnsi="Arial"/>
                <w:sz w:val="14"/>
                <w:szCs w:val="14"/>
                <w:color w:val="auto"/>
              </w:rPr>
              <w:t>3/1/2021</w:t>
            </w:r>
          </w:p>
        </w:tc>
        <w:tc>
          <w:tcPr>
            <w:tcW w:w="1020" w:type="dxa"/>
            <w:vAlign w:val="bottom"/>
          </w:tcPr>
          <w:p>
            <w:pPr>
              <w:jc w:val="right"/>
              <w:ind w:right="169"/>
              <w:spacing w:after="0" w:line="159" w:lineRule="exact"/>
              <w:rPr>
                <w:sz w:val="20"/>
                <w:szCs w:val="20"/>
                <w:color w:val="auto"/>
              </w:rPr>
            </w:pPr>
            <w:r>
              <w:rPr>
                <w:rFonts w:ascii="Arial" w:cs="Arial" w:eastAsia="Arial" w:hAnsi="Arial"/>
                <w:sz w:val="14"/>
                <w:szCs w:val="14"/>
                <w:color w:val="auto"/>
              </w:rPr>
              <w:t>2/18/2021</w:t>
            </w:r>
          </w:p>
        </w:tc>
        <w:tc>
          <w:tcPr>
            <w:tcW w:w="960" w:type="dxa"/>
            <w:vAlign w:val="bottom"/>
          </w:tcPr>
          <w:p>
            <w:pPr>
              <w:jc w:val="center"/>
              <w:spacing w:after="0" w:line="15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269"/>
              <w:spacing w:after="0" w:line="15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269"/>
              <w:spacing w:after="0" w:line="159" w:lineRule="exact"/>
              <w:rPr>
                <w:sz w:val="20"/>
                <w:szCs w:val="20"/>
                <w:color w:val="auto"/>
              </w:rPr>
            </w:pPr>
            <w:r>
              <w:rPr>
                <w:rFonts w:ascii="Arial" w:cs="Arial" w:eastAsia="Arial" w:hAnsi="Arial"/>
                <w:sz w:val="14"/>
                <w:szCs w:val="14"/>
                <w:color w:val="auto"/>
              </w:rPr>
              <w:t>—</w:t>
            </w:r>
          </w:p>
        </w:tc>
      </w:tr>
      <w:tr>
        <w:trPr>
          <w:trHeight w:val="155"/>
        </w:trPr>
        <w:tc>
          <w:tcPr>
            <w:tcW w:w="1720" w:type="dxa"/>
            <w:vAlign w:val="bottom"/>
            <w:tcBorders>
              <w:bottom w:val="single" w:sz="8" w:color="999999"/>
            </w:tcBorders>
          </w:tcPr>
          <w:p>
            <w:pPr>
              <w:spacing w:after="0"/>
              <w:rPr>
                <w:sz w:val="13"/>
                <w:szCs w:val="13"/>
                <w:color w:val="auto"/>
              </w:rPr>
            </w:pPr>
          </w:p>
        </w:tc>
        <w:tc>
          <w:tcPr>
            <w:tcW w:w="1160" w:type="dxa"/>
            <w:vAlign w:val="bottom"/>
            <w:tcBorders>
              <w:bottom w:val="single" w:sz="8" w:color="999999"/>
            </w:tcBorders>
          </w:tcPr>
          <w:p>
            <w:pPr>
              <w:spacing w:after="0"/>
              <w:rPr>
                <w:sz w:val="13"/>
                <w:szCs w:val="13"/>
                <w:color w:val="auto"/>
              </w:rPr>
            </w:pPr>
          </w:p>
        </w:tc>
        <w:tc>
          <w:tcPr>
            <w:tcW w:w="1020" w:type="dxa"/>
            <w:vAlign w:val="bottom"/>
            <w:tcBorders>
              <w:bottom w:val="single" w:sz="8" w:color="999999"/>
            </w:tcBorders>
          </w:tcPr>
          <w:p>
            <w:pPr>
              <w:spacing w:after="0"/>
              <w:rPr>
                <w:sz w:val="13"/>
                <w:szCs w:val="13"/>
                <w:color w:val="auto"/>
              </w:rPr>
            </w:pPr>
          </w:p>
        </w:tc>
        <w:tc>
          <w:tcPr>
            <w:tcW w:w="960" w:type="dxa"/>
            <w:vAlign w:val="bottom"/>
            <w:tcBorders>
              <w:bottom w:val="single" w:sz="8" w:color="999999"/>
            </w:tcBorders>
          </w:tcPr>
          <w:p>
            <w:pPr>
              <w:jc w:val="center"/>
              <w:spacing w:after="0" w:line="155" w:lineRule="exact"/>
              <w:rPr>
                <w:sz w:val="20"/>
                <w:szCs w:val="20"/>
                <w:color w:val="auto"/>
              </w:rPr>
            </w:pPr>
            <w:r>
              <w:rPr>
                <w:rFonts w:ascii="Arial" w:cs="Arial" w:eastAsia="Arial" w:hAnsi="Arial"/>
                <w:sz w:val="14"/>
                <w:szCs w:val="14"/>
                <w:color w:val="auto"/>
              </w:rPr>
              <w:t>332,500</w:t>
            </w:r>
          </w:p>
        </w:tc>
        <w:tc>
          <w:tcPr>
            <w:tcW w:w="960" w:type="dxa"/>
            <w:vAlign w:val="bottom"/>
            <w:tcBorders>
              <w:bottom w:val="single" w:sz="8" w:color="999999"/>
            </w:tcBorders>
          </w:tcPr>
          <w:p>
            <w:pPr>
              <w:jc w:val="right"/>
              <w:ind w:right="29"/>
              <w:spacing w:after="0" w:line="155" w:lineRule="exact"/>
              <w:rPr>
                <w:sz w:val="20"/>
                <w:szCs w:val="20"/>
                <w:color w:val="auto"/>
              </w:rPr>
            </w:pPr>
            <w:r>
              <w:rPr>
                <w:rFonts w:ascii="Arial" w:cs="Arial" w:eastAsia="Arial" w:hAnsi="Arial"/>
                <w:sz w:val="14"/>
                <w:szCs w:val="14"/>
                <w:color w:val="auto"/>
              </w:rPr>
              <w:t>1,330,000</w:t>
            </w:r>
          </w:p>
        </w:tc>
        <w:tc>
          <w:tcPr>
            <w:tcW w:w="800" w:type="dxa"/>
            <w:vAlign w:val="bottom"/>
            <w:tcBorders>
              <w:bottom w:val="single" w:sz="8" w:color="999999"/>
            </w:tcBorders>
          </w:tcPr>
          <w:p>
            <w:pPr>
              <w:jc w:val="right"/>
              <w:ind w:right="29"/>
              <w:spacing w:after="0" w:line="155" w:lineRule="exact"/>
              <w:rPr>
                <w:sz w:val="20"/>
                <w:szCs w:val="20"/>
                <w:color w:val="auto"/>
              </w:rPr>
            </w:pPr>
            <w:r>
              <w:rPr>
                <w:rFonts w:ascii="Arial" w:cs="Arial" w:eastAsia="Arial" w:hAnsi="Arial"/>
                <w:sz w:val="14"/>
                <w:szCs w:val="14"/>
                <w:color w:val="auto"/>
              </w:rPr>
              <w:t>2,660,000</w:t>
            </w:r>
          </w:p>
        </w:tc>
      </w:tr>
      <w:tr>
        <w:trPr>
          <w:trHeight w:val="158"/>
        </w:trPr>
        <w:tc>
          <w:tcPr>
            <w:tcW w:w="1720" w:type="dxa"/>
            <w:vAlign w:val="bottom"/>
          </w:tcPr>
          <w:p>
            <w:pPr>
              <w:spacing w:after="0" w:line="157" w:lineRule="exact"/>
              <w:rPr>
                <w:sz w:val="20"/>
                <w:szCs w:val="20"/>
                <w:color w:val="auto"/>
              </w:rPr>
            </w:pPr>
            <w:r>
              <w:rPr>
                <w:rFonts w:ascii="Arial" w:cs="Arial" w:eastAsia="Arial" w:hAnsi="Arial"/>
                <w:sz w:val="14"/>
                <w:szCs w:val="14"/>
                <w:color w:val="auto"/>
              </w:rPr>
              <w:t>C. Mark Hussey</w:t>
            </w:r>
          </w:p>
        </w:tc>
        <w:tc>
          <w:tcPr>
            <w:tcW w:w="1160" w:type="dxa"/>
            <w:vAlign w:val="bottom"/>
          </w:tcPr>
          <w:p>
            <w:pPr>
              <w:jc w:val="right"/>
              <w:ind w:right="89"/>
              <w:spacing w:after="0" w:line="157" w:lineRule="exact"/>
              <w:rPr>
                <w:sz w:val="20"/>
                <w:szCs w:val="20"/>
                <w:color w:val="auto"/>
              </w:rPr>
            </w:pPr>
            <w:r>
              <w:rPr>
                <w:rFonts w:ascii="Arial" w:cs="Arial" w:eastAsia="Arial" w:hAnsi="Arial"/>
                <w:sz w:val="14"/>
                <w:szCs w:val="14"/>
                <w:color w:val="auto"/>
              </w:rPr>
              <w:t>3/1/2021</w:t>
            </w:r>
          </w:p>
        </w:tc>
        <w:tc>
          <w:tcPr>
            <w:tcW w:w="1020" w:type="dxa"/>
            <w:vAlign w:val="bottom"/>
          </w:tcPr>
          <w:p>
            <w:pPr>
              <w:jc w:val="right"/>
              <w:ind w:right="169"/>
              <w:spacing w:after="0" w:line="157" w:lineRule="exact"/>
              <w:rPr>
                <w:sz w:val="20"/>
                <w:szCs w:val="20"/>
                <w:color w:val="auto"/>
              </w:rPr>
            </w:pPr>
            <w:r>
              <w:rPr>
                <w:rFonts w:ascii="Arial" w:cs="Arial" w:eastAsia="Arial" w:hAnsi="Arial"/>
                <w:sz w:val="14"/>
                <w:szCs w:val="14"/>
                <w:color w:val="auto"/>
              </w:rPr>
              <w:t>2/18/2021</w:t>
            </w:r>
          </w:p>
        </w:tc>
        <w:tc>
          <w:tcPr>
            <w:tcW w:w="960" w:type="dxa"/>
            <w:vAlign w:val="bottom"/>
          </w:tcPr>
          <w:p>
            <w:pPr>
              <w:jc w:val="center"/>
              <w:spacing w:after="0" w:line="157"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269"/>
              <w:spacing w:after="0" w:line="157"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269"/>
              <w:spacing w:after="0" w:line="157" w:lineRule="exact"/>
              <w:rPr>
                <w:sz w:val="20"/>
                <w:szCs w:val="20"/>
                <w:color w:val="auto"/>
              </w:rPr>
            </w:pPr>
            <w:r>
              <w:rPr>
                <w:rFonts w:ascii="Arial" w:cs="Arial" w:eastAsia="Arial" w:hAnsi="Arial"/>
                <w:sz w:val="14"/>
                <w:szCs w:val="14"/>
                <w:color w:val="auto"/>
              </w:rPr>
              <w:t>—</w:t>
            </w:r>
          </w:p>
        </w:tc>
      </w:tr>
      <w:tr>
        <w:trPr>
          <w:trHeight w:val="160"/>
        </w:trPr>
        <w:tc>
          <w:tcPr>
            <w:tcW w:w="1720" w:type="dxa"/>
            <w:vAlign w:val="bottom"/>
          </w:tcPr>
          <w:p>
            <w:pPr>
              <w:spacing w:after="0"/>
              <w:rPr>
                <w:sz w:val="13"/>
                <w:szCs w:val="13"/>
                <w:color w:val="auto"/>
              </w:rPr>
            </w:pPr>
          </w:p>
        </w:tc>
        <w:tc>
          <w:tcPr>
            <w:tcW w:w="1160" w:type="dxa"/>
            <w:vAlign w:val="bottom"/>
          </w:tcPr>
          <w:p>
            <w:pPr>
              <w:jc w:val="right"/>
              <w:ind w:right="89"/>
              <w:spacing w:after="0" w:line="159" w:lineRule="exact"/>
              <w:rPr>
                <w:sz w:val="20"/>
                <w:szCs w:val="20"/>
                <w:color w:val="auto"/>
              </w:rPr>
            </w:pPr>
            <w:r>
              <w:rPr>
                <w:rFonts w:ascii="Arial" w:cs="Arial" w:eastAsia="Arial" w:hAnsi="Arial"/>
                <w:sz w:val="14"/>
                <w:szCs w:val="14"/>
                <w:color w:val="auto"/>
              </w:rPr>
              <w:t>3/1/2021</w:t>
            </w:r>
          </w:p>
        </w:tc>
        <w:tc>
          <w:tcPr>
            <w:tcW w:w="1020" w:type="dxa"/>
            <w:vAlign w:val="bottom"/>
          </w:tcPr>
          <w:p>
            <w:pPr>
              <w:jc w:val="right"/>
              <w:ind w:right="169"/>
              <w:spacing w:after="0" w:line="159" w:lineRule="exact"/>
              <w:rPr>
                <w:sz w:val="20"/>
                <w:szCs w:val="20"/>
                <w:color w:val="auto"/>
              </w:rPr>
            </w:pPr>
            <w:r>
              <w:rPr>
                <w:rFonts w:ascii="Arial" w:cs="Arial" w:eastAsia="Arial" w:hAnsi="Arial"/>
                <w:sz w:val="14"/>
                <w:szCs w:val="14"/>
                <w:color w:val="auto"/>
              </w:rPr>
              <w:t>2/18/2021</w:t>
            </w:r>
          </w:p>
        </w:tc>
        <w:tc>
          <w:tcPr>
            <w:tcW w:w="960" w:type="dxa"/>
            <w:vAlign w:val="bottom"/>
          </w:tcPr>
          <w:p>
            <w:pPr>
              <w:jc w:val="center"/>
              <w:spacing w:after="0" w:line="15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269"/>
              <w:spacing w:after="0" w:line="15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269"/>
              <w:spacing w:after="0" w:line="159" w:lineRule="exact"/>
              <w:rPr>
                <w:sz w:val="20"/>
                <w:szCs w:val="20"/>
                <w:color w:val="auto"/>
              </w:rPr>
            </w:pPr>
            <w:r>
              <w:rPr>
                <w:rFonts w:ascii="Arial" w:cs="Arial" w:eastAsia="Arial" w:hAnsi="Arial"/>
                <w:sz w:val="14"/>
                <w:szCs w:val="14"/>
                <w:color w:val="auto"/>
              </w:rPr>
              <w:t>—</w:t>
            </w:r>
          </w:p>
        </w:tc>
      </w:tr>
      <w:tr>
        <w:trPr>
          <w:trHeight w:val="155"/>
        </w:trPr>
        <w:tc>
          <w:tcPr>
            <w:tcW w:w="1720" w:type="dxa"/>
            <w:vAlign w:val="bottom"/>
            <w:tcBorders>
              <w:bottom w:val="single" w:sz="8" w:color="999999"/>
            </w:tcBorders>
          </w:tcPr>
          <w:p>
            <w:pPr>
              <w:spacing w:after="0"/>
              <w:rPr>
                <w:sz w:val="13"/>
                <w:szCs w:val="13"/>
                <w:color w:val="auto"/>
              </w:rPr>
            </w:pPr>
          </w:p>
        </w:tc>
        <w:tc>
          <w:tcPr>
            <w:tcW w:w="1160" w:type="dxa"/>
            <w:vAlign w:val="bottom"/>
            <w:tcBorders>
              <w:bottom w:val="single" w:sz="8" w:color="999999"/>
            </w:tcBorders>
          </w:tcPr>
          <w:p>
            <w:pPr>
              <w:spacing w:after="0"/>
              <w:rPr>
                <w:sz w:val="13"/>
                <w:szCs w:val="13"/>
                <w:color w:val="auto"/>
              </w:rPr>
            </w:pPr>
          </w:p>
        </w:tc>
        <w:tc>
          <w:tcPr>
            <w:tcW w:w="1020" w:type="dxa"/>
            <w:vAlign w:val="bottom"/>
            <w:tcBorders>
              <w:bottom w:val="single" w:sz="8" w:color="999999"/>
            </w:tcBorders>
          </w:tcPr>
          <w:p>
            <w:pPr>
              <w:spacing w:after="0"/>
              <w:rPr>
                <w:sz w:val="13"/>
                <w:szCs w:val="13"/>
                <w:color w:val="auto"/>
              </w:rPr>
            </w:pPr>
          </w:p>
        </w:tc>
        <w:tc>
          <w:tcPr>
            <w:tcW w:w="960" w:type="dxa"/>
            <w:vAlign w:val="bottom"/>
            <w:tcBorders>
              <w:bottom w:val="single" w:sz="8" w:color="999999"/>
            </w:tcBorders>
          </w:tcPr>
          <w:p>
            <w:pPr>
              <w:jc w:val="center"/>
              <w:spacing w:after="0" w:line="155" w:lineRule="exact"/>
              <w:rPr>
                <w:sz w:val="20"/>
                <w:szCs w:val="20"/>
                <w:color w:val="auto"/>
              </w:rPr>
            </w:pPr>
            <w:r>
              <w:rPr>
                <w:rFonts w:ascii="Arial" w:cs="Arial" w:eastAsia="Arial" w:hAnsi="Arial"/>
                <w:sz w:val="14"/>
                <w:szCs w:val="14"/>
                <w:color w:val="auto"/>
              </w:rPr>
              <w:t>200,000</w:t>
            </w:r>
          </w:p>
        </w:tc>
        <w:tc>
          <w:tcPr>
            <w:tcW w:w="960" w:type="dxa"/>
            <w:vAlign w:val="bottom"/>
            <w:tcBorders>
              <w:bottom w:val="single" w:sz="8" w:color="999999"/>
            </w:tcBorders>
          </w:tcPr>
          <w:p>
            <w:pPr>
              <w:jc w:val="right"/>
              <w:ind w:right="29"/>
              <w:spacing w:after="0" w:line="155" w:lineRule="exact"/>
              <w:rPr>
                <w:sz w:val="20"/>
                <w:szCs w:val="20"/>
                <w:color w:val="auto"/>
              </w:rPr>
            </w:pPr>
            <w:r>
              <w:rPr>
                <w:rFonts w:ascii="Arial" w:cs="Arial" w:eastAsia="Arial" w:hAnsi="Arial"/>
                <w:sz w:val="14"/>
                <w:szCs w:val="14"/>
                <w:color w:val="auto"/>
              </w:rPr>
              <w:t>800,000</w:t>
            </w:r>
          </w:p>
        </w:tc>
        <w:tc>
          <w:tcPr>
            <w:tcW w:w="800" w:type="dxa"/>
            <w:vAlign w:val="bottom"/>
            <w:tcBorders>
              <w:bottom w:val="single" w:sz="8" w:color="999999"/>
            </w:tcBorders>
          </w:tcPr>
          <w:p>
            <w:pPr>
              <w:jc w:val="right"/>
              <w:ind w:right="29"/>
              <w:spacing w:after="0" w:line="155" w:lineRule="exact"/>
              <w:rPr>
                <w:sz w:val="20"/>
                <w:szCs w:val="20"/>
                <w:color w:val="auto"/>
              </w:rPr>
            </w:pPr>
            <w:r>
              <w:rPr>
                <w:rFonts w:ascii="Arial" w:cs="Arial" w:eastAsia="Arial" w:hAnsi="Arial"/>
                <w:sz w:val="14"/>
                <w:szCs w:val="14"/>
                <w:color w:val="auto"/>
              </w:rPr>
              <w:t>1,600,000</w:t>
            </w:r>
          </w:p>
        </w:tc>
      </w:tr>
      <w:tr>
        <w:trPr>
          <w:trHeight w:val="158"/>
        </w:trPr>
        <w:tc>
          <w:tcPr>
            <w:tcW w:w="1720" w:type="dxa"/>
            <w:vAlign w:val="bottom"/>
          </w:tcPr>
          <w:p>
            <w:pPr>
              <w:spacing w:after="0" w:line="157" w:lineRule="exact"/>
              <w:rPr>
                <w:sz w:val="20"/>
                <w:szCs w:val="20"/>
                <w:color w:val="auto"/>
              </w:rPr>
            </w:pPr>
            <w:r>
              <w:rPr>
                <w:rFonts w:ascii="Arial" w:cs="Arial" w:eastAsia="Arial" w:hAnsi="Arial"/>
                <w:sz w:val="14"/>
                <w:szCs w:val="14"/>
                <w:color w:val="auto"/>
              </w:rPr>
              <w:t>John D. Kelly</w:t>
            </w:r>
          </w:p>
        </w:tc>
        <w:tc>
          <w:tcPr>
            <w:tcW w:w="1160" w:type="dxa"/>
            <w:vAlign w:val="bottom"/>
          </w:tcPr>
          <w:p>
            <w:pPr>
              <w:jc w:val="right"/>
              <w:ind w:right="89"/>
              <w:spacing w:after="0" w:line="157" w:lineRule="exact"/>
              <w:rPr>
                <w:sz w:val="20"/>
                <w:szCs w:val="20"/>
                <w:color w:val="auto"/>
              </w:rPr>
            </w:pPr>
            <w:r>
              <w:rPr>
                <w:rFonts w:ascii="Arial" w:cs="Arial" w:eastAsia="Arial" w:hAnsi="Arial"/>
                <w:sz w:val="14"/>
                <w:szCs w:val="14"/>
                <w:color w:val="auto"/>
              </w:rPr>
              <w:t>3/1/2021</w:t>
            </w:r>
          </w:p>
        </w:tc>
        <w:tc>
          <w:tcPr>
            <w:tcW w:w="1020" w:type="dxa"/>
            <w:vAlign w:val="bottom"/>
          </w:tcPr>
          <w:p>
            <w:pPr>
              <w:jc w:val="right"/>
              <w:ind w:right="169"/>
              <w:spacing w:after="0" w:line="157" w:lineRule="exact"/>
              <w:rPr>
                <w:sz w:val="20"/>
                <w:szCs w:val="20"/>
                <w:color w:val="auto"/>
              </w:rPr>
            </w:pPr>
            <w:r>
              <w:rPr>
                <w:rFonts w:ascii="Arial" w:cs="Arial" w:eastAsia="Arial" w:hAnsi="Arial"/>
                <w:sz w:val="14"/>
                <w:szCs w:val="14"/>
                <w:color w:val="auto"/>
              </w:rPr>
              <w:t>2/18/2021</w:t>
            </w:r>
          </w:p>
        </w:tc>
        <w:tc>
          <w:tcPr>
            <w:tcW w:w="960" w:type="dxa"/>
            <w:vAlign w:val="bottom"/>
          </w:tcPr>
          <w:p>
            <w:pPr>
              <w:jc w:val="center"/>
              <w:spacing w:after="0" w:line="157"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269"/>
              <w:spacing w:after="0" w:line="157"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269"/>
              <w:spacing w:after="0" w:line="157" w:lineRule="exact"/>
              <w:rPr>
                <w:sz w:val="20"/>
                <w:szCs w:val="20"/>
                <w:color w:val="auto"/>
              </w:rPr>
            </w:pPr>
            <w:r>
              <w:rPr>
                <w:rFonts w:ascii="Arial" w:cs="Arial" w:eastAsia="Arial" w:hAnsi="Arial"/>
                <w:sz w:val="14"/>
                <w:szCs w:val="14"/>
                <w:color w:val="auto"/>
              </w:rPr>
              <w:t>—</w:t>
            </w:r>
          </w:p>
        </w:tc>
      </w:tr>
      <w:tr>
        <w:trPr>
          <w:trHeight w:val="160"/>
        </w:trPr>
        <w:tc>
          <w:tcPr>
            <w:tcW w:w="1720" w:type="dxa"/>
            <w:vAlign w:val="bottom"/>
          </w:tcPr>
          <w:p>
            <w:pPr>
              <w:spacing w:after="0"/>
              <w:rPr>
                <w:sz w:val="13"/>
                <w:szCs w:val="13"/>
                <w:color w:val="auto"/>
              </w:rPr>
            </w:pPr>
          </w:p>
        </w:tc>
        <w:tc>
          <w:tcPr>
            <w:tcW w:w="1160" w:type="dxa"/>
            <w:vAlign w:val="bottom"/>
          </w:tcPr>
          <w:p>
            <w:pPr>
              <w:jc w:val="right"/>
              <w:ind w:right="89"/>
              <w:spacing w:after="0" w:line="159" w:lineRule="exact"/>
              <w:rPr>
                <w:sz w:val="20"/>
                <w:szCs w:val="20"/>
                <w:color w:val="auto"/>
              </w:rPr>
            </w:pPr>
            <w:r>
              <w:rPr>
                <w:rFonts w:ascii="Arial" w:cs="Arial" w:eastAsia="Arial" w:hAnsi="Arial"/>
                <w:sz w:val="14"/>
                <w:szCs w:val="14"/>
                <w:color w:val="auto"/>
              </w:rPr>
              <w:t>3/1/2021</w:t>
            </w:r>
          </w:p>
        </w:tc>
        <w:tc>
          <w:tcPr>
            <w:tcW w:w="1020" w:type="dxa"/>
            <w:vAlign w:val="bottom"/>
          </w:tcPr>
          <w:p>
            <w:pPr>
              <w:jc w:val="right"/>
              <w:ind w:right="169"/>
              <w:spacing w:after="0" w:line="159" w:lineRule="exact"/>
              <w:rPr>
                <w:sz w:val="20"/>
                <w:szCs w:val="20"/>
                <w:color w:val="auto"/>
              </w:rPr>
            </w:pPr>
            <w:r>
              <w:rPr>
                <w:rFonts w:ascii="Arial" w:cs="Arial" w:eastAsia="Arial" w:hAnsi="Arial"/>
                <w:sz w:val="14"/>
                <w:szCs w:val="14"/>
                <w:color w:val="auto"/>
              </w:rPr>
              <w:t>2/18/2021</w:t>
            </w:r>
          </w:p>
        </w:tc>
        <w:tc>
          <w:tcPr>
            <w:tcW w:w="960" w:type="dxa"/>
            <w:vAlign w:val="bottom"/>
          </w:tcPr>
          <w:p>
            <w:pPr>
              <w:jc w:val="center"/>
              <w:spacing w:after="0" w:line="15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269"/>
              <w:spacing w:after="0" w:line="15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269"/>
              <w:spacing w:after="0" w:line="159" w:lineRule="exact"/>
              <w:rPr>
                <w:sz w:val="20"/>
                <w:szCs w:val="20"/>
                <w:color w:val="auto"/>
              </w:rPr>
            </w:pPr>
            <w:r>
              <w:rPr>
                <w:rFonts w:ascii="Arial" w:cs="Arial" w:eastAsia="Arial" w:hAnsi="Arial"/>
                <w:sz w:val="14"/>
                <w:szCs w:val="14"/>
                <w:color w:val="auto"/>
              </w:rPr>
              <w:t>—</w:t>
            </w:r>
          </w:p>
        </w:tc>
      </w:tr>
      <w:tr>
        <w:trPr>
          <w:trHeight w:val="155"/>
        </w:trPr>
        <w:tc>
          <w:tcPr>
            <w:tcW w:w="1720" w:type="dxa"/>
            <w:vAlign w:val="bottom"/>
            <w:tcBorders>
              <w:bottom w:val="single" w:sz="8" w:color="999999"/>
            </w:tcBorders>
          </w:tcPr>
          <w:p>
            <w:pPr>
              <w:spacing w:after="0"/>
              <w:rPr>
                <w:sz w:val="13"/>
                <w:szCs w:val="13"/>
                <w:color w:val="auto"/>
              </w:rPr>
            </w:pPr>
          </w:p>
        </w:tc>
        <w:tc>
          <w:tcPr>
            <w:tcW w:w="1160" w:type="dxa"/>
            <w:vAlign w:val="bottom"/>
            <w:tcBorders>
              <w:bottom w:val="single" w:sz="8" w:color="999999"/>
            </w:tcBorders>
          </w:tcPr>
          <w:p>
            <w:pPr>
              <w:spacing w:after="0"/>
              <w:rPr>
                <w:sz w:val="13"/>
                <w:szCs w:val="13"/>
                <w:color w:val="auto"/>
              </w:rPr>
            </w:pPr>
          </w:p>
        </w:tc>
        <w:tc>
          <w:tcPr>
            <w:tcW w:w="1020" w:type="dxa"/>
            <w:vAlign w:val="bottom"/>
            <w:tcBorders>
              <w:bottom w:val="single" w:sz="8" w:color="999999"/>
            </w:tcBorders>
          </w:tcPr>
          <w:p>
            <w:pPr>
              <w:spacing w:after="0"/>
              <w:rPr>
                <w:sz w:val="13"/>
                <w:szCs w:val="13"/>
                <w:color w:val="auto"/>
              </w:rPr>
            </w:pPr>
          </w:p>
        </w:tc>
        <w:tc>
          <w:tcPr>
            <w:tcW w:w="960" w:type="dxa"/>
            <w:vAlign w:val="bottom"/>
            <w:tcBorders>
              <w:bottom w:val="single" w:sz="8" w:color="999999"/>
            </w:tcBorders>
          </w:tcPr>
          <w:p>
            <w:pPr>
              <w:jc w:val="center"/>
              <w:spacing w:after="0" w:line="155" w:lineRule="exact"/>
              <w:rPr>
                <w:sz w:val="20"/>
                <w:szCs w:val="20"/>
                <w:color w:val="auto"/>
              </w:rPr>
            </w:pPr>
            <w:r>
              <w:rPr>
                <w:rFonts w:ascii="Arial" w:cs="Arial" w:eastAsia="Arial" w:hAnsi="Arial"/>
                <w:sz w:val="14"/>
                <w:szCs w:val="14"/>
                <w:color w:val="auto"/>
              </w:rPr>
              <w:t>118,125</w:t>
            </w:r>
          </w:p>
        </w:tc>
        <w:tc>
          <w:tcPr>
            <w:tcW w:w="960" w:type="dxa"/>
            <w:vAlign w:val="bottom"/>
            <w:tcBorders>
              <w:bottom w:val="single" w:sz="8" w:color="999999"/>
            </w:tcBorders>
          </w:tcPr>
          <w:p>
            <w:pPr>
              <w:jc w:val="right"/>
              <w:ind w:right="29"/>
              <w:spacing w:after="0" w:line="155" w:lineRule="exact"/>
              <w:rPr>
                <w:sz w:val="20"/>
                <w:szCs w:val="20"/>
                <w:color w:val="auto"/>
              </w:rPr>
            </w:pPr>
            <w:r>
              <w:rPr>
                <w:rFonts w:ascii="Arial" w:cs="Arial" w:eastAsia="Arial" w:hAnsi="Arial"/>
                <w:sz w:val="14"/>
                <w:szCs w:val="14"/>
                <w:color w:val="auto"/>
              </w:rPr>
              <w:t>472,500</w:t>
            </w:r>
          </w:p>
        </w:tc>
        <w:tc>
          <w:tcPr>
            <w:tcW w:w="800" w:type="dxa"/>
            <w:vAlign w:val="bottom"/>
            <w:tcBorders>
              <w:bottom w:val="single" w:sz="8" w:color="999999"/>
            </w:tcBorders>
          </w:tcPr>
          <w:p>
            <w:pPr>
              <w:jc w:val="right"/>
              <w:ind w:right="29"/>
              <w:spacing w:after="0" w:line="155" w:lineRule="exact"/>
              <w:rPr>
                <w:sz w:val="20"/>
                <w:szCs w:val="20"/>
                <w:color w:val="auto"/>
              </w:rPr>
            </w:pPr>
            <w:r>
              <w:rPr>
                <w:rFonts w:ascii="Arial" w:cs="Arial" w:eastAsia="Arial" w:hAnsi="Arial"/>
                <w:sz w:val="14"/>
                <w:szCs w:val="14"/>
                <w:color w:val="auto"/>
              </w:rPr>
              <w:t>945,000</w:t>
            </w:r>
          </w:p>
        </w:tc>
      </w:tr>
      <w:tr>
        <w:trPr>
          <w:trHeight w:val="158"/>
        </w:trPr>
        <w:tc>
          <w:tcPr>
            <w:tcW w:w="1720" w:type="dxa"/>
            <w:vAlign w:val="bottom"/>
          </w:tcPr>
          <w:p>
            <w:pPr>
              <w:spacing w:after="0" w:line="157" w:lineRule="exact"/>
              <w:rPr>
                <w:sz w:val="20"/>
                <w:szCs w:val="20"/>
                <w:color w:val="auto"/>
              </w:rPr>
            </w:pPr>
            <w:r>
              <w:rPr>
                <w:rFonts w:ascii="Arial" w:cs="Arial" w:eastAsia="Arial" w:hAnsi="Arial"/>
                <w:sz w:val="14"/>
                <w:szCs w:val="14"/>
                <w:color w:val="auto"/>
              </w:rPr>
              <w:t>Ernest W. Torain, Jr.</w:t>
            </w:r>
          </w:p>
        </w:tc>
        <w:tc>
          <w:tcPr>
            <w:tcW w:w="1160" w:type="dxa"/>
            <w:vAlign w:val="bottom"/>
          </w:tcPr>
          <w:p>
            <w:pPr>
              <w:jc w:val="right"/>
              <w:ind w:right="89"/>
              <w:spacing w:after="0" w:line="157" w:lineRule="exact"/>
              <w:rPr>
                <w:sz w:val="20"/>
                <w:szCs w:val="20"/>
                <w:color w:val="auto"/>
              </w:rPr>
            </w:pPr>
            <w:r>
              <w:rPr>
                <w:rFonts w:ascii="Arial" w:cs="Arial" w:eastAsia="Arial" w:hAnsi="Arial"/>
                <w:sz w:val="14"/>
                <w:szCs w:val="14"/>
                <w:color w:val="auto"/>
              </w:rPr>
              <w:t>3/1/2021</w:t>
            </w:r>
          </w:p>
        </w:tc>
        <w:tc>
          <w:tcPr>
            <w:tcW w:w="1020" w:type="dxa"/>
            <w:vAlign w:val="bottom"/>
          </w:tcPr>
          <w:p>
            <w:pPr>
              <w:jc w:val="right"/>
              <w:ind w:right="169"/>
              <w:spacing w:after="0" w:line="157" w:lineRule="exact"/>
              <w:rPr>
                <w:sz w:val="20"/>
                <w:szCs w:val="20"/>
                <w:color w:val="auto"/>
              </w:rPr>
            </w:pPr>
            <w:r>
              <w:rPr>
                <w:rFonts w:ascii="Arial" w:cs="Arial" w:eastAsia="Arial" w:hAnsi="Arial"/>
                <w:sz w:val="14"/>
                <w:szCs w:val="14"/>
                <w:color w:val="auto"/>
              </w:rPr>
              <w:t>2/18/2021</w:t>
            </w:r>
          </w:p>
        </w:tc>
        <w:tc>
          <w:tcPr>
            <w:tcW w:w="960" w:type="dxa"/>
            <w:vAlign w:val="bottom"/>
          </w:tcPr>
          <w:p>
            <w:pPr>
              <w:jc w:val="center"/>
              <w:spacing w:after="0" w:line="157"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269"/>
              <w:spacing w:after="0" w:line="157"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269"/>
              <w:spacing w:after="0" w:line="157" w:lineRule="exact"/>
              <w:rPr>
                <w:sz w:val="20"/>
                <w:szCs w:val="20"/>
                <w:color w:val="auto"/>
              </w:rPr>
            </w:pPr>
            <w:r>
              <w:rPr>
                <w:rFonts w:ascii="Arial" w:cs="Arial" w:eastAsia="Arial" w:hAnsi="Arial"/>
                <w:sz w:val="14"/>
                <w:szCs w:val="14"/>
                <w:color w:val="auto"/>
              </w:rPr>
              <w:t>—</w:t>
            </w:r>
          </w:p>
        </w:tc>
      </w:tr>
      <w:tr>
        <w:trPr>
          <w:trHeight w:val="160"/>
        </w:trPr>
        <w:tc>
          <w:tcPr>
            <w:tcW w:w="1720" w:type="dxa"/>
            <w:vAlign w:val="bottom"/>
          </w:tcPr>
          <w:p>
            <w:pPr>
              <w:spacing w:after="0"/>
              <w:rPr>
                <w:sz w:val="13"/>
                <w:szCs w:val="13"/>
                <w:color w:val="auto"/>
              </w:rPr>
            </w:pPr>
          </w:p>
        </w:tc>
        <w:tc>
          <w:tcPr>
            <w:tcW w:w="1160" w:type="dxa"/>
            <w:vAlign w:val="bottom"/>
          </w:tcPr>
          <w:p>
            <w:pPr>
              <w:jc w:val="right"/>
              <w:ind w:right="89"/>
              <w:spacing w:after="0" w:line="159" w:lineRule="exact"/>
              <w:rPr>
                <w:sz w:val="20"/>
                <w:szCs w:val="20"/>
                <w:color w:val="auto"/>
              </w:rPr>
            </w:pPr>
            <w:r>
              <w:rPr>
                <w:rFonts w:ascii="Arial" w:cs="Arial" w:eastAsia="Arial" w:hAnsi="Arial"/>
                <w:sz w:val="14"/>
                <w:szCs w:val="14"/>
                <w:color w:val="auto"/>
              </w:rPr>
              <w:t>3/1/2021</w:t>
            </w:r>
          </w:p>
        </w:tc>
        <w:tc>
          <w:tcPr>
            <w:tcW w:w="1020" w:type="dxa"/>
            <w:vAlign w:val="bottom"/>
          </w:tcPr>
          <w:p>
            <w:pPr>
              <w:jc w:val="right"/>
              <w:ind w:right="169"/>
              <w:spacing w:after="0" w:line="159" w:lineRule="exact"/>
              <w:rPr>
                <w:sz w:val="20"/>
                <w:szCs w:val="20"/>
                <w:color w:val="auto"/>
              </w:rPr>
            </w:pPr>
            <w:r>
              <w:rPr>
                <w:rFonts w:ascii="Arial" w:cs="Arial" w:eastAsia="Arial" w:hAnsi="Arial"/>
                <w:sz w:val="14"/>
                <w:szCs w:val="14"/>
                <w:color w:val="auto"/>
              </w:rPr>
              <w:t>2/18/2021</w:t>
            </w:r>
          </w:p>
        </w:tc>
        <w:tc>
          <w:tcPr>
            <w:tcW w:w="960" w:type="dxa"/>
            <w:vAlign w:val="bottom"/>
          </w:tcPr>
          <w:p>
            <w:pPr>
              <w:jc w:val="center"/>
              <w:spacing w:after="0" w:line="15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269"/>
              <w:spacing w:after="0" w:line="15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269"/>
              <w:spacing w:after="0" w:line="159" w:lineRule="exact"/>
              <w:rPr>
                <w:sz w:val="20"/>
                <w:szCs w:val="20"/>
                <w:color w:val="auto"/>
              </w:rPr>
            </w:pPr>
            <w:r>
              <w:rPr>
                <w:rFonts w:ascii="Arial" w:cs="Arial" w:eastAsia="Arial" w:hAnsi="Arial"/>
                <w:sz w:val="14"/>
                <w:szCs w:val="14"/>
                <w:color w:val="auto"/>
              </w:rPr>
              <w:t>—</w:t>
            </w:r>
          </w:p>
        </w:tc>
      </w:tr>
      <w:tr>
        <w:trPr>
          <w:trHeight w:val="170"/>
        </w:trPr>
        <w:tc>
          <w:tcPr>
            <w:tcW w:w="1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jc w:val="right"/>
              <w:ind w:right="149"/>
              <w:spacing w:after="0"/>
              <w:rPr>
                <w:sz w:val="20"/>
                <w:szCs w:val="20"/>
                <w:color w:val="auto"/>
              </w:rPr>
            </w:pPr>
            <w:r>
              <w:rPr>
                <w:rFonts w:ascii="Arial" w:cs="Arial" w:eastAsia="Arial" w:hAnsi="Arial"/>
                <w:sz w:val="14"/>
                <w:szCs w:val="14"/>
                <w:color w:val="auto"/>
              </w:rPr>
              <w:t>45,000</w:t>
            </w: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180,000</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360,000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-8890</wp:posOffset>
            </wp:positionV>
            <wp:extent cx="688975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897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jc w:val="center"/>
              <w:ind w:left="229"/>
              <w:spacing w:after="0"/>
              <w:rPr>
                <w:sz w:val="20"/>
                <w:szCs w:val="20"/>
                <w:color w:val="auto"/>
              </w:rPr>
            </w:pPr>
            <w:r>
              <w:rPr>
                <w:rFonts w:ascii="Arial" w:cs="Arial" w:eastAsia="Arial" w:hAnsi="Arial"/>
                <w:sz w:val="14"/>
                <w:szCs w:val="14"/>
                <w:color w:val="auto"/>
              </w:rPr>
              <w:t>1,988</w:t>
            </w:r>
          </w:p>
        </w:tc>
        <w:tc>
          <w:tcPr>
            <w:tcW w:w="800" w:type="dxa"/>
            <w:vAlign w:val="bottom"/>
          </w:tcPr>
          <w:p>
            <w:pPr>
              <w:jc w:val="center"/>
              <w:spacing w:after="0"/>
              <w:rPr>
                <w:sz w:val="20"/>
                <w:szCs w:val="20"/>
                <w:color w:val="auto"/>
              </w:rPr>
            </w:pPr>
            <w:r>
              <w:rPr>
                <w:rFonts w:ascii="Arial" w:cs="Arial" w:eastAsia="Arial" w:hAnsi="Arial"/>
                <w:sz w:val="14"/>
                <w:szCs w:val="14"/>
                <w:color w:val="auto"/>
                <w:w w:val="96"/>
              </w:rPr>
              <w:t>7,953</w:t>
            </w:r>
          </w:p>
        </w:tc>
        <w:tc>
          <w:tcPr>
            <w:tcW w:w="900" w:type="dxa"/>
            <w:vAlign w:val="bottom"/>
          </w:tcPr>
          <w:p>
            <w:pPr>
              <w:jc w:val="center"/>
              <w:ind w:right="9"/>
              <w:spacing w:after="0"/>
              <w:rPr>
                <w:sz w:val="20"/>
                <w:szCs w:val="20"/>
                <w:color w:val="auto"/>
              </w:rPr>
            </w:pPr>
            <w:r>
              <w:rPr>
                <w:rFonts w:ascii="Arial" w:cs="Arial" w:eastAsia="Arial" w:hAnsi="Arial"/>
                <w:sz w:val="14"/>
                <w:szCs w:val="14"/>
                <w:color w:val="auto"/>
                <w:w w:val="97"/>
              </w:rPr>
              <w:t>15,906</w:t>
            </w:r>
          </w:p>
        </w:tc>
        <w:tc>
          <w:tcPr>
            <w:tcW w:w="800" w:type="dxa"/>
            <w:vAlign w:val="bottom"/>
          </w:tcPr>
          <w:p>
            <w:pPr>
              <w:jc w:val="center"/>
              <w:ind w:left="109"/>
              <w:spacing w:after="0"/>
              <w:rPr>
                <w:sz w:val="20"/>
                <w:szCs w:val="20"/>
                <w:color w:val="auto"/>
              </w:rPr>
            </w:pPr>
            <w:r>
              <w:rPr>
                <w:rFonts w:ascii="Arial" w:cs="Arial" w:eastAsia="Arial" w:hAnsi="Arial"/>
                <w:sz w:val="14"/>
                <w:szCs w:val="14"/>
                <w:color w:val="auto"/>
                <w:w w:val="99"/>
              </w:rPr>
              <w:t>—</w:t>
            </w:r>
          </w:p>
        </w:tc>
        <w:tc>
          <w:tcPr>
            <w:tcW w:w="600" w:type="dxa"/>
            <w:vAlign w:val="bottom"/>
          </w:tcPr>
          <w:p>
            <w:pPr>
              <w:jc w:val="center"/>
              <w:spacing w:after="0"/>
              <w:rPr>
                <w:sz w:val="20"/>
                <w:szCs w:val="20"/>
                <w:color w:val="auto"/>
              </w:rPr>
            </w:pPr>
            <w:r>
              <w:rPr>
                <w:rFonts w:ascii="Arial" w:cs="Arial" w:eastAsia="Arial" w:hAnsi="Arial"/>
                <w:sz w:val="14"/>
                <w:szCs w:val="14"/>
                <w:color w:val="auto"/>
                <w:w w:val="98"/>
              </w:rPr>
              <w:t>427,474</w:t>
            </w:r>
          </w:p>
        </w:tc>
      </w:tr>
      <w:tr>
        <w:trPr>
          <w:trHeight w:val="160"/>
        </w:trPr>
        <w:tc>
          <w:tcPr>
            <w:tcW w:w="1100" w:type="dxa"/>
            <w:vAlign w:val="bottom"/>
          </w:tcPr>
          <w:p>
            <w:pPr>
              <w:jc w:val="center"/>
              <w:ind w:left="209"/>
              <w:spacing w:after="0" w:line="159" w:lineRule="exact"/>
              <w:rPr>
                <w:sz w:val="20"/>
                <w:szCs w:val="20"/>
                <w:color w:val="auto"/>
              </w:rPr>
            </w:pPr>
            <w:r>
              <w:rPr>
                <w:rFonts w:ascii="Arial" w:cs="Arial" w:eastAsia="Arial" w:hAnsi="Arial"/>
                <w:sz w:val="14"/>
                <w:szCs w:val="14"/>
                <w:color w:val="auto"/>
                <w:w w:val="99"/>
              </w:rPr>
              <w:t>—</w:t>
            </w:r>
          </w:p>
        </w:tc>
        <w:tc>
          <w:tcPr>
            <w:tcW w:w="80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900" w:type="dxa"/>
            <w:vAlign w:val="bottom"/>
          </w:tcPr>
          <w:p>
            <w:pPr>
              <w:jc w:val="center"/>
              <w:ind w:right="9"/>
              <w:spacing w:after="0" w:line="159" w:lineRule="exact"/>
              <w:rPr>
                <w:sz w:val="20"/>
                <w:szCs w:val="20"/>
                <w:color w:val="auto"/>
              </w:rPr>
            </w:pPr>
            <w:r>
              <w:rPr>
                <w:rFonts w:ascii="Arial" w:cs="Arial" w:eastAsia="Arial" w:hAnsi="Arial"/>
                <w:sz w:val="14"/>
                <w:szCs w:val="14"/>
                <w:color w:val="auto"/>
                <w:w w:val="99"/>
              </w:rPr>
              <w:t>—</w:t>
            </w:r>
          </w:p>
        </w:tc>
        <w:tc>
          <w:tcPr>
            <w:tcW w:w="800" w:type="dxa"/>
            <w:vAlign w:val="bottom"/>
          </w:tcPr>
          <w:p>
            <w:pPr>
              <w:jc w:val="center"/>
              <w:ind w:left="129"/>
              <w:spacing w:after="0" w:line="159" w:lineRule="exact"/>
              <w:rPr>
                <w:sz w:val="20"/>
                <w:szCs w:val="20"/>
                <w:color w:val="auto"/>
              </w:rPr>
            </w:pPr>
            <w:r>
              <w:rPr>
                <w:rFonts w:ascii="Arial" w:cs="Arial" w:eastAsia="Arial" w:hAnsi="Arial"/>
                <w:sz w:val="14"/>
                <w:szCs w:val="14"/>
                <w:color w:val="auto"/>
              </w:rPr>
              <w:t>15,907</w:t>
            </w:r>
          </w:p>
        </w:tc>
        <w:tc>
          <w:tcPr>
            <w:tcW w:w="600" w:type="dxa"/>
            <w:vAlign w:val="bottom"/>
          </w:tcPr>
          <w:p>
            <w:pPr>
              <w:jc w:val="center"/>
              <w:spacing w:after="0" w:line="159" w:lineRule="exact"/>
              <w:rPr>
                <w:sz w:val="20"/>
                <w:szCs w:val="20"/>
                <w:color w:val="auto"/>
              </w:rPr>
            </w:pPr>
            <w:r>
              <w:rPr>
                <w:rFonts w:ascii="Arial" w:cs="Arial" w:eastAsia="Arial" w:hAnsi="Arial"/>
                <w:sz w:val="14"/>
                <w:szCs w:val="14"/>
                <w:color w:val="auto"/>
                <w:w w:val="98"/>
              </w:rPr>
              <w:t>855,001</w:t>
            </w:r>
          </w:p>
        </w:tc>
      </w:tr>
      <w:tr>
        <w:trPr>
          <w:trHeight w:val="155"/>
        </w:trPr>
        <w:tc>
          <w:tcPr>
            <w:tcW w:w="1100" w:type="dxa"/>
            <w:vAlign w:val="bottom"/>
            <w:tcBorders>
              <w:bottom w:val="single" w:sz="8" w:color="999999"/>
            </w:tcBorders>
          </w:tcPr>
          <w:p>
            <w:pPr>
              <w:jc w:val="center"/>
              <w:ind w:left="209"/>
              <w:spacing w:after="0" w:line="155" w:lineRule="exact"/>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999999"/>
            </w:tcBorders>
          </w:tcPr>
          <w:p>
            <w:pPr>
              <w:jc w:val="center"/>
              <w:spacing w:after="0" w:line="155" w:lineRule="exact"/>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999999"/>
            </w:tcBorders>
          </w:tcPr>
          <w:p>
            <w:pPr>
              <w:jc w:val="center"/>
              <w:ind w:right="9"/>
              <w:spacing w:after="0" w:line="155" w:lineRule="exact"/>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999999"/>
            </w:tcBorders>
          </w:tcPr>
          <w:p>
            <w:pPr>
              <w:jc w:val="center"/>
              <w:ind w:left="109"/>
              <w:spacing w:after="0" w:line="155" w:lineRule="exact"/>
              <w:rPr>
                <w:sz w:val="20"/>
                <w:szCs w:val="20"/>
                <w:color w:val="auto"/>
              </w:rPr>
            </w:pPr>
            <w:r>
              <w:rPr>
                <w:rFonts w:ascii="Arial" w:cs="Arial" w:eastAsia="Arial" w:hAnsi="Arial"/>
                <w:sz w:val="14"/>
                <w:szCs w:val="14"/>
                <w:color w:val="auto"/>
                <w:w w:val="99"/>
              </w:rPr>
              <w:t>—</w:t>
            </w:r>
          </w:p>
        </w:tc>
        <w:tc>
          <w:tcPr>
            <w:tcW w:w="600" w:type="dxa"/>
            <w:vAlign w:val="bottom"/>
            <w:tcBorders>
              <w:bottom w:val="single" w:sz="8" w:color="999999"/>
            </w:tcBorders>
          </w:tcPr>
          <w:p>
            <w:pPr>
              <w:jc w:val="center"/>
              <w:spacing w:after="0" w:line="155" w:lineRule="exact"/>
              <w:rPr>
                <w:sz w:val="20"/>
                <w:szCs w:val="20"/>
                <w:color w:val="auto"/>
              </w:rPr>
            </w:pPr>
            <w:r>
              <w:rPr>
                <w:rFonts w:ascii="Arial" w:cs="Arial" w:eastAsia="Arial" w:hAnsi="Arial"/>
                <w:sz w:val="14"/>
                <w:szCs w:val="14"/>
                <w:color w:val="auto"/>
                <w:w w:val="99"/>
              </w:rPr>
              <w:t>—</w:t>
            </w:r>
          </w:p>
        </w:tc>
      </w:tr>
      <w:tr>
        <w:trPr>
          <w:trHeight w:val="158"/>
        </w:trPr>
        <w:tc>
          <w:tcPr>
            <w:tcW w:w="1100" w:type="dxa"/>
            <w:vAlign w:val="bottom"/>
          </w:tcPr>
          <w:p>
            <w:pPr>
              <w:jc w:val="center"/>
              <w:ind w:left="229"/>
              <w:spacing w:after="0" w:line="157" w:lineRule="exact"/>
              <w:rPr>
                <w:sz w:val="20"/>
                <w:szCs w:val="20"/>
                <w:color w:val="auto"/>
              </w:rPr>
            </w:pPr>
            <w:r>
              <w:rPr>
                <w:rFonts w:ascii="Arial" w:cs="Arial" w:eastAsia="Arial" w:hAnsi="Arial"/>
                <w:sz w:val="14"/>
                <w:szCs w:val="14"/>
                <w:color w:val="auto"/>
              </w:rPr>
              <w:t>1,302</w:t>
            </w:r>
          </w:p>
        </w:tc>
        <w:tc>
          <w:tcPr>
            <w:tcW w:w="800" w:type="dxa"/>
            <w:vAlign w:val="bottom"/>
          </w:tcPr>
          <w:p>
            <w:pPr>
              <w:jc w:val="center"/>
              <w:spacing w:after="0" w:line="157" w:lineRule="exact"/>
              <w:rPr>
                <w:sz w:val="20"/>
                <w:szCs w:val="20"/>
                <w:color w:val="auto"/>
              </w:rPr>
            </w:pPr>
            <w:r>
              <w:rPr>
                <w:rFonts w:ascii="Arial" w:cs="Arial" w:eastAsia="Arial" w:hAnsi="Arial"/>
                <w:sz w:val="14"/>
                <w:szCs w:val="14"/>
                <w:color w:val="auto"/>
                <w:w w:val="96"/>
              </w:rPr>
              <w:t>5,209</w:t>
            </w:r>
          </w:p>
        </w:tc>
        <w:tc>
          <w:tcPr>
            <w:tcW w:w="900" w:type="dxa"/>
            <w:vAlign w:val="bottom"/>
          </w:tcPr>
          <w:p>
            <w:pPr>
              <w:jc w:val="center"/>
              <w:ind w:right="9"/>
              <w:spacing w:after="0" w:line="157" w:lineRule="exact"/>
              <w:rPr>
                <w:sz w:val="20"/>
                <w:szCs w:val="20"/>
                <w:color w:val="auto"/>
              </w:rPr>
            </w:pPr>
            <w:r>
              <w:rPr>
                <w:rFonts w:ascii="Arial" w:cs="Arial" w:eastAsia="Arial" w:hAnsi="Arial"/>
                <w:sz w:val="14"/>
                <w:szCs w:val="14"/>
                <w:color w:val="auto"/>
                <w:w w:val="97"/>
              </w:rPr>
              <w:t>10,418</w:t>
            </w:r>
          </w:p>
        </w:tc>
        <w:tc>
          <w:tcPr>
            <w:tcW w:w="800" w:type="dxa"/>
            <w:vAlign w:val="bottom"/>
          </w:tcPr>
          <w:p>
            <w:pPr>
              <w:jc w:val="center"/>
              <w:ind w:left="109"/>
              <w:spacing w:after="0" w:line="157" w:lineRule="exact"/>
              <w:rPr>
                <w:sz w:val="20"/>
                <w:szCs w:val="20"/>
                <w:color w:val="auto"/>
              </w:rPr>
            </w:pPr>
            <w:r>
              <w:rPr>
                <w:rFonts w:ascii="Arial" w:cs="Arial" w:eastAsia="Arial" w:hAnsi="Arial"/>
                <w:sz w:val="14"/>
                <w:szCs w:val="14"/>
                <w:color w:val="auto"/>
                <w:w w:val="99"/>
              </w:rPr>
              <w:t>—</w:t>
            </w:r>
          </w:p>
        </w:tc>
        <w:tc>
          <w:tcPr>
            <w:tcW w:w="600" w:type="dxa"/>
            <w:vAlign w:val="bottom"/>
          </w:tcPr>
          <w:p>
            <w:pPr>
              <w:jc w:val="center"/>
              <w:spacing w:after="0" w:line="157" w:lineRule="exact"/>
              <w:rPr>
                <w:sz w:val="20"/>
                <w:szCs w:val="20"/>
                <w:color w:val="auto"/>
              </w:rPr>
            </w:pPr>
            <w:r>
              <w:rPr>
                <w:rFonts w:ascii="Arial" w:cs="Arial" w:eastAsia="Arial" w:hAnsi="Arial"/>
                <w:sz w:val="14"/>
                <w:szCs w:val="14"/>
                <w:color w:val="auto"/>
                <w:w w:val="98"/>
              </w:rPr>
              <w:t>279,984</w:t>
            </w:r>
          </w:p>
        </w:tc>
      </w:tr>
      <w:tr>
        <w:trPr>
          <w:trHeight w:val="160"/>
        </w:trPr>
        <w:tc>
          <w:tcPr>
            <w:tcW w:w="1100" w:type="dxa"/>
            <w:vAlign w:val="bottom"/>
          </w:tcPr>
          <w:p>
            <w:pPr>
              <w:jc w:val="center"/>
              <w:ind w:left="209"/>
              <w:spacing w:after="0" w:line="159" w:lineRule="exact"/>
              <w:rPr>
                <w:sz w:val="20"/>
                <w:szCs w:val="20"/>
                <w:color w:val="auto"/>
              </w:rPr>
            </w:pPr>
            <w:r>
              <w:rPr>
                <w:rFonts w:ascii="Arial" w:cs="Arial" w:eastAsia="Arial" w:hAnsi="Arial"/>
                <w:sz w:val="14"/>
                <w:szCs w:val="14"/>
                <w:color w:val="auto"/>
                <w:w w:val="99"/>
              </w:rPr>
              <w:t>—</w:t>
            </w:r>
          </w:p>
        </w:tc>
        <w:tc>
          <w:tcPr>
            <w:tcW w:w="80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900" w:type="dxa"/>
            <w:vAlign w:val="bottom"/>
          </w:tcPr>
          <w:p>
            <w:pPr>
              <w:jc w:val="center"/>
              <w:ind w:right="9"/>
              <w:spacing w:after="0" w:line="159" w:lineRule="exact"/>
              <w:rPr>
                <w:sz w:val="20"/>
                <w:szCs w:val="20"/>
                <w:color w:val="auto"/>
              </w:rPr>
            </w:pPr>
            <w:r>
              <w:rPr>
                <w:rFonts w:ascii="Arial" w:cs="Arial" w:eastAsia="Arial" w:hAnsi="Arial"/>
                <w:sz w:val="14"/>
                <w:szCs w:val="14"/>
                <w:color w:val="auto"/>
                <w:w w:val="99"/>
              </w:rPr>
              <w:t>—</w:t>
            </w:r>
          </w:p>
        </w:tc>
        <w:tc>
          <w:tcPr>
            <w:tcW w:w="800" w:type="dxa"/>
            <w:vAlign w:val="bottom"/>
          </w:tcPr>
          <w:p>
            <w:pPr>
              <w:jc w:val="center"/>
              <w:ind w:left="109"/>
              <w:spacing w:after="0" w:line="159" w:lineRule="exact"/>
              <w:rPr>
                <w:sz w:val="20"/>
                <w:szCs w:val="20"/>
                <w:color w:val="auto"/>
              </w:rPr>
            </w:pPr>
            <w:r>
              <w:rPr>
                <w:rFonts w:ascii="Arial" w:cs="Arial" w:eastAsia="Arial" w:hAnsi="Arial"/>
                <w:sz w:val="14"/>
                <w:szCs w:val="14"/>
                <w:color w:val="auto"/>
                <w:w w:val="97"/>
              </w:rPr>
              <w:t>10,419</w:t>
            </w:r>
          </w:p>
        </w:tc>
        <w:tc>
          <w:tcPr>
            <w:tcW w:w="600" w:type="dxa"/>
            <w:vAlign w:val="bottom"/>
          </w:tcPr>
          <w:p>
            <w:pPr>
              <w:jc w:val="center"/>
              <w:spacing w:after="0" w:line="159" w:lineRule="exact"/>
              <w:rPr>
                <w:sz w:val="20"/>
                <w:szCs w:val="20"/>
                <w:color w:val="auto"/>
              </w:rPr>
            </w:pPr>
            <w:r>
              <w:rPr>
                <w:rFonts w:ascii="Arial" w:cs="Arial" w:eastAsia="Arial" w:hAnsi="Arial"/>
                <w:sz w:val="14"/>
                <w:szCs w:val="14"/>
                <w:color w:val="auto"/>
                <w:w w:val="98"/>
              </w:rPr>
              <w:t>560,021</w:t>
            </w:r>
          </w:p>
        </w:tc>
      </w:tr>
      <w:tr>
        <w:trPr>
          <w:trHeight w:val="155"/>
        </w:trPr>
        <w:tc>
          <w:tcPr>
            <w:tcW w:w="1100" w:type="dxa"/>
            <w:vAlign w:val="bottom"/>
            <w:tcBorders>
              <w:bottom w:val="single" w:sz="8" w:color="999999"/>
            </w:tcBorders>
          </w:tcPr>
          <w:p>
            <w:pPr>
              <w:jc w:val="center"/>
              <w:ind w:left="209"/>
              <w:spacing w:after="0" w:line="155" w:lineRule="exact"/>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999999"/>
            </w:tcBorders>
          </w:tcPr>
          <w:p>
            <w:pPr>
              <w:jc w:val="center"/>
              <w:spacing w:after="0" w:line="155" w:lineRule="exact"/>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999999"/>
            </w:tcBorders>
          </w:tcPr>
          <w:p>
            <w:pPr>
              <w:jc w:val="center"/>
              <w:ind w:right="9"/>
              <w:spacing w:after="0" w:line="155" w:lineRule="exact"/>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999999"/>
            </w:tcBorders>
          </w:tcPr>
          <w:p>
            <w:pPr>
              <w:jc w:val="center"/>
              <w:ind w:left="109"/>
              <w:spacing w:after="0" w:line="155" w:lineRule="exact"/>
              <w:rPr>
                <w:sz w:val="20"/>
                <w:szCs w:val="20"/>
                <w:color w:val="auto"/>
              </w:rPr>
            </w:pPr>
            <w:r>
              <w:rPr>
                <w:rFonts w:ascii="Arial" w:cs="Arial" w:eastAsia="Arial" w:hAnsi="Arial"/>
                <w:sz w:val="14"/>
                <w:szCs w:val="14"/>
                <w:color w:val="auto"/>
                <w:w w:val="99"/>
              </w:rPr>
              <w:t>—</w:t>
            </w:r>
          </w:p>
        </w:tc>
        <w:tc>
          <w:tcPr>
            <w:tcW w:w="600" w:type="dxa"/>
            <w:vAlign w:val="bottom"/>
            <w:tcBorders>
              <w:bottom w:val="single" w:sz="8" w:color="999999"/>
            </w:tcBorders>
          </w:tcPr>
          <w:p>
            <w:pPr>
              <w:jc w:val="center"/>
              <w:spacing w:after="0" w:line="155" w:lineRule="exact"/>
              <w:rPr>
                <w:sz w:val="20"/>
                <w:szCs w:val="20"/>
                <w:color w:val="auto"/>
              </w:rPr>
            </w:pPr>
            <w:r>
              <w:rPr>
                <w:rFonts w:ascii="Arial" w:cs="Arial" w:eastAsia="Arial" w:hAnsi="Arial"/>
                <w:sz w:val="14"/>
                <w:szCs w:val="14"/>
                <w:color w:val="auto"/>
                <w:w w:val="99"/>
              </w:rPr>
              <w:t>—</w:t>
            </w:r>
          </w:p>
        </w:tc>
      </w:tr>
      <w:tr>
        <w:trPr>
          <w:trHeight w:val="158"/>
        </w:trPr>
        <w:tc>
          <w:tcPr>
            <w:tcW w:w="1100" w:type="dxa"/>
            <w:vAlign w:val="bottom"/>
          </w:tcPr>
          <w:p>
            <w:pPr>
              <w:jc w:val="center"/>
              <w:ind w:left="229"/>
              <w:spacing w:after="0" w:line="157" w:lineRule="exact"/>
              <w:rPr>
                <w:sz w:val="20"/>
                <w:szCs w:val="20"/>
                <w:color w:val="auto"/>
              </w:rPr>
            </w:pPr>
            <w:r>
              <w:rPr>
                <w:rFonts w:ascii="Arial" w:cs="Arial" w:eastAsia="Arial" w:hAnsi="Arial"/>
                <w:sz w:val="14"/>
                <w:szCs w:val="14"/>
                <w:color w:val="auto"/>
              </w:rPr>
              <w:t>733</w:t>
            </w:r>
          </w:p>
        </w:tc>
        <w:tc>
          <w:tcPr>
            <w:tcW w:w="800" w:type="dxa"/>
            <w:vAlign w:val="bottom"/>
          </w:tcPr>
          <w:p>
            <w:pPr>
              <w:jc w:val="center"/>
              <w:spacing w:after="0" w:line="157" w:lineRule="exact"/>
              <w:rPr>
                <w:sz w:val="20"/>
                <w:szCs w:val="20"/>
                <w:color w:val="auto"/>
              </w:rPr>
            </w:pPr>
            <w:r>
              <w:rPr>
                <w:rFonts w:ascii="Arial" w:cs="Arial" w:eastAsia="Arial" w:hAnsi="Arial"/>
                <w:sz w:val="14"/>
                <w:szCs w:val="14"/>
                <w:color w:val="auto"/>
                <w:w w:val="96"/>
              </w:rPr>
              <w:t>2,930</w:t>
            </w:r>
          </w:p>
        </w:tc>
        <w:tc>
          <w:tcPr>
            <w:tcW w:w="900" w:type="dxa"/>
            <w:vAlign w:val="bottom"/>
          </w:tcPr>
          <w:p>
            <w:pPr>
              <w:jc w:val="center"/>
              <w:ind w:right="9"/>
              <w:spacing w:after="0" w:line="157" w:lineRule="exact"/>
              <w:rPr>
                <w:sz w:val="20"/>
                <w:szCs w:val="20"/>
                <w:color w:val="auto"/>
              </w:rPr>
            </w:pPr>
            <w:r>
              <w:rPr>
                <w:rFonts w:ascii="Arial" w:cs="Arial" w:eastAsia="Arial" w:hAnsi="Arial"/>
                <w:sz w:val="14"/>
                <w:szCs w:val="14"/>
                <w:color w:val="auto"/>
                <w:w w:val="96"/>
              </w:rPr>
              <w:t>5,860</w:t>
            </w:r>
          </w:p>
        </w:tc>
        <w:tc>
          <w:tcPr>
            <w:tcW w:w="800" w:type="dxa"/>
            <w:vAlign w:val="bottom"/>
          </w:tcPr>
          <w:p>
            <w:pPr>
              <w:jc w:val="center"/>
              <w:ind w:left="109"/>
              <w:spacing w:after="0" w:line="157" w:lineRule="exact"/>
              <w:rPr>
                <w:sz w:val="20"/>
                <w:szCs w:val="20"/>
                <w:color w:val="auto"/>
              </w:rPr>
            </w:pPr>
            <w:r>
              <w:rPr>
                <w:rFonts w:ascii="Arial" w:cs="Arial" w:eastAsia="Arial" w:hAnsi="Arial"/>
                <w:sz w:val="14"/>
                <w:szCs w:val="14"/>
                <w:color w:val="auto"/>
                <w:w w:val="99"/>
              </w:rPr>
              <w:t>—</w:t>
            </w:r>
          </w:p>
        </w:tc>
        <w:tc>
          <w:tcPr>
            <w:tcW w:w="600" w:type="dxa"/>
            <w:vAlign w:val="bottom"/>
          </w:tcPr>
          <w:p>
            <w:pPr>
              <w:jc w:val="center"/>
              <w:spacing w:after="0" w:line="157" w:lineRule="exact"/>
              <w:rPr>
                <w:sz w:val="20"/>
                <w:szCs w:val="20"/>
                <w:color w:val="auto"/>
              </w:rPr>
            </w:pPr>
            <w:r>
              <w:rPr>
                <w:rFonts w:ascii="Arial" w:cs="Arial" w:eastAsia="Arial" w:hAnsi="Arial"/>
                <w:sz w:val="14"/>
                <w:szCs w:val="14"/>
                <w:color w:val="auto"/>
                <w:w w:val="98"/>
              </w:rPr>
              <w:t>157,488</w:t>
            </w:r>
          </w:p>
        </w:tc>
      </w:tr>
      <w:tr>
        <w:trPr>
          <w:trHeight w:val="160"/>
        </w:trPr>
        <w:tc>
          <w:tcPr>
            <w:tcW w:w="1100" w:type="dxa"/>
            <w:vAlign w:val="bottom"/>
          </w:tcPr>
          <w:p>
            <w:pPr>
              <w:jc w:val="center"/>
              <w:ind w:left="209"/>
              <w:spacing w:after="0" w:line="159" w:lineRule="exact"/>
              <w:rPr>
                <w:sz w:val="20"/>
                <w:szCs w:val="20"/>
                <w:color w:val="auto"/>
              </w:rPr>
            </w:pPr>
            <w:r>
              <w:rPr>
                <w:rFonts w:ascii="Arial" w:cs="Arial" w:eastAsia="Arial" w:hAnsi="Arial"/>
                <w:sz w:val="14"/>
                <w:szCs w:val="14"/>
                <w:color w:val="auto"/>
                <w:w w:val="99"/>
              </w:rPr>
              <w:t>—</w:t>
            </w:r>
          </w:p>
        </w:tc>
        <w:tc>
          <w:tcPr>
            <w:tcW w:w="80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900" w:type="dxa"/>
            <w:vAlign w:val="bottom"/>
          </w:tcPr>
          <w:p>
            <w:pPr>
              <w:jc w:val="center"/>
              <w:ind w:right="9"/>
              <w:spacing w:after="0" w:line="159" w:lineRule="exact"/>
              <w:rPr>
                <w:sz w:val="20"/>
                <w:szCs w:val="20"/>
                <w:color w:val="auto"/>
              </w:rPr>
            </w:pPr>
            <w:r>
              <w:rPr>
                <w:rFonts w:ascii="Arial" w:cs="Arial" w:eastAsia="Arial" w:hAnsi="Arial"/>
                <w:sz w:val="14"/>
                <w:szCs w:val="14"/>
                <w:color w:val="auto"/>
                <w:w w:val="99"/>
              </w:rPr>
              <w:t>—</w:t>
            </w:r>
          </w:p>
        </w:tc>
        <w:tc>
          <w:tcPr>
            <w:tcW w:w="800" w:type="dxa"/>
            <w:vAlign w:val="bottom"/>
          </w:tcPr>
          <w:p>
            <w:pPr>
              <w:jc w:val="center"/>
              <w:ind w:left="109"/>
              <w:spacing w:after="0" w:line="159" w:lineRule="exact"/>
              <w:rPr>
                <w:sz w:val="20"/>
                <w:szCs w:val="20"/>
                <w:color w:val="auto"/>
              </w:rPr>
            </w:pPr>
            <w:r>
              <w:rPr>
                <w:rFonts w:ascii="Arial" w:cs="Arial" w:eastAsia="Arial" w:hAnsi="Arial"/>
                <w:sz w:val="14"/>
                <w:szCs w:val="14"/>
                <w:color w:val="auto"/>
                <w:w w:val="96"/>
              </w:rPr>
              <w:t>5,860</w:t>
            </w:r>
          </w:p>
        </w:tc>
        <w:tc>
          <w:tcPr>
            <w:tcW w:w="600" w:type="dxa"/>
            <w:vAlign w:val="bottom"/>
          </w:tcPr>
          <w:p>
            <w:pPr>
              <w:jc w:val="center"/>
              <w:spacing w:after="0" w:line="159" w:lineRule="exact"/>
              <w:rPr>
                <w:sz w:val="20"/>
                <w:szCs w:val="20"/>
                <w:color w:val="auto"/>
              </w:rPr>
            </w:pPr>
            <w:r>
              <w:rPr>
                <w:rFonts w:ascii="Arial" w:cs="Arial" w:eastAsia="Arial" w:hAnsi="Arial"/>
                <w:sz w:val="14"/>
                <w:szCs w:val="14"/>
                <w:color w:val="auto"/>
                <w:w w:val="98"/>
              </w:rPr>
              <w:t>314,975</w:t>
            </w:r>
          </w:p>
        </w:tc>
      </w:tr>
      <w:tr>
        <w:trPr>
          <w:trHeight w:val="155"/>
        </w:trPr>
        <w:tc>
          <w:tcPr>
            <w:tcW w:w="1100" w:type="dxa"/>
            <w:vAlign w:val="bottom"/>
            <w:tcBorders>
              <w:bottom w:val="single" w:sz="8" w:color="999999"/>
            </w:tcBorders>
          </w:tcPr>
          <w:p>
            <w:pPr>
              <w:jc w:val="center"/>
              <w:ind w:left="209"/>
              <w:spacing w:after="0" w:line="155" w:lineRule="exact"/>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999999"/>
            </w:tcBorders>
          </w:tcPr>
          <w:p>
            <w:pPr>
              <w:jc w:val="center"/>
              <w:spacing w:after="0" w:line="155" w:lineRule="exact"/>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999999"/>
            </w:tcBorders>
          </w:tcPr>
          <w:p>
            <w:pPr>
              <w:jc w:val="center"/>
              <w:ind w:right="9"/>
              <w:spacing w:after="0" w:line="155" w:lineRule="exact"/>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999999"/>
            </w:tcBorders>
          </w:tcPr>
          <w:p>
            <w:pPr>
              <w:jc w:val="center"/>
              <w:ind w:left="109"/>
              <w:spacing w:after="0" w:line="155" w:lineRule="exact"/>
              <w:rPr>
                <w:sz w:val="20"/>
                <w:szCs w:val="20"/>
                <w:color w:val="auto"/>
              </w:rPr>
            </w:pPr>
            <w:r>
              <w:rPr>
                <w:rFonts w:ascii="Arial" w:cs="Arial" w:eastAsia="Arial" w:hAnsi="Arial"/>
                <w:sz w:val="14"/>
                <w:szCs w:val="14"/>
                <w:color w:val="auto"/>
                <w:w w:val="99"/>
              </w:rPr>
              <w:t>—</w:t>
            </w:r>
          </w:p>
        </w:tc>
        <w:tc>
          <w:tcPr>
            <w:tcW w:w="600" w:type="dxa"/>
            <w:vAlign w:val="bottom"/>
            <w:tcBorders>
              <w:bottom w:val="single" w:sz="8" w:color="999999"/>
            </w:tcBorders>
          </w:tcPr>
          <w:p>
            <w:pPr>
              <w:jc w:val="center"/>
              <w:spacing w:after="0" w:line="155" w:lineRule="exact"/>
              <w:rPr>
                <w:sz w:val="20"/>
                <w:szCs w:val="20"/>
                <w:color w:val="auto"/>
              </w:rPr>
            </w:pPr>
            <w:r>
              <w:rPr>
                <w:rFonts w:ascii="Arial" w:cs="Arial" w:eastAsia="Arial" w:hAnsi="Arial"/>
                <w:sz w:val="14"/>
                <w:szCs w:val="14"/>
                <w:color w:val="auto"/>
                <w:w w:val="99"/>
              </w:rPr>
              <w:t>—</w:t>
            </w:r>
          </w:p>
        </w:tc>
      </w:tr>
      <w:tr>
        <w:trPr>
          <w:trHeight w:val="158"/>
        </w:trPr>
        <w:tc>
          <w:tcPr>
            <w:tcW w:w="1100" w:type="dxa"/>
            <w:vAlign w:val="bottom"/>
          </w:tcPr>
          <w:p>
            <w:pPr>
              <w:jc w:val="center"/>
              <w:ind w:left="229"/>
              <w:spacing w:after="0" w:line="157" w:lineRule="exact"/>
              <w:rPr>
                <w:sz w:val="20"/>
                <w:szCs w:val="20"/>
                <w:color w:val="auto"/>
              </w:rPr>
            </w:pPr>
            <w:r>
              <w:rPr>
                <w:rFonts w:ascii="Arial" w:cs="Arial" w:eastAsia="Arial" w:hAnsi="Arial"/>
                <w:sz w:val="14"/>
                <w:szCs w:val="14"/>
                <w:color w:val="auto"/>
              </w:rPr>
              <w:t>302</w:t>
            </w:r>
          </w:p>
        </w:tc>
        <w:tc>
          <w:tcPr>
            <w:tcW w:w="800" w:type="dxa"/>
            <w:vAlign w:val="bottom"/>
          </w:tcPr>
          <w:p>
            <w:pPr>
              <w:jc w:val="center"/>
              <w:spacing w:after="0" w:line="157" w:lineRule="exact"/>
              <w:rPr>
                <w:sz w:val="20"/>
                <w:szCs w:val="20"/>
                <w:color w:val="auto"/>
              </w:rPr>
            </w:pPr>
            <w:r>
              <w:rPr>
                <w:rFonts w:ascii="Arial" w:cs="Arial" w:eastAsia="Arial" w:hAnsi="Arial"/>
                <w:sz w:val="14"/>
                <w:szCs w:val="14"/>
                <w:color w:val="auto"/>
                <w:w w:val="96"/>
              </w:rPr>
              <w:t>1,206</w:t>
            </w:r>
          </w:p>
        </w:tc>
        <w:tc>
          <w:tcPr>
            <w:tcW w:w="900" w:type="dxa"/>
            <w:vAlign w:val="bottom"/>
          </w:tcPr>
          <w:p>
            <w:pPr>
              <w:jc w:val="center"/>
              <w:ind w:right="9"/>
              <w:spacing w:after="0" w:line="157" w:lineRule="exact"/>
              <w:rPr>
                <w:sz w:val="20"/>
                <w:szCs w:val="20"/>
                <w:color w:val="auto"/>
              </w:rPr>
            </w:pPr>
            <w:r>
              <w:rPr>
                <w:rFonts w:ascii="Arial" w:cs="Arial" w:eastAsia="Arial" w:hAnsi="Arial"/>
                <w:sz w:val="14"/>
                <w:szCs w:val="14"/>
                <w:color w:val="auto"/>
                <w:w w:val="96"/>
              </w:rPr>
              <w:t>2,412</w:t>
            </w:r>
          </w:p>
        </w:tc>
        <w:tc>
          <w:tcPr>
            <w:tcW w:w="800" w:type="dxa"/>
            <w:vAlign w:val="bottom"/>
          </w:tcPr>
          <w:p>
            <w:pPr>
              <w:jc w:val="center"/>
              <w:ind w:left="109"/>
              <w:spacing w:after="0" w:line="157" w:lineRule="exact"/>
              <w:rPr>
                <w:sz w:val="20"/>
                <w:szCs w:val="20"/>
                <w:color w:val="auto"/>
              </w:rPr>
            </w:pPr>
            <w:r>
              <w:rPr>
                <w:rFonts w:ascii="Arial" w:cs="Arial" w:eastAsia="Arial" w:hAnsi="Arial"/>
                <w:sz w:val="14"/>
                <w:szCs w:val="14"/>
                <w:color w:val="auto"/>
                <w:w w:val="99"/>
              </w:rPr>
              <w:t>—</w:t>
            </w:r>
          </w:p>
        </w:tc>
        <w:tc>
          <w:tcPr>
            <w:tcW w:w="600" w:type="dxa"/>
            <w:vAlign w:val="bottom"/>
          </w:tcPr>
          <w:p>
            <w:pPr>
              <w:jc w:val="right"/>
              <w:spacing w:after="0" w:line="157" w:lineRule="exact"/>
              <w:rPr>
                <w:sz w:val="20"/>
                <w:szCs w:val="20"/>
                <w:color w:val="auto"/>
              </w:rPr>
            </w:pPr>
            <w:r>
              <w:rPr>
                <w:rFonts w:ascii="Arial" w:cs="Arial" w:eastAsia="Arial" w:hAnsi="Arial"/>
                <w:sz w:val="14"/>
                <w:szCs w:val="14"/>
                <w:color w:val="auto"/>
              </w:rPr>
              <w:t>64,823</w:t>
            </w:r>
          </w:p>
        </w:tc>
      </w:tr>
      <w:tr>
        <w:trPr>
          <w:trHeight w:val="160"/>
        </w:trPr>
        <w:tc>
          <w:tcPr>
            <w:tcW w:w="1100" w:type="dxa"/>
            <w:vAlign w:val="bottom"/>
          </w:tcPr>
          <w:p>
            <w:pPr>
              <w:jc w:val="center"/>
              <w:ind w:left="209"/>
              <w:spacing w:after="0" w:line="159" w:lineRule="exact"/>
              <w:rPr>
                <w:sz w:val="20"/>
                <w:szCs w:val="20"/>
                <w:color w:val="auto"/>
              </w:rPr>
            </w:pPr>
            <w:r>
              <w:rPr>
                <w:rFonts w:ascii="Arial" w:cs="Arial" w:eastAsia="Arial" w:hAnsi="Arial"/>
                <w:sz w:val="14"/>
                <w:szCs w:val="14"/>
                <w:color w:val="auto"/>
                <w:w w:val="99"/>
              </w:rPr>
              <w:t>—</w:t>
            </w:r>
          </w:p>
        </w:tc>
        <w:tc>
          <w:tcPr>
            <w:tcW w:w="80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900" w:type="dxa"/>
            <w:vAlign w:val="bottom"/>
          </w:tcPr>
          <w:p>
            <w:pPr>
              <w:jc w:val="center"/>
              <w:ind w:right="9"/>
              <w:spacing w:after="0" w:line="159" w:lineRule="exact"/>
              <w:rPr>
                <w:sz w:val="20"/>
                <w:szCs w:val="20"/>
                <w:color w:val="auto"/>
              </w:rPr>
            </w:pPr>
            <w:r>
              <w:rPr>
                <w:rFonts w:ascii="Arial" w:cs="Arial" w:eastAsia="Arial" w:hAnsi="Arial"/>
                <w:sz w:val="14"/>
                <w:szCs w:val="14"/>
                <w:color w:val="auto"/>
                <w:w w:val="99"/>
              </w:rPr>
              <w:t>—</w:t>
            </w:r>
          </w:p>
        </w:tc>
        <w:tc>
          <w:tcPr>
            <w:tcW w:w="800" w:type="dxa"/>
            <w:vAlign w:val="bottom"/>
          </w:tcPr>
          <w:p>
            <w:pPr>
              <w:jc w:val="center"/>
              <w:ind w:left="109"/>
              <w:spacing w:after="0" w:line="159" w:lineRule="exact"/>
              <w:rPr>
                <w:sz w:val="20"/>
                <w:szCs w:val="20"/>
                <w:color w:val="auto"/>
              </w:rPr>
            </w:pPr>
            <w:r>
              <w:rPr>
                <w:rFonts w:ascii="Arial" w:cs="Arial" w:eastAsia="Arial" w:hAnsi="Arial"/>
                <w:sz w:val="14"/>
                <w:szCs w:val="14"/>
                <w:color w:val="auto"/>
                <w:w w:val="96"/>
              </w:rPr>
              <w:t>2,411</w:t>
            </w:r>
          </w:p>
        </w:tc>
        <w:tc>
          <w:tcPr>
            <w:tcW w:w="600" w:type="dxa"/>
            <w:vAlign w:val="bottom"/>
          </w:tcPr>
          <w:p>
            <w:pPr>
              <w:jc w:val="center"/>
              <w:spacing w:after="0" w:line="159" w:lineRule="exact"/>
              <w:rPr>
                <w:sz w:val="20"/>
                <w:szCs w:val="20"/>
                <w:color w:val="auto"/>
              </w:rPr>
            </w:pPr>
            <w:r>
              <w:rPr>
                <w:rFonts w:ascii="Arial" w:cs="Arial" w:eastAsia="Arial" w:hAnsi="Arial"/>
                <w:sz w:val="14"/>
                <w:szCs w:val="14"/>
                <w:color w:val="auto"/>
                <w:w w:val="98"/>
              </w:rPr>
              <w:t>129,591</w:t>
            </w:r>
          </w:p>
        </w:tc>
      </w:tr>
      <w:tr>
        <w:trPr>
          <w:trHeight w:val="170"/>
        </w:trPr>
        <w:tc>
          <w:tcPr>
            <w:tcW w:w="1100" w:type="dxa"/>
            <w:vAlign w:val="bottom"/>
          </w:tcPr>
          <w:p>
            <w:pPr>
              <w:jc w:val="center"/>
              <w:ind w:left="209"/>
              <w:spacing w:after="0"/>
              <w:rPr>
                <w:sz w:val="20"/>
                <w:szCs w:val="20"/>
                <w:color w:val="auto"/>
              </w:rPr>
            </w:pPr>
            <w:r>
              <w:rPr>
                <w:rFonts w:ascii="Arial" w:cs="Arial" w:eastAsia="Arial" w:hAnsi="Arial"/>
                <w:sz w:val="14"/>
                <w:szCs w:val="14"/>
                <w:color w:val="auto"/>
                <w:w w:val="99"/>
              </w:rPr>
              <w:t>—</w:t>
            </w:r>
          </w:p>
        </w:tc>
        <w:tc>
          <w:tcPr>
            <w:tcW w:w="8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Pr>
          <w:p>
            <w:pPr>
              <w:jc w:val="center"/>
              <w:ind w:right="9"/>
              <w:spacing w:after="0"/>
              <w:rPr>
                <w:sz w:val="20"/>
                <w:szCs w:val="20"/>
                <w:color w:val="auto"/>
              </w:rPr>
            </w:pPr>
            <w:r>
              <w:rPr>
                <w:rFonts w:ascii="Arial" w:cs="Arial" w:eastAsia="Arial" w:hAnsi="Arial"/>
                <w:sz w:val="14"/>
                <w:szCs w:val="14"/>
                <w:color w:val="auto"/>
                <w:w w:val="99"/>
              </w:rPr>
              <w:t>—</w:t>
            </w:r>
          </w:p>
        </w:tc>
        <w:tc>
          <w:tcPr>
            <w:tcW w:w="800" w:type="dxa"/>
            <w:vAlign w:val="bottom"/>
          </w:tcPr>
          <w:p>
            <w:pPr>
              <w:jc w:val="center"/>
              <w:ind w:left="109"/>
              <w:spacing w:after="0"/>
              <w:rPr>
                <w:sz w:val="20"/>
                <w:szCs w:val="20"/>
                <w:color w:val="auto"/>
              </w:rPr>
            </w:pPr>
            <w:r>
              <w:rPr>
                <w:rFonts w:ascii="Arial" w:cs="Arial" w:eastAsia="Arial" w:hAnsi="Arial"/>
                <w:sz w:val="14"/>
                <w:szCs w:val="14"/>
                <w:color w:val="auto"/>
                <w:w w:val="99"/>
              </w:rPr>
              <w:t>—</w:t>
            </w:r>
          </w:p>
        </w:tc>
        <w:tc>
          <w:tcPr>
            <w:tcW w:w="600" w:type="dxa"/>
            <w:vAlign w:val="bottom"/>
          </w:tcPr>
          <w:p>
            <w:pPr>
              <w:jc w:val="center"/>
              <w:spacing w:after="0"/>
              <w:rPr>
                <w:sz w:val="20"/>
                <w:szCs w:val="20"/>
                <w:color w:val="auto"/>
              </w:rPr>
            </w:pPr>
            <w:r>
              <w:rPr>
                <w:rFonts w:ascii="Arial" w:cs="Arial" w:eastAsia="Arial" w:hAnsi="Arial"/>
                <w:sz w:val="14"/>
                <w:szCs w:val="14"/>
                <w:color w:val="auto"/>
                <w:w w:val="99"/>
              </w:rPr>
              <w:t>—</w:t>
            </w:r>
          </w:p>
        </w:tc>
      </w:tr>
    </w:tbl>
    <w:p>
      <w:pPr>
        <w:spacing w:after="0" w:line="200" w:lineRule="exact"/>
        <w:rPr>
          <w:sz w:val="20"/>
          <w:szCs w:val="20"/>
          <w:color w:val="auto"/>
        </w:rPr>
      </w:pPr>
    </w:p>
    <w:p>
      <w:pPr>
        <w:sectPr>
          <w:pgSz w:w="11900" w:h="16838" w:orient="portrait"/>
          <w:cols w:equalWidth="0" w:num="2">
            <w:col w:w="6820" w:space="40"/>
            <w:col w:w="4200"/>
          </w:cols>
          <w:pgMar w:left="320" w:top="454" w:right="519" w:bottom="1440" w:gutter="0" w:footer="0" w:header="0"/>
          <w:type w:val="continuous"/>
        </w:sectPr>
      </w:pPr>
    </w:p>
    <w:p>
      <w:pPr>
        <w:spacing w:after="0" w:line="12" w:lineRule="exact"/>
        <w:rPr>
          <w:sz w:val="20"/>
          <w:szCs w:val="20"/>
          <w:color w:val="auto"/>
        </w:rPr>
      </w:pPr>
    </w:p>
    <w:p>
      <w:pPr>
        <w:jc w:val="both"/>
        <w:ind w:left="740" w:right="20" w:hanging="541"/>
        <w:spacing w:after="0" w:line="242" w:lineRule="auto"/>
        <w:tabs>
          <w:tab w:leader="none" w:pos="7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For the cash award, the target, threshold and maximum represent the range of cash award that could be earned. There is no payout if a threshold level of performance is not achieved. The minimum amount that could be paid is 25% of target and maximum represents 200% of target. Based on the achievement of specific financial goals, the Compensation Committee determined that 100% of the target award was earned for 2021.</w:t>
      </w:r>
    </w:p>
    <w:p>
      <w:pPr>
        <w:spacing w:after="0" w:line="1" w:lineRule="exact"/>
        <w:rPr>
          <w:rFonts w:ascii="Arial" w:cs="Arial" w:eastAsia="Arial" w:hAnsi="Arial"/>
          <w:sz w:val="16"/>
          <w:szCs w:val="16"/>
          <w:color w:val="auto"/>
        </w:rPr>
      </w:pPr>
    </w:p>
    <w:p>
      <w:pPr>
        <w:jc w:val="both"/>
        <w:ind w:left="740" w:right="20" w:hanging="541"/>
        <w:spacing w:after="0" w:line="242" w:lineRule="auto"/>
        <w:tabs>
          <w:tab w:leader="none" w:pos="7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2021 grant of PSUs represents the component of the full three-year long-term incentive award whose funding is based on 2021 performance as well the incorporation of performance against a cumulative three-year Revenue Growth goal. The PSUs could be earned at 25% of target for threshold performance up to 200% of target for maximum performance. If threshold performance is not achieved, the award will be forfeited. The 2022 and 2023 components of the 2021 long-term incentive award will be granted in March 2022 and March 2023, respectively when the annual goals are approved by the Compensation Committee. Final payout for all three components of the 2021 long-term incentive program will be determined at the end of the full three-year period and incorporate our performance against Compensation Committee-approved three-year Revenue Growth goals. Any earned PSUs will vest on March 1, 2024.</w:t>
      </w:r>
    </w:p>
    <w:p>
      <w:pPr>
        <w:spacing w:after="0" w:line="4" w:lineRule="exact"/>
        <w:rPr>
          <w:rFonts w:ascii="Arial" w:cs="Arial" w:eastAsia="Arial" w:hAnsi="Arial"/>
          <w:sz w:val="16"/>
          <w:szCs w:val="16"/>
          <w:color w:val="auto"/>
        </w:rPr>
      </w:pPr>
    </w:p>
    <w:p>
      <w:pPr>
        <w:ind w:left="740" w:hanging="541"/>
        <w:spacing w:after="0"/>
        <w:tabs>
          <w:tab w:leader="none" w:pos="7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Restricted stock granted under the Company’s 2012 Omnibus Incentive Plan.</w:t>
      </w:r>
    </w:p>
    <w:p>
      <w:pPr>
        <w:spacing w:after="0" w:line="2" w:lineRule="exact"/>
        <w:rPr>
          <w:rFonts w:ascii="Arial" w:cs="Arial" w:eastAsia="Arial" w:hAnsi="Arial"/>
          <w:sz w:val="16"/>
          <w:szCs w:val="16"/>
          <w:color w:val="auto"/>
        </w:rPr>
      </w:pPr>
    </w:p>
    <w:p>
      <w:pPr>
        <w:jc w:val="both"/>
        <w:ind w:left="740" w:right="20" w:hanging="541"/>
        <w:spacing w:after="0" w:line="248" w:lineRule="auto"/>
        <w:tabs>
          <w:tab w:leader="none" w:pos="7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full grant date fair value of the March 1, 2021 restricted stock and PSU grants are based on the closing price of Huron stock of $53.75 on March 1, 2021. The total number of PSUs earned by recipients of these awards is contingent on meeting Adjusted Diluted EPS and Revenue Growth goals as described in Note (2) above.</w:t>
      </w:r>
    </w:p>
    <w:p>
      <w:pPr>
        <w:spacing w:after="0" w:line="13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00548B"/>
        </w:rPr>
        <w:t>41</w:t>
      </w:r>
    </w:p>
    <w:p>
      <w:pPr>
        <w:sectPr>
          <w:pgSz w:w="11900" w:h="16838" w:orient="portrait"/>
          <w:cols w:equalWidth="0" w:num="1">
            <w:col w:w="11060"/>
          </w:cols>
          <w:pgMar w:left="320" w:top="454" w:right="51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2021 O</w:t>
      </w:r>
      <w:r>
        <w:rPr>
          <w:rFonts w:ascii="Arial" w:cs="Arial" w:eastAsia="Arial" w:hAnsi="Arial"/>
          <w:sz w:val="14"/>
          <w:szCs w:val="14"/>
          <w:b w:val="1"/>
          <w:bCs w:val="1"/>
          <w:color w:val="00548B"/>
        </w:rPr>
        <w:t>UTSTANDING</w:t>
      </w:r>
      <w:r>
        <w:rPr>
          <w:rFonts w:ascii="Arial" w:cs="Arial" w:eastAsia="Arial" w:hAnsi="Arial"/>
          <w:sz w:val="18"/>
          <w:szCs w:val="18"/>
          <w:b w:val="1"/>
          <w:bCs w:val="1"/>
          <w:color w:val="00548B"/>
        </w:rPr>
        <w:t xml:space="preserve"> E</w:t>
      </w:r>
      <w:r>
        <w:rPr>
          <w:rFonts w:ascii="Arial" w:cs="Arial" w:eastAsia="Arial" w:hAnsi="Arial"/>
          <w:sz w:val="14"/>
          <w:szCs w:val="14"/>
          <w:b w:val="1"/>
          <w:bCs w:val="1"/>
          <w:color w:val="00548B"/>
        </w:rPr>
        <w:t>QUITY</w:t>
      </w:r>
      <w:r>
        <w:rPr>
          <w:rFonts w:ascii="Arial" w:cs="Arial" w:eastAsia="Arial" w:hAnsi="Arial"/>
          <w:sz w:val="18"/>
          <w:szCs w:val="18"/>
          <w:b w:val="1"/>
          <w:bCs w:val="1"/>
          <w:color w:val="00548B"/>
        </w:rPr>
        <w:t xml:space="preserve"> A</w:t>
      </w:r>
      <w:r>
        <w:rPr>
          <w:rFonts w:ascii="Arial" w:cs="Arial" w:eastAsia="Arial" w:hAnsi="Arial"/>
          <w:sz w:val="14"/>
          <w:szCs w:val="14"/>
          <w:b w:val="1"/>
          <w:bCs w:val="1"/>
          <w:color w:val="00548B"/>
        </w:rPr>
        <w:t>WARDS AT</w:t>
      </w:r>
      <w:r>
        <w:rPr>
          <w:rFonts w:ascii="Arial" w:cs="Arial" w:eastAsia="Arial" w:hAnsi="Arial"/>
          <w:sz w:val="18"/>
          <w:szCs w:val="18"/>
          <w:b w:val="1"/>
          <w:bCs w:val="1"/>
          <w:color w:val="00548B"/>
        </w:rPr>
        <w:t xml:space="preserve"> F</w:t>
      </w:r>
      <w:r>
        <w:rPr>
          <w:rFonts w:ascii="Arial" w:cs="Arial" w:eastAsia="Arial" w:hAnsi="Arial"/>
          <w:sz w:val="14"/>
          <w:szCs w:val="14"/>
          <w:b w:val="1"/>
          <w:bCs w:val="1"/>
          <w:color w:val="00548B"/>
        </w:rPr>
        <w:t>ISCAL</w:t>
      </w:r>
      <w:r>
        <w:rPr>
          <w:rFonts w:ascii="Arial" w:cs="Arial" w:eastAsia="Arial" w:hAnsi="Arial"/>
          <w:sz w:val="18"/>
          <w:szCs w:val="18"/>
          <w:b w:val="1"/>
          <w:bCs w:val="1"/>
          <w:color w:val="00548B"/>
        </w:rPr>
        <w:t xml:space="preserve"> Y</w:t>
      </w:r>
      <w:r>
        <w:rPr>
          <w:rFonts w:ascii="Arial" w:cs="Arial" w:eastAsia="Arial" w:hAnsi="Arial"/>
          <w:sz w:val="14"/>
          <w:szCs w:val="14"/>
          <w:b w:val="1"/>
          <w:bCs w:val="1"/>
          <w:color w:val="00548B"/>
        </w:rPr>
        <w:t>EAR</w:t>
      </w:r>
      <w:r>
        <w:rPr>
          <w:rFonts w:ascii="Arial" w:cs="Arial" w:eastAsia="Arial" w:hAnsi="Arial"/>
          <w:sz w:val="18"/>
          <w:szCs w:val="18"/>
          <w:b w:val="1"/>
          <w:bCs w:val="1"/>
          <w:color w:val="00548B"/>
        </w:rPr>
        <w:t>-</w:t>
      </w:r>
      <w:r>
        <w:rPr>
          <w:rFonts w:ascii="Arial" w:cs="Arial" w:eastAsia="Arial" w:hAnsi="Arial"/>
          <w:sz w:val="14"/>
          <w:szCs w:val="14"/>
          <w:b w:val="1"/>
          <w:bCs w:val="1"/>
          <w:color w:val="00548B"/>
        </w:rPr>
        <w:t>END</w:t>
      </w:r>
    </w:p>
    <w:p>
      <w:pPr>
        <w:spacing w:after="0" w:line="124" w:lineRule="exact"/>
        <w:rPr>
          <w:sz w:val="20"/>
          <w:szCs w:val="20"/>
          <w:color w:val="auto"/>
        </w:rPr>
      </w:pPr>
    </w:p>
    <w:p>
      <w:pPr>
        <w:ind w:left="200" w:right="20"/>
        <w:spacing w:after="0" w:line="253" w:lineRule="auto"/>
        <w:rPr>
          <w:sz w:val="20"/>
          <w:szCs w:val="20"/>
          <w:color w:val="auto"/>
        </w:rPr>
      </w:pPr>
      <w:r>
        <w:rPr>
          <w:rFonts w:ascii="Arial" w:cs="Arial" w:eastAsia="Arial" w:hAnsi="Arial"/>
          <w:sz w:val="16"/>
          <w:szCs w:val="16"/>
          <w:color w:val="auto"/>
        </w:rPr>
        <w:t>The following table sets forth certain information concerning outstanding stock and option awards as of December 31, 2021 for each named executive officer. Market value is based on the closing price of Huron stock of $49.90 on December 31, 2021, the last trading day of the fiscal year.</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46"/>
        </w:trPr>
        <w:tc>
          <w:tcPr>
            <w:tcW w:w="1720" w:type="dxa"/>
            <w:vAlign w:val="bottom"/>
            <w:shd w:val="clear" w:color="auto" w:fill="00548B"/>
          </w:tcPr>
          <w:p>
            <w:pPr>
              <w:spacing w:after="0"/>
              <w:rPr>
                <w:sz w:val="12"/>
                <w:szCs w:val="12"/>
                <w:color w:val="auto"/>
              </w:rPr>
            </w:pPr>
          </w:p>
        </w:tc>
        <w:tc>
          <w:tcPr>
            <w:tcW w:w="740" w:type="dxa"/>
            <w:vAlign w:val="bottom"/>
            <w:shd w:val="clear" w:color="auto" w:fill="00548B"/>
          </w:tcPr>
          <w:p>
            <w:pPr>
              <w:spacing w:after="0"/>
              <w:rPr>
                <w:sz w:val="12"/>
                <w:szCs w:val="12"/>
                <w:color w:val="auto"/>
              </w:rPr>
            </w:pPr>
          </w:p>
        </w:tc>
        <w:tc>
          <w:tcPr>
            <w:tcW w:w="1240" w:type="dxa"/>
            <w:vAlign w:val="bottom"/>
            <w:shd w:val="clear" w:color="auto" w:fill="00548B"/>
          </w:tcPr>
          <w:p>
            <w:pPr>
              <w:spacing w:after="0"/>
              <w:rPr>
                <w:sz w:val="12"/>
                <w:szCs w:val="12"/>
                <w:color w:val="auto"/>
              </w:rPr>
            </w:pPr>
          </w:p>
        </w:tc>
        <w:tc>
          <w:tcPr>
            <w:tcW w:w="1160" w:type="dxa"/>
            <w:vAlign w:val="bottom"/>
            <w:shd w:val="clear" w:color="auto" w:fill="00548B"/>
          </w:tcPr>
          <w:p>
            <w:pPr>
              <w:ind w:left="220"/>
              <w:spacing w:after="0"/>
              <w:rPr>
                <w:sz w:val="20"/>
                <w:szCs w:val="20"/>
                <w:color w:val="auto"/>
              </w:rPr>
            </w:pPr>
            <w:r>
              <w:rPr>
                <w:rFonts w:ascii="Arial" w:cs="Arial" w:eastAsia="Arial" w:hAnsi="Arial"/>
                <w:sz w:val="12"/>
                <w:szCs w:val="12"/>
                <w:b w:val="1"/>
                <w:bCs w:val="1"/>
                <w:color w:val="E5E5E5"/>
              </w:rPr>
              <w:t>Option Awards</w:t>
            </w:r>
          </w:p>
        </w:tc>
        <w:tc>
          <w:tcPr>
            <w:tcW w:w="620" w:type="dxa"/>
            <w:vAlign w:val="bottom"/>
            <w:shd w:val="clear" w:color="auto" w:fill="00548B"/>
          </w:tcPr>
          <w:p>
            <w:pPr>
              <w:spacing w:after="0"/>
              <w:rPr>
                <w:sz w:val="12"/>
                <w:szCs w:val="12"/>
                <w:color w:val="auto"/>
              </w:rPr>
            </w:pPr>
          </w:p>
        </w:tc>
        <w:tc>
          <w:tcPr>
            <w:tcW w:w="960" w:type="dxa"/>
            <w:vAlign w:val="bottom"/>
            <w:shd w:val="clear" w:color="auto" w:fill="00548B"/>
          </w:tcPr>
          <w:p>
            <w:pPr>
              <w:spacing w:after="0"/>
              <w:rPr>
                <w:sz w:val="12"/>
                <w:szCs w:val="12"/>
                <w:color w:val="auto"/>
              </w:rPr>
            </w:pPr>
          </w:p>
        </w:tc>
        <w:tc>
          <w:tcPr>
            <w:tcW w:w="900" w:type="dxa"/>
            <w:vAlign w:val="bottom"/>
            <w:shd w:val="clear" w:color="auto" w:fill="00548B"/>
          </w:tcPr>
          <w:p>
            <w:pPr>
              <w:spacing w:after="0"/>
              <w:rPr>
                <w:sz w:val="12"/>
                <w:szCs w:val="12"/>
                <w:color w:val="auto"/>
              </w:rPr>
            </w:pPr>
          </w:p>
        </w:tc>
        <w:tc>
          <w:tcPr>
            <w:tcW w:w="880" w:type="dxa"/>
            <w:vAlign w:val="bottom"/>
            <w:shd w:val="clear" w:color="auto" w:fill="00548B"/>
          </w:tcPr>
          <w:p>
            <w:pPr>
              <w:spacing w:after="0"/>
              <w:rPr>
                <w:sz w:val="12"/>
                <w:szCs w:val="12"/>
                <w:color w:val="auto"/>
              </w:rPr>
            </w:pPr>
          </w:p>
        </w:tc>
        <w:tc>
          <w:tcPr>
            <w:tcW w:w="1160" w:type="dxa"/>
            <w:vAlign w:val="bottom"/>
            <w:shd w:val="clear" w:color="auto" w:fill="00548B"/>
          </w:tcPr>
          <w:p>
            <w:pPr>
              <w:jc w:val="right"/>
              <w:ind w:right="211"/>
              <w:spacing w:after="0"/>
              <w:rPr>
                <w:sz w:val="20"/>
                <w:szCs w:val="20"/>
                <w:color w:val="auto"/>
              </w:rPr>
            </w:pPr>
            <w:r>
              <w:rPr>
                <w:rFonts w:ascii="Arial" w:cs="Arial" w:eastAsia="Arial" w:hAnsi="Arial"/>
                <w:sz w:val="12"/>
                <w:szCs w:val="12"/>
                <w:b w:val="1"/>
                <w:bCs w:val="1"/>
                <w:color w:val="E5E5E5"/>
              </w:rPr>
              <w:t>Stock Awards</w:t>
            </w:r>
          </w:p>
        </w:tc>
        <w:tc>
          <w:tcPr>
            <w:tcW w:w="1480" w:type="dxa"/>
            <w:vAlign w:val="bottom"/>
            <w:shd w:val="clear" w:color="auto" w:fill="00548B"/>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1720" w:type="dxa"/>
            <w:vAlign w:val="bottom"/>
            <w:shd w:val="clear" w:color="auto" w:fill="00548B"/>
          </w:tcPr>
          <w:p>
            <w:pPr>
              <w:spacing w:after="0"/>
              <w:rPr>
                <w:sz w:val="10"/>
                <w:szCs w:val="10"/>
                <w:color w:val="auto"/>
              </w:rPr>
            </w:pPr>
          </w:p>
        </w:tc>
        <w:tc>
          <w:tcPr>
            <w:tcW w:w="740" w:type="dxa"/>
            <w:vAlign w:val="bottom"/>
            <w:shd w:val="clear" w:color="auto" w:fill="00548B"/>
          </w:tcPr>
          <w:p>
            <w:pPr>
              <w:spacing w:after="0"/>
              <w:rPr>
                <w:sz w:val="10"/>
                <w:szCs w:val="10"/>
                <w:color w:val="auto"/>
              </w:rPr>
            </w:pPr>
          </w:p>
        </w:tc>
        <w:tc>
          <w:tcPr>
            <w:tcW w:w="1240" w:type="dxa"/>
            <w:vAlign w:val="bottom"/>
            <w:shd w:val="clear" w:color="auto" w:fill="00548B"/>
          </w:tcPr>
          <w:p>
            <w:pPr>
              <w:spacing w:after="0"/>
              <w:rPr>
                <w:sz w:val="10"/>
                <w:szCs w:val="10"/>
                <w:color w:val="auto"/>
              </w:rPr>
            </w:pPr>
          </w:p>
        </w:tc>
        <w:tc>
          <w:tcPr>
            <w:tcW w:w="1160" w:type="dxa"/>
            <w:vAlign w:val="bottom"/>
            <w:shd w:val="clear" w:color="auto" w:fill="00548B"/>
          </w:tcPr>
          <w:p>
            <w:pPr>
              <w:spacing w:after="0"/>
              <w:rPr>
                <w:sz w:val="10"/>
                <w:szCs w:val="10"/>
                <w:color w:val="auto"/>
              </w:rPr>
            </w:pPr>
          </w:p>
        </w:tc>
        <w:tc>
          <w:tcPr>
            <w:tcW w:w="620" w:type="dxa"/>
            <w:vAlign w:val="bottom"/>
            <w:shd w:val="clear" w:color="auto" w:fill="00548B"/>
          </w:tcPr>
          <w:p>
            <w:pPr>
              <w:spacing w:after="0"/>
              <w:rPr>
                <w:sz w:val="10"/>
                <w:szCs w:val="10"/>
                <w:color w:val="auto"/>
              </w:rPr>
            </w:pPr>
          </w:p>
        </w:tc>
        <w:tc>
          <w:tcPr>
            <w:tcW w:w="960" w:type="dxa"/>
            <w:vAlign w:val="bottom"/>
            <w:shd w:val="clear" w:color="auto" w:fill="00548B"/>
          </w:tcPr>
          <w:p>
            <w:pPr>
              <w:spacing w:after="0"/>
              <w:rPr>
                <w:sz w:val="10"/>
                <w:szCs w:val="10"/>
                <w:color w:val="auto"/>
              </w:rPr>
            </w:pPr>
          </w:p>
        </w:tc>
        <w:tc>
          <w:tcPr>
            <w:tcW w:w="900" w:type="dxa"/>
            <w:vAlign w:val="bottom"/>
            <w:shd w:val="clear" w:color="auto" w:fill="00548B"/>
          </w:tcPr>
          <w:p>
            <w:pPr>
              <w:spacing w:after="0"/>
              <w:rPr>
                <w:sz w:val="10"/>
                <w:szCs w:val="10"/>
                <w:color w:val="auto"/>
              </w:rPr>
            </w:pPr>
          </w:p>
        </w:tc>
        <w:tc>
          <w:tcPr>
            <w:tcW w:w="880" w:type="dxa"/>
            <w:vAlign w:val="bottom"/>
            <w:shd w:val="clear" w:color="auto" w:fill="00548B"/>
          </w:tcPr>
          <w:p>
            <w:pPr>
              <w:spacing w:after="0"/>
              <w:rPr>
                <w:sz w:val="10"/>
                <w:szCs w:val="10"/>
                <w:color w:val="auto"/>
              </w:rPr>
            </w:pPr>
          </w:p>
        </w:tc>
        <w:tc>
          <w:tcPr>
            <w:tcW w:w="1160" w:type="dxa"/>
            <w:vAlign w:val="bottom"/>
            <w:shd w:val="clear" w:color="auto" w:fill="00548B"/>
          </w:tcPr>
          <w:p>
            <w:pPr>
              <w:jc w:val="center"/>
              <w:spacing w:after="0" w:line="120" w:lineRule="exact"/>
              <w:rPr>
                <w:sz w:val="20"/>
                <w:szCs w:val="20"/>
                <w:color w:val="auto"/>
              </w:rPr>
            </w:pPr>
            <w:r>
              <w:rPr>
                <w:rFonts w:ascii="Arial" w:cs="Arial" w:eastAsia="Arial" w:hAnsi="Arial"/>
                <w:sz w:val="12"/>
                <w:szCs w:val="12"/>
                <w:b w:val="1"/>
                <w:bCs w:val="1"/>
                <w:color w:val="E5E5E5"/>
              </w:rPr>
              <w:t>Equity Incentive</w:t>
            </w:r>
          </w:p>
        </w:tc>
        <w:tc>
          <w:tcPr>
            <w:tcW w:w="1480" w:type="dxa"/>
            <w:vAlign w:val="bottom"/>
            <w:shd w:val="clear" w:color="auto" w:fill="00548B"/>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720" w:type="dxa"/>
            <w:vAlign w:val="bottom"/>
            <w:shd w:val="clear" w:color="auto" w:fill="00548B"/>
          </w:tcPr>
          <w:p>
            <w:pPr>
              <w:spacing w:after="0"/>
              <w:rPr>
                <w:sz w:val="11"/>
                <w:szCs w:val="11"/>
                <w:color w:val="auto"/>
              </w:rPr>
            </w:pPr>
          </w:p>
        </w:tc>
        <w:tc>
          <w:tcPr>
            <w:tcW w:w="740" w:type="dxa"/>
            <w:vAlign w:val="bottom"/>
            <w:shd w:val="clear" w:color="auto" w:fill="00548B"/>
          </w:tcPr>
          <w:p>
            <w:pPr>
              <w:spacing w:after="0"/>
              <w:rPr>
                <w:sz w:val="11"/>
                <w:szCs w:val="11"/>
                <w:color w:val="auto"/>
              </w:rPr>
            </w:pPr>
          </w:p>
        </w:tc>
        <w:tc>
          <w:tcPr>
            <w:tcW w:w="1240" w:type="dxa"/>
            <w:vAlign w:val="bottom"/>
            <w:vMerge w:val="restart"/>
            <w:shd w:val="clear" w:color="auto" w:fill="00548B"/>
          </w:tcPr>
          <w:p>
            <w:pPr>
              <w:jc w:val="center"/>
              <w:ind w:left="71"/>
              <w:spacing w:after="0"/>
              <w:rPr>
                <w:sz w:val="20"/>
                <w:szCs w:val="20"/>
                <w:color w:val="auto"/>
              </w:rPr>
            </w:pPr>
            <w:r>
              <w:rPr>
                <w:rFonts w:ascii="Arial" w:cs="Arial" w:eastAsia="Arial" w:hAnsi="Arial"/>
                <w:sz w:val="12"/>
                <w:szCs w:val="12"/>
                <w:b w:val="1"/>
                <w:bCs w:val="1"/>
                <w:color w:val="E5E5E5"/>
              </w:rPr>
              <w:t>Number of</w:t>
            </w:r>
          </w:p>
        </w:tc>
        <w:tc>
          <w:tcPr>
            <w:tcW w:w="1160" w:type="dxa"/>
            <w:vAlign w:val="bottom"/>
            <w:vMerge w:val="restart"/>
            <w:shd w:val="clear" w:color="auto" w:fill="00548B"/>
          </w:tcPr>
          <w:p>
            <w:pPr>
              <w:jc w:val="center"/>
              <w:ind w:left="31"/>
              <w:spacing w:after="0"/>
              <w:rPr>
                <w:sz w:val="20"/>
                <w:szCs w:val="20"/>
                <w:color w:val="auto"/>
              </w:rPr>
            </w:pPr>
            <w:r>
              <w:rPr>
                <w:rFonts w:ascii="Arial" w:cs="Arial" w:eastAsia="Arial" w:hAnsi="Arial"/>
                <w:sz w:val="12"/>
                <w:szCs w:val="12"/>
                <w:b w:val="1"/>
                <w:bCs w:val="1"/>
                <w:color w:val="E5E5E5"/>
              </w:rPr>
              <w:t>Number of</w:t>
            </w:r>
          </w:p>
        </w:tc>
        <w:tc>
          <w:tcPr>
            <w:tcW w:w="620" w:type="dxa"/>
            <w:vAlign w:val="bottom"/>
            <w:shd w:val="clear" w:color="auto" w:fill="00548B"/>
          </w:tcPr>
          <w:p>
            <w:pPr>
              <w:spacing w:after="0"/>
              <w:rPr>
                <w:sz w:val="11"/>
                <w:szCs w:val="11"/>
                <w:color w:val="auto"/>
              </w:rPr>
            </w:pPr>
          </w:p>
        </w:tc>
        <w:tc>
          <w:tcPr>
            <w:tcW w:w="960" w:type="dxa"/>
            <w:vAlign w:val="bottom"/>
            <w:shd w:val="clear" w:color="auto" w:fill="00548B"/>
          </w:tcPr>
          <w:p>
            <w:pPr>
              <w:spacing w:after="0"/>
              <w:rPr>
                <w:sz w:val="11"/>
                <w:szCs w:val="11"/>
                <w:color w:val="auto"/>
              </w:rPr>
            </w:pPr>
          </w:p>
        </w:tc>
        <w:tc>
          <w:tcPr>
            <w:tcW w:w="900" w:type="dxa"/>
            <w:vAlign w:val="bottom"/>
            <w:vMerge w:val="restart"/>
            <w:shd w:val="clear" w:color="auto" w:fill="00548B"/>
          </w:tcPr>
          <w:p>
            <w:pPr>
              <w:jc w:val="center"/>
              <w:spacing w:after="0"/>
              <w:rPr>
                <w:sz w:val="20"/>
                <w:szCs w:val="20"/>
                <w:color w:val="auto"/>
              </w:rPr>
            </w:pPr>
            <w:r>
              <w:rPr>
                <w:rFonts w:ascii="Arial" w:cs="Arial" w:eastAsia="Arial" w:hAnsi="Arial"/>
                <w:sz w:val="12"/>
                <w:szCs w:val="12"/>
                <w:b w:val="1"/>
                <w:bCs w:val="1"/>
                <w:color w:val="E5E5E5"/>
              </w:rPr>
              <w:t>Number of</w:t>
            </w:r>
          </w:p>
        </w:tc>
        <w:tc>
          <w:tcPr>
            <w:tcW w:w="880" w:type="dxa"/>
            <w:vAlign w:val="bottom"/>
            <w:vMerge w:val="restart"/>
            <w:shd w:val="clear" w:color="auto" w:fill="00548B"/>
          </w:tcPr>
          <w:p>
            <w:pPr>
              <w:jc w:val="center"/>
              <w:spacing w:after="0"/>
              <w:rPr>
                <w:sz w:val="20"/>
                <w:szCs w:val="20"/>
                <w:color w:val="auto"/>
              </w:rPr>
            </w:pPr>
            <w:r>
              <w:rPr>
                <w:rFonts w:ascii="Arial" w:cs="Arial" w:eastAsia="Arial" w:hAnsi="Arial"/>
                <w:sz w:val="12"/>
                <w:szCs w:val="12"/>
                <w:b w:val="1"/>
                <w:bCs w:val="1"/>
                <w:color w:val="E5E5E5"/>
              </w:rPr>
              <w:t>Market Value</w:t>
            </w:r>
          </w:p>
        </w:tc>
        <w:tc>
          <w:tcPr>
            <w:tcW w:w="1160" w:type="dxa"/>
            <w:vAlign w:val="bottom"/>
            <w:shd w:val="clear" w:color="auto" w:fill="00548B"/>
          </w:tcPr>
          <w:p>
            <w:pPr>
              <w:jc w:val="center"/>
              <w:spacing w:after="0" w:line="133" w:lineRule="exact"/>
              <w:rPr>
                <w:sz w:val="20"/>
                <w:szCs w:val="20"/>
                <w:color w:val="auto"/>
              </w:rPr>
            </w:pPr>
            <w:r>
              <w:rPr>
                <w:rFonts w:ascii="Arial" w:cs="Arial" w:eastAsia="Arial" w:hAnsi="Arial"/>
                <w:sz w:val="12"/>
                <w:szCs w:val="12"/>
                <w:b w:val="1"/>
                <w:bCs w:val="1"/>
                <w:color w:val="E5E5E5"/>
              </w:rPr>
              <w:t>Plan Awards:</w:t>
            </w:r>
          </w:p>
        </w:tc>
        <w:tc>
          <w:tcPr>
            <w:tcW w:w="1480" w:type="dxa"/>
            <w:vAlign w:val="bottom"/>
            <w:shd w:val="clear" w:color="auto" w:fill="00548B"/>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720" w:type="dxa"/>
            <w:vAlign w:val="bottom"/>
            <w:shd w:val="clear" w:color="auto" w:fill="00548B"/>
          </w:tcPr>
          <w:p>
            <w:pPr>
              <w:spacing w:after="0"/>
              <w:rPr>
                <w:sz w:val="10"/>
                <w:szCs w:val="10"/>
                <w:color w:val="auto"/>
              </w:rPr>
            </w:pPr>
          </w:p>
        </w:tc>
        <w:tc>
          <w:tcPr>
            <w:tcW w:w="740" w:type="dxa"/>
            <w:vAlign w:val="bottom"/>
            <w:shd w:val="clear" w:color="auto" w:fill="00548B"/>
          </w:tcPr>
          <w:p>
            <w:pPr>
              <w:spacing w:after="0"/>
              <w:rPr>
                <w:sz w:val="10"/>
                <w:szCs w:val="10"/>
                <w:color w:val="auto"/>
              </w:rPr>
            </w:pPr>
          </w:p>
        </w:tc>
        <w:tc>
          <w:tcPr>
            <w:tcW w:w="1240" w:type="dxa"/>
            <w:vAlign w:val="bottom"/>
            <w:vMerge w:val="continue"/>
            <w:shd w:val="clear" w:color="auto" w:fill="00548B"/>
          </w:tcPr>
          <w:p>
            <w:pPr>
              <w:spacing w:after="0"/>
              <w:rPr>
                <w:sz w:val="10"/>
                <w:szCs w:val="10"/>
                <w:color w:val="auto"/>
              </w:rPr>
            </w:pPr>
          </w:p>
        </w:tc>
        <w:tc>
          <w:tcPr>
            <w:tcW w:w="1160" w:type="dxa"/>
            <w:vAlign w:val="bottom"/>
            <w:vMerge w:val="continue"/>
            <w:shd w:val="clear" w:color="auto" w:fill="00548B"/>
          </w:tcPr>
          <w:p>
            <w:pPr>
              <w:spacing w:after="0"/>
              <w:rPr>
                <w:sz w:val="10"/>
                <w:szCs w:val="10"/>
                <w:color w:val="auto"/>
              </w:rPr>
            </w:pPr>
          </w:p>
        </w:tc>
        <w:tc>
          <w:tcPr>
            <w:tcW w:w="620" w:type="dxa"/>
            <w:vAlign w:val="bottom"/>
            <w:shd w:val="clear" w:color="auto" w:fill="00548B"/>
          </w:tcPr>
          <w:p>
            <w:pPr>
              <w:spacing w:after="0"/>
              <w:rPr>
                <w:sz w:val="10"/>
                <w:szCs w:val="10"/>
                <w:color w:val="auto"/>
              </w:rPr>
            </w:pPr>
          </w:p>
        </w:tc>
        <w:tc>
          <w:tcPr>
            <w:tcW w:w="960" w:type="dxa"/>
            <w:vAlign w:val="bottom"/>
            <w:shd w:val="clear" w:color="auto" w:fill="00548B"/>
          </w:tcPr>
          <w:p>
            <w:pPr>
              <w:spacing w:after="0"/>
              <w:rPr>
                <w:sz w:val="10"/>
                <w:szCs w:val="10"/>
                <w:color w:val="auto"/>
              </w:rPr>
            </w:pPr>
          </w:p>
        </w:tc>
        <w:tc>
          <w:tcPr>
            <w:tcW w:w="900" w:type="dxa"/>
            <w:vAlign w:val="bottom"/>
            <w:vMerge w:val="continue"/>
            <w:shd w:val="clear" w:color="auto" w:fill="00548B"/>
          </w:tcPr>
          <w:p>
            <w:pPr>
              <w:spacing w:after="0"/>
              <w:rPr>
                <w:sz w:val="10"/>
                <w:szCs w:val="10"/>
                <w:color w:val="auto"/>
              </w:rPr>
            </w:pPr>
          </w:p>
        </w:tc>
        <w:tc>
          <w:tcPr>
            <w:tcW w:w="880" w:type="dxa"/>
            <w:vAlign w:val="bottom"/>
            <w:vMerge w:val="continue"/>
            <w:shd w:val="clear" w:color="auto" w:fill="00548B"/>
          </w:tcPr>
          <w:p>
            <w:pPr>
              <w:spacing w:after="0"/>
              <w:rPr>
                <w:sz w:val="10"/>
                <w:szCs w:val="10"/>
                <w:color w:val="auto"/>
              </w:rPr>
            </w:pPr>
          </w:p>
        </w:tc>
        <w:tc>
          <w:tcPr>
            <w:tcW w:w="1160" w:type="dxa"/>
            <w:vAlign w:val="bottom"/>
            <w:shd w:val="clear" w:color="auto" w:fill="00548B"/>
          </w:tcPr>
          <w:p>
            <w:pPr>
              <w:jc w:val="center"/>
              <w:spacing w:after="0" w:line="126" w:lineRule="exact"/>
              <w:rPr>
                <w:sz w:val="20"/>
                <w:szCs w:val="20"/>
                <w:color w:val="auto"/>
              </w:rPr>
            </w:pPr>
            <w:r>
              <w:rPr>
                <w:rFonts w:ascii="Arial" w:cs="Arial" w:eastAsia="Arial" w:hAnsi="Arial"/>
                <w:sz w:val="12"/>
                <w:szCs w:val="12"/>
                <w:b w:val="1"/>
                <w:bCs w:val="1"/>
                <w:color w:val="E5E5E5"/>
              </w:rPr>
              <w:t>Number of</w:t>
            </w:r>
          </w:p>
        </w:tc>
        <w:tc>
          <w:tcPr>
            <w:tcW w:w="1480" w:type="dxa"/>
            <w:vAlign w:val="bottom"/>
            <w:shd w:val="clear" w:color="auto" w:fill="00548B"/>
          </w:tcPr>
          <w:p>
            <w:pPr>
              <w:jc w:val="center"/>
              <w:spacing w:after="0" w:line="126" w:lineRule="exact"/>
              <w:rPr>
                <w:sz w:val="20"/>
                <w:szCs w:val="20"/>
                <w:color w:val="auto"/>
              </w:rPr>
            </w:pPr>
            <w:r>
              <w:rPr>
                <w:rFonts w:ascii="Arial" w:cs="Arial" w:eastAsia="Arial" w:hAnsi="Arial"/>
                <w:sz w:val="12"/>
                <w:szCs w:val="12"/>
                <w:b w:val="1"/>
                <w:bCs w:val="1"/>
                <w:color w:val="E5E5E5"/>
              </w:rPr>
              <w:t>Equity Incentive Plan</w:t>
            </w:r>
          </w:p>
        </w:tc>
        <w:tc>
          <w:tcPr>
            <w:tcW w:w="0" w:type="dxa"/>
            <w:vAlign w:val="bottom"/>
          </w:tcPr>
          <w:p>
            <w:pPr>
              <w:spacing w:after="0"/>
              <w:rPr>
                <w:sz w:val="1"/>
                <w:szCs w:val="1"/>
                <w:color w:val="auto"/>
              </w:rPr>
            </w:pPr>
          </w:p>
        </w:tc>
      </w:tr>
      <w:tr>
        <w:trPr>
          <w:trHeight w:val="133"/>
        </w:trPr>
        <w:tc>
          <w:tcPr>
            <w:tcW w:w="1720" w:type="dxa"/>
            <w:vAlign w:val="bottom"/>
            <w:shd w:val="clear" w:color="auto" w:fill="00548B"/>
          </w:tcPr>
          <w:p>
            <w:pPr>
              <w:spacing w:after="0"/>
              <w:rPr>
                <w:sz w:val="11"/>
                <w:szCs w:val="11"/>
                <w:color w:val="auto"/>
              </w:rPr>
            </w:pPr>
          </w:p>
        </w:tc>
        <w:tc>
          <w:tcPr>
            <w:tcW w:w="740" w:type="dxa"/>
            <w:vAlign w:val="bottom"/>
            <w:shd w:val="clear" w:color="auto" w:fill="00548B"/>
          </w:tcPr>
          <w:p>
            <w:pPr>
              <w:spacing w:after="0"/>
              <w:rPr>
                <w:sz w:val="11"/>
                <w:szCs w:val="11"/>
                <w:color w:val="auto"/>
              </w:rPr>
            </w:pPr>
          </w:p>
        </w:tc>
        <w:tc>
          <w:tcPr>
            <w:tcW w:w="1240" w:type="dxa"/>
            <w:vAlign w:val="bottom"/>
            <w:shd w:val="clear" w:color="auto" w:fill="00548B"/>
          </w:tcPr>
          <w:p>
            <w:pPr>
              <w:jc w:val="center"/>
              <w:ind w:left="71"/>
              <w:spacing w:after="0" w:line="133" w:lineRule="exact"/>
              <w:rPr>
                <w:sz w:val="20"/>
                <w:szCs w:val="20"/>
                <w:color w:val="auto"/>
              </w:rPr>
            </w:pPr>
            <w:r>
              <w:rPr>
                <w:rFonts w:ascii="Arial" w:cs="Arial" w:eastAsia="Arial" w:hAnsi="Arial"/>
                <w:sz w:val="12"/>
                <w:szCs w:val="12"/>
                <w:b w:val="1"/>
                <w:bCs w:val="1"/>
                <w:color w:val="E5E5E5"/>
              </w:rPr>
              <w:t>Securities</w:t>
            </w:r>
          </w:p>
        </w:tc>
        <w:tc>
          <w:tcPr>
            <w:tcW w:w="1160" w:type="dxa"/>
            <w:vAlign w:val="bottom"/>
            <w:shd w:val="clear" w:color="auto" w:fill="00548B"/>
          </w:tcPr>
          <w:p>
            <w:pPr>
              <w:jc w:val="center"/>
              <w:ind w:left="11"/>
              <w:spacing w:after="0" w:line="133" w:lineRule="exact"/>
              <w:rPr>
                <w:sz w:val="20"/>
                <w:szCs w:val="20"/>
                <w:color w:val="auto"/>
              </w:rPr>
            </w:pPr>
            <w:r>
              <w:rPr>
                <w:rFonts w:ascii="Arial" w:cs="Arial" w:eastAsia="Arial" w:hAnsi="Arial"/>
                <w:sz w:val="12"/>
                <w:szCs w:val="12"/>
                <w:b w:val="1"/>
                <w:bCs w:val="1"/>
                <w:color w:val="E5E5E5"/>
              </w:rPr>
              <w:t>Securities</w:t>
            </w:r>
          </w:p>
        </w:tc>
        <w:tc>
          <w:tcPr>
            <w:tcW w:w="620" w:type="dxa"/>
            <w:vAlign w:val="bottom"/>
            <w:shd w:val="clear" w:color="auto" w:fill="00548B"/>
          </w:tcPr>
          <w:p>
            <w:pPr>
              <w:spacing w:after="0"/>
              <w:rPr>
                <w:sz w:val="11"/>
                <w:szCs w:val="11"/>
                <w:color w:val="auto"/>
              </w:rPr>
            </w:pPr>
          </w:p>
        </w:tc>
        <w:tc>
          <w:tcPr>
            <w:tcW w:w="960" w:type="dxa"/>
            <w:vAlign w:val="bottom"/>
            <w:shd w:val="clear" w:color="auto" w:fill="00548B"/>
          </w:tcPr>
          <w:p>
            <w:pPr>
              <w:spacing w:after="0"/>
              <w:rPr>
                <w:sz w:val="11"/>
                <w:szCs w:val="11"/>
                <w:color w:val="auto"/>
              </w:rPr>
            </w:pPr>
          </w:p>
        </w:tc>
        <w:tc>
          <w:tcPr>
            <w:tcW w:w="900" w:type="dxa"/>
            <w:vAlign w:val="bottom"/>
            <w:shd w:val="clear" w:color="auto" w:fill="00548B"/>
          </w:tcPr>
          <w:p>
            <w:pPr>
              <w:jc w:val="center"/>
              <w:spacing w:after="0" w:line="133" w:lineRule="exact"/>
              <w:rPr>
                <w:sz w:val="20"/>
                <w:szCs w:val="20"/>
                <w:color w:val="auto"/>
              </w:rPr>
            </w:pPr>
            <w:r>
              <w:rPr>
                <w:rFonts w:ascii="Arial" w:cs="Arial" w:eastAsia="Arial" w:hAnsi="Arial"/>
                <w:sz w:val="12"/>
                <w:szCs w:val="12"/>
                <w:b w:val="1"/>
                <w:bCs w:val="1"/>
                <w:color w:val="E5E5E5"/>
              </w:rPr>
              <w:t>Shares or</w:t>
            </w:r>
          </w:p>
        </w:tc>
        <w:tc>
          <w:tcPr>
            <w:tcW w:w="880" w:type="dxa"/>
            <w:vAlign w:val="bottom"/>
            <w:shd w:val="clear" w:color="auto" w:fill="00548B"/>
          </w:tcPr>
          <w:p>
            <w:pPr>
              <w:jc w:val="center"/>
              <w:spacing w:after="0" w:line="133" w:lineRule="exact"/>
              <w:rPr>
                <w:sz w:val="20"/>
                <w:szCs w:val="20"/>
                <w:color w:val="auto"/>
              </w:rPr>
            </w:pPr>
            <w:r>
              <w:rPr>
                <w:rFonts w:ascii="Arial" w:cs="Arial" w:eastAsia="Arial" w:hAnsi="Arial"/>
                <w:sz w:val="12"/>
                <w:szCs w:val="12"/>
                <w:b w:val="1"/>
                <w:bCs w:val="1"/>
                <w:color w:val="E5E5E5"/>
              </w:rPr>
              <w:t>of Shares or</w:t>
            </w:r>
          </w:p>
        </w:tc>
        <w:tc>
          <w:tcPr>
            <w:tcW w:w="1160" w:type="dxa"/>
            <w:vAlign w:val="bottom"/>
            <w:shd w:val="clear" w:color="auto" w:fill="00548B"/>
          </w:tcPr>
          <w:p>
            <w:pPr>
              <w:jc w:val="center"/>
              <w:spacing w:after="0" w:line="133" w:lineRule="exact"/>
              <w:rPr>
                <w:sz w:val="20"/>
                <w:szCs w:val="20"/>
                <w:color w:val="auto"/>
              </w:rPr>
            </w:pPr>
            <w:r>
              <w:rPr>
                <w:rFonts w:ascii="Arial" w:cs="Arial" w:eastAsia="Arial" w:hAnsi="Arial"/>
                <w:sz w:val="12"/>
                <w:szCs w:val="12"/>
                <w:b w:val="1"/>
                <w:bCs w:val="1"/>
                <w:color w:val="E5E5E5"/>
              </w:rPr>
              <w:t>Unearned Shares,</w:t>
            </w:r>
          </w:p>
        </w:tc>
        <w:tc>
          <w:tcPr>
            <w:tcW w:w="1480" w:type="dxa"/>
            <w:vAlign w:val="bottom"/>
            <w:shd w:val="clear" w:color="auto" w:fill="00548B"/>
          </w:tcPr>
          <w:p>
            <w:pPr>
              <w:jc w:val="center"/>
              <w:spacing w:after="0" w:line="133" w:lineRule="exact"/>
              <w:rPr>
                <w:sz w:val="20"/>
                <w:szCs w:val="20"/>
                <w:color w:val="auto"/>
              </w:rPr>
            </w:pPr>
            <w:r>
              <w:rPr>
                <w:rFonts w:ascii="Arial" w:cs="Arial" w:eastAsia="Arial" w:hAnsi="Arial"/>
                <w:sz w:val="12"/>
                <w:szCs w:val="12"/>
                <w:b w:val="1"/>
                <w:bCs w:val="1"/>
                <w:color w:val="E5E5E5"/>
              </w:rPr>
              <w:t>Awards: Market or</w:t>
            </w:r>
          </w:p>
        </w:tc>
        <w:tc>
          <w:tcPr>
            <w:tcW w:w="0" w:type="dxa"/>
            <w:vAlign w:val="bottom"/>
          </w:tcPr>
          <w:p>
            <w:pPr>
              <w:spacing w:after="0"/>
              <w:rPr>
                <w:sz w:val="1"/>
                <w:szCs w:val="1"/>
                <w:color w:val="auto"/>
              </w:rPr>
            </w:pPr>
          </w:p>
        </w:tc>
      </w:tr>
      <w:tr>
        <w:trPr>
          <w:trHeight w:val="133"/>
        </w:trPr>
        <w:tc>
          <w:tcPr>
            <w:tcW w:w="1720" w:type="dxa"/>
            <w:vAlign w:val="bottom"/>
            <w:shd w:val="clear" w:color="auto" w:fill="00548B"/>
          </w:tcPr>
          <w:p>
            <w:pPr>
              <w:spacing w:after="0"/>
              <w:rPr>
                <w:sz w:val="11"/>
                <w:szCs w:val="11"/>
                <w:color w:val="auto"/>
              </w:rPr>
            </w:pPr>
          </w:p>
        </w:tc>
        <w:tc>
          <w:tcPr>
            <w:tcW w:w="740" w:type="dxa"/>
            <w:vAlign w:val="bottom"/>
            <w:shd w:val="clear" w:color="auto" w:fill="00548B"/>
          </w:tcPr>
          <w:p>
            <w:pPr>
              <w:spacing w:after="0"/>
              <w:rPr>
                <w:sz w:val="11"/>
                <w:szCs w:val="11"/>
                <w:color w:val="auto"/>
              </w:rPr>
            </w:pPr>
          </w:p>
        </w:tc>
        <w:tc>
          <w:tcPr>
            <w:tcW w:w="1240" w:type="dxa"/>
            <w:vAlign w:val="bottom"/>
            <w:shd w:val="clear" w:color="auto" w:fill="00548B"/>
          </w:tcPr>
          <w:p>
            <w:pPr>
              <w:jc w:val="center"/>
              <w:ind w:left="71"/>
              <w:spacing w:after="0" w:line="133" w:lineRule="exact"/>
              <w:rPr>
                <w:sz w:val="20"/>
                <w:szCs w:val="20"/>
                <w:color w:val="auto"/>
              </w:rPr>
            </w:pPr>
            <w:r>
              <w:rPr>
                <w:rFonts w:ascii="Arial" w:cs="Arial" w:eastAsia="Arial" w:hAnsi="Arial"/>
                <w:sz w:val="12"/>
                <w:szCs w:val="12"/>
                <w:b w:val="1"/>
                <w:bCs w:val="1"/>
                <w:color w:val="E5E5E5"/>
              </w:rPr>
              <w:t>Underlying</w:t>
            </w:r>
          </w:p>
        </w:tc>
        <w:tc>
          <w:tcPr>
            <w:tcW w:w="1160" w:type="dxa"/>
            <w:vAlign w:val="bottom"/>
            <w:shd w:val="clear" w:color="auto" w:fill="00548B"/>
          </w:tcPr>
          <w:p>
            <w:pPr>
              <w:jc w:val="center"/>
              <w:ind w:left="11"/>
              <w:spacing w:after="0" w:line="133" w:lineRule="exact"/>
              <w:rPr>
                <w:sz w:val="20"/>
                <w:szCs w:val="20"/>
                <w:color w:val="auto"/>
              </w:rPr>
            </w:pPr>
            <w:r>
              <w:rPr>
                <w:rFonts w:ascii="Arial" w:cs="Arial" w:eastAsia="Arial" w:hAnsi="Arial"/>
                <w:sz w:val="12"/>
                <w:szCs w:val="12"/>
                <w:b w:val="1"/>
                <w:bCs w:val="1"/>
                <w:color w:val="E5E5E5"/>
              </w:rPr>
              <w:t>Underlying</w:t>
            </w:r>
          </w:p>
        </w:tc>
        <w:tc>
          <w:tcPr>
            <w:tcW w:w="620" w:type="dxa"/>
            <w:vAlign w:val="bottom"/>
            <w:shd w:val="clear" w:color="auto" w:fill="00548B"/>
          </w:tcPr>
          <w:p>
            <w:pPr>
              <w:jc w:val="center"/>
              <w:spacing w:after="0" w:line="133" w:lineRule="exact"/>
              <w:rPr>
                <w:sz w:val="20"/>
                <w:szCs w:val="20"/>
                <w:color w:val="auto"/>
              </w:rPr>
            </w:pPr>
            <w:r>
              <w:rPr>
                <w:rFonts w:ascii="Arial" w:cs="Arial" w:eastAsia="Arial" w:hAnsi="Arial"/>
                <w:sz w:val="12"/>
                <w:szCs w:val="12"/>
                <w:b w:val="1"/>
                <w:bCs w:val="1"/>
                <w:color w:val="E5E5E5"/>
              </w:rPr>
              <w:t>Option</w:t>
            </w:r>
          </w:p>
        </w:tc>
        <w:tc>
          <w:tcPr>
            <w:tcW w:w="960" w:type="dxa"/>
            <w:vAlign w:val="bottom"/>
            <w:shd w:val="clear" w:color="auto" w:fill="00548B"/>
          </w:tcPr>
          <w:p>
            <w:pPr>
              <w:spacing w:after="0"/>
              <w:rPr>
                <w:sz w:val="11"/>
                <w:szCs w:val="11"/>
                <w:color w:val="auto"/>
              </w:rPr>
            </w:pPr>
          </w:p>
        </w:tc>
        <w:tc>
          <w:tcPr>
            <w:tcW w:w="900" w:type="dxa"/>
            <w:vAlign w:val="bottom"/>
            <w:shd w:val="clear" w:color="auto" w:fill="00548B"/>
          </w:tcPr>
          <w:p>
            <w:pPr>
              <w:jc w:val="center"/>
              <w:spacing w:after="0" w:line="133" w:lineRule="exact"/>
              <w:rPr>
                <w:sz w:val="20"/>
                <w:szCs w:val="20"/>
                <w:color w:val="auto"/>
              </w:rPr>
            </w:pPr>
            <w:r>
              <w:rPr>
                <w:rFonts w:ascii="Arial" w:cs="Arial" w:eastAsia="Arial" w:hAnsi="Arial"/>
                <w:sz w:val="12"/>
                <w:szCs w:val="12"/>
                <w:b w:val="1"/>
                <w:bCs w:val="1"/>
                <w:color w:val="E5E5E5"/>
              </w:rPr>
              <w:t>Units of</w:t>
            </w:r>
          </w:p>
        </w:tc>
        <w:tc>
          <w:tcPr>
            <w:tcW w:w="880" w:type="dxa"/>
            <w:vAlign w:val="bottom"/>
            <w:shd w:val="clear" w:color="auto" w:fill="00548B"/>
          </w:tcPr>
          <w:p>
            <w:pPr>
              <w:jc w:val="center"/>
              <w:spacing w:after="0" w:line="133" w:lineRule="exact"/>
              <w:rPr>
                <w:sz w:val="20"/>
                <w:szCs w:val="20"/>
                <w:color w:val="auto"/>
              </w:rPr>
            </w:pPr>
            <w:r>
              <w:rPr>
                <w:rFonts w:ascii="Arial" w:cs="Arial" w:eastAsia="Arial" w:hAnsi="Arial"/>
                <w:sz w:val="12"/>
                <w:szCs w:val="12"/>
                <w:b w:val="1"/>
                <w:bCs w:val="1"/>
                <w:color w:val="E5E5E5"/>
              </w:rPr>
              <w:t>Units of</w:t>
            </w:r>
          </w:p>
        </w:tc>
        <w:tc>
          <w:tcPr>
            <w:tcW w:w="1160" w:type="dxa"/>
            <w:vAlign w:val="bottom"/>
            <w:shd w:val="clear" w:color="auto" w:fill="00548B"/>
          </w:tcPr>
          <w:p>
            <w:pPr>
              <w:jc w:val="center"/>
              <w:spacing w:after="0" w:line="133" w:lineRule="exact"/>
              <w:rPr>
                <w:sz w:val="20"/>
                <w:szCs w:val="20"/>
                <w:color w:val="auto"/>
              </w:rPr>
            </w:pPr>
            <w:r>
              <w:rPr>
                <w:rFonts w:ascii="Arial" w:cs="Arial" w:eastAsia="Arial" w:hAnsi="Arial"/>
                <w:sz w:val="12"/>
                <w:szCs w:val="12"/>
                <w:b w:val="1"/>
                <w:bCs w:val="1"/>
                <w:color w:val="E5E5E5"/>
              </w:rPr>
              <w:t>Units or Other</w:t>
            </w:r>
          </w:p>
        </w:tc>
        <w:tc>
          <w:tcPr>
            <w:tcW w:w="1480" w:type="dxa"/>
            <w:vAlign w:val="bottom"/>
            <w:shd w:val="clear" w:color="auto" w:fill="00548B"/>
          </w:tcPr>
          <w:p>
            <w:pPr>
              <w:jc w:val="center"/>
              <w:spacing w:after="0" w:line="133" w:lineRule="exact"/>
              <w:rPr>
                <w:sz w:val="20"/>
                <w:szCs w:val="20"/>
                <w:color w:val="auto"/>
              </w:rPr>
            </w:pPr>
            <w:r>
              <w:rPr>
                <w:rFonts w:ascii="Arial" w:cs="Arial" w:eastAsia="Arial" w:hAnsi="Arial"/>
                <w:sz w:val="12"/>
                <w:szCs w:val="12"/>
                <w:b w:val="1"/>
                <w:bCs w:val="1"/>
                <w:color w:val="E5E5E5"/>
              </w:rPr>
              <w:t>Payout Value of</w:t>
            </w:r>
          </w:p>
        </w:tc>
        <w:tc>
          <w:tcPr>
            <w:tcW w:w="0" w:type="dxa"/>
            <w:vAlign w:val="bottom"/>
          </w:tcPr>
          <w:p>
            <w:pPr>
              <w:spacing w:after="0"/>
              <w:rPr>
                <w:sz w:val="1"/>
                <w:szCs w:val="1"/>
                <w:color w:val="auto"/>
              </w:rPr>
            </w:pPr>
          </w:p>
        </w:tc>
      </w:tr>
      <w:tr>
        <w:trPr>
          <w:trHeight w:val="133"/>
        </w:trPr>
        <w:tc>
          <w:tcPr>
            <w:tcW w:w="1720" w:type="dxa"/>
            <w:vAlign w:val="bottom"/>
            <w:shd w:val="clear" w:color="auto" w:fill="00548B"/>
          </w:tcPr>
          <w:p>
            <w:pPr>
              <w:spacing w:after="0"/>
              <w:rPr>
                <w:sz w:val="11"/>
                <w:szCs w:val="11"/>
                <w:color w:val="auto"/>
              </w:rPr>
            </w:pPr>
          </w:p>
        </w:tc>
        <w:tc>
          <w:tcPr>
            <w:tcW w:w="740" w:type="dxa"/>
            <w:vAlign w:val="bottom"/>
            <w:shd w:val="clear" w:color="auto" w:fill="00548B"/>
          </w:tcPr>
          <w:p>
            <w:pPr>
              <w:spacing w:after="0"/>
              <w:rPr>
                <w:sz w:val="11"/>
                <w:szCs w:val="11"/>
                <w:color w:val="auto"/>
              </w:rPr>
            </w:pPr>
          </w:p>
        </w:tc>
        <w:tc>
          <w:tcPr>
            <w:tcW w:w="1240" w:type="dxa"/>
            <w:vAlign w:val="bottom"/>
            <w:shd w:val="clear" w:color="auto" w:fill="00548B"/>
          </w:tcPr>
          <w:p>
            <w:pPr>
              <w:jc w:val="center"/>
              <w:ind w:left="71"/>
              <w:spacing w:after="0" w:line="133" w:lineRule="exact"/>
              <w:rPr>
                <w:sz w:val="20"/>
                <w:szCs w:val="20"/>
                <w:color w:val="auto"/>
              </w:rPr>
            </w:pPr>
            <w:r>
              <w:rPr>
                <w:rFonts w:ascii="Arial" w:cs="Arial" w:eastAsia="Arial" w:hAnsi="Arial"/>
                <w:sz w:val="12"/>
                <w:szCs w:val="12"/>
                <w:b w:val="1"/>
                <w:bCs w:val="1"/>
                <w:color w:val="E5E5E5"/>
              </w:rPr>
              <w:t>Unexercised</w:t>
            </w:r>
          </w:p>
        </w:tc>
        <w:tc>
          <w:tcPr>
            <w:tcW w:w="1160" w:type="dxa"/>
            <w:vAlign w:val="bottom"/>
            <w:shd w:val="clear" w:color="auto" w:fill="00548B"/>
          </w:tcPr>
          <w:p>
            <w:pPr>
              <w:jc w:val="center"/>
              <w:ind w:left="11"/>
              <w:spacing w:after="0" w:line="133" w:lineRule="exact"/>
              <w:rPr>
                <w:sz w:val="20"/>
                <w:szCs w:val="20"/>
                <w:color w:val="auto"/>
              </w:rPr>
            </w:pPr>
            <w:r>
              <w:rPr>
                <w:rFonts w:ascii="Arial" w:cs="Arial" w:eastAsia="Arial" w:hAnsi="Arial"/>
                <w:sz w:val="12"/>
                <w:szCs w:val="12"/>
                <w:b w:val="1"/>
                <w:bCs w:val="1"/>
                <w:color w:val="E5E5E5"/>
              </w:rPr>
              <w:t>Unexercised</w:t>
            </w:r>
          </w:p>
        </w:tc>
        <w:tc>
          <w:tcPr>
            <w:tcW w:w="620" w:type="dxa"/>
            <w:vAlign w:val="bottom"/>
            <w:shd w:val="clear" w:color="auto" w:fill="00548B"/>
          </w:tcPr>
          <w:p>
            <w:pPr>
              <w:jc w:val="center"/>
              <w:spacing w:after="0" w:line="133" w:lineRule="exact"/>
              <w:rPr>
                <w:sz w:val="20"/>
                <w:szCs w:val="20"/>
                <w:color w:val="auto"/>
              </w:rPr>
            </w:pPr>
            <w:r>
              <w:rPr>
                <w:rFonts w:ascii="Arial" w:cs="Arial" w:eastAsia="Arial" w:hAnsi="Arial"/>
                <w:sz w:val="12"/>
                <w:szCs w:val="12"/>
                <w:b w:val="1"/>
                <w:bCs w:val="1"/>
                <w:color w:val="E5E5E5"/>
              </w:rPr>
              <w:t>Exercise</w:t>
            </w:r>
          </w:p>
        </w:tc>
        <w:tc>
          <w:tcPr>
            <w:tcW w:w="960" w:type="dxa"/>
            <w:vAlign w:val="bottom"/>
            <w:shd w:val="clear" w:color="auto" w:fill="00548B"/>
          </w:tcPr>
          <w:p>
            <w:pPr>
              <w:jc w:val="center"/>
              <w:ind w:right="170"/>
              <w:spacing w:after="0" w:line="133" w:lineRule="exact"/>
              <w:rPr>
                <w:sz w:val="20"/>
                <w:szCs w:val="20"/>
                <w:color w:val="auto"/>
              </w:rPr>
            </w:pPr>
            <w:r>
              <w:rPr>
                <w:rFonts w:ascii="Arial" w:cs="Arial" w:eastAsia="Arial" w:hAnsi="Arial"/>
                <w:sz w:val="12"/>
                <w:szCs w:val="12"/>
                <w:b w:val="1"/>
                <w:bCs w:val="1"/>
                <w:color w:val="E5E5E5"/>
              </w:rPr>
              <w:t>Option</w:t>
            </w:r>
          </w:p>
        </w:tc>
        <w:tc>
          <w:tcPr>
            <w:tcW w:w="900" w:type="dxa"/>
            <w:vAlign w:val="bottom"/>
            <w:shd w:val="clear" w:color="auto" w:fill="00548B"/>
          </w:tcPr>
          <w:p>
            <w:pPr>
              <w:jc w:val="center"/>
              <w:spacing w:after="0" w:line="133" w:lineRule="exact"/>
              <w:rPr>
                <w:sz w:val="20"/>
                <w:szCs w:val="20"/>
                <w:color w:val="auto"/>
              </w:rPr>
            </w:pPr>
            <w:r>
              <w:rPr>
                <w:rFonts w:ascii="Arial" w:cs="Arial" w:eastAsia="Arial" w:hAnsi="Arial"/>
                <w:sz w:val="12"/>
                <w:szCs w:val="12"/>
                <w:b w:val="1"/>
                <w:bCs w:val="1"/>
                <w:color w:val="E5E5E5"/>
              </w:rPr>
              <w:t>Stock that</w:t>
            </w:r>
          </w:p>
        </w:tc>
        <w:tc>
          <w:tcPr>
            <w:tcW w:w="880" w:type="dxa"/>
            <w:vAlign w:val="bottom"/>
            <w:shd w:val="clear" w:color="auto" w:fill="00548B"/>
          </w:tcPr>
          <w:p>
            <w:pPr>
              <w:jc w:val="center"/>
              <w:spacing w:after="0" w:line="133" w:lineRule="exact"/>
              <w:rPr>
                <w:sz w:val="20"/>
                <w:szCs w:val="20"/>
                <w:color w:val="auto"/>
              </w:rPr>
            </w:pPr>
            <w:r>
              <w:rPr>
                <w:rFonts w:ascii="Arial" w:cs="Arial" w:eastAsia="Arial" w:hAnsi="Arial"/>
                <w:sz w:val="12"/>
                <w:szCs w:val="12"/>
                <w:b w:val="1"/>
                <w:bCs w:val="1"/>
                <w:color w:val="E5E5E5"/>
              </w:rPr>
              <w:t>Stock that</w:t>
            </w:r>
          </w:p>
        </w:tc>
        <w:tc>
          <w:tcPr>
            <w:tcW w:w="1160" w:type="dxa"/>
            <w:vAlign w:val="bottom"/>
            <w:shd w:val="clear" w:color="auto" w:fill="00548B"/>
          </w:tcPr>
          <w:p>
            <w:pPr>
              <w:jc w:val="center"/>
              <w:spacing w:after="0" w:line="133" w:lineRule="exact"/>
              <w:rPr>
                <w:sz w:val="20"/>
                <w:szCs w:val="20"/>
                <w:color w:val="auto"/>
              </w:rPr>
            </w:pPr>
            <w:r>
              <w:rPr>
                <w:rFonts w:ascii="Arial" w:cs="Arial" w:eastAsia="Arial" w:hAnsi="Arial"/>
                <w:sz w:val="12"/>
                <w:szCs w:val="12"/>
                <w:b w:val="1"/>
                <w:bCs w:val="1"/>
                <w:color w:val="E5E5E5"/>
              </w:rPr>
              <w:t>Rights that Have</w:t>
            </w:r>
          </w:p>
        </w:tc>
        <w:tc>
          <w:tcPr>
            <w:tcW w:w="1480" w:type="dxa"/>
            <w:vAlign w:val="bottom"/>
            <w:shd w:val="clear" w:color="auto" w:fill="00548B"/>
          </w:tcPr>
          <w:p>
            <w:pPr>
              <w:jc w:val="center"/>
              <w:spacing w:after="0" w:line="133" w:lineRule="exact"/>
              <w:rPr>
                <w:sz w:val="20"/>
                <w:szCs w:val="20"/>
                <w:color w:val="auto"/>
              </w:rPr>
            </w:pPr>
            <w:r>
              <w:rPr>
                <w:rFonts w:ascii="Arial" w:cs="Arial" w:eastAsia="Arial" w:hAnsi="Arial"/>
                <w:sz w:val="12"/>
                <w:szCs w:val="12"/>
                <w:b w:val="1"/>
                <w:bCs w:val="1"/>
                <w:color w:val="E5E5E5"/>
              </w:rPr>
              <w:t>Unearned Shares, Units</w:t>
            </w:r>
          </w:p>
        </w:tc>
        <w:tc>
          <w:tcPr>
            <w:tcW w:w="0" w:type="dxa"/>
            <w:vAlign w:val="bottom"/>
          </w:tcPr>
          <w:p>
            <w:pPr>
              <w:spacing w:after="0"/>
              <w:rPr>
                <w:sz w:val="1"/>
                <w:szCs w:val="1"/>
                <w:color w:val="auto"/>
              </w:rPr>
            </w:pPr>
          </w:p>
        </w:tc>
      </w:tr>
      <w:tr>
        <w:trPr>
          <w:trHeight w:val="133"/>
        </w:trPr>
        <w:tc>
          <w:tcPr>
            <w:tcW w:w="1720" w:type="dxa"/>
            <w:vAlign w:val="bottom"/>
            <w:shd w:val="clear" w:color="auto" w:fill="00548B"/>
          </w:tcPr>
          <w:p>
            <w:pPr>
              <w:spacing w:after="0"/>
              <w:rPr>
                <w:sz w:val="11"/>
                <w:szCs w:val="11"/>
                <w:color w:val="auto"/>
              </w:rPr>
            </w:pPr>
          </w:p>
        </w:tc>
        <w:tc>
          <w:tcPr>
            <w:tcW w:w="740" w:type="dxa"/>
            <w:vAlign w:val="bottom"/>
            <w:shd w:val="clear" w:color="auto" w:fill="00548B"/>
          </w:tcPr>
          <w:p>
            <w:pPr>
              <w:jc w:val="right"/>
              <w:ind w:right="90"/>
              <w:spacing w:after="0" w:line="133" w:lineRule="exact"/>
              <w:rPr>
                <w:sz w:val="20"/>
                <w:szCs w:val="20"/>
                <w:color w:val="auto"/>
              </w:rPr>
            </w:pPr>
            <w:r>
              <w:rPr>
                <w:rFonts w:ascii="Arial" w:cs="Arial" w:eastAsia="Arial" w:hAnsi="Arial"/>
                <w:sz w:val="12"/>
                <w:szCs w:val="12"/>
                <w:b w:val="1"/>
                <w:bCs w:val="1"/>
                <w:color w:val="E5E5E5"/>
              </w:rPr>
              <w:t>Grant</w:t>
            </w:r>
          </w:p>
        </w:tc>
        <w:tc>
          <w:tcPr>
            <w:tcW w:w="1240" w:type="dxa"/>
            <w:vAlign w:val="bottom"/>
            <w:shd w:val="clear" w:color="auto" w:fill="00548B"/>
          </w:tcPr>
          <w:p>
            <w:pPr>
              <w:jc w:val="center"/>
              <w:ind w:left="71"/>
              <w:spacing w:after="0" w:line="133" w:lineRule="exact"/>
              <w:rPr>
                <w:sz w:val="20"/>
                <w:szCs w:val="20"/>
                <w:color w:val="auto"/>
              </w:rPr>
            </w:pPr>
            <w:r>
              <w:rPr>
                <w:rFonts w:ascii="Arial" w:cs="Arial" w:eastAsia="Arial" w:hAnsi="Arial"/>
                <w:sz w:val="12"/>
                <w:szCs w:val="12"/>
                <w:b w:val="1"/>
                <w:bCs w:val="1"/>
                <w:color w:val="E5E5E5"/>
              </w:rPr>
              <w:t>Options (#)</w:t>
            </w:r>
          </w:p>
        </w:tc>
        <w:tc>
          <w:tcPr>
            <w:tcW w:w="1160" w:type="dxa"/>
            <w:vAlign w:val="bottom"/>
            <w:shd w:val="clear" w:color="auto" w:fill="00548B"/>
          </w:tcPr>
          <w:p>
            <w:pPr>
              <w:jc w:val="center"/>
              <w:ind w:left="11"/>
              <w:spacing w:after="0" w:line="133" w:lineRule="exact"/>
              <w:rPr>
                <w:sz w:val="20"/>
                <w:szCs w:val="20"/>
                <w:color w:val="auto"/>
              </w:rPr>
            </w:pPr>
            <w:r>
              <w:rPr>
                <w:rFonts w:ascii="Arial" w:cs="Arial" w:eastAsia="Arial" w:hAnsi="Arial"/>
                <w:sz w:val="12"/>
                <w:szCs w:val="12"/>
                <w:b w:val="1"/>
                <w:bCs w:val="1"/>
                <w:color w:val="E5E5E5"/>
              </w:rPr>
              <w:t>Options (#)</w:t>
            </w:r>
          </w:p>
        </w:tc>
        <w:tc>
          <w:tcPr>
            <w:tcW w:w="620" w:type="dxa"/>
            <w:vAlign w:val="bottom"/>
            <w:shd w:val="clear" w:color="auto" w:fill="00548B"/>
          </w:tcPr>
          <w:p>
            <w:pPr>
              <w:jc w:val="center"/>
              <w:spacing w:after="0" w:line="133" w:lineRule="exact"/>
              <w:rPr>
                <w:sz w:val="20"/>
                <w:szCs w:val="20"/>
                <w:color w:val="auto"/>
              </w:rPr>
            </w:pPr>
            <w:r>
              <w:rPr>
                <w:rFonts w:ascii="Arial" w:cs="Arial" w:eastAsia="Arial" w:hAnsi="Arial"/>
                <w:sz w:val="12"/>
                <w:szCs w:val="12"/>
                <w:b w:val="1"/>
                <w:bCs w:val="1"/>
                <w:color w:val="E5E5E5"/>
              </w:rPr>
              <w:t>Price</w:t>
            </w:r>
          </w:p>
        </w:tc>
        <w:tc>
          <w:tcPr>
            <w:tcW w:w="960" w:type="dxa"/>
            <w:vAlign w:val="bottom"/>
            <w:shd w:val="clear" w:color="auto" w:fill="00548B"/>
          </w:tcPr>
          <w:p>
            <w:pPr>
              <w:jc w:val="center"/>
              <w:ind w:right="150"/>
              <w:spacing w:after="0" w:line="133" w:lineRule="exact"/>
              <w:rPr>
                <w:sz w:val="20"/>
                <w:szCs w:val="20"/>
                <w:color w:val="auto"/>
              </w:rPr>
            </w:pPr>
            <w:r>
              <w:rPr>
                <w:rFonts w:ascii="Arial" w:cs="Arial" w:eastAsia="Arial" w:hAnsi="Arial"/>
                <w:sz w:val="12"/>
                <w:szCs w:val="12"/>
                <w:b w:val="1"/>
                <w:bCs w:val="1"/>
                <w:color w:val="E5E5E5"/>
              </w:rPr>
              <w:t>Expiration</w:t>
            </w:r>
          </w:p>
        </w:tc>
        <w:tc>
          <w:tcPr>
            <w:tcW w:w="900" w:type="dxa"/>
            <w:vAlign w:val="bottom"/>
            <w:shd w:val="clear" w:color="auto" w:fill="00548B"/>
          </w:tcPr>
          <w:p>
            <w:pPr>
              <w:jc w:val="center"/>
              <w:spacing w:after="0" w:line="133" w:lineRule="exact"/>
              <w:rPr>
                <w:sz w:val="20"/>
                <w:szCs w:val="20"/>
                <w:color w:val="auto"/>
              </w:rPr>
            </w:pPr>
            <w:r>
              <w:rPr>
                <w:rFonts w:ascii="Arial" w:cs="Arial" w:eastAsia="Arial" w:hAnsi="Arial"/>
                <w:sz w:val="12"/>
                <w:szCs w:val="12"/>
                <w:b w:val="1"/>
                <w:bCs w:val="1"/>
                <w:color w:val="E5E5E5"/>
              </w:rPr>
              <w:t>Have Not</w:t>
            </w:r>
          </w:p>
        </w:tc>
        <w:tc>
          <w:tcPr>
            <w:tcW w:w="880" w:type="dxa"/>
            <w:vAlign w:val="bottom"/>
            <w:shd w:val="clear" w:color="auto" w:fill="00548B"/>
          </w:tcPr>
          <w:p>
            <w:pPr>
              <w:jc w:val="center"/>
              <w:spacing w:after="0" w:line="133" w:lineRule="exact"/>
              <w:rPr>
                <w:sz w:val="20"/>
                <w:szCs w:val="20"/>
                <w:color w:val="auto"/>
              </w:rPr>
            </w:pPr>
            <w:r>
              <w:rPr>
                <w:rFonts w:ascii="Arial" w:cs="Arial" w:eastAsia="Arial" w:hAnsi="Arial"/>
                <w:sz w:val="12"/>
                <w:szCs w:val="12"/>
                <w:b w:val="1"/>
                <w:bCs w:val="1"/>
                <w:color w:val="E5E5E5"/>
              </w:rPr>
              <w:t>Have Not</w:t>
            </w:r>
          </w:p>
        </w:tc>
        <w:tc>
          <w:tcPr>
            <w:tcW w:w="1160" w:type="dxa"/>
            <w:vAlign w:val="bottom"/>
            <w:shd w:val="clear" w:color="auto" w:fill="00548B"/>
          </w:tcPr>
          <w:p>
            <w:pPr>
              <w:jc w:val="center"/>
              <w:spacing w:after="0" w:line="133" w:lineRule="exact"/>
              <w:rPr>
                <w:sz w:val="20"/>
                <w:szCs w:val="20"/>
                <w:color w:val="auto"/>
              </w:rPr>
            </w:pPr>
            <w:r>
              <w:rPr>
                <w:rFonts w:ascii="Arial" w:cs="Arial" w:eastAsia="Arial" w:hAnsi="Arial"/>
                <w:sz w:val="12"/>
                <w:szCs w:val="12"/>
                <w:b w:val="1"/>
                <w:bCs w:val="1"/>
                <w:color w:val="E5E5E5"/>
              </w:rPr>
              <w:t>Not Yet Vested</w:t>
            </w:r>
          </w:p>
        </w:tc>
        <w:tc>
          <w:tcPr>
            <w:tcW w:w="1480" w:type="dxa"/>
            <w:vAlign w:val="bottom"/>
            <w:shd w:val="clear" w:color="auto" w:fill="00548B"/>
          </w:tcPr>
          <w:p>
            <w:pPr>
              <w:jc w:val="center"/>
              <w:spacing w:after="0" w:line="133" w:lineRule="exact"/>
              <w:rPr>
                <w:sz w:val="20"/>
                <w:szCs w:val="20"/>
                <w:color w:val="auto"/>
              </w:rPr>
            </w:pPr>
            <w:r>
              <w:rPr>
                <w:rFonts w:ascii="Arial" w:cs="Arial" w:eastAsia="Arial" w:hAnsi="Arial"/>
                <w:sz w:val="12"/>
                <w:szCs w:val="12"/>
                <w:b w:val="1"/>
                <w:bCs w:val="1"/>
                <w:color w:val="E5E5E5"/>
              </w:rPr>
              <w:t>or Other Rights that</w:t>
            </w:r>
          </w:p>
        </w:tc>
        <w:tc>
          <w:tcPr>
            <w:tcW w:w="0" w:type="dxa"/>
            <w:vAlign w:val="bottom"/>
          </w:tcPr>
          <w:p>
            <w:pPr>
              <w:spacing w:after="0"/>
              <w:rPr>
                <w:sz w:val="1"/>
                <w:szCs w:val="1"/>
                <w:color w:val="auto"/>
              </w:rPr>
            </w:pPr>
          </w:p>
        </w:tc>
      </w:tr>
      <w:tr>
        <w:trPr>
          <w:trHeight w:val="160"/>
        </w:trPr>
        <w:tc>
          <w:tcPr>
            <w:tcW w:w="1720" w:type="dxa"/>
            <w:vAlign w:val="bottom"/>
            <w:shd w:val="clear" w:color="auto" w:fill="00548B"/>
          </w:tcPr>
          <w:p>
            <w:pPr>
              <w:spacing w:after="0"/>
              <w:rPr>
                <w:sz w:val="20"/>
                <w:szCs w:val="20"/>
                <w:color w:val="auto"/>
              </w:rPr>
            </w:pPr>
            <w:r>
              <w:rPr>
                <w:rFonts w:ascii="Arial" w:cs="Arial" w:eastAsia="Arial" w:hAnsi="Arial"/>
                <w:sz w:val="12"/>
                <w:szCs w:val="12"/>
                <w:b w:val="1"/>
                <w:bCs w:val="1"/>
                <w:color w:val="D8D8D8"/>
              </w:rPr>
              <w:t>Name</w:t>
            </w:r>
          </w:p>
        </w:tc>
        <w:tc>
          <w:tcPr>
            <w:tcW w:w="740" w:type="dxa"/>
            <w:vAlign w:val="bottom"/>
            <w:shd w:val="clear" w:color="auto" w:fill="00548B"/>
          </w:tcPr>
          <w:p>
            <w:pPr>
              <w:jc w:val="right"/>
              <w:ind w:right="110"/>
              <w:spacing w:after="0"/>
              <w:rPr>
                <w:sz w:val="20"/>
                <w:szCs w:val="20"/>
                <w:color w:val="auto"/>
              </w:rPr>
            </w:pPr>
            <w:r>
              <w:rPr>
                <w:rFonts w:ascii="Arial" w:cs="Arial" w:eastAsia="Arial" w:hAnsi="Arial"/>
                <w:sz w:val="12"/>
                <w:szCs w:val="12"/>
                <w:b w:val="1"/>
                <w:bCs w:val="1"/>
                <w:color w:val="E5E5E5"/>
              </w:rPr>
              <w:t>Date</w:t>
            </w:r>
          </w:p>
        </w:tc>
        <w:tc>
          <w:tcPr>
            <w:tcW w:w="1240" w:type="dxa"/>
            <w:vAlign w:val="bottom"/>
            <w:shd w:val="clear" w:color="auto" w:fill="00548B"/>
          </w:tcPr>
          <w:p>
            <w:pPr>
              <w:jc w:val="center"/>
              <w:ind w:left="71"/>
              <w:spacing w:after="0"/>
              <w:rPr>
                <w:sz w:val="20"/>
                <w:szCs w:val="20"/>
                <w:color w:val="auto"/>
              </w:rPr>
            </w:pPr>
            <w:r>
              <w:rPr>
                <w:rFonts w:ascii="Arial" w:cs="Arial" w:eastAsia="Arial" w:hAnsi="Arial"/>
                <w:sz w:val="12"/>
                <w:szCs w:val="12"/>
                <w:b w:val="1"/>
                <w:bCs w:val="1"/>
                <w:color w:val="E5E5E5"/>
              </w:rPr>
              <w:t>Exercisable</w:t>
            </w:r>
          </w:p>
        </w:tc>
        <w:tc>
          <w:tcPr>
            <w:tcW w:w="1160" w:type="dxa"/>
            <w:vAlign w:val="bottom"/>
            <w:shd w:val="clear" w:color="auto" w:fill="00548B"/>
          </w:tcPr>
          <w:p>
            <w:pPr>
              <w:jc w:val="center"/>
              <w:ind w:left="11"/>
              <w:spacing w:after="0"/>
              <w:rPr>
                <w:sz w:val="20"/>
                <w:szCs w:val="20"/>
                <w:color w:val="auto"/>
              </w:rPr>
            </w:pPr>
            <w:r>
              <w:rPr>
                <w:rFonts w:ascii="Arial" w:cs="Arial" w:eastAsia="Arial" w:hAnsi="Arial"/>
                <w:sz w:val="12"/>
                <w:szCs w:val="12"/>
                <w:b w:val="1"/>
                <w:bCs w:val="1"/>
                <w:color w:val="E5E5E5"/>
              </w:rPr>
              <w:t>Unexercisable</w:t>
            </w:r>
          </w:p>
        </w:tc>
        <w:tc>
          <w:tcPr>
            <w:tcW w:w="620" w:type="dxa"/>
            <w:vAlign w:val="bottom"/>
            <w:shd w:val="clear" w:color="auto" w:fill="00548B"/>
          </w:tcPr>
          <w:p>
            <w:pPr>
              <w:jc w:val="center"/>
              <w:spacing w:after="0"/>
              <w:rPr>
                <w:sz w:val="20"/>
                <w:szCs w:val="20"/>
                <w:color w:val="auto"/>
              </w:rPr>
            </w:pPr>
            <w:r>
              <w:rPr>
                <w:rFonts w:ascii="Arial" w:cs="Arial" w:eastAsia="Arial" w:hAnsi="Arial"/>
                <w:sz w:val="12"/>
                <w:szCs w:val="12"/>
                <w:b w:val="1"/>
                <w:bCs w:val="1"/>
                <w:color w:val="E5E5E5"/>
              </w:rPr>
              <w:t>($)</w:t>
            </w:r>
          </w:p>
        </w:tc>
        <w:tc>
          <w:tcPr>
            <w:tcW w:w="960" w:type="dxa"/>
            <w:vAlign w:val="bottom"/>
            <w:shd w:val="clear" w:color="auto" w:fill="00548B"/>
          </w:tcPr>
          <w:p>
            <w:pPr>
              <w:jc w:val="center"/>
              <w:ind w:right="150"/>
              <w:spacing w:after="0"/>
              <w:rPr>
                <w:sz w:val="20"/>
                <w:szCs w:val="20"/>
                <w:color w:val="auto"/>
              </w:rPr>
            </w:pPr>
            <w:r>
              <w:rPr>
                <w:rFonts w:ascii="Arial" w:cs="Arial" w:eastAsia="Arial" w:hAnsi="Arial"/>
                <w:sz w:val="12"/>
                <w:szCs w:val="12"/>
                <w:b w:val="1"/>
                <w:bCs w:val="1"/>
                <w:color w:val="E5E5E5"/>
                <w:w w:val="99"/>
              </w:rPr>
              <w:t>Date</w:t>
            </w:r>
          </w:p>
        </w:tc>
        <w:tc>
          <w:tcPr>
            <w:tcW w:w="900" w:type="dxa"/>
            <w:vAlign w:val="bottom"/>
            <w:shd w:val="clear" w:color="auto" w:fill="00548B"/>
          </w:tcPr>
          <w:p>
            <w:pPr>
              <w:jc w:val="center"/>
              <w:spacing w:after="0"/>
              <w:rPr>
                <w:sz w:val="20"/>
                <w:szCs w:val="20"/>
                <w:color w:val="auto"/>
              </w:rPr>
            </w:pPr>
            <w:r>
              <w:rPr>
                <w:rFonts w:ascii="Arial" w:cs="Arial" w:eastAsia="Arial" w:hAnsi="Arial"/>
                <w:sz w:val="12"/>
                <w:szCs w:val="12"/>
                <w:b w:val="1"/>
                <w:bCs w:val="1"/>
                <w:color w:val="E5E5E5"/>
              </w:rPr>
              <w:t>Vested (#)</w:t>
            </w:r>
          </w:p>
        </w:tc>
        <w:tc>
          <w:tcPr>
            <w:tcW w:w="880" w:type="dxa"/>
            <w:vAlign w:val="bottom"/>
            <w:shd w:val="clear" w:color="auto" w:fill="00548B"/>
          </w:tcPr>
          <w:p>
            <w:pPr>
              <w:jc w:val="center"/>
              <w:spacing w:after="0"/>
              <w:rPr>
                <w:sz w:val="20"/>
                <w:szCs w:val="20"/>
                <w:color w:val="auto"/>
              </w:rPr>
            </w:pPr>
            <w:r>
              <w:rPr>
                <w:rFonts w:ascii="Arial" w:cs="Arial" w:eastAsia="Arial" w:hAnsi="Arial"/>
                <w:sz w:val="12"/>
                <w:szCs w:val="12"/>
                <w:b w:val="1"/>
                <w:bCs w:val="1"/>
                <w:color w:val="E5E5E5"/>
              </w:rPr>
              <w:t>Vested ($)</w:t>
            </w:r>
          </w:p>
        </w:tc>
        <w:tc>
          <w:tcPr>
            <w:tcW w:w="1160" w:type="dxa"/>
            <w:vAlign w:val="bottom"/>
            <w:shd w:val="clear" w:color="auto" w:fill="00548B"/>
          </w:tcPr>
          <w:p>
            <w:pPr>
              <w:jc w:val="center"/>
              <w:spacing w:after="0"/>
              <w:rPr>
                <w:sz w:val="20"/>
                <w:szCs w:val="20"/>
                <w:color w:val="auto"/>
              </w:rPr>
            </w:pPr>
            <w:r>
              <w:rPr>
                <w:rFonts w:ascii="Arial" w:cs="Arial" w:eastAsia="Arial" w:hAnsi="Arial"/>
                <w:sz w:val="12"/>
                <w:szCs w:val="12"/>
                <w:b w:val="1"/>
                <w:bCs w:val="1"/>
                <w:color w:val="E5E5E5"/>
              </w:rPr>
              <w:t>(#)</w:t>
            </w:r>
          </w:p>
        </w:tc>
        <w:tc>
          <w:tcPr>
            <w:tcW w:w="1480" w:type="dxa"/>
            <w:vAlign w:val="bottom"/>
            <w:shd w:val="clear" w:color="auto" w:fill="00548B"/>
          </w:tcPr>
          <w:p>
            <w:pPr>
              <w:jc w:val="center"/>
              <w:spacing w:after="0"/>
              <w:rPr>
                <w:sz w:val="20"/>
                <w:szCs w:val="20"/>
                <w:color w:val="auto"/>
              </w:rPr>
            </w:pPr>
            <w:r>
              <w:rPr>
                <w:rFonts w:ascii="Arial" w:cs="Arial" w:eastAsia="Arial" w:hAnsi="Arial"/>
                <w:sz w:val="12"/>
                <w:szCs w:val="12"/>
                <w:b w:val="1"/>
                <w:bCs w:val="1"/>
                <w:color w:val="E5E5E5"/>
              </w:rPr>
              <w:t>Have Not Yet Vested ($)</w:t>
            </w:r>
          </w:p>
        </w:tc>
        <w:tc>
          <w:tcPr>
            <w:tcW w:w="0" w:type="dxa"/>
            <w:vAlign w:val="bottom"/>
          </w:tcPr>
          <w:p>
            <w:pPr>
              <w:spacing w:after="0"/>
              <w:rPr>
                <w:sz w:val="1"/>
                <w:szCs w:val="1"/>
                <w:color w:val="auto"/>
              </w:rPr>
            </w:pPr>
          </w:p>
        </w:tc>
      </w:tr>
      <w:tr>
        <w:trPr>
          <w:trHeight w:val="164"/>
        </w:trPr>
        <w:tc>
          <w:tcPr>
            <w:tcW w:w="1720" w:type="dxa"/>
            <w:vAlign w:val="bottom"/>
          </w:tcPr>
          <w:p>
            <w:pPr>
              <w:spacing w:after="0"/>
              <w:rPr>
                <w:sz w:val="20"/>
                <w:szCs w:val="20"/>
                <w:color w:val="auto"/>
              </w:rPr>
            </w:pPr>
            <w:r>
              <w:rPr>
                <w:rFonts w:ascii="Arial" w:cs="Arial" w:eastAsia="Arial" w:hAnsi="Arial"/>
                <w:sz w:val="14"/>
                <w:szCs w:val="14"/>
                <w:color w:val="auto"/>
              </w:rPr>
              <w:t>James H. Roth</w:t>
            </w:r>
          </w:p>
        </w:tc>
        <w:tc>
          <w:tcPr>
            <w:tcW w:w="740" w:type="dxa"/>
            <w:vAlign w:val="bottom"/>
          </w:tcPr>
          <w:p>
            <w:pPr>
              <w:jc w:val="right"/>
              <w:spacing w:after="0"/>
              <w:rPr>
                <w:sz w:val="20"/>
                <w:szCs w:val="20"/>
                <w:color w:val="auto"/>
              </w:rPr>
            </w:pPr>
            <w:r>
              <w:rPr>
                <w:rFonts w:ascii="Arial" w:cs="Arial" w:eastAsia="Arial" w:hAnsi="Arial"/>
                <w:sz w:val="14"/>
                <w:szCs w:val="14"/>
                <w:color w:val="auto"/>
              </w:rPr>
              <w:t>3/1/2012</w:t>
            </w:r>
          </w:p>
        </w:tc>
        <w:tc>
          <w:tcPr>
            <w:tcW w:w="1240" w:type="dxa"/>
            <w:vAlign w:val="bottom"/>
          </w:tcPr>
          <w:p>
            <w:pPr>
              <w:jc w:val="right"/>
              <w:ind w:right="251"/>
              <w:spacing w:after="0"/>
              <w:rPr>
                <w:sz w:val="20"/>
                <w:szCs w:val="20"/>
                <w:color w:val="auto"/>
              </w:rPr>
            </w:pPr>
            <w:r>
              <w:rPr>
                <w:rFonts w:ascii="Arial" w:cs="Arial" w:eastAsia="Arial" w:hAnsi="Arial"/>
                <w:sz w:val="14"/>
                <w:szCs w:val="14"/>
                <w:color w:val="auto"/>
              </w:rPr>
              <w:t>4,661</w:t>
            </w:r>
          </w:p>
        </w:tc>
        <w:tc>
          <w:tcPr>
            <w:tcW w:w="1160" w:type="dxa"/>
            <w:vAlign w:val="bottom"/>
          </w:tcPr>
          <w:p>
            <w:pPr>
              <w:jc w:val="center"/>
              <w:ind w:left="71"/>
              <w:spacing w:after="0"/>
              <w:rPr>
                <w:sz w:val="20"/>
                <w:szCs w:val="20"/>
                <w:color w:val="auto"/>
              </w:rPr>
            </w:pPr>
            <w:r>
              <w:rPr>
                <w:rFonts w:ascii="Arial" w:cs="Arial" w:eastAsia="Arial" w:hAnsi="Arial"/>
                <w:sz w:val="14"/>
                <w:szCs w:val="14"/>
                <w:color w:val="auto"/>
                <w:w w:val="99"/>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38.18</w:t>
            </w:r>
          </w:p>
        </w:tc>
        <w:tc>
          <w:tcPr>
            <w:tcW w:w="960" w:type="dxa"/>
            <w:vAlign w:val="bottom"/>
          </w:tcPr>
          <w:p>
            <w:pPr>
              <w:jc w:val="center"/>
              <w:ind w:right="70"/>
              <w:spacing w:after="0"/>
              <w:rPr>
                <w:sz w:val="20"/>
                <w:szCs w:val="20"/>
                <w:color w:val="auto"/>
              </w:rPr>
            </w:pPr>
            <w:r>
              <w:rPr>
                <w:rFonts w:ascii="Arial" w:cs="Arial" w:eastAsia="Arial" w:hAnsi="Arial"/>
                <w:sz w:val="14"/>
                <w:szCs w:val="14"/>
                <w:color w:val="auto"/>
                <w:w w:val="99"/>
              </w:rPr>
              <w:t>3/1/2022</w:t>
            </w:r>
          </w:p>
        </w:tc>
        <w:tc>
          <w:tcPr>
            <w:tcW w:w="900" w:type="dxa"/>
            <w:vAlign w:val="bottom"/>
          </w:tcPr>
          <w:p>
            <w:pPr>
              <w:jc w:val="right"/>
              <w:ind w:right="371"/>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91"/>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351"/>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29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172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3/1/2013</w:t>
            </w:r>
          </w:p>
        </w:tc>
        <w:tc>
          <w:tcPr>
            <w:tcW w:w="1240" w:type="dxa"/>
            <w:vAlign w:val="bottom"/>
          </w:tcPr>
          <w:p>
            <w:pPr>
              <w:jc w:val="right"/>
              <w:ind w:right="251"/>
              <w:spacing w:after="0" w:line="159" w:lineRule="exact"/>
              <w:rPr>
                <w:sz w:val="20"/>
                <w:szCs w:val="20"/>
                <w:color w:val="auto"/>
              </w:rPr>
            </w:pPr>
            <w:r>
              <w:rPr>
                <w:rFonts w:ascii="Arial" w:cs="Arial" w:eastAsia="Arial" w:hAnsi="Arial"/>
                <w:sz w:val="14"/>
                <w:szCs w:val="14"/>
                <w:color w:val="auto"/>
              </w:rPr>
              <w:t>24,054</w:t>
            </w:r>
          </w:p>
        </w:tc>
        <w:tc>
          <w:tcPr>
            <w:tcW w:w="1160" w:type="dxa"/>
            <w:vAlign w:val="bottom"/>
          </w:tcPr>
          <w:p>
            <w:pPr>
              <w:jc w:val="center"/>
              <w:ind w:left="71"/>
              <w:spacing w:after="0" w:line="159" w:lineRule="exact"/>
              <w:rPr>
                <w:sz w:val="20"/>
                <w:szCs w:val="20"/>
                <w:color w:val="auto"/>
              </w:rPr>
            </w:pPr>
            <w:r>
              <w:rPr>
                <w:rFonts w:ascii="Arial" w:cs="Arial" w:eastAsia="Arial" w:hAnsi="Arial"/>
                <w:sz w:val="14"/>
                <w:szCs w:val="14"/>
                <w:color w:val="auto"/>
                <w:w w:val="99"/>
              </w:rPr>
              <w:t>—</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39.19</w:t>
            </w:r>
          </w:p>
        </w:tc>
        <w:tc>
          <w:tcPr>
            <w:tcW w:w="960" w:type="dxa"/>
            <w:vAlign w:val="bottom"/>
          </w:tcPr>
          <w:p>
            <w:pPr>
              <w:jc w:val="center"/>
              <w:ind w:right="70"/>
              <w:spacing w:after="0" w:line="159" w:lineRule="exact"/>
              <w:rPr>
                <w:sz w:val="20"/>
                <w:szCs w:val="20"/>
                <w:color w:val="auto"/>
              </w:rPr>
            </w:pPr>
            <w:r>
              <w:rPr>
                <w:rFonts w:ascii="Arial" w:cs="Arial" w:eastAsia="Arial" w:hAnsi="Arial"/>
                <w:sz w:val="14"/>
                <w:szCs w:val="14"/>
                <w:color w:val="auto"/>
                <w:w w:val="99"/>
              </w:rPr>
              <w:t>3/1/2023</w:t>
            </w:r>
          </w:p>
        </w:tc>
        <w:tc>
          <w:tcPr>
            <w:tcW w:w="900" w:type="dxa"/>
            <w:vAlign w:val="bottom"/>
          </w:tcPr>
          <w:p>
            <w:pPr>
              <w:jc w:val="right"/>
              <w:ind w:right="371"/>
              <w:spacing w:after="0" w:line="15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191"/>
              <w:spacing w:after="0" w:line="159" w:lineRule="exact"/>
              <w:rPr>
                <w:sz w:val="20"/>
                <w:szCs w:val="20"/>
                <w:color w:val="auto"/>
              </w:rPr>
            </w:pPr>
            <w:r>
              <w:rPr>
                <w:rFonts w:ascii="Arial" w:cs="Arial" w:eastAsia="Arial" w:hAnsi="Arial"/>
                <w:sz w:val="14"/>
                <w:szCs w:val="14"/>
                <w:color w:val="auto"/>
              </w:rPr>
              <w:t>—</w:t>
            </w:r>
          </w:p>
        </w:tc>
        <w:tc>
          <w:tcPr>
            <w:tcW w:w="1160" w:type="dxa"/>
            <w:vAlign w:val="bottom"/>
          </w:tcPr>
          <w:p>
            <w:pPr>
              <w:jc w:val="right"/>
              <w:ind w:right="351"/>
              <w:spacing w:after="0" w:line="159" w:lineRule="exact"/>
              <w:rPr>
                <w:sz w:val="20"/>
                <w:szCs w:val="20"/>
                <w:color w:val="auto"/>
              </w:rPr>
            </w:pPr>
            <w:r>
              <w:rPr>
                <w:rFonts w:ascii="Arial" w:cs="Arial" w:eastAsia="Arial" w:hAnsi="Arial"/>
                <w:sz w:val="14"/>
                <w:szCs w:val="14"/>
                <w:color w:val="auto"/>
              </w:rPr>
              <w:t>—</w:t>
            </w:r>
          </w:p>
        </w:tc>
        <w:tc>
          <w:tcPr>
            <w:tcW w:w="1480" w:type="dxa"/>
            <w:vAlign w:val="bottom"/>
          </w:tcPr>
          <w:p>
            <w:pPr>
              <w:jc w:val="right"/>
              <w:ind w:right="291"/>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172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3/1/2019</w:t>
            </w:r>
          </w:p>
        </w:tc>
        <w:tc>
          <w:tcPr>
            <w:tcW w:w="1240" w:type="dxa"/>
            <w:vAlign w:val="bottom"/>
          </w:tcPr>
          <w:p>
            <w:pPr>
              <w:jc w:val="center"/>
              <w:ind w:left="111"/>
              <w:spacing w:after="0" w:line="159" w:lineRule="exact"/>
              <w:rPr>
                <w:sz w:val="20"/>
                <w:szCs w:val="20"/>
                <w:color w:val="auto"/>
              </w:rPr>
            </w:pPr>
            <w:r>
              <w:rPr>
                <w:rFonts w:ascii="Arial" w:cs="Arial" w:eastAsia="Arial" w:hAnsi="Arial"/>
                <w:sz w:val="14"/>
                <w:szCs w:val="14"/>
                <w:color w:val="auto"/>
                <w:w w:val="99"/>
              </w:rPr>
              <w:t>—</w:t>
            </w:r>
          </w:p>
        </w:tc>
        <w:tc>
          <w:tcPr>
            <w:tcW w:w="1160" w:type="dxa"/>
            <w:vAlign w:val="bottom"/>
          </w:tcPr>
          <w:p>
            <w:pPr>
              <w:jc w:val="center"/>
              <w:ind w:left="71"/>
              <w:spacing w:after="0" w:line="159" w:lineRule="exact"/>
              <w:rPr>
                <w:sz w:val="20"/>
                <w:szCs w:val="20"/>
                <w:color w:val="auto"/>
              </w:rPr>
            </w:pPr>
            <w:r>
              <w:rPr>
                <w:rFonts w:ascii="Arial" w:cs="Arial" w:eastAsia="Arial" w:hAnsi="Arial"/>
                <w:sz w:val="14"/>
                <w:szCs w:val="14"/>
                <w:color w:val="auto"/>
                <w:w w:val="99"/>
              </w:rPr>
              <w:t>—</w:t>
            </w:r>
          </w:p>
        </w:tc>
        <w:tc>
          <w:tcPr>
            <w:tcW w:w="62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960" w:type="dxa"/>
            <w:vAlign w:val="bottom"/>
          </w:tcPr>
          <w:p>
            <w:pPr>
              <w:jc w:val="center"/>
              <w:ind w:right="110"/>
              <w:spacing w:after="0" w:line="159" w:lineRule="exact"/>
              <w:rPr>
                <w:sz w:val="20"/>
                <w:szCs w:val="20"/>
                <w:color w:val="auto"/>
              </w:rPr>
            </w:pPr>
            <w:r>
              <w:rPr>
                <w:rFonts w:ascii="Arial" w:cs="Arial" w:eastAsia="Arial" w:hAnsi="Arial"/>
                <w:sz w:val="14"/>
                <w:szCs w:val="14"/>
                <w:color w:val="auto"/>
                <w:w w:val="99"/>
              </w:rPr>
              <w:t>—</w:t>
            </w: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4,225 (1)</w:t>
            </w: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210,828</w:t>
            </w:r>
          </w:p>
        </w:tc>
        <w:tc>
          <w:tcPr>
            <w:tcW w:w="1160" w:type="dxa"/>
            <w:vAlign w:val="bottom"/>
          </w:tcPr>
          <w:p>
            <w:pPr>
              <w:jc w:val="right"/>
              <w:ind w:right="351"/>
              <w:spacing w:after="0" w:line="159" w:lineRule="exact"/>
              <w:rPr>
                <w:sz w:val="20"/>
                <w:szCs w:val="20"/>
                <w:color w:val="auto"/>
              </w:rPr>
            </w:pPr>
            <w:r>
              <w:rPr>
                <w:rFonts w:ascii="Arial" w:cs="Arial" w:eastAsia="Arial" w:hAnsi="Arial"/>
                <w:sz w:val="14"/>
                <w:szCs w:val="14"/>
                <w:color w:val="auto"/>
              </w:rPr>
              <w:t>—</w:t>
            </w:r>
          </w:p>
        </w:tc>
        <w:tc>
          <w:tcPr>
            <w:tcW w:w="1480" w:type="dxa"/>
            <w:vAlign w:val="bottom"/>
          </w:tcPr>
          <w:p>
            <w:pPr>
              <w:jc w:val="right"/>
              <w:ind w:right="291"/>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172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3/1/2019</w:t>
            </w:r>
          </w:p>
        </w:tc>
        <w:tc>
          <w:tcPr>
            <w:tcW w:w="1240" w:type="dxa"/>
            <w:vAlign w:val="bottom"/>
          </w:tcPr>
          <w:p>
            <w:pPr>
              <w:jc w:val="center"/>
              <w:ind w:left="111"/>
              <w:spacing w:after="0" w:line="159" w:lineRule="exact"/>
              <w:rPr>
                <w:sz w:val="20"/>
                <w:szCs w:val="20"/>
                <w:color w:val="auto"/>
              </w:rPr>
            </w:pPr>
            <w:r>
              <w:rPr>
                <w:rFonts w:ascii="Arial" w:cs="Arial" w:eastAsia="Arial" w:hAnsi="Arial"/>
                <w:sz w:val="14"/>
                <w:szCs w:val="14"/>
                <w:color w:val="auto"/>
                <w:w w:val="99"/>
              </w:rPr>
              <w:t>—</w:t>
            </w:r>
          </w:p>
        </w:tc>
        <w:tc>
          <w:tcPr>
            <w:tcW w:w="1160" w:type="dxa"/>
            <w:vAlign w:val="bottom"/>
          </w:tcPr>
          <w:p>
            <w:pPr>
              <w:jc w:val="center"/>
              <w:ind w:left="71"/>
              <w:spacing w:after="0" w:line="159" w:lineRule="exact"/>
              <w:rPr>
                <w:sz w:val="20"/>
                <w:szCs w:val="20"/>
                <w:color w:val="auto"/>
              </w:rPr>
            </w:pPr>
            <w:r>
              <w:rPr>
                <w:rFonts w:ascii="Arial" w:cs="Arial" w:eastAsia="Arial" w:hAnsi="Arial"/>
                <w:sz w:val="14"/>
                <w:szCs w:val="14"/>
                <w:color w:val="auto"/>
                <w:w w:val="99"/>
              </w:rPr>
              <w:t>—</w:t>
            </w:r>
          </w:p>
        </w:tc>
        <w:tc>
          <w:tcPr>
            <w:tcW w:w="62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960" w:type="dxa"/>
            <w:vAlign w:val="bottom"/>
          </w:tcPr>
          <w:p>
            <w:pPr>
              <w:jc w:val="center"/>
              <w:ind w:right="110"/>
              <w:spacing w:after="0" w:line="159" w:lineRule="exact"/>
              <w:rPr>
                <w:sz w:val="20"/>
                <w:szCs w:val="20"/>
                <w:color w:val="auto"/>
              </w:rPr>
            </w:pPr>
            <w:r>
              <w:rPr>
                <w:rFonts w:ascii="Arial" w:cs="Arial" w:eastAsia="Arial" w:hAnsi="Arial"/>
                <w:sz w:val="14"/>
                <w:szCs w:val="14"/>
                <w:color w:val="auto"/>
                <w:w w:val="99"/>
              </w:rPr>
              <w:t>—</w:t>
            </w:r>
          </w:p>
        </w:tc>
        <w:tc>
          <w:tcPr>
            <w:tcW w:w="900" w:type="dxa"/>
            <w:vAlign w:val="bottom"/>
          </w:tcPr>
          <w:p>
            <w:pPr>
              <w:jc w:val="right"/>
              <w:ind w:right="371"/>
              <w:spacing w:after="0" w:line="15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191"/>
              <w:spacing w:after="0" w:line="159" w:lineRule="exact"/>
              <w:rPr>
                <w:sz w:val="20"/>
                <w:szCs w:val="20"/>
                <w:color w:val="auto"/>
              </w:rPr>
            </w:pPr>
            <w:r>
              <w:rPr>
                <w:rFonts w:ascii="Arial" w:cs="Arial" w:eastAsia="Arial" w:hAnsi="Arial"/>
                <w:sz w:val="14"/>
                <w:szCs w:val="14"/>
                <w:color w:val="auto"/>
              </w:rPr>
              <w:t>—</w:t>
            </w:r>
          </w:p>
        </w:tc>
        <w:tc>
          <w:tcPr>
            <w:tcW w:w="1160" w:type="dxa"/>
            <w:vAlign w:val="bottom"/>
          </w:tcPr>
          <w:p>
            <w:pPr>
              <w:jc w:val="right"/>
              <w:spacing w:after="0" w:line="159" w:lineRule="exact"/>
              <w:rPr>
                <w:sz w:val="20"/>
                <w:szCs w:val="20"/>
                <w:color w:val="auto"/>
              </w:rPr>
            </w:pPr>
            <w:r>
              <w:rPr>
                <w:rFonts w:ascii="Arial" w:cs="Arial" w:eastAsia="Arial" w:hAnsi="Arial"/>
                <w:sz w:val="14"/>
                <w:szCs w:val="14"/>
                <w:color w:val="auto"/>
              </w:rPr>
              <w:t>29,574 (2)</w:t>
            </w:r>
          </w:p>
        </w:tc>
        <w:tc>
          <w:tcPr>
            <w:tcW w:w="1480" w:type="dxa"/>
            <w:vAlign w:val="bottom"/>
          </w:tcPr>
          <w:p>
            <w:pPr>
              <w:jc w:val="right"/>
              <w:ind w:right="31"/>
              <w:spacing w:after="0" w:line="159" w:lineRule="exact"/>
              <w:rPr>
                <w:sz w:val="20"/>
                <w:szCs w:val="20"/>
                <w:color w:val="auto"/>
              </w:rPr>
            </w:pPr>
            <w:r>
              <w:rPr>
                <w:rFonts w:ascii="Arial" w:cs="Arial" w:eastAsia="Arial" w:hAnsi="Arial"/>
                <w:sz w:val="14"/>
                <w:szCs w:val="14"/>
                <w:color w:val="auto"/>
              </w:rPr>
              <w:t>1,475,743</w:t>
            </w:r>
          </w:p>
        </w:tc>
        <w:tc>
          <w:tcPr>
            <w:tcW w:w="0" w:type="dxa"/>
            <w:vAlign w:val="bottom"/>
          </w:tcPr>
          <w:p>
            <w:pPr>
              <w:spacing w:after="0"/>
              <w:rPr>
                <w:sz w:val="1"/>
                <w:szCs w:val="1"/>
                <w:color w:val="auto"/>
              </w:rPr>
            </w:pPr>
          </w:p>
        </w:tc>
      </w:tr>
      <w:tr>
        <w:trPr>
          <w:trHeight w:val="160"/>
        </w:trPr>
        <w:tc>
          <w:tcPr>
            <w:tcW w:w="172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3/1/2020</w:t>
            </w:r>
          </w:p>
        </w:tc>
        <w:tc>
          <w:tcPr>
            <w:tcW w:w="1240" w:type="dxa"/>
            <w:vAlign w:val="bottom"/>
          </w:tcPr>
          <w:p>
            <w:pPr>
              <w:jc w:val="center"/>
              <w:ind w:left="111"/>
              <w:spacing w:after="0" w:line="159" w:lineRule="exact"/>
              <w:rPr>
                <w:sz w:val="20"/>
                <w:szCs w:val="20"/>
                <w:color w:val="auto"/>
              </w:rPr>
            </w:pPr>
            <w:r>
              <w:rPr>
                <w:rFonts w:ascii="Arial" w:cs="Arial" w:eastAsia="Arial" w:hAnsi="Arial"/>
                <w:sz w:val="14"/>
                <w:szCs w:val="14"/>
                <w:color w:val="auto"/>
                <w:w w:val="99"/>
              </w:rPr>
              <w:t>—</w:t>
            </w:r>
          </w:p>
        </w:tc>
        <w:tc>
          <w:tcPr>
            <w:tcW w:w="1160" w:type="dxa"/>
            <w:vAlign w:val="bottom"/>
          </w:tcPr>
          <w:p>
            <w:pPr>
              <w:jc w:val="center"/>
              <w:ind w:left="71"/>
              <w:spacing w:after="0" w:line="159" w:lineRule="exact"/>
              <w:rPr>
                <w:sz w:val="20"/>
                <w:szCs w:val="20"/>
                <w:color w:val="auto"/>
              </w:rPr>
            </w:pPr>
            <w:r>
              <w:rPr>
                <w:rFonts w:ascii="Arial" w:cs="Arial" w:eastAsia="Arial" w:hAnsi="Arial"/>
                <w:sz w:val="14"/>
                <w:szCs w:val="14"/>
                <w:color w:val="auto"/>
                <w:w w:val="99"/>
              </w:rPr>
              <w:t>—</w:t>
            </w:r>
          </w:p>
        </w:tc>
        <w:tc>
          <w:tcPr>
            <w:tcW w:w="62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960" w:type="dxa"/>
            <w:vAlign w:val="bottom"/>
          </w:tcPr>
          <w:p>
            <w:pPr>
              <w:jc w:val="center"/>
              <w:ind w:right="110"/>
              <w:spacing w:after="0" w:line="159" w:lineRule="exact"/>
              <w:rPr>
                <w:sz w:val="20"/>
                <w:szCs w:val="20"/>
                <w:color w:val="auto"/>
              </w:rPr>
            </w:pPr>
            <w:r>
              <w:rPr>
                <w:rFonts w:ascii="Arial" w:cs="Arial" w:eastAsia="Arial" w:hAnsi="Arial"/>
                <w:sz w:val="14"/>
                <w:szCs w:val="14"/>
                <w:color w:val="auto"/>
                <w:w w:val="99"/>
              </w:rPr>
              <w:t>—</w:t>
            </w: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7,204 (1)</w:t>
            </w: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359,480</w:t>
            </w:r>
          </w:p>
        </w:tc>
        <w:tc>
          <w:tcPr>
            <w:tcW w:w="1160" w:type="dxa"/>
            <w:vAlign w:val="bottom"/>
          </w:tcPr>
          <w:p>
            <w:pPr>
              <w:jc w:val="right"/>
              <w:ind w:right="351"/>
              <w:spacing w:after="0" w:line="159" w:lineRule="exact"/>
              <w:rPr>
                <w:sz w:val="20"/>
                <w:szCs w:val="20"/>
                <w:color w:val="auto"/>
              </w:rPr>
            </w:pPr>
            <w:r>
              <w:rPr>
                <w:rFonts w:ascii="Arial" w:cs="Arial" w:eastAsia="Arial" w:hAnsi="Arial"/>
                <w:sz w:val="14"/>
                <w:szCs w:val="14"/>
                <w:color w:val="auto"/>
              </w:rPr>
              <w:t>—</w:t>
            </w:r>
          </w:p>
        </w:tc>
        <w:tc>
          <w:tcPr>
            <w:tcW w:w="1480" w:type="dxa"/>
            <w:vAlign w:val="bottom"/>
          </w:tcPr>
          <w:p>
            <w:pPr>
              <w:jc w:val="right"/>
              <w:ind w:right="291"/>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172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3/1/2020</w:t>
            </w:r>
          </w:p>
        </w:tc>
        <w:tc>
          <w:tcPr>
            <w:tcW w:w="1240" w:type="dxa"/>
            <w:vAlign w:val="bottom"/>
          </w:tcPr>
          <w:p>
            <w:pPr>
              <w:jc w:val="center"/>
              <w:ind w:left="111"/>
              <w:spacing w:after="0" w:line="159" w:lineRule="exact"/>
              <w:rPr>
                <w:sz w:val="20"/>
                <w:szCs w:val="20"/>
                <w:color w:val="auto"/>
              </w:rPr>
            </w:pPr>
            <w:r>
              <w:rPr>
                <w:rFonts w:ascii="Arial" w:cs="Arial" w:eastAsia="Arial" w:hAnsi="Arial"/>
                <w:sz w:val="14"/>
                <w:szCs w:val="14"/>
                <w:color w:val="auto"/>
                <w:w w:val="99"/>
              </w:rPr>
              <w:t>—</w:t>
            </w:r>
          </w:p>
        </w:tc>
        <w:tc>
          <w:tcPr>
            <w:tcW w:w="1160" w:type="dxa"/>
            <w:vAlign w:val="bottom"/>
          </w:tcPr>
          <w:p>
            <w:pPr>
              <w:jc w:val="center"/>
              <w:ind w:left="71"/>
              <w:spacing w:after="0" w:line="159" w:lineRule="exact"/>
              <w:rPr>
                <w:sz w:val="20"/>
                <w:szCs w:val="20"/>
                <w:color w:val="auto"/>
              </w:rPr>
            </w:pPr>
            <w:r>
              <w:rPr>
                <w:rFonts w:ascii="Arial" w:cs="Arial" w:eastAsia="Arial" w:hAnsi="Arial"/>
                <w:sz w:val="14"/>
                <w:szCs w:val="14"/>
                <w:color w:val="auto"/>
                <w:w w:val="99"/>
              </w:rPr>
              <w:t>—</w:t>
            </w:r>
          </w:p>
        </w:tc>
        <w:tc>
          <w:tcPr>
            <w:tcW w:w="62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960" w:type="dxa"/>
            <w:vAlign w:val="bottom"/>
          </w:tcPr>
          <w:p>
            <w:pPr>
              <w:jc w:val="center"/>
              <w:ind w:right="110"/>
              <w:spacing w:after="0" w:line="159" w:lineRule="exact"/>
              <w:rPr>
                <w:sz w:val="20"/>
                <w:szCs w:val="20"/>
                <w:color w:val="auto"/>
              </w:rPr>
            </w:pPr>
            <w:r>
              <w:rPr>
                <w:rFonts w:ascii="Arial" w:cs="Arial" w:eastAsia="Arial" w:hAnsi="Arial"/>
                <w:sz w:val="14"/>
                <w:szCs w:val="14"/>
                <w:color w:val="auto"/>
                <w:w w:val="99"/>
              </w:rPr>
              <w:t>—</w:t>
            </w:r>
          </w:p>
        </w:tc>
        <w:tc>
          <w:tcPr>
            <w:tcW w:w="900" w:type="dxa"/>
            <w:vAlign w:val="bottom"/>
          </w:tcPr>
          <w:p>
            <w:pPr>
              <w:jc w:val="right"/>
              <w:ind w:right="371"/>
              <w:spacing w:after="0" w:line="15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191"/>
              <w:spacing w:after="0" w:line="159" w:lineRule="exact"/>
              <w:rPr>
                <w:sz w:val="20"/>
                <w:szCs w:val="20"/>
                <w:color w:val="auto"/>
              </w:rPr>
            </w:pPr>
            <w:r>
              <w:rPr>
                <w:rFonts w:ascii="Arial" w:cs="Arial" w:eastAsia="Arial" w:hAnsi="Arial"/>
                <w:sz w:val="14"/>
                <w:szCs w:val="14"/>
                <w:color w:val="auto"/>
              </w:rPr>
              <w:t>—</w:t>
            </w:r>
          </w:p>
        </w:tc>
        <w:tc>
          <w:tcPr>
            <w:tcW w:w="1160" w:type="dxa"/>
            <w:vAlign w:val="bottom"/>
          </w:tcPr>
          <w:p>
            <w:pPr>
              <w:jc w:val="right"/>
              <w:spacing w:after="0" w:line="159" w:lineRule="exact"/>
              <w:rPr>
                <w:sz w:val="20"/>
                <w:szCs w:val="20"/>
                <w:color w:val="auto"/>
              </w:rPr>
            </w:pPr>
            <w:r>
              <w:rPr>
                <w:rFonts w:ascii="Arial" w:cs="Arial" w:eastAsia="Arial" w:hAnsi="Arial"/>
                <w:sz w:val="14"/>
                <w:szCs w:val="14"/>
                <w:color w:val="auto"/>
              </w:rPr>
              <w:t>25,215 (3)</w:t>
            </w:r>
          </w:p>
        </w:tc>
        <w:tc>
          <w:tcPr>
            <w:tcW w:w="1480" w:type="dxa"/>
            <w:vAlign w:val="bottom"/>
          </w:tcPr>
          <w:p>
            <w:pPr>
              <w:jc w:val="right"/>
              <w:ind w:right="31"/>
              <w:spacing w:after="0" w:line="159" w:lineRule="exact"/>
              <w:rPr>
                <w:sz w:val="20"/>
                <w:szCs w:val="20"/>
                <w:color w:val="auto"/>
              </w:rPr>
            </w:pPr>
            <w:r>
              <w:rPr>
                <w:rFonts w:ascii="Arial" w:cs="Arial" w:eastAsia="Arial" w:hAnsi="Arial"/>
                <w:sz w:val="14"/>
                <w:szCs w:val="14"/>
                <w:color w:val="auto"/>
              </w:rPr>
              <w:t>1,258,229</w:t>
            </w:r>
          </w:p>
        </w:tc>
        <w:tc>
          <w:tcPr>
            <w:tcW w:w="0" w:type="dxa"/>
            <w:vAlign w:val="bottom"/>
          </w:tcPr>
          <w:p>
            <w:pPr>
              <w:spacing w:after="0"/>
              <w:rPr>
                <w:sz w:val="1"/>
                <w:szCs w:val="1"/>
                <w:color w:val="auto"/>
              </w:rPr>
            </w:pPr>
          </w:p>
        </w:tc>
      </w:tr>
      <w:tr>
        <w:trPr>
          <w:trHeight w:val="160"/>
        </w:trPr>
        <w:tc>
          <w:tcPr>
            <w:tcW w:w="172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3/1/2021</w:t>
            </w:r>
          </w:p>
        </w:tc>
        <w:tc>
          <w:tcPr>
            <w:tcW w:w="1240" w:type="dxa"/>
            <w:vAlign w:val="bottom"/>
          </w:tcPr>
          <w:p>
            <w:pPr>
              <w:jc w:val="center"/>
              <w:ind w:left="111"/>
              <w:spacing w:after="0" w:line="159" w:lineRule="exact"/>
              <w:rPr>
                <w:sz w:val="20"/>
                <w:szCs w:val="20"/>
                <w:color w:val="auto"/>
              </w:rPr>
            </w:pPr>
            <w:r>
              <w:rPr>
                <w:rFonts w:ascii="Arial" w:cs="Arial" w:eastAsia="Arial" w:hAnsi="Arial"/>
                <w:sz w:val="14"/>
                <w:szCs w:val="14"/>
                <w:color w:val="auto"/>
                <w:w w:val="99"/>
              </w:rPr>
              <w:t>—</w:t>
            </w:r>
          </w:p>
        </w:tc>
        <w:tc>
          <w:tcPr>
            <w:tcW w:w="1160" w:type="dxa"/>
            <w:vAlign w:val="bottom"/>
          </w:tcPr>
          <w:p>
            <w:pPr>
              <w:jc w:val="center"/>
              <w:ind w:left="71"/>
              <w:spacing w:after="0" w:line="159" w:lineRule="exact"/>
              <w:rPr>
                <w:sz w:val="20"/>
                <w:szCs w:val="20"/>
                <w:color w:val="auto"/>
              </w:rPr>
            </w:pPr>
            <w:r>
              <w:rPr>
                <w:rFonts w:ascii="Arial" w:cs="Arial" w:eastAsia="Arial" w:hAnsi="Arial"/>
                <w:sz w:val="14"/>
                <w:szCs w:val="14"/>
                <w:color w:val="auto"/>
                <w:w w:val="99"/>
              </w:rPr>
              <w:t>—</w:t>
            </w:r>
          </w:p>
        </w:tc>
        <w:tc>
          <w:tcPr>
            <w:tcW w:w="62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960" w:type="dxa"/>
            <w:vAlign w:val="bottom"/>
          </w:tcPr>
          <w:p>
            <w:pPr>
              <w:jc w:val="center"/>
              <w:ind w:right="110"/>
              <w:spacing w:after="0" w:line="159" w:lineRule="exact"/>
              <w:rPr>
                <w:sz w:val="20"/>
                <w:szCs w:val="20"/>
                <w:color w:val="auto"/>
              </w:rPr>
            </w:pPr>
            <w:r>
              <w:rPr>
                <w:rFonts w:ascii="Arial" w:cs="Arial" w:eastAsia="Arial" w:hAnsi="Arial"/>
                <w:sz w:val="14"/>
                <w:szCs w:val="14"/>
                <w:color w:val="auto"/>
                <w:w w:val="99"/>
              </w:rPr>
              <w:t>—</w:t>
            </w: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15,907 (1)</w:t>
            </w: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793,759</w:t>
            </w:r>
          </w:p>
        </w:tc>
        <w:tc>
          <w:tcPr>
            <w:tcW w:w="1160" w:type="dxa"/>
            <w:vAlign w:val="bottom"/>
          </w:tcPr>
          <w:p>
            <w:pPr>
              <w:jc w:val="right"/>
              <w:ind w:right="351"/>
              <w:spacing w:after="0" w:line="159" w:lineRule="exact"/>
              <w:rPr>
                <w:sz w:val="20"/>
                <w:szCs w:val="20"/>
                <w:color w:val="auto"/>
              </w:rPr>
            </w:pPr>
            <w:r>
              <w:rPr>
                <w:rFonts w:ascii="Arial" w:cs="Arial" w:eastAsia="Arial" w:hAnsi="Arial"/>
                <w:sz w:val="14"/>
                <w:szCs w:val="14"/>
                <w:color w:val="auto"/>
              </w:rPr>
              <w:t>—</w:t>
            </w:r>
          </w:p>
        </w:tc>
        <w:tc>
          <w:tcPr>
            <w:tcW w:w="1480" w:type="dxa"/>
            <w:vAlign w:val="bottom"/>
          </w:tcPr>
          <w:p>
            <w:pPr>
              <w:jc w:val="right"/>
              <w:ind w:right="291"/>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720" w:type="dxa"/>
            <w:vAlign w:val="bottom"/>
            <w:tcBorders>
              <w:bottom w:val="single" w:sz="8" w:color="999999"/>
            </w:tcBorders>
          </w:tcPr>
          <w:p>
            <w:pPr>
              <w:spacing w:after="0"/>
              <w:rPr>
                <w:sz w:val="13"/>
                <w:szCs w:val="13"/>
                <w:color w:val="auto"/>
              </w:rPr>
            </w:pPr>
          </w:p>
        </w:tc>
        <w:tc>
          <w:tcPr>
            <w:tcW w:w="740" w:type="dxa"/>
            <w:vAlign w:val="bottom"/>
            <w:tcBorders>
              <w:bottom w:val="single" w:sz="8" w:color="999999"/>
            </w:tcBorders>
          </w:tcPr>
          <w:p>
            <w:pPr>
              <w:jc w:val="right"/>
              <w:spacing w:after="0" w:line="155" w:lineRule="exact"/>
              <w:rPr>
                <w:sz w:val="20"/>
                <w:szCs w:val="20"/>
                <w:color w:val="auto"/>
              </w:rPr>
            </w:pPr>
            <w:r>
              <w:rPr>
                <w:rFonts w:ascii="Arial" w:cs="Arial" w:eastAsia="Arial" w:hAnsi="Arial"/>
                <w:sz w:val="14"/>
                <w:szCs w:val="14"/>
                <w:color w:val="auto"/>
              </w:rPr>
              <w:t>3/1/2021</w:t>
            </w:r>
          </w:p>
        </w:tc>
        <w:tc>
          <w:tcPr>
            <w:tcW w:w="1240" w:type="dxa"/>
            <w:vAlign w:val="bottom"/>
            <w:tcBorders>
              <w:bottom w:val="single" w:sz="8" w:color="999999"/>
            </w:tcBorders>
          </w:tcPr>
          <w:p>
            <w:pPr>
              <w:jc w:val="center"/>
              <w:ind w:left="111"/>
              <w:spacing w:after="0" w:line="155" w:lineRule="exact"/>
              <w:rPr>
                <w:sz w:val="20"/>
                <w:szCs w:val="20"/>
                <w:color w:val="auto"/>
              </w:rPr>
            </w:pPr>
            <w:r>
              <w:rPr>
                <w:rFonts w:ascii="Arial" w:cs="Arial" w:eastAsia="Arial" w:hAnsi="Arial"/>
                <w:sz w:val="14"/>
                <w:szCs w:val="14"/>
                <w:color w:val="auto"/>
                <w:w w:val="99"/>
              </w:rPr>
              <w:t>—</w:t>
            </w:r>
          </w:p>
        </w:tc>
        <w:tc>
          <w:tcPr>
            <w:tcW w:w="1160" w:type="dxa"/>
            <w:vAlign w:val="bottom"/>
            <w:tcBorders>
              <w:bottom w:val="single" w:sz="8" w:color="999999"/>
            </w:tcBorders>
          </w:tcPr>
          <w:p>
            <w:pPr>
              <w:jc w:val="center"/>
              <w:ind w:left="71"/>
              <w:spacing w:after="0" w:line="155" w:lineRule="exact"/>
              <w:rPr>
                <w:sz w:val="20"/>
                <w:szCs w:val="20"/>
                <w:color w:val="auto"/>
              </w:rPr>
            </w:pPr>
            <w:r>
              <w:rPr>
                <w:rFonts w:ascii="Arial" w:cs="Arial" w:eastAsia="Arial" w:hAnsi="Arial"/>
                <w:sz w:val="14"/>
                <w:szCs w:val="14"/>
                <w:color w:val="auto"/>
                <w:w w:val="99"/>
              </w:rPr>
              <w:t>—</w:t>
            </w:r>
          </w:p>
        </w:tc>
        <w:tc>
          <w:tcPr>
            <w:tcW w:w="620" w:type="dxa"/>
            <w:vAlign w:val="bottom"/>
            <w:tcBorders>
              <w:bottom w:val="single" w:sz="8" w:color="999999"/>
            </w:tcBorders>
          </w:tcPr>
          <w:p>
            <w:pPr>
              <w:jc w:val="center"/>
              <w:spacing w:after="0" w:line="155" w:lineRule="exact"/>
              <w:rPr>
                <w:sz w:val="20"/>
                <w:szCs w:val="20"/>
                <w:color w:val="auto"/>
              </w:rPr>
            </w:pPr>
            <w:r>
              <w:rPr>
                <w:rFonts w:ascii="Arial" w:cs="Arial" w:eastAsia="Arial" w:hAnsi="Arial"/>
                <w:sz w:val="14"/>
                <w:szCs w:val="14"/>
                <w:color w:val="auto"/>
                <w:w w:val="99"/>
              </w:rPr>
              <w:t>—</w:t>
            </w:r>
          </w:p>
        </w:tc>
        <w:tc>
          <w:tcPr>
            <w:tcW w:w="960" w:type="dxa"/>
            <w:vAlign w:val="bottom"/>
            <w:tcBorders>
              <w:bottom w:val="single" w:sz="8" w:color="999999"/>
            </w:tcBorders>
          </w:tcPr>
          <w:p>
            <w:pPr>
              <w:jc w:val="center"/>
              <w:ind w:right="110"/>
              <w:spacing w:after="0" w:line="155" w:lineRule="exact"/>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999999"/>
            </w:tcBorders>
          </w:tcPr>
          <w:p>
            <w:pPr>
              <w:jc w:val="right"/>
              <w:ind w:right="371"/>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999999"/>
            </w:tcBorders>
          </w:tcPr>
          <w:p>
            <w:pPr>
              <w:jc w:val="right"/>
              <w:ind w:right="191"/>
              <w:spacing w:after="0" w:line="155"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999999"/>
            </w:tcBorders>
          </w:tcPr>
          <w:p>
            <w:pPr>
              <w:jc w:val="right"/>
              <w:spacing w:after="0" w:line="155" w:lineRule="exact"/>
              <w:rPr>
                <w:sz w:val="20"/>
                <w:szCs w:val="20"/>
                <w:color w:val="auto"/>
              </w:rPr>
            </w:pPr>
            <w:r>
              <w:rPr>
                <w:rFonts w:ascii="Arial" w:cs="Arial" w:eastAsia="Arial" w:hAnsi="Arial"/>
                <w:sz w:val="14"/>
                <w:szCs w:val="14"/>
                <w:color w:val="auto"/>
              </w:rPr>
              <w:t>7,953 (4)</w:t>
            </w:r>
          </w:p>
        </w:tc>
        <w:tc>
          <w:tcPr>
            <w:tcW w:w="1480" w:type="dxa"/>
            <w:vAlign w:val="bottom"/>
            <w:tcBorders>
              <w:bottom w:val="single" w:sz="8" w:color="999999"/>
            </w:tcBorders>
          </w:tcPr>
          <w:p>
            <w:pPr>
              <w:jc w:val="right"/>
              <w:ind w:right="31"/>
              <w:spacing w:after="0" w:line="155" w:lineRule="exact"/>
              <w:rPr>
                <w:sz w:val="20"/>
                <w:szCs w:val="20"/>
                <w:color w:val="auto"/>
              </w:rPr>
            </w:pPr>
            <w:r>
              <w:rPr>
                <w:rFonts w:ascii="Arial" w:cs="Arial" w:eastAsia="Arial" w:hAnsi="Arial"/>
                <w:sz w:val="14"/>
                <w:szCs w:val="14"/>
                <w:color w:val="auto"/>
              </w:rPr>
              <w:t>396,855</w:t>
            </w:r>
          </w:p>
        </w:tc>
        <w:tc>
          <w:tcPr>
            <w:tcW w:w="0" w:type="dxa"/>
            <w:vAlign w:val="bottom"/>
          </w:tcPr>
          <w:p>
            <w:pPr>
              <w:spacing w:after="0"/>
              <w:rPr>
                <w:sz w:val="1"/>
                <w:szCs w:val="1"/>
                <w:color w:val="auto"/>
              </w:rPr>
            </w:pPr>
          </w:p>
        </w:tc>
      </w:tr>
      <w:tr>
        <w:trPr>
          <w:trHeight w:val="158"/>
        </w:trPr>
        <w:tc>
          <w:tcPr>
            <w:tcW w:w="1720" w:type="dxa"/>
            <w:vAlign w:val="bottom"/>
          </w:tcPr>
          <w:p>
            <w:pPr>
              <w:spacing w:after="0" w:line="157" w:lineRule="exact"/>
              <w:rPr>
                <w:sz w:val="20"/>
                <w:szCs w:val="20"/>
                <w:color w:val="auto"/>
              </w:rPr>
            </w:pPr>
            <w:r>
              <w:rPr>
                <w:rFonts w:ascii="Arial" w:cs="Arial" w:eastAsia="Arial" w:hAnsi="Arial"/>
                <w:sz w:val="14"/>
                <w:szCs w:val="14"/>
                <w:color w:val="auto"/>
              </w:rPr>
              <w:t>C. Mark Hussey</w:t>
            </w:r>
          </w:p>
        </w:tc>
        <w:tc>
          <w:tcPr>
            <w:tcW w:w="740" w:type="dxa"/>
            <w:vAlign w:val="bottom"/>
          </w:tcPr>
          <w:p>
            <w:pPr>
              <w:jc w:val="right"/>
              <w:spacing w:after="0" w:line="157" w:lineRule="exact"/>
              <w:rPr>
                <w:sz w:val="20"/>
                <w:szCs w:val="20"/>
                <w:color w:val="auto"/>
              </w:rPr>
            </w:pPr>
            <w:r>
              <w:rPr>
                <w:rFonts w:ascii="Arial" w:cs="Arial" w:eastAsia="Arial" w:hAnsi="Arial"/>
                <w:sz w:val="14"/>
                <w:szCs w:val="14"/>
                <w:color w:val="auto"/>
              </w:rPr>
              <w:t>3/1/2012</w:t>
            </w:r>
          </w:p>
        </w:tc>
        <w:tc>
          <w:tcPr>
            <w:tcW w:w="1240" w:type="dxa"/>
            <w:vAlign w:val="bottom"/>
          </w:tcPr>
          <w:p>
            <w:pPr>
              <w:jc w:val="right"/>
              <w:ind w:right="251"/>
              <w:spacing w:after="0" w:line="157" w:lineRule="exact"/>
              <w:rPr>
                <w:sz w:val="20"/>
                <w:szCs w:val="20"/>
                <w:color w:val="auto"/>
              </w:rPr>
            </w:pPr>
            <w:r>
              <w:rPr>
                <w:rFonts w:ascii="Arial" w:cs="Arial" w:eastAsia="Arial" w:hAnsi="Arial"/>
                <w:sz w:val="14"/>
                <w:szCs w:val="14"/>
                <w:color w:val="auto"/>
              </w:rPr>
              <w:t>6,144</w:t>
            </w:r>
          </w:p>
        </w:tc>
        <w:tc>
          <w:tcPr>
            <w:tcW w:w="1160" w:type="dxa"/>
            <w:vAlign w:val="bottom"/>
          </w:tcPr>
          <w:p>
            <w:pPr>
              <w:jc w:val="center"/>
              <w:ind w:left="71"/>
              <w:spacing w:after="0" w:line="157" w:lineRule="exact"/>
              <w:rPr>
                <w:sz w:val="20"/>
                <w:szCs w:val="20"/>
                <w:color w:val="auto"/>
              </w:rPr>
            </w:pPr>
            <w:r>
              <w:rPr>
                <w:rFonts w:ascii="Arial" w:cs="Arial" w:eastAsia="Arial" w:hAnsi="Arial"/>
                <w:sz w:val="14"/>
                <w:szCs w:val="14"/>
                <w:color w:val="auto"/>
                <w:w w:val="99"/>
              </w:rPr>
              <w:t>—</w:t>
            </w:r>
          </w:p>
        </w:tc>
        <w:tc>
          <w:tcPr>
            <w:tcW w:w="620" w:type="dxa"/>
            <w:vAlign w:val="bottom"/>
          </w:tcPr>
          <w:p>
            <w:pPr>
              <w:jc w:val="right"/>
              <w:spacing w:after="0" w:line="157" w:lineRule="exact"/>
              <w:rPr>
                <w:sz w:val="20"/>
                <w:szCs w:val="20"/>
                <w:color w:val="auto"/>
              </w:rPr>
            </w:pPr>
            <w:r>
              <w:rPr>
                <w:rFonts w:ascii="Arial" w:cs="Arial" w:eastAsia="Arial" w:hAnsi="Arial"/>
                <w:sz w:val="14"/>
                <w:szCs w:val="14"/>
                <w:color w:val="auto"/>
              </w:rPr>
              <w:t>38.18</w:t>
            </w:r>
          </w:p>
        </w:tc>
        <w:tc>
          <w:tcPr>
            <w:tcW w:w="960" w:type="dxa"/>
            <w:vAlign w:val="bottom"/>
          </w:tcPr>
          <w:p>
            <w:pPr>
              <w:jc w:val="center"/>
              <w:ind w:right="70"/>
              <w:spacing w:after="0" w:line="157" w:lineRule="exact"/>
              <w:rPr>
                <w:sz w:val="20"/>
                <w:szCs w:val="20"/>
                <w:color w:val="auto"/>
              </w:rPr>
            </w:pPr>
            <w:r>
              <w:rPr>
                <w:rFonts w:ascii="Arial" w:cs="Arial" w:eastAsia="Arial" w:hAnsi="Arial"/>
                <w:sz w:val="14"/>
                <w:szCs w:val="14"/>
                <w:color w:val="auto"/>
                <w:w w:val="99"/>
              </w:rPr>
              <w:t>3/1/2022</w:t>
            </w:r>
          </w:p>
        </w:tc>
        <w:tc>
          <w:tcPr>
            <w:tcW w:w="900" w:type="dxa"/>
            <w:vAlign w:val="bottom"/>
          </w:tcPr>
          <w:p>
            <w:pPr>
              <w:jc w:val="right"/>
              <w:ind w:right="371"/>
              <w:spacing w:after="0" w:line="157"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191"/>
              <w:spacing w:after="0" w:line="157" w:lineRule="exact"/>
              <w:rPr>
                <w:sz w:val="20"/>
                <w:szCs w:val="20"/>
                <w:color w:val="auto"/>
              </w:rPr>
            </w:pPr>
            <w:r>
              <w:rPr>
                <w:rFonts w:ascii="Arial" w:cs="Arial" w:eastAsia="Arial" w:hAnsi="Arial"/>
                <w:sz w:val="14"/>
                <w:szCs w:val="14"/>
                <w:color w:val="auto"/>
              </w:rPr>
              <w:t>—</w:t>
            </w:r>
          </w:p>
        </w:tc>
        <w:tc>
          <w:tcPr>
            <w:tcW w:w="1160" w:type="dxa"/>
            <w:vAlign w:val="bottom"/>
          </w:tcPr>
          <w:p>
            <w:pPr>
              <w:jc w:val="right"/>
              <w:ind w:right="351"/>
              <w:spacing w:after="0" w:line="157" w:lineRule="exact"/>
              <w:rPr>
                <w:sz w:val="20"/>
                <w:szCs w:val="20"/>
                <w:color w:val="auto"/>
              </w:rPr>
            </w:pPr>
            <w:r>
              <w:rPr>
                <w:rFonts w:ascii="Arial" w:cs="Arial" w:eastAsia="Arial" w:hAnsi="Arial"/>
                <w:sz w:val="14"/>
                <w:szCs w:val="14"/>
                <w:color w:val="auto"/>
              </w:rPr>
              <w:t>—</w:t>
            </w:r>
          </w:p>
        </w:tc>
        <w:tc>
          <w:tcPr>
            <w:tcW w:w="1480" w:type="dxa"/>
            <w:vAlign w:val="bottom"/>
          </w:tcPr>
          <w:p>
            <w:pPr>
              <w:jc w:val="right"/>
              <w:ind w:right="291"/>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172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3/1/2013</w:t>
            </w:r>
          </w:p>
        </w:tc>
        <w:tc>
          <w:tcPr>
            <w:tcW w:w="1240" w:type="dxa"/>
            <w:vAlign w:val="bottom"/>
          </w:tcPr>
          <w:p>
            <w:pPr>
              <w:jc w:val="right"/>
              <w:ind w:right="251"/>
              <w:spacing w:after="0" w:line="159" w:lineRule="exact"/>
              <w:rPr>
                <w:sz w:val="20"/>
                <w:szCs w:val="20"/>
                <w:color w:val="auto"/>
              </w:rPr>
            </w:pPr>
            <w:r>
              <w:rPr>
                <w:rFonts w:ascii="Arial" w:cs="Arial" w:eastAsia="Arial" w:hAnsi="Arial"/>
                <w:sz w:val="14"/>
                <w:szCs w:val="14"/>
                <w:color w:val="auto"/>
              </w:rPr>
              <w:t>7,731</w:t>
            </w:r>
          </w:p>
        </w:tc>
        <w:tc>
          <w:tcPr>
            <w:tcW w:w="1160" w:type="dxa"/>
            <w:vAlign w:val="bottom"/>
          </w:tcPr>
          <w:p>
            <w:pPr>
              <w:jc w:val="center"/>
              <w:ind w:left="71"/>
              <w:spacing w:after="0" w:line="159" w:lineRule="exact"/>
              <w:rPr>
                <w:sz w:val="20"/>
                <w:szCs w:val="20"/>
                <w:color w:val="auto"/>
              </w:rPr>
            </w:pPr>
            <w:r>
              <w:rPr>
                <w:rFonts w:ascii="Arial" w:cs="Arial" w:eastAsia="Arial" w:hAnsi="Arial"/>
                <w:sz w:val="14"/>
                <w:szCs w:val="14"/>
                <w:color w:val="auto"/>
                <w:w w:val="99"/>
              </w:rPr>
              <w:t>—</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39.19</w:t>
            </w:r>
          </w:p>
        </w:tc>
        <w:tc>
          <w:tcPr>
            <w:tcW w:w="960" w:type="dxa"/>
            <w:vAlign w:val="bottom"/>
          </w:tcPr>
          <w:p>
            <w:pPr>
              <w:jc w:val="center"/>
              <w:ind w:right="70"/>
              <w:spacing w:after="0" w:line="159" w:lineRule="exact"/>
              <w:rPr>
                <w:sz w:val="20"/>
                <w:szCs w:val="20"/>
                <w:color w:val="auto"/>
              </w:rPr>
            </w:pPr>
            <w:r>
              <w:rPr>
                <w:rFonts w:ascii="Arial" w:cs="Arial" w:eastAsia="Arial" w:hAnsi="Arial"/>
                <w:sz w:val="14"/>
                <w:szCs w:val="14"/>
                <w:color w:val="auto"/>
                <w:w w:val="99"/>
              </w:rPr>
              <w:t>3/1/2023</w:t>
            </w:r>
          </w:p>
        </w:tc>
        <w:tc>
          <w:tcPr>
            <w:tcW w:w="900" w:type="dxa"/>
            <w:vAlign w:val="bottom"/>
          </w:tcPr>
          <w:p>
            <w:pPr>
              <w:jc w:val="right"/>
              <w:ind w:right="371"/>
              <w:spacing w:after="0" w:line="15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191"/>
              <w:spacing w:after="0" w:line="159" w:lineRule="exact"/>
              <w:rPr>
                <w:sz w:val="20"/>
                <w:szCs w:val="20"/>
                <w:color w:val="auto"/>
              </w:rPr>
            </w:pPr>
            <w:r>
              <w:rPr>
                <w:rFonts w:ascii="Arial" w:cs="Arial" w:eastAsia="Arial" w:hAnsi="Arial"/>
                <w:sz w:val="14"/>
                <w:szCs w:val="14"/>
                <w:color w:val="auto"/>
              </w:rPr>
              <w:t>—</w:t>
            </w:r>
          </w:p>
        </w:tc>
        <w:tc>
          <w:tcPr>
            <w:tcW w:w="1160" w:type="dxa"/>
            <w:vAlign w:val="bottom"/>
          </w:tcPr>
          <w:p>
            <w:pPr>
              <w:jc w:val="right"/>
              <w:ind w:right="351"/>
              <w:spacing w:after="0" w:line="159" w:lineRule="exact"/>
              <w:rPr>
                <w:sz w:val="20"/>
                <w:szCs w:val="20"/>
                <w:color w:val="auto"/>
              </w:rPr>
            </w:pPr>
            <w:r>
              <w:rPr>
                <w:rFonts w:ascii="Arial" w:cs="Arial" w:eastAsia="Arial" w:hAnsi="Arial"/>
                <w:sz w:val="14"/>
                <w:szCs w:val="14"/>
                <w:color w:val="auto"/>
              </w:rPr>
              <w:t>—</w:t>
            </w:r>
          </w:p>
        </w:tc>
        <w:tc>
          <w:tcPr>
            <w:tcW w:w="1480" w:type="dxa"/>
            <w:vAlign w:val="bottom"/>
          </w:tcPr>
          <w:p>
            <w:pPr>
              <w:jc w:val="right"/>
              <w:ind w:right="291"/>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172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3/1/2019</w:t>
            </w:r>
          </w:p>
        </w:tc>
        <w:tc>
          <w:tcPr>
            <w:tcW w:w="1240" w:type="dxa"/>
            <w:vAlign w:val="bottom"/>
          </w:tcPr>
          <w:p>
            <w:pPr>
              <w:jc w:val="center"/>
              <w:ind w:left="111"/>
              <w:spacing w:after="0" w:line="159" w:lineRule="exact"/>
              <w:rPr>
                <w:sz w:val="20"/>
                <w:szCs w:val="20"/>
                <w:color w:val="auto"/>
              </w:rPr>
            </w:pPr>
            <w:r>
              <w:rPr>
                <w:rFonts w:ascii="Arial" w:cs="Arial" w:eastAsia="Arial" w:hAnsi="Arial"/>
                <w:sz w:val="14"/>
                <w:szCs w:val="14"/>
                <w:color w:val="auto"/>
                <w:w w:val="99"/>
              </w:rPr>
              <w:t>—</w:t>
            </w:r>
          </w:p>
        </w:tc>
        <w:tc>
          <w:tcPr>
            <w:tcW w:w="1160" w:type="dxa"/>
            <w:vAlign w:val="bottom"/>
          </w:tcPr>
          <w:p>
            <w:pPr>
              <w:jc w:val="center"/>
              <w:ind w:left="71"/>
              <w:spacing w:after="0" w:line="159" w:lineRule="exact"/>
              <w:rPr>
                <w:sz w:val="20"/>
                <w:szCs w:val="20"/>
                <w:color w:val="auto"/>
              </w:rPr>
            </w:pPr>
            <w:r>
              <w:rPr>
                <w:rFonts w:ascii="Arial" w:cs="Arial" w:eastAsia="Arial" w:hAnsi="Arial"/>
                <w:sz w:val="14"/>
                <w:szCs w:val="14"/>
                <w:color w:val="auto"/>
                <w:w w:val="99"/>
              </w:rPr>
              <w:t>—</w:t>
            </w:r>
          </w:p>
        </w:tc>
        <w:tc>
          <w:tcPr>
            <w:tcW w:w="62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960" w:type="dxa"/>
            <w:vAlign w:val="bottom"/>
          </w:tcPr>
          <w:p>
            <w:pPr>
              <w:jc w:val="center"/>
              <w:ind w:right="110"/>
              <w:spacing w:after="0" w:line="159" w:lineRule="exact"/>
              <w:rPr>
                <w:sz w:val="20"/>
                <w:szCs w:val="20"/>
                <w:color w:val="auto"/>
              </w:rPr>
            </w:pPr>
            <w:r>
              <w:rPr>
                <w:rFonts w:ascii="Arial" w:cs="Arial" w:eastAsia="Arial" w:hAnsi="Arial"/>
                <w:sz w:val="14"/>
                <w:szCs w:val="14"/>
                <w:color w:val="auto"/>
                <w:w w:val="99"/>
              </w:rPr>
              <w:t>—</w:t>
            </w: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2,739 (1)</w:t>
            </w: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136,676</w:t>
            </w:r>
          </w:p>
        </w:tc>
        <w:tc>
          <w:tcPr>
            <w:tcW w:w="1160" w:type="dxa"/>
            <w:vAlign w:val="bottom"/>
          </w:tcPr>
          <w:p>
            <w:pPr>
              <w:jc w:val="right"/>
              <w:ind w:right="351"/>
              <w:spacing w:after="0" w:line="159" w:lineRule="exact"/>
              <w:rPr>
                <w:sz w:val="20"/>
                <w:szCs w:val="20"/>
                <w:color w:val="auto"/>
              </w:rPr>
            </w:pPr>
            <w:r>
              <w:rPr>
                <w:rFonts w:ascii="Arial" w:cs="Arial" w:eastAsia="Arial" w:hAnsi="Arial"/>
                <w:sz w:val="14"/>
                <w:szCs w:val="14"/>
                <w:color w:val="auto"/>
              </w:rPr>
              <w:t>—</w:t>
            </w:r>
          </w:p>
        </w:tc>
        <w:tc>
          <w:tcPr>
            <w:tcW w:w="1480" w:type="dxa"/>
            <w:vAlign w:val="bottom"/>
          </w:tcPr>
          <w:p>
            <w:pPr>
              <w:jc w:val="right"/>
              <w:ind w:right="291"/>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172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3/1/2019</w:t>
            </w:r>
          </w:p>
        </w:tc>
        <w:tc>
          <w:tcPr>
            <w:tcW w:w="1240" w:type="dxa"/>
            <w:vAlign w:val="bottom"/>
          </w:tcPr>
          <w:p>
            <w:pPr>
              <w:jc w:val="center"/>
              <w:ind w:left="111"/>
              <w:spacing w:after="0" w:line="159" w:lineRule="exact"/>
              <w:rPr>
                <w:sz w:val="20"/>
                <w:szCs w:val="20"/>
                <w:color w:val="auto"/>
              </w:rPr>
            </w:pPr>
            <w:r>
              <w:rPr>
                <w:rFonts w:ascii="Arial" w:cs="Arial" w:eastAsia="Arial" w:hAnsi="Arial"/>
                <w:sz w:val="14"/>
                <w:szCs w:val="14"/>
                <w:color w:val="auto"/>
                <w:w w:val="99"/>
              </w:rPr>
              <w:t>—</w:t>
            </w:r>
          </w:p>
        </w:tc>
        <w:tc>
          <w:tcPr>
            <w:tcW w:w="1160" w:type="dxa"/>
            <w:vAlign w:val="bottom"/>
          </w:tcPr>
          <w:p>
            <w:pPr>
              <w:jc w:val="center"/>
              <w:ind w:left="71"/>
              <w:spacing w:after="0" w:line="159" w:lineRule="exact"/>
              <w:rPr>
                <w:sz w:val="20"/>
                <w:szCs w:val="20"/>
                <w:color w:val="auto"/>
              </w:rPr>
            </w:pPr>
            <w:r>
              <w:rPr>
                <w:rFonts w:ascii="Arial" w:cs="Arial" w:eastAsia="Arial" w:hAnsi="Arial"/>
                <w:sz w:val="14"/>
                <w:szCs w:val="14"/>
                <w:color w:val="auto"/>
                <w:w w:val="99"/>
              </w:rPr>
              <w:t>—</w:t>
            </w:r>
          </w:p>
        </w:tc>
        <w:tc>
          <w:tcPr>
            <w:tcW w:w="62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960" w:type="dxa"/>
            <w:vAlign w:val="bottom"/>
          </w:tcPr>
          <w:p>
            <w:pPr>
              <w:jc w:val="center"/>
              <w:ind w:right="110"/>
              <w:spacing w:after="0" w:line="159" w:lineRule="exact"/>
              <w:rPr>
                <w:sz w:val="20"/>
                <w:szCs w:val="20"/>
                <w:color w:val="auto"/>
              </w:rPr>
            </w:pPr>
            <w:r>
              <w:rPr>
                <w:rFonts w:ascii="Arial" w:cs="Arial" w:eastAsia="Arial" w:hAnsi="Arial"/>
                <w:sz w:val="14"/>
                <w:szCs w:val="14"/>
                <w:color w:val="auto"/>
                <w:w w:val="99"/>
              </w:rPr>
              <w:t>—</w:t>
            </w:r>
          </w:p>
        </w:tc>
        <w:tc>
          <w:tcPr>
            <w:tcW w:w="900" w:type="dxa"/>
            <w:vAlign w:val="bottom"/>
          </w:tcPr>
          <w:p>
            <w:pPr>
              <w:jc w:val="right"/>
              <w:ind w:right="371"/>
              <w:spacing w:after="0" w:line="15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191"/>
              <w:spacing w:after="0" w:line="159" w:lineRule="exact"/>
              <w:rPr>
                <w:sz w:val="20"/>
                <w:szCs w:val="20"/>
                <w:color w:val="auto"/>
              </w:rPr>
            </w:pPr>
            <w:r>
              <w:rPr>
                <w:rFonts w:ascii="Arial" w:cs="Arial" w:eastAsia="Arial" w:hAnsi="Arial"/>
                <w:sz w:val="14"/>
                <w:szCs w:val="14"/>
                <w:color w:val="auto"/>
              </w:rPr>
              <w:t>—</w:t>
            </w:r>
          </w:p>
        </w:tc>
        <w:tc>
          <w:tcPr>
            <w:tcW w:w="1160" w:type="dxa"/>
            <w:vAlign w:val="bottom"/>
          </w:tcPr>
          <w:p>
            <w:pPr>
              <w:jc w:val="right"/>
              <w:spacing w:after="0" w:line="159" w:lineRule="exact"/>
              <w:rPr>
                <w:sz w:val="20"/>
                <w:szCs w:val="20"/>
                <w:color w:val="auto"/>
              </w:rPr>
            </w:pPr>
            <w:r>
              <w:rPr>
                <w:rFonts w:ascii="Arial" w:cs="Arial" w:eastAsia="Arial" w:hAnsi="Arial"/>
                <w:sz w:val="14"/>
                <w:szCs w:val="14"/>
                <w:color w:val="auto"/>
              </w:rPr>
              <w:t>19,169 (2)</w:t>
            </w:r>
          </w:p>
        </w:tc>
        <w:tc>
          <w:tcPr>
            <w:tcW w:w="1480" w:type="dxa"/>
            <w:vAlign w:val="bottom"/>
          </w:tcPr>
          <w:p>
            <w:pPr>
              <w:jc w:val="right"/>
              <w:ind w:right="31"/>
              <w:spacing w:after="0" w:line="159" w:lineRule="exact"/>
              <w:rPr>
                <w:sz w:val="20"/>
                <w:szCs w:val="20"/>
                <w:color w:val="auto"/>
              </w:rPr>
            </w:pPr>
            <w:r>
              <w:rPr>
                <w:rFonts w:ascii="Arial" w:cs="Arial" w:eastAsia="Arial" w:hAnsi="Arial"/>
                <w:sz w:val="14"/>
                <w:szCs w:val="14"/>
                <w:color w:val="auto"/>
              </w:rPr>
              <w:t>956,533</w:t>
            </w:r>
          </w:p>
        </w:tc>
        <w:tc>
          <w:tcPr>
            <w:tcW w:w="0" w:type="dxa"/>
            <w:vAlign w:val="bottom"/>
          </w:tcPr>
          <w:p>
            <w:pPr>
              <w:spacing w:after="0"/>
              <w:rPr>
                <w:sz w:val="1"/>
                <w:szCs w:val="1"/>
                <w:color w:val="auto"/>
              </w:rPr>
            </w:pPr>
          </w:p>
        </w:tc>
      </w:tr>
      <w:tr>
        <w:trPr>
          <w:trHeight w:val="160"/>
        </w:trPr>
        <w:tc>
          <w:tcPr>
            <w:tcW w:w="172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3/1/2020</w:t>
            </w:r>
          </w:p>
        </w:tc>
        <w:tc>
          <w:tcPr>
            <w:tcW w:w="1240" w:type="dxa"/>
            <w:vAlign w:val="bottom"/>
          </w:tcPr>
          <w:p>
            <w:pPr>
              <w:jc w:val="center"/>
              <w:ind w:left="111"/>
              <w:spacing w:after="0" w:line="159" w:lineRule="exact"/>
              <w:rPr>
                <w:sz w:val="20"/>
                <w:szCs w:val="20"/>
                <w:color w:val="auto"/>
              </w:rPr>
            </w:pPr>
            <w:r>
              <w:rPr>
                <w:rFonts w:ascii="Arial" w:cs="Arial" w:eastAsia="Arial" w:hAnsi="Arial"/>
                <w:sz w:val="14"/>
                <w:szCs w:val="14"/>
                <w:color w:val="auto"/>
                <w:w w:val="99"/>
              </w:rPr>
              <w:t>—</w:t>
            </w:r>
          </w:p>
        </w:tc>
        <w:tc>
          <w:tcPr>
            <w:tcW w:w="1160" w:type="dxa"/>
            <w:vAlign w:val="bottom"/>
          </w:tcPr>
          <w:p>
            <w:pPr>
              <w:jc w:val="center"/>
              <w:ind w:left="71"/>
              <w:spacing w:after="0" w:line="159" w:lineRule="exact"/>
              <w:rPr>
                <w:sz w:val="20"/>
                <w:szCs w:val="20"/>
                <w:color w:val="auto"/>
              </w:rPr>
            </w:pPr>
            <w:r>
              <w:rPr>
                <w:rFonts w:ascii="Arial" w:cs="Arial" w:eastAsia="Arial" w:hAnsi="Arial"/>
                <w:sz w:val="14"/>
                <w:szCs w:val="14"/>
                <w:color w:val="auto"/>
                <w:w w:val="99"/>
              </w:rPr>
              <w:t>—</w:t>
            </w:r>
          </w:p>
        </w:tc>
        <w:tc>
          <w:tcPr>
            <w:tcW w:w="62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960" w:type="dxa"/>
            <w:vAlign w:val="bottom"/>
          </w:tcPr>
          <w:p>
            <w:pPr>
              <w:jc w:val="center"/>
              <w:ind w:right="110"/>
              <w:spacing w:after="0" w:line="159" w:lineRule="exact"/>
              <w:rPr>
                <w:sz w:val="20"/>
                <w:szCs w:val="20"/>
                <w:color w:val="auto"/>
              </w:rPr>
            </w:pPr>
            <w:r>
              <w:rPr>
                <w:rFonts w:ascii="Arial" w:cs="Arial" w:eastAsia="Arial" w:hAnsi="Arial"/>
                <w:sz w:val="14"/>
                <w:szCs w:val="14"/>
                <w:color w:val="auto"/>
                <w:w w:val="99"/>
              </w:rPr>
              <w:t>—</w:t>
            </w: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4,719 (1)</w:t>
            </w: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235,478</w:t>
            </w:r>
          </w:p>
        </w:tc>
        <w:tc>
          <w:tcPr>
            <w:tcW w:w="1160" w:type="dxa"/>
            <w:vAlign w:val="bottom"/>
          </w:tcPr>
          <w:p>
            <w:pPr>
              <w:jc w:val="right"/>
              <w:ind w:right="351"/>
              <w:spacing w:after="0" w:line="159" w:lineRule="exact"/>
              <w:rPr>
                <w:sz w:val="20"/>
                <w:szCs w:val="20"/>
                <w:color w:val="auto"/>
              </w:rPr>
            </w:pPr>
            <w:r>
              <w:rPr>
                <w:rFonts w:ascii="Arial" w:cs="Arial" w:eastAsia="Arial" w:hAnsi="Arial"/>
                <w:sz w:val="14"/>
                <w:szCs w:val="14"/>
                <w:color w:val="auto"/>
              </w:rPr>
              <w:t>—</w:t>
            </w:r>
          </w:p>
        </w:tc>
        <w:tc>
          <w:tcPr>
            <w:tcW w:w="1480" w:type="dxa"/>
            <w:vAlign w:val="bottom"/>
          </w:tcPr>
          <w:p>
            <w:pPr>
              <w:jc w:val="right"/>
              <w:ind w:right="291"/>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172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3/1/2020</w:t>
            </w:r>
          </w:p>
        </w:tc>
        <w:tc>
          <w:tcPr>
            <w:tcW w:w="1240" w:type="dxa"/>
            <w:vAlign w:val="bottom"/>
          </w:tcPr>
          <w:p>
            <w:pPr>
              <w:jc w:val="center"/>
              <w:ind w:left="111"/>
              <w:spacing w:after="0" w:line="159" w:lineRule="exact"/>
              <w:rPr>
                <w:sz w:val="20"/>
                <w:szCs w:val="20"/>
                <w:color w:val="auto"/>
              </w:rPr>
            </w:pPr>
            <w:r>
              <w:rPr>
                <w:rFonts w:ascii="Arial" w:cs="Arial" w:eastAsia="Arial" w:hAnsi="Arial"/>
                <w:sz w:val="14"/>
                <w:szCs w:val="14"/>
                <w:color w:val="auto"/>
                <w:w w:val="99"/>
              </w:rPr>
              <w:t>—</w:t>
            </w:r>
          </w:p>
        </w:tc>
        <w:tc>
          <w:tcPr>
            <w:tcW w:w="1160" w:type="dxa"/>
            <w:vAlign w:val="bottom"/>
          </w:tcPr>
          <w:p>
            <w:pPr>
              <w:jc w:val="center"/>
              <w:ind w:left="71"/>
              <w:spacing w:after="0" w:line="159" w:lineRule="exact"/>
              <w:rPr>
                <w:sz w:val="20"/>
                <w:szCs w:val="20"/>
                <w:color w:val="auto"/>
              </w:rPr>
            </w:pPr>
            <w:r>
              <w:rPr>
                <w:rFonts w:ascii="Arial" w:cs="Arial" w:eastAsia="Arial" w:hAnsi="Arial"/>
                <w:sz w:val="14"/>
                <w:szCs w:val="14"/>
                <w:color w:val="auto"/>
                <w:w w:val="99"/>
              </w:rPr>
              <w:t>—</w:t>
            </w:r>
          </w:p>
        </w:tc>
        <w:tc>
          <w:tcPr>
            <w:tcW w:w="62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960" w:type="dxa"/>
            <w:vAlign w:val="bottom"/>
          </w:tcPr>
          <w:p>
            <w:pPr>
              <w:jc w:val="center"/>
              <w:ind w:right="110"/>
              <w:spacing w:after="0" w:line="159" w:lineRule="exact"/>
              <w:rPr>
                <w:sz w:val="20"/>
                <w:szCs w:val="20"/>
                <w:color w:val="auto"/>
              </w:rPr>
            </w:pPr>
            <w:r>
              <w:rPr>
                <w:rFonts w:ascii="Arial" w:cs="Arial" w:eastAsia="Arial" w:hAnsi="Arial"/>
                <w:sz w:val="14"/>
                <w:szCs w:val="14"/>
                <w:color w:val="auto"/>
                <w:w w:val="99"/>
              </w:rPr>
              <w:t>—</w:t>
            </w:r>
          </w:p>
        </w:tc>
        <w:tc>
          <w:tcPr>
            <w:tcW w:w="900" w:type="dxa"/>
            <w:vAlign w:val="bottom"/>
          </w:tcPr>
          <w:p>
            <w:pPr>
              <w:jc w:val="right"/>
              <w:ind w:right="371"/>
              <w:spacing w:after="0" w:line="15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191"/>
              <w:spacing w:after="0" w:line="159" w:lineRule="exact"/>
              <w:rPr>
                <w:sz w:val="20"/>
                <w:szCs w:val="20"/>
                <w:color w:val="auto"/>
              </w:rPr>
            </w:pPr>
            <w:r>
              <w:rPr>
                <w:rFonts w:ascii="Arial" w:cs="Arial" w:eastAsia="Arial" w:hAnsi="Arial"/>
                <w:sz w:val="14"/>
                <w:szCs w:val="14"/>
                <w:color w:val="auto"/>
              </w:rPr>
              <w:t>—</w:t>
            </w:r>
          </w:p>
        </w:tc>
        <w:tc>
          <w:tcPr>
            <w:tcW w:w="1160" w:type="dxa"/>
            <w:vAlign w:val="bottom"/>
          </w:tcPr>
          <w:p>
            <w:pPr>
              <w:jc w:val="right"/>
              <w:spacing w:after="0" w:line="159" w:lineRule="exact"/>
              <w:rPr>
                <w:sz w:val="20"/>
                <w:szCs w:val="20"/>
                <w:color w:val="auto"/>
              </w:rPr>
            </w:pPr>
            <w:r>
              <w:rPr>
                <w:rFonts w:ascii="Arial" w:cs="Arial" w:eastAsia="Arial" w:hAnsi="Arial"/>
                <w:sz w:val="14"/>
                <w:szCs w:val="14"/>
                <w:color w:val="auto"/>
              </w:rPr>
              <w:t>16,515 (3)</w:t>
            </w:r>
          </w:p>
        </w:tc>
        <w:tc>
          <w:tcPr>
            <w:tcW w:w="1480" w:type="dxa"/>
            <w:vAlign w:val="bottom"/>
          </w:tcPr>
          <w:p>
            <w:pPr>
              <w:jc w:val="right"/>
              <w:ind w:right="31"/>
              <w:spacing w:after="0" w:line="159" w:lineRule="exact"/>
              <w:rPr>
                <w:sz w:val="20"/>
                <w:szCs w:val="20"/>
                <w:color w:val="auto"/>
              </w:rPr>
            </w:pPr>
            <w:r>
              <w:rPr>
                <w:rFonts w:ascii="Arial" w:cs="Arial" w:eastAsia="Arial" w:hAnsi="Arial"/>
                <w:sz w:val="14"/>
                <w:szCs w:val="14"/>
                <w:color w:val="auto"/>
              </w:rPr>
              <w:t>824,099</w:t>
            </w:r>
          </w:p>
        </w:tc>
        <w:tc>
          <w:tcPr>
            <w:tcW w:w="0" w:type="dxa"/>
            <w:vAlign w:val="bottom"/>
          </w:tcPr>
          <w:p>
            <w:pPr>
              <w:spacing w:after="0"/>
              <w:rPr>
                <w:sz w:val="1"/>
                <w:szCs w:val="1"/>
                <w:color w:val="auto"/>
              </w:rPr>
            </w:pPr>
          </w:p>
        </w:tc>
      </w:tr>
      <w:tr>
        <w:trPr>
          <w:trHeight w:val="160"/>
        </w:trPr>
        <w:tc>
          <w:tcPr>
            <w:tcW w:w="172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3/1/2021</w:t>
            </w:r>
          </w:p>
        </w:tc>
        <w:tc>
          <w:tcPr>
            <w:tcW w:w="1240" w:type="dxa"/>
            <w:vAlign w:val="bottom"/>
          </w:tcPr>
          <w:p>
            <w:pPr>
              <w:jc w:val="center"/>
              <w:ind w:left="111"/>
              <w:spacing w:after="0" w:line="159" w:lineRule="exact"/>
              <w:rPr>
                <w:sz w:val="20"/>
                <w:szCs w:val="20"/>
                <w:color w:val="auto"/>
              </w:rPr>
            </w:pPr>
            <w:r>
              <w:rPr>
                <w:rFonts w:ascii="Arial" w:cs="Arial" w:eastAsia="Arial" w:hAnsi="Arial"/>
                <w:sz w:val="14"/>
                <w:szCs w:val="14"/>
                <w:color w:val="auto"/>
                <w:w w:val="99"/>
              </w:rPr>
              <w:t>—</w:t>
            </w:r>
          </w:p>
        </w:tc>
        <w:tc>
          <w:tcPr>
            <w:tcW w:w="1160" w:type="dxa"/>
            <w:vAlign w:val="bottom"/>
          </w:tcPr>
          <w:p>
            <w:pPr>
              <w:jc w:val="center"/>
              <w:ind w:left="71"/>
              <w:spacing w:after="0" w:line="159" w:lineRule="exact"/>
              <w:rPr>
                <w:sz w:val="20"/>
                <w:szCs w:val="20"/>
                <w:color w:val="auto"/>
              </w:rPr>
            </w:pPr>
            <w:r>
              <w:rPr>
                <w:rFonts w:ascii="Arial" w:cs="Arial" w:eastAsia="Arial" w:hAnsi="Arial"/>
                <w:sz w:val="14"/>
                <w:szCs w:val="14"/>
                <w:color w:val="auto"/>
                <w:w w:val="99"/>
              </w:rPr>
              <w:t>—</w:t>
            </w:r>
          </w:p>
        </w:tc>
        <w:tc>
          <w:tcPr>
            <w:tcW w:w="62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960" w:type="dxa"/>
            <w:vAlign w:val="bottom"/>
          </w:tcPr>
          <w:p>
            <w:pPr>
              <w:jc w:val="center"/>
              <w:ind w:right="110"/>
              <w:spacing w:after="0" w:line="159" w:lineRule="exact"/>
              <w:rPr>
                <w:sz w:val="20"/>
                <w:szCs w:val="20"/>
                <w:color w:val="auto"/>
              </w:rPr>
            </w:pPr>
            <w:r>
              <w:rPr>
                <w:rFonts w:ascii="Arial" w:cs="Arial" w:eastAsia="Arial" w:hAnsi="Arial"/>
                <w:sz w:val="14"/>
                <w:szCs w:val="14"/>
                <w:color w:val="auto"/>
                <w:w w:val="99"/>
              </w:rPr>
              <w:t>—</w:t>
            </w: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10,419 (1)</w:t>
            </w: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519,908</w:t>
            </w:r>
          </w:p>
        </w:tc>
        <w:tc>
          <w:tcPr>
            <w:tcW w:w="1160" w:type="dxa"/>
            <w:vAlign w:val="bottom"/>
          </w:tcPr>
          <w:p>
            <w:pPr>
              <w:jc w:val="right"/>
              <w:ind w:right="351"/>
              <w:spacing w:after="0" w:line="159" w:lineRule="exact"/>
              <w:rPr>
                <w:sz w:val="20"/>
                <w:szCs w:val="20"/>
                <w:color w:val="auto"/>
              </w:rPr>
            </w:pPr>
            <w:r>
              <w:rPr>
                <w:rFonts w:ascii="Arial" w:cs="Arial" w:eastAsia="Arial" w:hAnsi="Arial"/>
                <w:sz w:val="14"/>
                <w:szCs w:val="14"/>
                <w:color w:val="auto"/>
              </w:rPr>
              <w:t>—</w:t>
            </w:r>
          </w:p>
        </w:tc>
        <w:tc>
          <w:tcPr>
            <w:tcW w:w="1480" w:type="dxa"/>
            <w:vAlign w:val="bottom"/>
          </w:tcPr>
          <w:p>
            <w:pPr>
              <w:jc w:val="right"/>
              <w:ind w:right="291"/>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720" w:type="dxa"/>
            <w:vAlign w:val="bottom"/>
            <w:tcBorders>
              <w:bottom w:val="single" w:sz="8" w:color="999999"/>
            </w:tcBorders>
          </w:tcPr>
          <w:p>
            <w:pPr>
              <w:spacing w:after="0"/>
              <w:rPr>
                <w:sz w:val="13"/>
                <w:szCs w:val="13"/>
                <w:color w:val="auto"/>
              </w:rPr>
            </w:pPr>
          </w:p>
        </w:tc>
        <w:tc>
          <w:tcPr>
            <w:tcW w:w="740" w:type="dxa"/>
            <w:vAlign w:val="bottom"/>
            <w:tcBorders>
              <w:bottom w:val="single" w:sz="8" w:color="999999"/>
            </w:tcBorders>
          </w:tcPr>
          <w:p>
            <w:pPr>
              <w:jc w:val="right"/>
              <w:spacing w:after="0" w:line="155" w:lineRule="exact"/>
              <w:rPr>
                <w:sz w:val="20"/>
                <w:szCs w:val="20"/>
                <w:color w:val="auto"/>
              </w:rPr>
            </w:pPr>
            <w:r>
              <w:rPr>
                <w:rFonts w:ascii="Arial" w:cs="Arial" w:eastAsia="Arial" w:hAnsi="Arial"/>
                <w:sz w:val="14"/>
                <w:szCs w:val="14"/>
                <w:color w:val="auto"/>
              </w:rPr>
              <w:t>3/1/2021</w:t>
            </w:r>
          </w:p>
        </w:tc>
        <w:tc>
          <w:tcPr>
            <w:tcW w:w="1240" w:type="dxa"/>
            <w:vAlign w:val="bottom"/>
            <w:tcBorders>
              <w:bottom w:val="single" w:sz="8" w:color="999999"/>
            </w:tcBorders>
          </w:tcPr>
          <w:p>
            <w:pPr>
              <w:jc w:val="center"/>
              <w:ind w:left="111"/>
              <w:spacing w:after="0" w:line="155" w:lineRule="exact"/>
              <w:rPr>
                <w:sz w:val="20"/>
                <w:szCs w:val="20"/>
                <w:color w:val="auto"/>
              </w:rPr>
            </w:pPr>
            <w:r>
              <w:rPr>
                <w:rFonts w:ascii="Arial" w:cs="Arial" w:eastAsia="Arial" w:hAnsi="Arial"/>
                <w:sz w:val="14"/>
                <w:szCs w:val="14"/>
                <w:color w:val="auto"/>
                <w:w w:val="99"/>
              </w:rPr>
              <w:t>—</w:t>
            </w:r>
          </w:p>
        </w:tc>
        <w:tc>
          <w:tcPr>
            <w:tcW w:w="1160" w:type="dxa"/>
            <w:vAlign w:val="bottom"/>
            <w:tcBorders>
              <w:bottom w:val="single" w:sz="8" w:color="999999"/>
            </w:tcBorders>
          </w:tcPr>
          <w:p>
            <w:pPr>
              <w:jc w:val="center"/>
              <w:ind w:left="71"/>
              <w:spacing w:after="0" w:line="155" w:lineRule="exact"/>
              <w:rPr>
                <w:sz w:val="20"/>
                <w:szCs w:val="20"/>
                <w:color w:val="auto"/>
              </w:rPr>
            </w:pPr>
            <w:r>
              <w:rPr>
                <w:rFonts w:ascii="Arial" w:cs="Arial" w:eastAsia="Arial" w:hAnsi="Arial"/>
                <w:sz w:val="14"/>
                <w:szCs w:val="14"/>
                <w:color w:val="auto"/>
                <w:w w:val="99"/>
              </w:rPr>
              <w:t>—</w:t>
            </w:r>
          </w:p>
        </w:tc>
        <w:tc>
          <w:tcPr>
            <w:tcW w:w="620" w:type="dxa"/>
            <w:vAlign w:val="bottom"/>
            <w:tcBorders>
              <w:bottom w:val="single" w:sz="8" w:color="999999"/>
            </w:tcBorders>
          </w:tcPr>
          <w:p>
            <w:pPr>
              <w:jc w:val="center"/>
              <w:spacing w:after="0" w:line="155" w:lineRule="exact"/>
              <w:rPr>
                <w:sz w:val="20"/>
                <w:szCs w:val="20"/>
                <w:color w:val="auto"/>
              </w:rPr>
            </w:pPr>
            <w:r>
              <w:rPr>
                <w:rFonts w:ascii="Arial" w:cs="Arial" w:eastAsia="Arial" w:hAnsi="Arial"/>
                <w:sz w:val="14"/>
                <w:szCs w:val="14"/>
                <w:color w:val="auto"/>
                <w:w w:val="99"/>
              </w:rPr>
              <w:t>—</w:t>
            </w:r>
          </w:p>
        </w:tc>
        <w:tc>
          <w:tcPr>
            <w:tcW w:w="960" w:type="dxa"/>
            <w:vAlign w:val="bottom"/>
            <w:tcBorders>
              <w:bottom w:val="single" w:sz="8" w:color="999999"/>
            </w:tcBorders>
          </w:tcPr>
          <w:p>
            <w:pPr>
              <w:jc w:val="center"/>
              <w:ind w:right="110"/>
              <w:spacing w:after="0" w:line="155" w:lineRule="exact"/>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999999"/>
            </w:tcBorders>
          </w:tcPr>
          <w:p>
            <w:pPr>
              <w:jc w:val="right"/>
              <w:ind w:right="371"/>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999999"/>
            </w:tcBorders>
          </w:tcPr>
          <w:p>
            <w:pPr>
              <w:jc w:val="right"/>
              <w:ind w:right="191"/>
              <w:spacing w:after="0" w:line="155"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999999"/>
            </w:tcBorders>
          </w:tcPr>
          <w:p>
            <w:pPr>
              <w:jc w:val="right"/>
              <w:spacing w:after="0" w:line="155" w:lineRule="exact"/>
              <w:rPr>
                <w:sz w:val="20"/>
                <w:szCs w:val="20"/>
                <w:color w:val="auto"/>
              </w:rPr>
            </w:pPr>
            <w:r>
              <w:rPr>
                <w:rFonts w:ascii="Arial" w:cs="Arial" w:eastAsia="Arial" w:hAnsi="Arial"/>
                <w:sz w:val="14"/>
                <w:szCs w:val="14"/>
                <w:color w:val="auto"/>
              </w:rPr>
              <w:t>5,209 (4)</w:t>
            </w:r>
          </w:p>
        </w:tc>
        <w:tc>
          <w:tcPr>
            <w:tcW w:w="1480" w:type="dxa"/>
            <w:vAlign w:val="bottom"/>
            <w:tcBorders>
              <w:bottom w:val="single" w:sz="8" w:color="999999"/>
            </w:tcBorders>
          </w:tcPr>
          <w:p>
            <w:pPr>
              <w:jc w:val="right"/>
              <w:ind w:right="31"/>
              <w:spacing w:after="0" w:line="155" w:lineRule="exact"/>
              <w:rPr>
                <w:sz w:val="20"/>
                <w:szCs w:val="20"/>
                <w:color w:val="auto"/>
              </w:rPr>
            </w:pPr>
            <w:r>
              <w:rPr>
                <w:rFonts w:ascii="Arial" w:cs="Arial" w:eastAsia="Arial" w:hAnsi="Arial"/>
                <w:sz w:val="14"/>
                <w:szCs w:val="14"/>
                <w:color w:val="auto"/>
              </w:rPr>
              <w:t>259,929</w:t>
            </w:r>
          </w:p>
        </w:tc>
        <w:tc>
          <w:tcPr>
            <w:tcW w:w="0" w:type="dxa"/>
            <w:vAlign w:val="bottom"/>
          </w:tcPr>
          <w:p>
            <w:pPr>
              <w:spacing w:after="0"/>
              <w:rPr>
                <w:sz w:val="1"/>
                <w:szCs w:val="1"/>
                <w:color w:val="auto"/>
              </w:rPr>
            </w:pPr>
          </w:p>
        </w:tc>
      </w:tr>
      <w:tr>
        <w:trPr>
          <w:trHeight w:val="158"/>
        </w:trPr>
        <w:tc>
          <w:tcPr>
            <w:tcW w:w="1720" w:type="dxa"/>
            <w:vAlign w:val="bottom"/>
          </w:tcPr>
          <w:p>
            <w:pPr>
              <w:spacing w:after="0" w:line="157" w:lineRule="exact"/>
              <w:rPr>
                <w:sz w:val="20"/>
                <w:szCs w:val="20"/>
                <w:color w:val="auto"/>
              </w:rPr>
            </w:pPr>
            <w:r>
              <w:rPr>
                <w:rFonts w:ascii="Arial" w:cs="Arial" w:eastAsia="Arial" w:hAnsi="Arial"/>
                <w:sz w:val="14"/>
                <w:szCs w:val="14"/>
                <w:color w:val="auto"/>
              </w:rPr>
              <w:t>John D. Kelly</w:t>
            </w:r>
          </w:p>
        </w:tc>
        <w:tc>
          <w:tcPr>
            <w:tcW w:w="740" w:type="dxa"/>
            <w:vAlign w:val="bottom"/>
          </w:tcPr>
          <w:p>
            <w:pPr>
              <w:jc w:val="right"/>
              <w:spacing w:after="0" w:line="157" w:lineRule="exact"/>
              <w:rPr>
                <w:sz w:val="20"/>
                <w:szCs w:val="20"/>
                <w:color w:val="auto"/>
              </w:rPr>
            </w:pPr>
            <w:r>
              <w:rPr>
                <w:rFonts w:ascii="Arial" w:cs="Arial" w:eastAsia="Arial" w:hAnsi="Arial"/>
                <w:sz w:val="14"/>
                <w:szCs w:val="14"/>
                <w:color w:val="auto"/>
              </w:rPr>
              <w:t>3/1/2019</w:t>
            </w:r>
          </w:p>
        </w:tc>
        <w:tc>
          <w:tcPr>
            <w:tcW w:w="1240" w:type="dxa"/>
            <w:vAlign w:val="bottom"/>
          </w:tcPr>
          <w:p>
            <w:pPr>
              <w:jc w:val="center"/>
              <w:ind w:left="111"/>
              <w:spacing w:after="0" w:line="157" w:lineRule="exact"/>
              <w:rPr>
                <w:sz w:val="20"/>
                <w:szCs w:val="20"/>
                <w:color w:val="auto"/>
              </w:rPr>
            </w:pPr>
            <w:r>
              <w:rPr>
                <w:rFonts w:ascii="Arial" w:cs="Arial" w:eastAsia="Arial" w:hAnsi="Arial"/>
                <w:sz w:val="14"/>
                <w:szCs w:val="14"/>
                <w:color w:val="auto"/>
                <w:w w:val="99"/>
              </w:rPr>
              <w:t>—</w:t>
            </w:r>
          </w:p>
        </w:tc>
        <w:tc>
          <w:tcPr>
            <w:tcW w:w="1160" w:type="dxa"/>
            <w:vAlign w:val="bottom"/>
          </w:tcPr>
          <w:p>
            <w:pPr>
              <w:jc w:val="center"/>
              <w:ind w:left="71"/>
              <w:spacing w:after="0" w:line="157" w:lineRule="exact"/>
              <w:rPr>
                <w:sz w:val="20"/>
                <w:szCs w:val="20"/>
                <w:color w:val="auto"/>
              </w:rPr>
            </w:pPr>
            <w:r>
              <w:rPr>
                <w:rFonts w:ascii="Arial" w:cs="Arial" w:eastAsia="Arial" w:hAnsi="Arial"/>
                <w:sz w:val="14"/>
                <w:szCs w:val="14"/>
                <w:color w:val="auto"/>
                <w:w w:val="99"/>
              </w:rPr>
              <w:t>—</w:t>
            </w:r>
          </w:p>
        </w:tc>
        <w:tc>
          <w:tcPr>
            <w:tcW w:w="620" w:type="dxa"/>
            <w:vAlign w:val="bottom"/>
          </w:tcPr>
          <w:p>
            <w:pPr>
              <w:jc w:val="center"/>
              <w:spacing w:after="0" w:line="157" w:lineRule="exact"/>
              <w:rPr>
                <w:sz w:val="20"/>
                <w:szCs w:val="20"/>
                <w:color w:val="auto"/>
              </w:rPr>
            </w:pPr>
            <w:r>
              <w:rPr>
                <w:rFonts w:ascii="Arial" w:cs="Arial" w:eastAsia="Arial" w:hAnsi="Arial"/>
                <w:sz w:val="14"/>
                <w:szCs w:val="14"/>
                <w:color w:val="auto"/>
                <w:w w:val="99"/>
              </w:rPr>
              <w:t>—</w:t>
            </w:r>
          </w:p>
        </w:tc>
        <w:tc>
          <w:tcPr>
            <w:tcW w:w="960" w:type="dxa"/>
            <w:vAlign w:val="bottom"/>
          </w:tcPr>
          <w:p>
            <w:pPr>
              <w:jc w:val="center"/>
              <w:ind w:right="110"/>
              <w:spacing w:after="0" w:line="157" w:lineRule="exact"/>
              <w:rPr>
                <w:sz w:val="20"/>
                <w:szCs w:val="20"/>
                <w:color w:val="auto"/>
              </w:rPr>
            </w:pPr>
            <w:r>
              <w:rPr>
                <w:rFonts w:ascii="Arial" w:cs="Arial" w:eastAsia="Arial" w:hAnsi="Arial"/>
                <w:sz w:val="14"/>
                <w:szCs w:val="14"/>
                <w:color w:val="auto"/>
                <w:w w:val="99"/>
              </w:rPr>
              <w:t>—</w:t>
            </w:r>
          </w:p>
        </w:tc>
        <w:tc>
          <w:tcPr>
            <w:tcW w:w="900" w:type="dxa"/>
            <w:vAlign w:val="bottom"/>
          </w:tcPr>
          <w:p>
            <w:pPr>
              <w:jc w:val="right"/>
              <w:spacing w:after="0" w:line="157" w:lineRule="exact"/>
              <w:rPr>
                <w:sz w:val="20"/>
                <w:szCs w:val="20"/>
                <w:color w:val="auto"/>
              </w:rPr>
            </w:pPr>
            <w:r>
              <w:rPr>
                <w:rFonts w:ascii="Arial" w:cs="Arial" w:eastAsia="Arial" w:hAnsi="Arial"/>
                <w:sz w:val="14"/>
                <w:szCs w:val="14"/>
                <w:color w:val="auto"/>
              </w:rPr>
              <w:t>1,440 (1)</w:t>
            </w: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71,856</w:t>
            </w:r>
          </w:p>
        </w:tc>
        <w:tc>
          <w:tcPr>
            <w:tcW w:w="1160" w:type="dxa"/>
            <w:vAlign w:val="bottom"/>
          </w:tcPr>
          <w:p>
            <w:pPr>
              <w:jc w:val="right"/>
              <w:ind w:right="351"/>
              <w:spacing w:after="0" w:line="157" w:lineRule="exact"/>
              <w:rPr>
                <w:sz w:val="20"/>
                <w:szCs w:val="20"/>
                <w:color w:val="auto"/>
              </w:rPr>
            </w:pPr>
            <w:r>
              <w:rPr>
                <w:rFonts w:ascii="Arial" w:cs="Arial" w:eastAsia="Arial" w:hAnsi="Arial"/>
                <w:sz w:val="14"/>
                <w:szCs w:val="14"/>
                <w:color w:val="auto"/>
              </w:rPr>
              <w:t>—</w:t>
            </w:r>
          </w:p>
        </w:tc>
        <w:tc>
          <w:tcPr>
            <w:tcW w:w="1480" w:type="dxa"/>
            <w:vAlign w:val="bottom"/>
          </w:tcPr>
          <w:p>
            <w:pPr>
              <w:jc w:val="right"/>
              <w:ind w:right="291"/>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172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3/1/2019</w:t>
            </w:r>
          </w:p>
        </w:tc>
        <w:tc>
          <w:tcPr>
            <w:tcW w:w="1240" w:type="dxa"/>
            <w:vAlign w:val="bottom"/>
          </w:tcPr>
          <w:p>
            <w:pPr>
              <w:jc w:val="center"/>
              <w:ind w:left="111"/>
              <w:spacing w:after="0" w:line="159" w:lineRule="exact"/>
              <w:rPr>
                <w:sz w:val="20"/>
                <w:szCs w:val="20"/>
                <w:color w:val="auto"/>
              </w:rPr>
            </w:pPr>
            <w:r>
              <w:rPr>
                <w:rFonts w:ascii="Arial" w:cs="Arial" w:eastAsia="Arial" w:hAnsi="Arial"/>
                <w:sz w:val="14"/>
                <w:szCs w:val="14"/>
                <w:color w:val="auto"/>
                <w:w w:val="99"/>
              </w:rPr>
              <w:t>—</w:t>
            </w:r>
          </w:p>
        </w:tc>
        <w:tc>
          <w:tcPr>
            <w:tcW w:w="1160" w:type="dxa"/>
            <w:vAlign w:val="bottom"/>
          </w:tcPr>
          <w:p>
            <w:pPr>
              <w:jc w:val="center"/>
              <w:ind w:left="71"/>
              <w:spacing w:after="0" w:line="159" w:lineRule="exact"/>
              <w:rPr>
                <w:sz w:val="20"/>
                <w:szCs w:val="20"/>
                <w:color w:val="auto"/>
              </w:rPr>
            </w:pPr>
            <w:r>
              <w:rPr>
                <w:rFonts w:ascii="Arial" w:cs="Arial" w:eastAsia="Arial" w:hAnsi="Arial"/>
                <w:sz w:val="14"/>
                <w:szCs w:val="14"/>
                <w:color w:val="auto"/>
                <w:w w:val="99"/>
              </w:rPr>
              <w:t>—</w:t>
            </w:r>
          </w:p>
        </w:tc>
        <w:tc>
          <w:tcPr>
            <w:tcW w:w="62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960" w:type="dxa"/>
            <w:vAlign w:val="bottom"/>
          </w:tcPr>
          <w:p>
            <w:pPr>
              <w:jc w:val="center"/>
              <w:ind w:right="110"/>
              <w:spacing w:after="0" w:line="159" w:lineRule="exact"/>
              <w:rPr>
                <w:sz w:val="20"/>
                <w:szCs w:val="20"/>
                <w:color w:val="auto"/>
              </w:rPr>
            </w:pPr>
            <w:r>
              <w:rPr>
                <w:rFonts w:ascii="Arial" w:cs="Arial" w:eastAsia="Arial" w:hAnsi="Arial"/>
                <w:sz w:val="14"/>
                <w:szCs w:val="14"/>
                <w:color w:val="auto"/>
                <w:w w:val="99"/>
              </w:rPr>
              <w:t>—</w:t>
            </w:r>
          </w:p>
        </w:tc>
        <w:tc>
          <w:tcPr>
            <w:tcW w:w="900" w:type="dxa"/>
            <w:vAlign w:val="bottom"/>
          </w:tcPr>
          <w:p>
            <w:pPr>
              <w:jc w:val="right"/>
              <w:ind w:right="371"/>
              <w:spacing w:after="0" w:line="15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191"/>
              <w:spacing w:after="0" w:line="159" w:lineRule="exact"/>
              <w:rPr>
                <w:sz w:val="20"/>
                <w:szCs w:val="20"/>
                <w:color w:val="auto"/>
              </w:rPr>
            </w:pPr>
            <w:r>
              <w:rPr>
                <w:rFonts w:ascii="Arial" w:cs="Arial" w:eastAsia="Arial" w:hAnsi="Arial"/>
                <w:sz w:val="14"/>
                <w:szCs w:val="14"/>
                <w:color w:val="auto"/>
              </w:rPr>
              <w:t>—</w:t>
            </w:r>
          </w:p>
        </w:tc>
        <w:tc>
          <w:tcPr>
            <w:tcW w:w="1160" w:type="dxa"/>
            <w:vAlign w:val="bottom"/>
          </w:tcPr>
          <w:p>
            <w:pPr>
              <w:jc w:val="right"/>
              <w:spacing w:after="0" w:line="159" w:lineRule="exact"/>
              <w:rPr>
                <w:sz w:val="20"/>
                <w:szCs w:val="20"/>
                <w:color w:val="auto"/>
              </w:rPr>
            </w:pPr>
            <w:r>
              <w:rPr>
                <w:rFonts w:ascii="Arial" w:cs="Arial" w:eastAsia="Arial" w:hAnsi="Arial"/>
                <w:sz w:val="14"/>
                <w:szCs w:val="14"/>
                <w:color w:val="auto"/>
              </w:rPr>
              <w:t>10,077 (2)</w:t>
            </w:r>
          </w:p>
        </w:tc>
        <w:tc>
          <w:tcPr>
            <w:tcW w:w="1480" w:type="dxa"/>
            <w:vAlign w:val="bottom"/>
          </w:tcPr>
          <w:p>
            <w:pPr>
              <w:jc w:val="right"/>
              <w:ind w:right="31"/>
              <w:spacing w:after="0" w:line="159" w:lineRule="exact"/>
              <w:rPr>
                <w:sz w:val="20"/>
                <w:szCs w:val="20"/>
                <w:color w:val="auto"/>
              </w:rPr>
            </w:pPr>
            <w:r>
              <w:rPr>
                <w:rFonts w:ascii="Arial" w:cs="Arial" w:eastAsia="Arial" w:hAnsi="Arial"/>
                <w:sz w:val="14"/>
                <w:szCs w:val="14"/>
                <w:color w:val="auto"/>
              </w:rPr>
              <w:t>502,842</w:t>
            </w:r>
          </w:p>
        </w:tc>
        <w:tc>
          <w:tcPr>
            <w:tcW w:w="0" w:type="dxa"/>
            <w:vAlign w:val="bottom"/>
          </w:tcPr>
          <w:p>
            <w:pPr>
              <w:spacing w:after="0"/>
              <w:rPr>
                <w:sz w:val="1"/>
                <w:szCs w:val="1"/>
                <w:color w:val="auto"/>
              </w:rPr>
            </w:pPr>
          </w:p>
        </w:tc>
      </w:tr>
      <w:tr>
        <w:trPr>
          <w:trHeight w:val="160"/>
        </w:trPr>
        <w:tc>
          <w:tcPr>
            <w:tcW w:w="172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3/1/2020</w:t>
            </w:r>
          </w:p>
        </w:tc>
        <w:tc>
          <w:tcPr>
            <w:tcW w:w="1240" w:type="dxa"/>
            <w:vAlign w:val="bottom"/>
          </w:tcPr>
          <w:p>
            <w:pPr>
              <w:jc w:val="center"/>
              <w:ind w:left="111"/>
              <w:spacing w:after="0" w:line="159" w:lineRule="exact"/>
              <w:rPr>
                <w:sz w:val="20"/>
                <w:szCs w:val="20"/>
                <w:color w:val="auto"/>
              </w:rPr>
            </w:pPr>
            <w:r>
              <w:rPr>
                <w:rFonts w:ascii="Arial" w:cs="Arial" w:eastAsia="Arial" w:hAnsi="Arial"/>
                <w:sz w:val="14"/>
                <w:szCs w:val="14"/>
                <w:color w:val="auto"/>
                <w:w w:val="99"/>
              </w:rPr>
              <w:t>—</w:t>
            </w:r>
          </w:p>
        </w:tc>
        <w:tc>
          <w:tcPr>
            <w:tcW w:w="1160" w:type="dxa"/>
            <w:vAlign w:val="bottom"/>
          </w:tcPr>
          <w:p>
            <w:pPr>
              <w:jc w:val="center"/>
              <w:ind w:left="71"/>
              <w:spacing w:after="0" w:line="159" w:lineRule="exact"/>
              <w:rPr>
                <w:sz w:val="20"/>
                <w:szCs w:val="20"/>
                <w:color w:val="auto"/>
              </w:rPr>
            </w:pPr>
            <w:r>
              <w:rPr>
                <w:rFonts w:ascii="Arial" w:cs="Arial" w:eastAsia="Arial" w:hAnsi="Arial"/>
                <w:sz w:val="14"/>
                <w:szCs w:val="14"/>
                <w:color w:val="auto"/>
                <w:w w:val="99"/>
              </w:rPr>
              <w:t>—</w:t>
            </w:r>
          </w:p>
        </w:tc>
        <w:tc>
          <w:tcPr>
            <w:tcW w:w="62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960" w:type="dxa"/>
            <w:vAlign w:val="bottom"/>
          </w:tcPr>
          <w:p>
            <w:pPr>
              <w:jc w:val="center"/>
              <w:ind w:right="110"/>
              <w:spacing w:after="0" w:line="159" w:lineRule="exact"/>
              <w:rPr>
                <w:sz w:val="20"/>
                <w:szCs w:val="20"/>
                <w:color w:val="auto"/>
              </w:rPr>
            </w:pPr>
            <w:r>
              <w:rPr>
                <w:rFonts w:ascii="Arial" w:cs="Arial" w:eastAsia="Arial" w:hAnsi="Arial"/>
                <w:sz w:val="14"/>
                <w:szCs w:val="14"/>
                <w:color w:val="auto"/>
                <w:w w:val="99"/>
              </w:rPr>
              <w:t>—</w:t>
            </w: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2,654 (1)</w:t>
            </w: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132,435</w:t>
            </w:r>
          </w:p>
        </w:tc>
        <w:tc>
          <w:tcPr>
            <w:tcW w:w="1160" w:type="dxa"/>
            <w:vAlign w:val="bottom"/>
          </w:tcPr>
          <w:p>
            <w:pPr>
              <w:jc w:val="right"/>
              <w:ind w:right="351"/>
              <w:spacing w:after="0" w:line="159" w:lineRule="exact"/>
              <w:rPr>
                <w:sz w:val="20"/>
                <w:szCs w:val="20"/>
                <w:color w:val="auto"/>
              </w:rPr>
            </w:pPr>
            <w:r>
              <w:rPr>
                <w:rFonts w:ascii="Arial" w:cs="Arial" w:eastAsia="Arial" w:hAnsi="Arial"/>
                <w:sz w:val="14"/>
                <w:szCs w:val="14"/>
                <w:color w:val="auto"/>
              </w:rPr>
              <w:t>—</w:t>
            </w:r>
          </w:p>
        </w:tc>
        <w:tc>
          <w:tcPr>
            <w:tcW w:w="1480" w:type="dxa"/>
            <w:vAlign w:val="bottom"/>
          </w:tcPr>
          <w:p>
            <w:pPr>
              <w:jc w:val="right"/>
              <w:ind w:right="291"/>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172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3/1/2020</w:t>
            </w:r>
          </w:p>
        </w:tc>
        <w:tc>
          <w:tcPr>
            <w:tcW w:w="1240" w:type="dxa"/>
            <w:vAlign w:val="bottom"/>
          </w:tcPr>
          <w:p>
            <w:pPr>
              <w:jc w:val="center"/>
              <w:ind w:left="111"/>
              <w:spacing w:after="0" w:line="159" w:lineRule="exact"/>
              <w:rPr>
                <w:sz w:val="20"/>
                <w:szCs w:val="20"/>
                <w:color w:val="auto"/>
              </w:rPr>
            </w:pPr>
            <w:r>
              <w:rPr>
                <w:rFonts w:ascii="Arial" w:cs="Arial" w:eastAsia="Arial" w:hAnsi="Arial"/>
                <w:sz w:val="14"/>
                <w:szCs w:val="14"/>
                <w:color w:val="auto"/>
                <w:w w:val="99"/>
              </w:rPr>
              <w:t>—</w:t>
            </w:r>
          </w:p>
        </w:tc>
        <w:tc>
          <w:tcPr>
            <w:tcW w:w="1160" w:type="dxa"/>
            <w:vAlign w:val="bottom"/>
          </w:tcPr>
          <w:p>
            <w:pPr>
              <w:jc w:val="center"/>
              <w:ind w:left="71"/>
              <w:spacing w:after="0" w:line="159" w:lineRule="exact"/>
              <w:rPr>
                <w:sz w:val="20"/>
                <w:szCs w:val="20"/>
                <w:color w:val="auto"/>
              </w:rPr>
            </w:pPr>
            <w:r>
              <w:rPr>
                <w:rFonts w:ascii="Arial" w:cs="Arial" w:eastAsia="Arial" w:hAnsi="Arial"/>
                <w:sz w:val="14"/>
                <w:szCs w:val="14"/>
                <w:color w:val="auto"/>
                <w:w w:val="99"/>
              </w:rPr>
              <w:t>—</w:t>
            </w:r>
          </w:p>
        </w:tc>
        <w:tc>
          <w:tcPr>
            <w:tcW w:w="62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960" w:type="dxa"/>
            <w:vAlign w:val="bottom"/>
          </w:tcPr>
          <w:p>
            <w:pPr>
              <w:jc w:val="center"/>
              <w:ind w:right="110"/>
              <w:spacing w:after="0" w:line="159" w:lineRule="exact"/>
              <w:rPr>
                <w:sz w:val="20"/>
                <w:szCs w:val="20"/>
                <w:color w:val="auto"/>
              </w:rPr>
            </w:pPr>
            <w:r>
              <w:rPr>
                <w:rFonts w:ascii="Arial" w:cs="Arial" w:eastAsia="Arial" w:hAnsi="Arial"/>
                <w:sz w:val="14"/>
                <w:szCs w:val="14"/>
                <w:color w:val="auto"/>
                <w:w w:val="99"/>
              </w:rPr>
              <w:t>—</w:t>
            </w: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12,639 (5)</w:t>
            </w: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630,686</w:t>
            </w:r>
          </w:p>
        </w:tc>
        <w:tc>
          <w:tcPr>
            <w:tcW w:w="1160" w:type="dxa"/>
            <w:vAlign w:val="bottom"/>
          </w:tcPr>
          <w:p>
            <w:pPr>
              <w:jc w:val="right"/>
              <w:ind w:right="351"/>
              <w:spacing w:after="0" w:line="159" w:lineRule="exact"/>
              <w:rPr>
                <w:sz w:val="20"/>
                <w:szCs w:val="20"/>
                <w:color w:val="auto"/>
              </w:rPr>
            </w:pPr>
            <w:r>
              <w:rPr>
                <w:rFonts w:ascii="Arial" w:cs="Arial" w:eastAsia="Arial" w:hAnsi="Arial"/>
                <w:sz w:val="14"/>
                <w:szCs w:val="14"/>
                <w:color w:val="auto"/>
              </w:rPr>
              <w:t>—</w:t>
            </w:r>
          </w:p>
        </w:tc>
        <w:tc>
          <w:tcPr>
            <w:tcW w:w="1480" w:type="dxa"/>
            <w:vAlign w:val="bottom"/>
          </w:tcPr>
          <w:p>
            <w:pPr>
              <w:jc w:val="right"/>
              <w:ind w:right="291"/>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172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3/1/2020</w:t>
            </w:r>
          </w:p>
        </w:tc>
        <w:tc>
          <w:tcPr>
            <w:tcW w:w="1240" w:type="dxa"/>
            <w:vAlign w:val="bottom"/>
          </w:tcPr>
          <w:p>
            <w:pPr>
              <w:jc w:val="center"/>
              <w:ind w:left="111"/>
              <w:spacing w:after="0" w:line="159" w:lineRule="exact"/>
              <w:rPr>
                <w:sz w:val="20"/>
                <w:szCs w:val="20"/>
                <w:color w:val="auto"/>
              </w:rPr>
            </w:pPr>
            <w:r>
              <w:rPr>
                <w:rFonts w:ascii="Arial" w:cs="Arial" w:eastAsia="Arial" w:hAnsi="Arial"/>
                <w:sz w:val="14"/>
                <w:szCs w:val="14"/>
                <w:color w:val="auto"/>
                <w:w w:val="99"/>
              </w:rPr>
              <w:t>—</w:t>
            </w:r>
          </w:p>
        </w:tc>
        <w:tc>
          <w:tcPr>
            <w:tcW w:w="1160" w:type="dxa"/>
            <w:vAlign w:val="bottom"/>
          </w:tcPr>
          <w:p>
            <w:pPr>
              <w:jc w:val="center"/>
              <w:ind w:left="71"/>
              <w:spacing w:after="0" w:line="159" w:lineRule="exact"/>
              <w:rPr>
                <w:sz w:val="20"/>
                <w:szCs w:val="20"/>
                <w:color w:val="auto"/>
              </w:rPr>
            </w:pPr>
            <w:r>
              <w:rPr>
                <w:rFonts w:ascii="Arial" w:cs="Arial" w:eastAsia="Arial" w:hAnsi="Arial"/>
                <w:sz w:val="14"/>
                <w:szCs w:val="14"/>
                <w:color w:val="auto"/>
                <w:w w:val="99"/>
              </w:rPr>
              <w:t>—</w:t>
            </w:r>
          </w:p>
        </w:tc>
        <w:tc>
          <w:tcPr>
            <w:tcW w:w="62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960" w:type="dxa"/>
            <w:vAlign w:val="bottom"/>
          </w:tcPr>
          <w:p>
            <w:pPr>
              <w:jc w:val="center"/>
              <w:ind w:right="110"/>
              <w:spacing w:after="0" w:line="159" w:lineRule="exact"/>
              <w:rPr>
                <w:sz w:val="20"/>
                <w:szCs w:val="20"/>
                <w:color w:val="auto"/>
              </w:rPr>
            </w:pPr>
            <w:r>
              <w:rPr>
                <w:rFonts w:ascii="Arial" w:cs="Arial" w:eastAsia="Arial" w:hAnsi="Arial"/>
                <w:sz w:val="14"/>
                <w:szCs w:val="14"/>
                <w:color w:val="auto"/>
                <w:w w:val="99"/>
              </w:rPr>
              <w:t>—</w:t>
            </w:r>
          </w:p>
        </w:tc>
        <w:tc>
          <w:tcPr>
            <w:tcW w:w="900" w:type="dxa"/>
            <w:vAlign w:val="bottom"/>
          </w:tcPr>
          <w:p>
            <w:pPr>
              <w:jc w:val="right"/>
              <w:ind w:right="371"/>
              <w:spacing w:after="0" w:line="15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191"/>
              <w:spacing w:after="0" w:line="159" w:lineRule="exact"/>
              <w:rPr>
                <w:sz w:val="20"/>
                <w:szCs w:val="20"/>
                <w:color w:val="auto"/>
              </w:rPr>
            </w:pPr>
            <w:r>
              <w:rPr>
                <w:rFonts w:ascii="Arial" w:cs="Arial" w:eastAsia="Arial" w:hAnsi="Arial"/>
                <w:sz w:val="14"/>
                <w:szCs w:val="14"/>
                <w:color w:val="auto"/>
              </w:rPr>
              <w:t>—</w:t>
            </w:r>
          </w:p>
        </w:tc>
        <w:tc>
          <w:tcPr>
            <w:tcW w:w="1160" w:type="dxa"/>
            <w:vAlign w:val="bottom"/>
          </w:tcPr>
          <w:p>
            <w:pPr>
              <w:jc w:val="right"/>
              <w:spacing w:after="0" w:line="159" w:lineRule="exact"/>
              <w:rPr>
                <w:sz w:val="20"/>
                <w:szCs w:val="20"/>
                <w:color w:val="auto"/>
              </w:rPr>
            </w:pPr>
            <w:r>
              <w:rPr>
                <w:rFonts w:ascii="Arial" w:cs="Arial" w:eastAsia="Arial" w:hAnsi="Arial"/>
                <w:sz w:val="14"/>
                <w:szCs w:val="14"/>
                <w:color w:val="auto"/>
              </w:rPr>
              <w:t>9,290 (3)</w:t>
            </w:r>
          </w:p>
        </w:tc>
        <w:tc>
          <w:tcPr>
            <w:tcW w:w="1480" w:type="dxa"/>
            <w:vAlign w:val="bottom"/>
          </w:tcPr>
          <w:p>
            <w:pPr>
              <w:jc w:val="right"/>
              <w:ind w:right="31"/>
              <w:spacing w:after="0" w:line="159" w:lineRule="exact"/>
              <w:rPr>
                <w:sz w:val="20"/>
                <w:szCs w:val="20"/>
                <w:color w:val="auto"/>
              </w:rPr>
            </w:pPr>
            <w:r>
              <w:rPr>
                <w:rFonts w:ascii="Arial" w:cs="Arial" w:eastAsia="Arial" w:hAnsi="Arial"/>
                <w:sz w:val="14"/>
                <w:szCs w:val="14"/>
                <w:color w:val="auto"/>
              </w:rPr>
              <w:t>463,571</w:t>
            </w:r>
          </w:p>
        </w:tc>
        <w:tc>
          <w:tcPr>
            <w:tcW w:w="0" w:type="dxa"/>
            <w:vAlign w:val="bottom"/>
          </w:tcPr>
          <w:p>
            <w:pPr>
              <w:spacing w:after="0"/>
              <w:rPr>
                <w:sz w:val="1"/>
                <w:szCs w:val="1"/>
                <w:color w:val="auto"/>
              </w:rPr>
            </w:pPr>
          </w:p>
        </w:tc>
      </w:tr>
      <w:tr>
        <w:trPr>
          <w:trHeight w:val="160"/>
        </w:trPr>
        <w:tc>
          <w:tcPr>
            <w:tcW w:w="172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3/1/2021</w:t>
            </w:r>
          </w:p>
        </w:tc>
        <w:tc>
          <w:tcPr>
            <w:tcW w:w="1240" w:type="dxa"/>
            <w:vAlign w:val="bottom"/>
          </w:tcPr>
          <w:p>
            <w:pPr>
              <w:jc w:val="center"/>
              <w:ind w:left="111"/>
              <w:spacing w:after="0" w:line="159" w:lineRule="exact"/>
              <w:rPr>
                <w:sz w:val="20"/>
                <w:szCs w:val="20"/>
                <w:color w:val="auto"/>
              </w:rPr>
            </w:pPr>
            <w:r>
              <w:rPr>
                <w:rFonts w:ascii="Arial" w:cs="Arial" w:eastAsia="Arial" w:hAnsi="Arial"/>
                <w:sz w:val="14"/>
                <w:szCs w:val="14"/>
                <w:color w:val="auto"/>
                <w:w w:val="99"/>
              </w:rPr>
              <w:t>—</w:t>
            </w:r>
          </w:p>
        </w:tc>
        <w:tc>
          <w:tcPr>
            <w:tcW w:w="1160" w:type="dxa"/>
            <w:vAlign w:val="bottom"/>
          </w:tcPr>
          <w:p>
            <w:pPr>
              <w:jc w:val="center"/>
              <w:ind w:left="71"/>
              <w:spacing w:after="0" w:line="159" w:lineRule="exact"/>
              <w:rPr>
                <w:sz w:val="20"/>
                <w:szCs w:val="20"/>
                <w:color w:val="auto"/>
              </w:rPr>
            </w:pPr>
            <w:r>
              <w:rPr>
                <w:rFonts w:ascii="Arial" w:cs="Arial" w:eastAsia="Arial" w:hAnsi="Arial"/>
                <w:sz w:val="14"/>
                <w:szCs w:val="14"/>
                <w:color w:val="auto"/>
                <w:w w:val="99"/>
              </w:rPr>
              <w:t>—</w:t>
            </w:r>
          </w:p>
        </w:tc>
        <w:tc>
          <w:tcPr>
            <w:tcW w:w="62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960" w:type="dxa"/>
            <w:vAlign w:val="bottom"/>
          </w:tcPr>
          <w:p>
            <w:pPr>
              <w:jc w:val="center"/>
              <w:ind w:right="110"/>
              <w:spacing w:after="0" w:line="159" w:lineRule="exact"/>
              <w:rPr>
                <w:sz w:val="20"/>
                <w:szCs w:val="20"/>
                <w:color w:val="auto"/>
              </w:rPr>
            </w:pPr>
            <w:r>
              <w:rPr>
                <w:rFonts w:ascii="Arial" w:cs="Arial" w:eastAsia="Arial" w:hAnsi="Arial"/>
                <w:sz w:val="14"/>
                <w:szCs w:val="14"/>
                <w:color w:val="auto"/>
                <w:w w:val="99"/>
              </w:rPr>
              <w:t>—</w:t>
            </w: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5,860 (1)</w:t>
            </w: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292,414</w:t>
            </w:r>
          </w:p>
        </w:tc>
        <w:tc>
          <w:tcPr>
            <w:tcW w:w="1160" w:type="dxa"/>
            <w:vAlign w:val="bottom"/>
          </w:tcPr>
          <w:p>
            <w:pPr>
              <w:jc w:val="right"/>
              <w:ind w:right="351"/>
              <w:spacing w:after="0" w:line="159" w:lineRule="exact"/>
              <w:rPr>
                <w:sz w:val="20"/>
                <w:szCs w:val="20"/>
                <w:color w:val="auto"/>
              </w:rPr>
            </w:pPr>
            <w:r>
              <w:rPr>
                <w:rFonts w:ascii="Arial" w:cs="Arial" w:eastAsia="Arial" w:hAnsi="Arial"/>
                <w:sz w:val="14"/>
                <w:szCs w:val="14"/>
                <w:color w:val="auto"/>
              </w:rPr>
              <w:t>—</w:t>
            </w:r>
          </w:p>
        </w:tc>
        <w:tc>
          <w:tcPr>
            <w:tcW w:w="1480" w:type="dxa"/>
            <w:vAlign w:val="bottom"/>
          </w:tcPr>
          <w:p>
            <w:pPr>
              <w:jc w:val="right"/>
              <w:ind w:right="291"/>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720" w:type="dxa"/>
            <w:vAlign w:val="bottom"/>
            <w:tcBorders>
              <w:bottom w:val="single" w:sz="8" w:color="999999"/>
            </w:tcBorders>
          </w:tcPr>
          <w:p>
            <w:pPr>
              <w:spacing w:after="0"/>
              <w:rPr>
                <w:sz w:val="13"/>
                <w:szCs w:val="13"/>
                <w:color w:val="auto"/>
              </w:rPr>
            </w:pPr>
          </w:p>
        </w:tc>
        <w:tc>
          <w:tcPr>
            <w:tcW w:w="740" w:type="dxa"/>
            <w:vAlign w:val="bottom"/>
            <w:tcBorders>
              <w:bottom w:val="single" w:sz="8" w:color="999999"/>
            </w:tcBorders>
          </w:tcPr>
          <w:p>
            <w:pPr>
              <w:jc w:val="right"/>
              <w:spacing w:after="0" w:line="155" w:lineRule="exact"/>
              <w:rPr>
                <w:sz w:val="20"/>
                <w:szCs w:val="20"/>
                <w:color w:val="auto"/>
              </w:rPr>
            </w:pPr>
            <w:r>
              <w:rPr>
                <w:rFonts w:ascii="Arial" w:cs="Arial" w:eastAsia="Arial" w:hAnsi="Arial"/>
                <w:sz w:val="14"/>
                <w:szCs w:val="14"/>
                <w:color w:val="auto"/>
              </w:rPr>
              <w:t>3/1/2021</w:t>
            </w:r>
          </w:p>
        </w:tc>
        <w:tc>
          <w:tcPr>
            <w:tcW w:w="1240" w:type="dxa"/>
            <w:vAlign w:val="bottom"/>
            <w:tcBorders>
              <w:bottom w:val="single" w:sz="8" w:color="999999"/>
            </w:tcBorders>
          </w:tcPr>
          <w:p>
            <w:pPr>
              <w:jc w:val="center"/>
              <w:ind w:left="111"/>
              <w:spacing w:after="0" w:line="155" w:lineRule="exact"/>
              <w:rPr>
                <w:sz w:val="20"/>
                <w:szCs w:val="20"/>
                <w:color w:val="auto"/>
              </w:rPr>
            </w:pPr>
            <w:r>
              <w:rPr>
                <w:rFonts w:ascii="Arial" w:cs="Arial" w:eastAsia="Arial" w:hAnsi="Arial"/>
                <w:sz w:val="14"/>
                <w:szCs w:val="14"/>
                <w:color w:val="auto"/>
                <w:w w:val="99"/>
              </w:rPr>
              <w:t>—</w:t>
            </w:r>
          </w:p>
        </w:tc>
        <w:tc>
          <w:tcPr>
            <w:tcW w:w="1160" w:type="dxa"/>
            <w:vAlign w:val="bottom"/>
            <w:tcBorders>
              <w:bottom w:val="single" w:sz="8" w:color="999999"/>
            </w:tcBorders>
          </w:tcPr>
          <w:p>
            <w:pPr>
              <w:jc w:val="center"/>
              <w:ind w:left="71"/>
              <w:spacing w:after="0" w:line="155" w:lineRule="exact"/>
              <w:rPr>
                <w:sz w:val="20"/>
                <w:szCs w:val="20"/>
                <w:color w:val="auto"/>
              </w:rPr>
            </w:pPr>
            <w:r>
              <w:rPr>
                <w:rFonts w:ascii="Arial" w:cs="Arial" w:eastAsia="Arial" w:hAnsi="Arial"/>
                <w:sz w:val="14"/>
                <w:szCs w:val="14"/>
                <w:color w:val="auto"/>
                <w:w w:val="99"/>
              </w:rPr>
              <w:t>—</w:t>
            </w:r>
          </w:p>
        </w:tc>
        <w:tc>
          <w:tcPr>
            <w:tcW w:w="620" w:type="dxa"/>
            <w:vAlign w:val="bottom"/>
            <w:tcBorders>
              <w:bottom w:val="single" w:sz="8" w:color="999999"/>
            </w:tcBorders>
          </w:tcPr>
          <w:p>
            <w:pPr>
              <w:jc w:val="center"/>
              <w:spacing w:after="0" w:line="155" w:lineRule="exact"/>
              <w:rPr>
                <w:sz w:val="20"/>
                <w:szCs w:val="20"/>
                <w:color w:val="auto"/>
              </w:rPr>
            </w:pPr>
            <w:r>
              <w:rPr>
                <w:rFonts w:ascii="Arial" w:cs="Arial" w:eastAsia="Arial" w:hAnsi="Arial"/>
                <w:sz w:val="14"/>
                <w:szCs w:val="14"/>
                <w:color w:val="auto"/>
                <w:w w:val="99"/>
              </w:rPr>
              <w:t>—</w:t>
            </w:r>
          </w:p>
        </w:tc>
        <w:tc>
          <w:tcPr>
            <w:tcW w:w="960" w:type="dxa"/>
            <w:vAlign w:val="bottom"/>
            <w:tcBorders>
              <w:bottom w:val="single" w:sz="8" w:color="999999"/>
            </w:tcBorders>
          </w:tcPr>
          <w:p>
            <w:pPr>
              <w:jc w:val="center"/>
              <w:ind w:right="110"/>
              <w:spacing w:after="0" w:line="155" w:lineRule="exact"/>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999999"/>
            </w:tcBorders>
          </w:tcPr>
          <w:p>
            <w:pPr>
              <w:jc w:val="right"/>
              <w:ind w:right="371"/>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999999"/>
            </w:tcBorders>
          </w:tcPr>
          <w:p>
            <w:pPr>
              <w:jc w:val="right"/>
              <w:ind w:right="191"/>
              <w:spacing w:after="0" w:line="155"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999999"/>
            </w:tcBorders>
          </w:tcPr>
          <w:p>
            <w:pPr>
              <w:jc w:val="right"/>
              <w:spacing w:after="0" w:line="155" w:lineRule="exact"/>
              <w:rPr>
                <w:sz w:val="20"/>
                <w:szCs w:val="20"/>
                <w:color w:val="auto"/>
              </w:rPr>
            </w:pPr>
            <w:r>
              <w:rPr>
                <w:rFonts w:ascii="Arial" w:cs="Arial" w:eastAsia="Arial" w:hAnsi="Arial"/>
                <w:sz w:val="14"/>
                <w:szCs w:val="14"/>
                <w:color w:val="auto"/>
              </w:rPr>
              <w:t>2,930 (4)</w:t>
            </w:r>
          </w:p>
        </w:tc>
        <w:tc>
          <w:tcPr>
            <w:tcW w:w="1480" w:type="dxa"/>
            <w:vAlign w:val="bottom"/>
            <w:tcBorders>
              <w:bottom w:val="single" w:sz="8" w:color="999999"/>
            </w:tcBorders>
          </w:tcPr>
          <w:p>
            <w:pPr>
              <w:jc w:val="right"/>
              <w:ind w:right="31"/>
              <w:spacing w:after="0" w:line="155" w:lineRule="exact"/>
              <w:rPr>
                <w:sz w:val="20"/>
                <w:szCs w:val="20"/>
                <w:color w:val="auto"/>
              </w:rPr>
            </w:pPr>
            <w:r>
              <w:rPr>
                <w:rFonts w:ascii="Arial" w:cs="Arial" w:eastAsia="Arial" w:hAnsi="Arial"/>
                <w:sz w:val="14"/>
                <w:szCs w:val="14"/>
                <w:color w:val="auto"/>
              </w:rPr>
              <w:t>146,207</w:t>
            </w:r>
          </w:p>
        </w:tc>
        <w:tc>
          <w:tcPr>
            <w:tcW w:w="0" w:type="dxa"/>
            <w:vAlign w:val="bottom"/>
          </w:tcPr>
          <w:p>
            <w:pPr>
              <w:spacing w:after="0"/>
              <w:rPr>
                <w:sz w:val="1"/>
                <w:szCs w:val="1"/>
                <w:color w:val="auto"/>
              </w:rPr>
            </w:pPr>
          </w:p>
        </w:tc>
      </w:tr>
      <w:tr>
        <w:trPr>
          <w:trHeight w:val="158"/>
        </w:trPr>
        <w:tc>
          <w:tcPr>
            <w:tcW w:w="1720" w:type="dxa"/>
            <w:vAlign w:val="bottom"/>
          </w:tcPr>
          <w:p>
            <w:pPr>
              <w:spacing w:after="0" w:line="157" w:lineRule="exact"/>
              <w:rPr>
                <w:sz w:val="20"/>
                <w:szCs w:val="20"/>
                <w:color w:val="auto"/>
              </w:rPr>
            </w:pPr>
            <w:r>
              <w:rPr>
                <w:rFonts w:ascii="Arial" w:cs="Arial" w:eastAsia="Arial" w:hAnsi="Arial"/>
                <w:sz w:val="14"/>
                <w:szCs w:val="14"/>
                <w:color w:val="auto"/>
              </w:rPr>
              <w:t>Ernest W. Torain, Jr.</w:t>
            </w:r>
          </w:p>
        </w:tc>
        <w:tc>
          <w:tcPr>
            <w:tcW w:w="740" w:type="dxa"/>
            <w:vAlign w:val="bottom"/>
          </w:tcPr>
          <w:p>
            <w:pPr>
              <w:jc w:val="right"/>
              <w:spacing w:after="0" w:line="157" w:lineRule="exact"/>
              <w:rPr>
                <w:sz w:val="20"/>
                <w:szCs w:val="20"/>
                <w:color w:val="auto"/>
              </w:rPr>
            </w:pPr>
            <w:r>
              <w:rPr>
                <w:rFonts w:ascii="Arial" w:cs="Arial" w:eastAsia="Arial" w:hAnsi="Arial"/>
                <w:sz w:val="14"/>
                <w:szCs w:val="14"/>
                <w:color w:val="auto"/>
              </w:rPr>
              <w:t>4/1/2020</w:t>
            </w:r>
          </w:p>
        </w:tc>
        <w:tc>
          <w:tcPr>
            <w:tcW w:w="1240" w:type="dxa"/>
            <w:vAlign w:val="bottom"/>
          </w:tcPr>
          <w:p>
            <w:pPr>
              <w:jc w:val="center"/>
              <w:ind w:left="111"/>
              <w:spacing w:after="0" w:line="157" w:lineRule="exact"/>
              <w:rPr>
                <w:sz w:val="20"/>
                <w:szCs w:val="20"/>
                <w:color w:val="auto"/>
              </w:rPr>
            </w:pPr>
            <w:r>
              <w:rPr>
                <w:rFonts w:ascii="Arial" w:cs="Arial" w:eastAsia="Arial" w:hAnsi="Arial"/>
                <w:sz w:val="14"/>
                <w:szCs w:val="14"/>
                <w:color w:val="auto"/>
                <w:w w:val="99"/>
              </w:rPr>
              <w:t>—</w:t>
            </w:r>
          </w:p>
        </w:tc>
        <w:tc>
          <w:tcPr>
            <w:tcW w:w="1160" w:type="dxa"/>
            <w:vAlign w:val="bottom"/>
          </w:tcPr>
          <w:p>
            <w:pPr>
              <w:jc w:val="center"/>
              <w:ind w:left="71"/>
              <w:spacing w:after="0" w:line="157" w:lineRule="exact"/>
              <w:rPr>
                <w:sz w:val="20"/>
                <w:szCs w:val="20"/>
                <w:color w:val="auto"/>
              </w:rPr>
            </w:pPr>
            <w:r>
              <w:rPr>
                <w:rFonts w:ascii="Arial" w:cs="Arial" w:eastAsia="Arial" w:hAnsi="Arial"/>
                <w:sz w:val="14"/>
                <w:szCs w:val="14"/>
                <w:color w:val="auto"/>
                <w:w w:val="99"/>
              </w:rPr>
              <w:t>—</w:t>
            </w:r>
          </w:p>
        </w:tc>
        <w:tc>
          <w:tcPr>
            <w:tcW w:w="620" w:type="dxa"/>
            <w:vAlign w:val="bottom"/>
          </w:tcPr>
          <w:p>
            <w:pPr>
              <w:jc w:val="center"/>
              <w:spacing w:after="0" w:line="157" w:lineRule="exact"/>
              <w:rPr>
                <w:sz w:val="20"/>
                <w:szCs w:val="20"/>
                <w:color w:val="auto"/>
              </w:rPr>
            </w:pPr>
            <w:r>
              <w:rPr>
                <w:rFonts w:ascii="Arial" w:cs="Arial" w:eastAsia="Arial" w:hAnsi="Arial"/>
                <w:sz w:val="14"/>
                <w:szCs w:val="14"/>
                <w:color w:val="auto"/>
                <w:w w:val="99"/>
              </w:rPr>
              <w:t>—</w:t>
            </w:r>
          </w:p>
        </w:tc>
        <w:tc>
          <w:tcPr>
            <w:tcW w:w="960" w:type="dxa"/>
            <w:vAlign w:val="bottom"/>
          </w:tcPr>
          <w:p>
            <w:pPr>
              <w:jc w:val="center"/>
              <w:ind w:right="110"/>
              <w:spacing w:after="0" w:line="157" w:lineRule="exact"/>
              <w:rPr>
                <w:sz w:val="20"/>
                <w:szCs w:val="20"/>
                <w:color w:val="auto"/>
              </w:rPr>
            </w:pPr>
            <w:r>
              <w:rPr>
                <w:rFonts w:ascii="Arial" w:cs="Arial" w:eastAsia="Arial" w:hAnsi="Arial"/>
                <w:sz w:val="14"/>
                <w:szCs w:val="14"/>
                <w:color w:val="auto"/>
                <w:w w:val="99"/>
              </w:rPr>
              <w:t>—</w:t>
            </w:r>
          </w:p>
        </w:tc>
        <w:tc>
          <w:tcPr>
            <w:tcW w:w="900" w:type="dxa"/>
            <w:vAlign w:val="bottom"/>
          </w:tcPr>
          <w:p>
            <w:pPr>
              <w:jc w:val="right"/>
              <w:spacing w:after="0" w:line="157" w:lineRule="exact"/>
              <w:rPr>
                <w:sz w:val="20"/>
                <w:szCs w:val="20"/>
                <w:color w:val="auto"/>
              </w:rPr>
            </w:pPr>
            <w:r>
              <w:rPr>
                <w:rFonts w:ascii="Arial" w:cs="Arial" w:eastAsia="Arial" w:hAnsi="Arial"/>
                <w:sz w:val="14"/>
                <w:szCs w:val="14"/>
                <w:color w:val="auto"/>
              </w:rPr>
              <w:t>1,492 (1)</w:t>
            </w: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74,451</w:t>
            </w:r>
          </w:p>
        </w:tc>
        <w:tc>
          <w:tcPr>
            <w:tcW w:w="1160" w:type="dxa"/>
            <w:vAlign w:val="bottom"/>
          </w:tcPr>
          <w:p>
            <w:pPr>
              <w:jc w:val="right"/>
              <w:ind w:right="351"/>
              <w:spacing w:after="0" w:line="157" w:lineRule="exact"/>
              <w:rPr>
                <w:sz w:val="20"/>
                <w:szCs w:val="20"/>
                <w:color w:val="auto"/>
              </w:rPr>
            </w:pPr>
            <w:r>
              <w:rPr>
                <w:rFonts w:ascii="Arial" w:cs="Arial" w:eastAsia="Arial" w:hAnsi="Arial"/>
                <w:sz w:val="14"/>
                <w:szCs w:val="14"/>
                <w:color w:val="auto"/>
              </w:rPr>
              <w:t>—</w:t>
            </w:r>
          </w:p>
        </w:tc>
        <w:tc>
          <w:tcPr>
            <w:tcW w:w="1480" w:type="dxa"/>
            <w:vAlign w:val="bottom"/>
          </w:tcPr>
          <w:p>
            <w:pPr>
              <w:jc w:val="right"/>
              <w:ind w:right="291"/>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172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4/1/2020</w:t>
            </w:r>
          </w:p>
        </w:tc>
        <w:tc>
          <w:tcPr>
            <w:tcW w:w="1240" w:type="dxa"/>
            <w:vAlign w:val="bottom"/>
          </w:tcPr>
          <w:p>
            <w:pPr>
              <w:jc w:val="center"/>
              <w:ind w:left="111"/>
              <w:spacing w:after="0" w:line="159" w:lineRule="exact"/>
              <w:rPr>
                <w:sz w:val="20"/>
                <w:szCs w:val="20"/>
                <w:color w:val="auto"/>
              </w:rPr>
            </w:pPr>
            <w:r>
              <w:rPr>
                <w:rFonts w:ascii="Arial" w:cs="Arial" w:eastAsia="Arial" w:hAnsi="Arial"/>
                <w:sz w:val="14"/>
                <w:szCs w:val="14"/>
                <w:color w:val="auto"/>
                <w:w w:val="99"/>
              </w:rPr>
              <w:t>—</w:t>
            </w:r>
          </w:p>
        </w:tc>
        <w:tc>
          <w:tcPr>
            <w:tcW w:w="1160" w:type="dxa"/>
            <w:vAlign w:val="bottom"/>
          </w:tcPr>
          <w:p>
            <w:pPr>
              <w:jc w:val="center"/>
              <w:ind w:left="71"/>
              <w:spacing w:after="0" w:line="159" w:lineRule="exact"/>
              <w:rPr>
                <w:sz w:val="20"/>
                <w:szCs w:val="20"/>
                <w:color w:val="auto"/>
              </w:rPr>
            </w:pPr>
            <w:r>
              <w:rPr>
                <w:rFonts w:ascii="Arial" w:cs="Arial" w:eastAsia="Arial" w:hAnsi="Arial"/>
                <w:sz w:val="14"/>
                <w:szCs w:val="14"/>
                <w:color w:val="auto"/>
                <w:w w:val="99"/>
              </w:rPr>
              <w:t>—</w:t>
            </w:r>
          </w:p>
        </w:tc>
        <w:tc>
          <w:tcPr>
            <w:tcW w:w="62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960" w:type="dxa"/>
            <w:vAlign w:val="bottom"/>
          </w:tcPr>
          <w:p>
            <w:pPr>
              <w:jc w:val="center"/>
              <w:ind w:right="110"/>
              <w:spacing w:after="0" w:line="159" w:lineRule="exact"/>
              <w:rPr>
                <w:sz w:val="20"/>
                <w:szCs w:val="20"/>
                <w:color w:val="auto"/>
              </w:rPr>
            </w:pPr>
            <w:r>
              <w:rPr>
                <w:rFonts w:ascii="Arial" w:cs="Arial" w:eastAsia="Arial" w:hAnsi="Arial"/>
                <w:sz w:val="14"/>
                <w:szCs w:val="14"/>
                <w:color w:val="auto"/>
                <w:w w:val="99"/>
              </w:rPr>
              <w:t>—</w:t>
            </w: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1,534 (1)</w:t>
            </w: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76,547</w:t>
            </w:r>
          </w:p>
        </w:tc>
        <w:tc>
          <w:tcPr>
            <w:tcW w:w="1160" w:type="dxa"/>
            <w:vAlign w:val="bottom"/>
          </w:tcPr>
          <w:p>
            <w:pPr>
              <w:jc w:val="right"/>
              <w:ind w:right="351"/>
              <w:spacing w:after="0" w:line="159" w:lineRule="exact"/>
              <w:rPr>
                <w:sz w:val="20"/>
                <w:szCs w:val="20"/>
                <w:color w:val="auto"/>
              </w:rPr>
            </w:pPr>
            <w:r>
              <w:rPr>
                <w:rFonts w:ascii="Arial" w:cs="Arial" w:eastAsia="Arial" w:hAnsi="Arial"/>
                <w:sz w:val="14"/>
                <w:szCs w:val="14"/>
                <w:color w:val="auto"/>
              </w:rPr>
              <w:t>—</w:t>
            </w:r>
          </w:p>
        </w:tc>
        <w:tc>
          <w:tcPr>
            <w:tcW w:w="1480" w:type="dxa"/>
            <w:vAlign w:val="bottom"/>
          </w:tcPr>
          <w:p>
            <w:pPr>
              <w:jc w:val="right"/>
              <w:ind w:right="291"/>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172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4/1/2020</w:t>
            </w:r>
          </w:p>
        </w:tc>
        <w:tc>
          <w:tcPr>
            <w:tcW w:w="1240" w:type="dxa"/>
            <w:vAlign w:val="bottom"/>
          </w:tcPr>
          <w:p>
            <w:pPr>
              <w:jc w:val="center"/>
              <w:ind w:left="111"/>
              <w:spacing w:after="0" w:line="159" w:lineRule="exact"/>
              <w:rPr>
                <w:sz w:val="20"/>
                <w:szCs w:val="20"/>
                <w:color w:val="auto"/>
              </w:rPr>
            </w:pPr>
            <w:r>
              <w:rPr>
                <w:rFonts w:ascii="Arial" w:cs="Arial" w:eastAsia="Arial" w:hAnsi="Arial"/>
                <w:sz w:val="14"/>
                <w:szCs w:val="14"/>
                <w:color w:val="auto"/>
                <w:w w:val="99"/>
              </w:rPr>
              <w:t>—</w:t>
            </w:r>
          </w:p>
        </w:tc>
        <w:tc>
          <w:tcPr>
            <w:tcW w:w="1160" w:type="dxa"/>
            <w:vAlign w:val="bottom"/>
          </w:tcPr>
          <w:p>
            <w:pPr>
              <w:jc w:val="center"/>
              <w:ind w:left="71"/>
              <w:spacing w:after="0" w:line="159" w:lineRule="exact"/>
              <w:rPr>
                <w:sz w:val="20"/>
                <w:szCs w:val="20"/>
                <w:color w:val="auto"/>
              </w:rPr>
            </w:pPr>
            <w:r>
              <w:rPr>
                <w:rFonts w:ascii="Arial" w:cs="Arial" w:eastAsia="Arial" w:hAnsi="Arial"/>
                <w:sz w:val="14"/>
                <w:szCs w:val="14"/>
                <w:color w:val="auto"/>
                <w:w w:val="99"/>
              </w:rPr>
              <w:t>—</w:t>
            </w:r>
          </w:p>
        </w:tc>
        <w:tc>
          <w:tcPr>
            <w:tcW w:w="62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960" w:type="dxa"/>
            <w:vAlign w:val="bottom"/>
          </w:tcPr>
          <w:p>
            <w:pPr>
              <w:jc w:val="center"/>
              <w:ind w:right="110"/>
              <w:spacing w:after="0" w:line="159" w:lineRule="exact"/>
              <w:rPr>
                <w:sz w:val="20"/>
                <w:szCs w:val="20"/>
                <w:color w:val="auto"/>
              </w:rPr>
            </w:pPr>
            <w:r>
              <w:rPr>
                <w:rFonts w:ascii="Arial" w:cs="Arial" w:eastAsia="Arial" w:hAnsi="Arial"/>
                <w:sz w:val="14"/>
                <w:szCs w:val="14"/>
                <w:color w:val="auto"/>
                <w:w w:val="99"/>
              </w:rPr>
              <w:t>—</w:t>
            </w:r>
          </w:p>
        </w:tc>
        <w:tc>
          <w:tcPr>
            <w:tcW w:w="900" w:type="dxa"/>
            <w:vAlign w:val="bottom"/>
          </w:tcPr>
          <w:p>
            <w:pPr>
              <w:jc w:val="right"/>
              <w:ind w:right="371"/>
              <w:spacing w:after="0" w:line="15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191"/>
              <w:spacing w:after="0" w:line="159" w:lineRule="exact"/>
              <w:rPr>
                <w:sz w:val="20"/>
                <w:szCs w:val="20"/>
                <w:color w:val="auto"/>
              </w:rPr>
            </w:pPr>
            <w:r>
              <w:rPr>
                <w:rFonts w:ascii="Arial" w:cs="Arial" w:eastAsia="Arial" w:hAnsi="Arial"/>
                <w:sz w:val="14"/>
                <w:szCs w:val="14"/>
                <w:color w:val="auto"/>
              </w:rPr>
              <w:t>—</w:t>
            </w:r>
          </w:p>
        </w:tc>
        <w:tc>
          <w:tcPr>
            <w:tcW w:w="1160" w:type="dxa"/>
            <w:vAlign w:val="bottom"/>
          </w:tcPr>
          <w:p>
            <w:pPr>
              <w:jc w:val="right"/>
              <w:spacing w:after="0" w:line="159" w:lineRule="exact"/>
              <w:rPr>
                <w:sz w:val="20"/>
                <w:szCs w:val="20"/>
                <w:color w:val="auto"/>
              </w:rPr>
            </w:pPr>
            <w:r>
              <w:rPr>
                <w:rFonts w:ascii="Arial" w:cs="Arial" w:eastAsia="Arial" w:hAnsi="Arial"/>
                <w:sz w:val="14"/>
                <w:szCs w:val="14"/>
                <w:color w:val="auto"/>
              </w:rPr>
              <w:t>5,220 (3)</w:t>
            </w:r>
          </w:p>
        </w:tc>
        <w:tc>
          <w:tcPr>
            <w:tcW w:w="1480" w:type="dxa"/>
            <w:vAlign w:val="bottom"/>
          </w:tcPr>
          <w:p>
            <w:pPr>
              <w:jc w:val="right"/>
              <w:ind w:right="31"/>
              <w:spacing w:after="0" w:line="159" w:lineRule="exact"/>
              <w:rPr>
                <w:sz w:val="20"/>
                <w:szCs w:val="20"/>
                <w:color w:val="auto"/>
              </w:rPr>
            </w:pPr>
            <w:r>
              <w:rPr>
                <w:rFonts w:ascii="Arial" w:cs="Arial" w:eastAsia="Arial" w:hAnsi="Arial"/>
                <w:sz w:val="14"/>
                <w:szCs w:val="14"/>
                <w:color w:val="auto"/>
              </w:rPr>
              <w:t>260,478</w:t>
            </w:r>
          </w:p>
        </w:tc>
        <w:tc>
          <w:tcPr>
            <w:tcW w:w="0" w:type="dxa"/>
            <w:vAlign w:val="bottom"/>
          </w:tcPr>
          <w:p>
            <w:pPr>
              <w:spacing w:after="0"/>
              <w:rPr>
                <w:sz w:val="1"/>
                <w:szCs w:val="1"/>
                <w:color w:val="auto"/>
              </w:rPr>
            </w:pPr>
          </w:p>
        </w:tc>
      </w:tr>
      <w:tr>
        <w:trPr>
          <w:trHeight w:val="160"/>
        </w:trPr>
        <w:tc>
          <w:tcPr>
            <w:tcW w:w="172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3/1/2021</w:t>
            </w:r>
          </w:p>
        </w:tc>
        <w:tc>
          <w:tcPr>
            <w:tcW w:w="1240" w:type="dxa"/>
            <w:vAlign w:val="bottom"/>
          </w:tcPr>
          <w:p>
            <w:pPr>
              <w:jc w:val="center"/>
              <w:ind w:left="111"/>
              <w:spacing w:after="0" w:line="159" w:lineRule="exact"/>
              <w:rPr>
                <w:sz w:val="20"/>
                <w:szCs w:val="20"/>
                <w:color w:val="auto"/>
              </w:rPr>
            </w:pPr>
            <w:r>
              <w:rPr>
                <w:rFonts w:ascii="Arial" w:cs="Arial" w:eastAsia="Arial" w:hAnsi="Arial"/>
                <w:sz w:val="14"/>
                <w:szCs w:val="14"/>
                <w:color w:val="auto"/>
                <w:w w:val="99"/>
              </w:rPr>
              <w:t>—</w:t>
            </w:r>
          </w:p>
        </w:tc>
        <w:tc>
          <w:tcPr>
            <w:tcW w:w="1160" w:type="dxa"/>
            <w:vAlign w:val="bottom"/>
          </w:tcPr>
          <w:p>
            <w:pPr>
              <w:jc w:val="center"/>
              <w:ind w:left="71"/>
              <w:spacing w:after="0" w:line="159" w:lineRule="exact"/>
              <w:rPr>
                <w:sz w:val="20"/>
                <w:szCs w:val="20"/>
                <w:color w:val="auto"/>
              </w:rPr>
            </w:pPr>
            <w:r>
              <w:rPr>
                <w:rFonts w:ascii="Arial" w:cs="Arial" w:eastAsia="Arial" w:hAnsi="Arial"/>
                <w:sz w:val="14"/>
                <w:szCs w:val="14"/>
                <w:color w:val="auto"/>
                <w:w w:val="99"/>
              </w:rPr>
              <w:t>—</w:t>
            </w:r>
          </w:p>
        </w:tc>
        <w:tc>
          <w:tcPr>
            <w:tcW w:w="62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960" w:type="dxa"/>
            <w:vAlign w:val="bottom"/>
          </w:tcPr>
          <w:p>
            <w:pPr>
              <w:jc w:val="center"/>
              <w:ind w:right="110"/>
              <w:spacing w:after="0" w:line="159" w:lineRule="exact"/>
              <w:rPr>
                <w:sz w:val="20"/>
                <w:szCs w:val="20"/>
                <w:color w:val="auto"/>
              </w:rPr>
            </w:pPr>
            <w:r>
              <w:rPr>
                <w:rFonts w:ascii="Arial" w:cs="Arial" w:eastAsia="Arial" w:hAnsi="Arial"/>
                <w:sz w:val="14"/>
                <w:szCs w:val="14"/>
                <w:color w:val="auto"/>
                <w:w w:val="99"/>
              </w:rPr>
              <w:t>—</w:t>
            </w: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2,411 (1)</w:t>
            </w: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120,309</w:t>
            </w:r>
          </w:p>
        </w:tc>
        <w:tc>
          <w:tcPr>
            <w:tcW w:w="1160" w:type="dxa"/>
            <w:vAlign w:val="bottom"/>
          </w:tcPr>
          <w:p>
            <w:pPr>
              <w:jc w:val="right"/>
              <w:ind w:right="351"/>
              <w:spacing w:after="0" w:line="159" w:lineRule="exact"/>
              <w:rPr>
                <w:sz w:val="20"/>
                <w:szCs w:val="20"/>
                <w:color w:val="auto"/>
              </w:rPr>
            </w:pPr>
            <w:r>
              <w:rPr>
                <w:rFonts w:ascii="Arial" w:cs="Arial" w:eastAsia="Arial" w:hAnsi="Arial"/>
                <w:sz w:val="14"/>
                <w:szCs w:val="14"/>
                <w:color w:val="auto"/>
              </w:rPr>
              <w:t>—</w:t>
            </w:r>
          </w:p>
        </w:tc>
        <w:tc>
          <w:tcPr>
            <w:tcW w:w="1480" w:type="dxa"/>
            <w:vAlign w:val="bottom"/>
          </w:tcPr>
          <w:p>
            <w:pPr>
              <w:jc w:val="right"/>
              <w:ind w:right="291"/>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720" w:type="dxa"/>
            <w:vAlign w:val="bottom"/>
            <w:tcBorders>
              <w:bottom w:val="single" w:sz="8" w:color="00548B"/>
            </w:tcBorders>
          </w:tcPr>
          <w:p>
            <w:pPr>
              <w:spacing w:after="0"/>
              <w:rPr>
                <w:sz w:val="13"/>
                <w:szCs w:val="13"/>
                <w:color w:val="auto"/>
              </w:rPr>
            </w:pPr>
          </w:p>
        </w:tc>
        <w:tc>
          <w:tcPr>
            <w:tcW w:w="740" w:type="dxa"/>
            <w:vAlign w:val="bottom"/>
            <w:tcBorders>
              <w:bottom w:val="single" w:sz="8" w:color="00548B"/>
            </w:tcBorders>
          </w:tcPr>
          <w:p>
            <w:pPr>
              <w:jc w:val="right"/>
              <w:spacing w:after="0" w:line="155" w:lineRule="exact"/>
              <w:rPr>
                <w:sz w:val="20"/>
                <w:szCs w:val="20"/>
                <w:color w:val="auto"/>
              </w:rPr>
            </w:pPr>
            <w:r>
              <w:rPr>
                <w:rFonts w:ascii="Arial" w:cs="Arial" w:eastAsia="Arial" w:hAnsi="Arial"/>
                <w:sz w:val="14"/>
                <w:szCs w:val="14"/>
                <w:color w:val="auto"/>
              </w:rPr>
              <w:t>3/1/2021</w:t>
            </w:r>
          </w:p>
        </w:tc>
        <w:tc>
          <w:tcPr>
            <w:tcW w:w="1240" w:type="dxa"/>
            <w:vAlign w:val="bottom"/>
            <w:tcBorders>
              <w:bottom w:val="single" w:sz="8" w:color="00548B"/>
            </w:tcBorders>
          </w:tcPr>
          <w:p>
            <w:pPr>
              <w:jc w:val="center"/>
              <w:ind w:left="111"/>
              <w:spacing w:after="0" w:line="155" w:lineRule="exact"/>
              <w:rPr>
                <w:sz w:val="20"/>
                <w:szCs w:val="20"/>
                <w:color w:val="auto"/>
              </w:rPr>
            </w:pPr>
            <w:r>
              <w:rPr>
                <w:rFonts w:ascii="Arial" w:cs="Arial" w:eastAsia="Arial" w:hAnsi="Arial"/>
                <w:sz w:val="14"/>
                <w:szCs w:val="14"/>
                <w:color w:val="auto"/>
                <w:w w:val="99"/>
              </w:rPr>
              <w:t>—</w:t>
            </w:r>
          </w:p>
        </w:tc>
        <w:tc>
          <w:tcPr>
            <w:tcW w:w="1160" w:type="dxa"/>
            <w:vAlign w:val="bottom"/>
            <w:tcBorders>
              <w:bottom w:val="single" w:sz="8" w:color="00548B"/>
            </w:tcBorders>
          </w:tcPr>
          <w:p>
            <w:pPr>
              <w:jc w:val="center"/>
              <w:ind w:left="71"/>
              <w:spacing w:after="0" w:line="155" w:lineRule="exact"/>
              <w:rPr>
                <w:sz w:val="20"/>
                <w:szCs w:val="20"/>
                <w:color w:val="auto"/>
              </w:rPr>
            </w:pPr>
            <w:r>
              <w:rPr>
                <w:rFonts w:ascii="Arial" w:cs="Arial" w:eastAsia="Arial" w:hAnsi="Arial"/>
                <w:sz w:val="14"/>
                <w:szCs w:val="14"/>
                <w:color w:val="auto"/>
                <w:w w:val="99"/>
              </w:rPr>
              <w:t>—</w:t>
            </w:r>
          </w:p>
        </w:tc>
        <w:tc>
          <w:tcPr>
            <w:tcW w:w="620" w:type="dxa"/>
            <w:vAlign w:val="bottom"/>
            <w:tcBorders>
              <w:bottom w:val="single" w:sz="8" w:color="00548B"/>
            </w:tcBorders>
          </w:tcPr>
          <w:p>
            <w:pPr>
              <w:jc w:val="center"/>
              <w:spacing w:after="0" w:line="155" w:lineRule="exact"/>
              <w:rPr>
                <w:sz w:val="20"/>
                <w:szCs w:val="20"/>
                <w:color w:val="auto"/>
              </w:rPr>
            </w:pPr>
            <w:r>
              <w:rPr>
                <w:rFonts w:ascii="Arial" w:cs="Arial" w:eastAsia="Arial" w:hAnsi="Arial"/>
                <w:sz w:val="14"/>
                <w:szCs w:val="14"/>
                <w:color w:val="auto"/>
                <w:w w:val="99"/>
              </w:rPr>
              <w:t>—</w:t>
            </w:r>
          </w:p>
        </w:tc>
        <w:tc>
          <w:tcPr>
            <w:tcW w:w="960" w:type="dxa"/>
            <w:vAlign w:val="bottom"/>
            <w:tcBorders>
              <w:bottom w:val="single" w:sz="8" w:color="00548B"/>
            </w:tcBorders>
          </w:tcPr>
          <w:p>
            <w:pPr>
              <w:jc w:val="center"/>
              <w:ind w:right="110"/>
              <w:spacing w:after="0" w:line="155" w:lineRule="exact"/>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00548B"/>
            </w:tcBorders>
          </w:tcPr>
          <w:p>
            <w:pPr>
              <w:jc w:val="right"/>
              <w:ind w:right="371"/>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00548B"/>
            </w:tcBorders>
          </w:tcPr>
          <w:p>
            <w:pPr>
              <w:jc w:val="right"/>
              <w:ind w:right="191"/>
              <w:spacing w:after="0" w:line="155"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00548B"/>
            </w:tcBorders>
          </w:tcPr>
          <w:p>
            <w:pPr>
              <w:jc w:val="right"/>
              <w:spacing w:after="0" w:line="155" w:lineRule="exact"/>
              <w:rPr>
                <w:sz w:val="20"/>
                <w:szCs w:val="20"/>
                <w:color w:val="auto"/>
              </w:rPr>
            </w:pPr>
            <w:r>
              <w:rPr>
                <w:rFonts w:ascii="Arial" w:cs="Arial" w:eastAsia="Arial" w:hAnsi="Arial"/>
                <w:sz w:val="14"/>
                <w:szCs w:val="14"/>
                <w:color w:val="auto"/>
              </w:rPr>
              <w:t>1,206 (4)</w:t>
            </w:r>
          </w:p>
        </w:tc>
        <w:tc>
          <w:tcPr>
            <w:tcW w:w="1480" w:type="dxa"/>
            <w:vAlign w:val="bottom"/>
            <w:tcBorders>
              <w:bottom w:val="single" w:sz="8" w:color="00548B"/>
            </w:tcBorders>
          </w:tcPr>
          <w:p>
            <w:pPr>
              <w:jc w:val="right"/>
              <w:ind w:right="31"/>
              <w:spacing w:after="0" w:line="155" w:lineRule="exact"/>
              <w:rPr>
                <w:sz w:val="20"/>
                <w:szCs w:val="20"/>
                <w:color w:val="auto"/>
              </w:rPr>
            </w:pPr>
            <w:r>
              <w:rPr>
                <w:rFonts w:ascii="Arial" w:cs="Arial" w:eastAsia="Arial" w:hAnsi="Arial"/>
                <w:sz w:val="14"/>
                <w:szCs w:val="14"/>
                <w:color w:val="auto"/>
              </w:rPr>
              <w:t>60,179</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740" w:right="20" w:hanging="541"/>
        <w:spacing w:after="0" w:line="242" w:lineRule="auto"/>
        <w:tabs>
          <w:tab w:leader="none" w:pos="7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Consists of unvested restricted stock as of December 31, 2021 that vests 33% annually over three years from the date of grant provided the individual is still employed by Huron on the applicable vesting date or is eligible for retirement under the Company’s equity incentive plan.</w:t>
      </w:r>
    </w:p>
    <w:p>
      <w:pPr>
        <w:spacing w:after="0" w:line="1" w:lineRule="exact"/>
        <w:rPr>
          <w:rFonts w:ascii="Arial" w:cs="Arial" w:eastAsia="Arial" w:hAnsi="Arial"/>
          <w:sz w:val="16"/>
          <w:szCs w:val="16"/>
          <w:color w:val="auto"/>
        </w:rPr>
      </w:pPr>
    </w:p>
    <w:p>
      <w:pPr>
        <w:jc w:val="both"/>
        <w:ind w:left="740" w:right="20" w:hanging="541"/>
        <w:spacing w:after="0" w:line="242" w:lineRule="auto"/>
        <w:tabs>
          <w:tab w:leader="none" w:pos="7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Consists of the 2019 grant of PSUs that vest based on performance for the 2019-2021 performance period. Actual payouts may range from 0% to 200% of target with 25% paid for threshold performance. The amount reflected in the table equals the target amount. The actual amount earned was 73% of target and 100% of the earned amount vested on March 1, 2022.</w:t>
      </w:r>
    </w:p>
    <w:p>
      <w:pPr>
        <w:spacing w:after="0" w:line="1" w:lineRule="exact"/>
        <w:rPr>
          <w:rFonts w:ascii="Arial" w:cs="Arial" w:eastAsia="Arial" w:hAnsi="Arial"/>
          <w:sz w:val="16"/>
          <w:szCs w:val="16"/>
          <w:color w:val="auto"/>
        </w:rPr>
      </w:pPr>
    </w:p>
    <w:p>
      <w:pPr>
        <w:jc w:val="both"/>
        <w:ind w:left="740" w:right="20" w:hanging="541"/>
        <w:spacing w:after="0" w:line="242" w:lineRule="auto"/>
        <w:tabs>
          <w:tab w:leader="none" w:pos="7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Consists of the 2020 grant of PSUs that vest based on performance for the 2020-2022 performance period. Actual payouts may range from 0% to 200% of target with 25% paid for threshold performance. The amount reflected in the table equals the target amount. Once the 2020-2022 performance period is complete, 100% of the earned award vests on March 1, 2023.</w:t>
      </w:r>
    </w:p>
    <w:p>
      <w:pPr>
        <w:spacing w:after="0" w:line="1" w:lineRule="exact"/>
        <w:rPr>
          <w:rFonts w:ascii="Arial" w:cs="Arial" w:eastAsia="Arial" w:hAnsi="Arial"/>
          <w:sz w:val="16"/>
          <w:szCs w:val="16"/>
          <w:color w:val="auto"/>
        </w:rPr>
      </w:pPr>
    </w:p>
    <w:p>
      <w:pPr>
        <w:jc w:val="both"/>
        <w:ind w:left="740" w:right="20" w:hanging="541"/>
        <w:spacing w:after="0" w:line="242" w:lineRule="auto"/>
        <w:tabs>
          <w:tab w:leader="none" w:pos="7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Consists of the 2021 grant of PSUs that vest based on performance for the 2021 annual period as well as performance against a cumulative three-year Revenue Growth goal for the 2021-2023 performance period. Actual payouts may range from 0% to 200% of target with 25% paid for threshold performance. The amount reflected in the table equals the target amount of the 2021 component. The 2022 and 2023 component will be granted in March 2022 and March 2023, respectively. Once the 2021-2023 performance period is complete, 100% of the earned award vests on March 1, 2024.</w:t>
      </w:r>
    </w:p>
    <w:p>
      <w:pPr>
        <w:spacing w:after="0" w:line="3" w:lineRule="exact"/>
        <w:rPr>
          <w:rFonts w:ascii="Arial" w:cs="Arial" w:eastAsia="Arial" w:hAnsi="Arial"/>
          <w:sz w:val="16"/>
          <w:szCs w:val="16"/>
          <w:color w:val="auto"/>
        </w:rPr>
      </w:pPr>
    </w:p>
    <w:p>
      <w:pPr>
        <w:ind w:left="740" w:right="20" w:hanging="541"/>
        <w:spacing w:after="0" w:line="253" w:lineRule="auto"/>
        <w:tabs>
          <w:tab w:leader="none" w:pos="7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Consists of unvested restricted stock as of December 31, 2021 that will vest 100% four years from the date of grant provided the individual is still employed by Huron on the applicable vesting date.</w:t>
      </w:r>
    </w:p>
    <w:p>
      <w:pPr>
        <w:spacing w:after="0" w:line="12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00548B"/>
        </w:rPr>
        <w:t>42</w:t>
      </w:r>
    </w:p>
    <w:p>
      <w:pPr>
        <w:sectPr>
          <w:pgSz w:w="11900" w:h="16838" w:orient="portrait"/>
          <w:cols w:equalWidth="0" w:num="1">
            <w:col w:w="11060"/>
          </w:cols>
          <w:pgMar w:left="320" w:top="454" w:right="5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2021 O</w:t>
      </w:r>
      <w:r>
        <w:rPr>
          <w:rFonts w:ascii="Arial" w:cs="Arial" w:eastAsia="Arial" w:hAnsi="Arial"/>
          <w:sz w:val="14"/>
          <w:szCs w:val="14"/>
          <w:b w:val="1"/>
          <w:bCs w:val="1"/>
          <w:color w:val="00548B"/>
        </w:rPr>
        <w:t>PTION</w:t>
      </w:r>
      <w:r>
        <w:rPr>
          <w:rFonts w:ascii="Arial" w:cs="Arial" w:eastAsia="Arial" w:hAnsi="Arial"/>
          <w:sz w:val="18"/>
          <w:szCs w:val="18"/>
          <w:b w:val="1"/>
          <w:bCs w:val="1"/>
          <w:color w:val="00548B"/>
        </w:rPr>
        <w:t xml:space="preserve"> E</w:t>
      </w:r>
      <w:r>
        <w:rPr>
          <w:rFonts w:ascii="Arial" w:cs="Arial" w:eastAsia="Arial" w:hAnsi="Arial"/>
          <w:sz w:val="14"/>
          <w:szCs w:val="14"/>
          <w:b w:val="1"/>
          <w:bCs w:val="1"/>
          <w:color w:val="00548B"/>
        </w:rPr>
        <w:t>XERCISES AND</w:t>
      </w:r>
      <w:r>
        <w:rPr>
          <w:rFonts w:ascii="Arial" w:cs="Arial" w:eastAsia="Arial" w:hAnsi="Arial"/>
          <w:sz w:val="18"/>
          <w:szCs w:val="18"/>
          <w:b w:val="1"/>
          <w:bCs w:val="1"/>
          <w:color w:val="00548B"/>
        </w:rPr>
        <w:t xml:space="preserve"> S</w:t>
      </w:r>
      <w:r>
        <w:rPr>
          <w:rFonts w:ascii="Arial" w:cs="Arial" w:eastAsia="Arial" w:hAnsi="Arial"/>
          <w:sz w:val="14"/>
          <w:szCs w:val="14"/>
          <w:b w:val="1"/>
          <w:bCs w:val="1"/>
          <w:color w:val="00548B"/>
        </w:rPr>
        <w:t>TOCK</w:t>
      </w:r>
      <w:r>
        <w:rPr>
          <w:rFonts w:ascii="Arial" w:cs="Arial" w:eastAsia="Arial" w:hAnsi="Arial"/>
          <w:sz w:val="18"/>
          <w:szCs w:val="18"/>
          <w:b w:val="1"/>
          <w:bCs w:val="1"/>
          <w:color w:val="00548B"/>
        </w:rPr>
        <w:t xml:space="preserve"> V</w:t>
      </w:r>
      <w:r>
        <w:rPr>
          <w:rFonts w:ascii="Arial" w:cs="Arial" w:eastAsia="Arial" w:hAnsi="Arial"/>
          <w:sz w:val="14"/>
          <w:szCs w:val="14"/>
          <w:b w:val="1"/>
          <w:bCs w:val="1"/>
          <w:color w:val="00548B"/>
        </w:rPr>
        <w:t>ESTED</w:t>
      </w:r>
    </w:p>
    <w:p>
      <w:pPr>
        <w:spacing w:after="0" w:line="17" w:lineRule="exact"/>
        <w:rPr>
          <w:sz w:val="20"/>
          <w:szCs w:val="20"/>
          <w:color w:val="auto"/>
        </w:rPr>
      </w:pPr>
    </w:p>
    <w:p>
      <w:pPr>
        <w:ind w:left="200" w:right="20"/>
        <w:spacing w:after="0" w:line="253" w:lineRule="auto"/>
        <w:rPr>
          <w:sz w:val="20"/>
          <w:szCs w:val="20"/>
          <w:color w:val="auto"/>
        </w:rPr>
      </w:pPr>
      <w:r>
        <w:rPr>
          <w:rFonts w:ascii="Arial" w:cs="Arial" w:eastAsia="Arial" w:hAnsi="Arial"/>
          <w:sz w:val="16"/>
          <w:szCs w:val="16"/>
          <w:color w:val="auto"/>
        </w:rPr>
        <w:t>The following table sets forth certain information concerning stock option exercises and restricted stock vested during 2021 for each named executive officer.</w:t>
      </w:r>
    </w:p>
    <w:p>
      <w:pPr>
        <w:spacing w:after="0" w:line="22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740" w:type="dxa"/>
            <w:vAlign w:val="bottom"/>
            <w:shd w:val="clear" w:color="auto" w:fill="00548B"/>
          </w:tcPr>
          <w:p>
            <w:pPr>
              <w:spacing w:after="0"/>
              <w:rPr>
                <w:sz w:val="14"/>
                <w:szCs w:val="14"/>
                <w:color w:val="auto"/>
              </w:rPr>
            </w:pPr>
          </w:p>
        </w:tc>
        <w:tc>
          <w:tcPr>
            <w:tcW w:w="4400" w:type="dxa"/>
            <w:vAlign w:val="bottom"/>
            <w:gridSpan w:val="2"/>
            <w:shd w:val="clear" w:color="auto" w:fill="00548B"/>
          </w:tcPr>
          <w:p>
            <w:pPr>
              <w:jc w:val="right"/>
              <w:ind w:right="1643"/>
              <w:spacing w:after="0"/>
              <w:rPr>
                <w:sz w:val="20"/>
                <w:szCs w:val="20"/>
                <w:color w:val="auto"/>
              </w:rPr>
            </w:pPr>
            <w:r>
              <w:rPr>
                <w:rFonts w:ascii="Arial" w:cs="Arial" w:eastAsia="Arial" w:hAnsi="Arial"/>
                <w:sz w:val="14"/>
                <w:szCs w:val="14"/>
                <w:b w:val="1"/>
                <w:bCs w:val="1"/>
                <w:color w:val="D8D8D8"/>
              </w:rPr>
              <w:t>Option Exercises</w:t>
            </w:r>
          </w:p>
        </w:tc>
        <w:tc>
          <w:tcPr>
            <w:tcW w:w="3720" w:type="dxa"/>
            <w:vAlign w:val="bottom"/>
            <w:gridSpan w:val="2"/>
            <w:shd w:val="clear" w:color="auto" w:fill="00548B"/>
          </w:tcPr>
          <w:p>
            <w:pPr>
              <w:jc w:val="right"/>
              <w:ind w:right="963"/>
              <w:spacing w:after="0"/>
              <w:rPr>
                <w:sz w:val="20"/>
                <w:szCs w:val="20"/>
                <w:color w:val="auto"/>
              </w:rPr>
            </w:pPr>
            <w:r>
              <w:rPr>
                <w:rFonts w:ascii="Arial" w:cs="Arial" w:eastAsia="Arial" w:hAnsi="Arial"/>
                <w:sz w:val="14"/>
                <w:szCs w:val="14"/>
                <w:b w:val="1"/>
                <w:bCs w:val="1"/>
                <w:color w:val="D8D8D8"/>
              </w:rPr>
              <w:t>Stock Awards</w:t>
            </w:r>
          </w:p>
        </w:tc>
      </w:tr>
      <w:tr>
        <w:trPr>
          <w:trHeight w:val="160"/>
        </w:trPr>
        <w:tc>
          <w:tcPr>
            <w:tcW w:w="2740" w:type="dxa"/>
            <w:vAlign w:val="bottom"/>
            <w:shd w:val="clear" w:color="auto" w:fill="00548B"/>
          </w:tcPr>
          <w:p>
            <w:pPr>
              <w:spacing w:after="0"/>
              <w:rPr>
                <w:sz w:val="13"/>
                <w:szCs w:val="13"/>
                <w:color w:val="auto"/>
              </w:rPr>
            </w:pPr>
          </w:p>
        </w:tc>
        <w:tc>
          <w:tcPr>
            <w:tcW w:w="2080" w:type="dxa"/>
            <w:vAlign w:val="bottom"/>
            <w:shd w:val="clear" w:color="auto" w:fill="00548B"/>
          </w:tcPr>
          <w:p>
            <w:pPr>
              <w:jc w:val="center"/>
              <w:ind w:left="124"/>
              <w:spacing w:after="0" w:line="159" w:lineRule="exact"/>
              <w:rPr>
                <w:sz w:val="20"/>
                <w:szCs w:val="20"/>
                <w:color w:val="auto"/>
              </w:rPr>
            </w:pPr>
            <w:r>
              <w:rPr>
                <w:rFonts w:ascii="Arial" w:cs="Arial" w:eastAsia="Arial" w:hAnsi="Arial"/>
                <w:sz w:val="14"/>
                <w:szCs w:val="14"/>
                <w:b w:val="1"/>
                <w:bCs w:val="1"/>
                <w:color w:val="D8D8D8"/>
              </w:rPr>
              <w:t>Shares Acquired</w:t>
            </w:r>
          </w:p>
        </w:tc>
        <w:tc>
          <w:tcPr>
            <w:tcW w:w="2320" w:type="dxa"/>
            <w:vAlign w:val="bottom"/>
            <w:shd w:val="clear" w:color="auto" w:fill="00548B"/>
          </w:tcPr>
          <w:p>
            <w:pPr>
              <w:jc w:val="right"/>
              <w:ind w:right="803"/>
              <w:spacing w:after="0" w:line="159" w:lineRule="exact"/>
              <w:rPr>
                <w:sz w:val="20"/>
                <w:szCs w:val="20"/>
                <w:color w:val="auto"/>
              </w:rPr>
            </w:pPr>
            <w:r>
              <w:rPr>
                <w:rFonts w:ascii="Arial" w:cs="Arial" w:eastAsia="Arial" w:hAnsi="Arial"/>
                <w:sz w:val="14"/>
                <w:szCs w:val="14"/>
                <w:b w:val="1"/>
                <w:bCs w:val="1"/>
                <w:color w:val="D8D8D8"/>
              </w:rPr>
              <w:t>Value Realized</w:t>
            </w:r>
          </w:p>
        </w:tc>
        <w:tc>
          <w:tcPr>
            <w:tcW w:w="2240" w:type="dxa"/>
            <w:vAlign w:val="bottom"/>
            <w:shd w:val="clear" w:color="auto" w:fill="00548B"/>
          </w:tcPr>
          <w:p>
            <w:pPr>
              <w:jc w:val="right"/>
              <w:ind w:right="304"/>
              <w:spacing w:after="0" w:line="159" w:lineRule="exact"/>
              <w:rPr>
                <w:sz w:val="20"/>
                <w:szCs w:val="20"/>
                <w:color w:val="auto"/>
              </w:rPr>
            </w:pPr>
            <w:r>
              <w:rPr>
                <w:rFonts w:ascii="Arial" w:cs="Arial" w:eastAsia="Arial" w:hAnsi="Arial"/>
                <w:sz w:val="14"/>
                <w:szCs w:val="14"/>
                <w:b w:val="1"/>
                <w:bCs w:val="1"/>
                <w:color w:val="D8D8D8"/>
              </w:rPr>
              <w:t>Shares Acquired</w:t>
            </w:r>
          </w:p>
        </w:tc>
        <w:tc>
          <w:tcPr>
            <w:tcW w:w="1480" w:type="dxa"/>
            <w:vAlign w:val="bottom"/>
            <w:shd w:val="clear" w:color="auto" w:fill="00548B"/>
          </w:tcPr>
          <w:p>
            <w:pPr>
              <w:jc w:val="right"/>
              <w:ind w:right="3"/>
              <w:spacing w:after="0" w:line="159" w:lineRule="exact"/>
              <w:rPr>
                <w:sz w:val="20"/>
                <w:szCs w:val="20"/>
                <w:color w:val="auto"/>
              </w:rPr>
            </w:pPr>
            <w:r>
              <w:rPr>
                <w:rFonts w:ascii="Arial" w:cs="Arial" w:eastAsia="Arial" w:hAnsi="Arial"/>
                <w:sz w:val="14"/>
                <w:szCs w:val="14"/>
                <w:b w:val="1"/>
                <w:bCs w:val="1"/>
                <w:color w:val="D8D8D8"/>
              </w:rPr>
              <w:t>Value Realized</w:t>
            </w:r>
          </w:p>
        </w:tc>
      </w:tr>
      <w:tr>
        <w:trPr>
          <w:trHeight w:val="186"/>
        </w:trPr>
        <w:tc>
          <w:tcPr>
            <w:tcW w:w="2740" w:type="dxa"/>
            <w:vAlign w:val="bottom"/>
            <w:shd w:val="clear" w:color="auto" w:fill="00548B"/>
          </w:tcPr>
          <w:p>
            <w:pPr>
              <w:spacing w:after="0"/>
              <w:rPr>
                <w:sz w:val="20"/>
                <w:szCs w:val="20"/>
                <w:color w:val="auto"/>
              </w:rPr>
            </w:pPr>
            <w:r>
              <w:rPr>
                <w:rFonts w:ascii="Arial" w:cs="Arial" w:eastAsia="Arial" w:hAnsi="Arial"/>
                <w:sz w:val="14"/>
                <w:szCs w:val="14"/>
                <w:b w:val="1"/>
                <w:bCs w:val="1"/>
                <w:color w:val="D8D8D8"/>
              </w:rPr>
              <w:t>Name</w:t>
            </w:r>
          </w:p>
        </w:tc>
        <w:tc>
          <w:tcPr>
            <w:tcW w:w="2080" w:type="dxa"/>
            <w:vAlign w:val="bottom"/>
            <w:shd w:val="clear" w:color="auto" w:fill="00548B"/>
          </w:tcPr>
          <w:p>
            <w:pPr>
              <w:jc w:val="center"/>
              <w:ind w:left="124"/>
              <w:spacing w:after="0"/>
              <w:rPr>
                <w:sz w:val="20"/>
                <w:szCs w:val="20"/>
                <w:color w:val="auto"/>
              </w:rPr>
            </w:pPr>
            <w:r>
              <w:rPr>
                <w:rFonts w:ascii="Arial" w:cs="Arial" w:eastAsia="Arial" w:hAnsi="Arial"/>
                <w:sz w:val="14"/>
                <w:szCs w:val="14"/>
                <w:b w:val="1"/>
                <w:bCs w:val="1"/>
                <w:color w:val="D8D8D8"/>
              </w:rPr>
              <w:t>on Exercise (#)</w:t>
            </w:r>
          </w:p>
        </w:tc>
        <w:tc>
          <w:tcPr>
            <w:tcW w:w="2320" w:type="dxa"/>
            <w:vAlign w:val="bottom"/>
            <w:shd w:val="clear" w:color="auto" w:fill="00548B"/>
          </w:tcPr>
          <w:p>
            <w:pPr>
              <w:jc w:val="right"/>
              <w:ind w:right="703"/>
              <w:spacing w:after="0"/>
              <w:rPr>
                <w:sz w:val="20"/>
                <w:szCs w:val="20"/>
                <w:color w:val="auto"/>
              </w:rPr>
            </w:pPr>
            <w:r>
              <w:rPr>
                <w:rFonts w:ascii="Arial" w:cs="Arial" w:eastAsia="Arial" w:hAnsi="Arial"/>
                <w:sz w:val="14"/>
                <w:szCs w:val="14"/>
                <w:b w:val="1"/>
                <w:bCs w:val="1"/>
                <w:color w:val="D8D8D8"/>
              </w:rPr>
              <w:t>on Exercise ($)(1)</w:t>
            </w:r>
          </w:p>
        </w:tc>
        <w:tc>
          <w:tcPr>
            <w:tcW w:w="2240" w:type="dxa"/>
            <w:vAlign w:val="bottom"/>
            <w:shd w:val="clear" w:color="auto" w:fill="00548B"/>
          </w:tcPr>
          <w:p>
            <w:pPr>
              <w:jc w:val="right"/>
              <w:ind w:right="404"/>
              <w:spacing w:after="0"/>
              <w:rPr>
                <w:sz w:val="20"/>
                <w:szCs w:val="20"/>
                <w:color w:val="auto"/>
              </w:rPr>
            </w:pPr>
            <w:r>
              <w:rPr>
                <w:rFonts w:ascii="Arial" w:cs="Arial" w:eastAsia="Arial" w:hAnsi="Arial"/>
                <w:sz w:val="14"/>
                <w:szCs w:val="14"/>
                <w:b w:val="1"/>
                <w:bCs w:val="1"/>
                <w:color w:val="D8D8D8"/>
              </w:rPr>
              <w:t>on Vesting (#)</w:t>
            </w:r>
          </w:p>
        </w:tc>
        <w:tc>
          <w:tcPr>
            <w:tcW w:w="1480" w:type="dxa"/>
            <w:vAlign w:val="bottom"/>
            <w:shd w:val="clear" w:color="auto" w:fill="00548B"/>
          </w:tcPr>
          <w:p>
            <w:pPr>
              <w:jc w:val="right"/>
              <w:spacing w:after="0"/>
              <w:rPr>
                <w:sz w:val="20"/>
                <w:szCs w:val="20"/>
                <w:color w:val="auto"/>
              </w:rPr>
            </w:pPr>
            <w:r>
              <w:rPr>
                <w:rFonts w:ascii="Arial" w:cs="Arial" w:eastAsia="Arial" w:hAnsi="Arial"/>
                <w:sz w:val="14"/>
                <w:szCs w:val="14"/>
                <w:b w:val="1"/>
                <w:bCs w:val="1"/>
                <w:color w:val="D8D8D8"/>
              </w:rPr>
              <w:t>on Vesting ($)(2)</w:t>
            </w:r>
          </w:p>
        </w:tc>
      </w:tr>
      <w:tr>
        <w:trPr>
          <w:trHeight w:val="186"/>
        </w:trPr>
        <w:tc>
          <w:tcPr>
            <w:tcW w:w="2740" w:type="dxa"/>
            <w:vAlign w:val="bottom"/>
            <w:tcBorders>
              <w:bottom w:val="single" w:sz="8" w:color="999999"/>
            </w:tcBorders>
          </w:tcPr>
          <w:p>
            <w:pPr>
              <w:spacing w:after="0"/>
              <w:rPr>
                <w:sz w:val="20"/>
                <w:szCs w:val="20"/>
                <w:color w:val="auto"/>
              </w:rPr>
            </w:pPr>
            <w:r>
              <w:rPr>
                <w:rFonts w:ascii="Arial" w:cs="Arial" w:eastAsia="Arial" w:hAnsi="Arial"/>
                <w:sz w:val="16"/>
                <w:szCs w:val="16"/>
                <w:color w:val="auto"/>
              </w:rPr>
              <w:t>James H. Roth</w:t>
            </w:r>
          </w:p>
        </w:tc>
        <w:tc>
          <w:tcPr>
            <w:tcW w:w="2080" w:type="dxa"/>
            <w:vAlign w:val="bottom"/>
            <w:tcBorders>
              <w:bottom w:val="single" w:sz="8" w:color="999999"/>
            </w:tcBorders>
          </w:tcPr>
          <w:p>
            <w:pPr>
              <w:jc w:val="center"/>
              <w:ind w:left="324"/>
              <w:spacing w:after="0"/>
              <w:rPr>
                <w:sz w:val="20"/>
                <w:szCs w:val="20"/>
                <w:color w:val="auto"/>
              </w:rPr>
            </w:pPr>
            <w:r>
              <w:rPr>
                <w:rFonts w:ascii="Arial" w:cs="Arial" w:eastAsia="Arial" w:hAnsi="Arial"/>
                <w:sz w:val="16"/>
                <w:szCs w:val="16"/>
                <w:color w:val="auto"/>
                <w:w w:val="98"/>
              </w:rPr>
              <w:t>21,631</w:t>
            </w:r>
          </w:p>
        </w:tc>
        <w:tc>
          <w:tcPr>
            <w:tcW w:w="2320" w:type="dxa"/>
            <w:vAlign w:val="bottom"/>
            <w:tcBorders>
              <w:bottom w:val="single" w:sz="8" w:color="999999"/>
            </w:tcBorders>
          </w:tcPr>
          <w:p>
            <w:pPr>
              <w:jc w:val="right"/>
              <w:ind w:right="863"/>
              <w:spacing w:after="0"/>
              <w:rPr>
                <w:sz w:val="20"/>
                <w:szCs w:val="20"/>
                <w:color w:val="auto"/>
              </w:rPr>
            </w:pPr>
            <w:r>
              <w:rPr>
                <w:rFonts w:ascii="Arial" w:cs="Arial" w:eastAsia="Arial" w:hAnsi="Arial"/>
                <w:sz w:val="16"/>
                <w:szCs w:val="16"/>
                <w:color w:val="auto"/>
              </w:rPr>
              <w:t>348,071</w:t>
            </w:r>
          </w:p>
        </w:tc>
        <w:tc>
          <w:tcPr>
            <w:tcW w:w="2240" w:type="dxa"/>
            <w:vAlign w:val="bottom"/>
            <w:tcBorders>
              <w:bottom w:val="single" w:sz="8" w:color="999999"/>
            </w:tcBorders>
          </w:tcPr>
          <w:p>
            <w:pPr>
              <w:jc w:val="right"/>
              <w:ind w:right="524"/>
              <w:spacing w:after="0"/>
              <w:rPr>
                <w:sz w:val="20"/>
                <w:szCs w:val="20"/>
                <w:color w:val="auto"/>
              </w:rPr>
            </w:pPr>
            <w:r>
              <w:rPr>
                <w:rFonts w:ascii="Arial" w:cs="Arial" w:eastAsia="Arial" w:hAnsi="Arial"/>
                <w:sz w:val="16"/>
                <w:szCs w:val="16"/>
                <w:color w:val="auto"/>
              </w:rPr>
              <w:t>70,176</w:t>
            </w:r>
          </w:p>
        </w:tc>
        <w:tc>
          <w:tcPr>
            <w:tcW w:w="148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3,571,958</w:t>
            </w:r>
          </w:p>
        </w:tc>
      </w:tr>
      <w:tr>
        <w:trPr>
          <w:trHeight w:val="179"/>
        </w:trPr>
        <w:tc>
          <w:tcPr>
            <w:tcW w:w="2740" w:type="dxa"/>
            <w:vAlign w:val="bottom"/>
            <w:tcBorders>
              <w:bottom w:val="single" w:sz="8" w:color="999999"/>
            </w:tcBorders>
          </w:tcPr>
          <w:p>
            <w:pPr>
              <w:spacing w:after="0" w:line="180" w:lineRule="exact"/>
              <w:rPr>
                <w:sz w:val="20"/>
                <w:szCs w:val="20"/>
                <w:color w:val="auto"/>
              </w:rPr>
            </w:pPr>
            <w:r>
              <w:rPr>
                <w:rFonts w:ascii="Arial" w:cs="Arial" w:eastAsia="Arial" w:hAnsi="Arial"/>
                <w:sz w:val="16"/>
                <w:szCs w:val="16"/>
                <w:color w:val="auto"/>
              </w:rPr>
              <w:t>C. Mark Hussey</w:t>
            </w:r>
          </w:p>
        </w:tc>
        <w:tc>
          <w:tcPr>
            <w:tcW w:w="2080" w:type="dxa"/>
            <w:vAlign w:val="bottom"/>
            <w:tcBorders>
              <w:bottom w:val="single" w:sz="8" w:color="999999"/>
            </w:tcBorders>
          </w:tcPr>
          <w:p>
            <w:pPr>
              <w:jc w:val="right"/>
              <w:ind w:right="524"/>
              <w:spacing w:after="0" w:line="180" w:lineRule="exact"/>
              <w:rPr>
                <w:sz w:val="20"/>
                <w:szCs w:val="20"/>
                <w:color w:val="auto"/>
              </w:rPr>
            </w:pPr>
            <w:r>
              <w:rPr>
                <w:rFonts w:ascii="Arial" w:cs="Arial" w:eastAsia="Arial" w:hAnsi="Arial"/>
                <w:sz w:val="16"/>
                <w:szCs w:val="16"/>
                <w:color w:val="auto"/>
              </w:rPr>
              <w:t>1,772</w:t>
            </w:r>
          </w:p>
        </w:tc>
        <w:tc>
          <w:tcPr>
            <w:tcW w:w="2320" w:type="dxa"/>
            <w:vAlign w:val="bottom"/>
            <w:tcBorders>
              <w:bottom w:val="single" w:sz="8" w:color="999999"/>
            </w:tcBorders>
          </w:tcPr>
          <w:p>
            <w:pPr>
              <w:jc w:val="right"/>
              <w:ind w:right="863"/>
              <w:spacing w:after="0" w:line="180" w:lineRule="exact"/>
              <w:rPr>
                <w:sz w:val="20"/>
                <w:szCs w:val="20"/>
                <w:color w:val="auto"/>
              </w:rPr>
            </w:pPr>
            <w:r>
              <w:rPr>
                <w:rFonts w:ascii="Arial" w:cs="Arial" w:eastAsia="Arial" w:hAnsi="Arial"/>
                <w:sz w:val="16"/>
                <w:szCs w:val="16"/>
                <w:color w:val="auto"/>
              </w:rPr>
              <w:t>40,100</w:t>
            </w:r>
          </w:p>
        </w:tc>
        <w:tc>
          <w:tcPr>
            <w:tcW w:w="2240" w:type="dxa"/>
            <w:vAlign w:val="bottom"/>
            <w:tcBorders>
              <w:bottom w:val="single" w:sz="8" w:color="999999"/>
            </w:tcBorders>
          </w:tcPr>
          <w:p>
            <w:pPr>
              <w:jc w:val="right"/>
              <w:ind w:right="524"/>
              <w:spacing w:after="0" w:line="180" w:lineRule="exact"/>
              <w:rPr>
                <w:sz w:val="20"/>
                <w:szCs w:val="20"/>
                <w:color w:val="auto"/>
              </w:rPr>
            </w:pPr>
            <w:r>
              <w:rPr>
                <w:rFonts w:ascii="Arial" w:cs="Arial" w:eastAsia="Arial" w:hAnsi="Arial"/>
                <w:sz w:val="16"/>
                <w:szCs w:val="16"/>
                <w:color w:val="auto"/>
              </w:rPr>
              <w:t>43,419</w:t>
            </w:r>
          </w:p>
        </w:tc>
        <w:tc>
          <w:tcPr>
            <w:tcW w:w="1480" w:type="dxa"/>
            <w:vAlign w:val="bottom"/>
            <w:tcBorders>
              <w:bottom w:val="single" w:sz="8" w:color="999999"/>
            </w:tcBorders>
          </w:tcPr>
          <w:p>
            <w:pPr>
              <w:jc w:val="right"/>
              <w:spacing w:after="0" w:line="180" w:lineRule="exact"/>
              <w:rPr>
                <w:sz w:val="20"/>
                <w:szCs w:val="20"/>
                <w:color w:val="auto"/>
              </w:rPr>
            </w:pPr>
            <w:r>
              <w:rPr>
                <w:rFonts w:ascii="Arial" w:cs="Arial" w:eastAsia="Arial" w:hAnsi="Arial"/>
                <w:sz w:val="16"/>
                <w:szCs w:val="16"/>
                <w:color w:val="auto"/>
              </w:rPr>
              <w:t>2,201,933</w:t>
            </w:r>
          </w:p>
        </w:tc>
      </w:tr>
      <w:tr>
        <w:trPr>
          <w:trHeight w:val="179"/>
        </w:trPr>
        <w:tc>
          <w:tcPr>
            <w:tcW w:w="2740" w:type="dxa"/>
            <w:vAlign w:val="bottom"/>
            <w:tcBorders>
              <w:bottom w:val="single" w:sz="8" w:color="999999"/>
            </w:tcBorders>
          </w:tcPr>
          <w:p>
            <w:pPr>
              <w:spacing w:after="0" w:line="180" w:lineRule="exact"/>
              <w:rPr>
                <w:sz w:val="20"/>
                <w:szCs w:val="20"/>
                <w:color w:val="auto"/>
              </w:rPr>
            </w:pPr>
            <w:r>
              <w:rPr>
                <w:rFonts w:ascii="Arial" w:cs="Arial" w:eastAsia="Arial" w:hAnsi="Arial"/>
                <w:sz w:val="16"/>
                <w:szCs w:val="16"/>
                <w:color w:val="auto"/>
              </w:rPr>
              <w:t>John D. Kelly</w:t>
            </w:r>
          </w:p>
        </w:tc>
        <w:tc>
          <w:tcPr>
            <w:tcW w:w="2080" w:type="dxa"/>
            <w:vAlign w:val="bottom"/>
            <w:tcBorders>
              <w:bottom w:val="single" w:sz="8" w:color="999999"/>
            </w:tcBorders>
          </w:tcPr>
          <w:p>
            <w:pPr>
              <w:jc w:val="center"/>
              <w:ind w:left="324"/>
              <w:spacing w:after="0" w:line="180" w:lineRule="exact"/>
              <w:rPr>
                <w:sz w:val="20"/>
                <w:szCs w:val="20"/>
                <w:color w:val="auto"/>
              </w:rPr>
            </w:pPr>
            <w:r>
              <w:rPr>
                <w:rFonts w:ascii="Arial" w:cs="Arial" w:eastAsia="Arial" w:hAnsi="Arial"/>
                <w:sz w:val="16"/>
                <w:szCs w:val="16"/>
                <w:color w:val="auto"/>
                <w:w w:val="99"/>
              </w:rPr>
              <w:t>—</w:t>
            </w:r>
          </w:p>
        </w:tc>
        <w:tc>
          <w:tcPr>
            <w:tcW w:w="2320" w:type="dxa"/>
            <w:vAlign w:val="bottom"/>
            <w:tcBorders>
              <w:bottom w:val="single" w:sz="8" w:color="999999"/>
            </w:tcBorders>
          </w:tcPr>
          <w:p>
            <w:pPr>
              <w:jc w:val="right"/>
              <w:ind w:right="1063"/>
              <w:spacing w:after="0" w:line="180" w:lineRule="exact"/>
              <w:rPr>
                <w:sz w:val="20"/>
                <w:szCs w:val="20"/>
                <w:color w:val="auto"/>
              </w:rPr>
            </w:pPr>
            <w:r>
              <w:rPr>
                <w:rFonts w:ascii="Arial" w:cs="Arial" w:eastAsia="Arial" w:hAnsi="Arial"/>
                <w:sz w:val="16"/>
                <w:szCs w:val="16"/>
                <w:color w:val="auto"/>
              </w:rPr>
              <w:t>—</w:t>
            </w:r>
          </w:p>
        </w:tc>
        <w:tc>
          <w:tcPr>
            <w:tcW w:w="2240" w:type="dxa"/>
            <w:vAlign w:val="bottom"/>
            <w:tcBorders>
              <w:bottom w:val="single" w:sz="8" w:color="999999"/>
            </w:tcBorders>
          </w:tcPr>
          <w:p>
            <w:pPr>
              <w:jc w:val="right"/>
              <w:ind w:right="524"/>
              <w:spacing w:after="0" w:line="180" w:lineRule="exact"/>
              <w:rPr>
                <w:sz w:val="20"/>
                <w:szCs w:val="20"/>
                <w:color w:val="auto"/>
              </w:rPr>
            </w:pPr>
            <w:r>
              <w:rPr>
                <w:rFonts w:ascii="Arial" w:cs="Arial" w:eastAsia="Arial" w:hAnsi="Arial"/>
                <w:sz w:val="16"/>
                <w:szCs w:val="16"/>
                <w:color w:val="auto"/>
              </w:rPr>
              <w:t>13,963</w:t>
            </w:r>
          </w:p>
        </w:tc>
        <w:tc>
          <w:tcPr>
            <w:tcW w:w="1480" w:type="dxa"/>
            <w:vAlign w:val="bottom"/>
            <w:tcBorders>
              <w:bottom w:val="single" w:sz="8" w:color="999999"/>
            </w:tcBorders>
          </w:tcPr>
          <w:p>
            <w:pPr>
              <w:jc w:val="right"/>
              <w:spacing w:after="0" w:line="180" w:lineRule="exact"/>
              <w:rPr>
                <w:sz w:val="20"/>
                <w:szCs w:val="20"/>
                <w:color w:val="auto"/>
              </w:rPr>
            </w:pPr>
            <w:r>
              <w:rPr>
                <w:rFonts w:ascii="Arial" w:cs="Arial" w:eastAsia="Arial" w:hAnsi="Arial"/>
                <w:sz w:val="16"/>
                <w:szCs w:val="16"/>
                <w:color w:val="auto"/>
              </w:rPr>
              <w:t>710,717</w:t>
            </w:r>
          </w:p>
        </w:tc>
      </w:tr>
      <w:tr>
        <w:trPr>
          <w:trHeight w:val="179"/>
        </w:trPr>
        <w:tc>
          <w:tcPr>
            <w:tcW w:w="2740" w:type="dxa"/>
            <w:vAlign w:val="bottom"/>
            <w:tcBorders>
              <w:bottom w:val="single" w:sz="8" w:color="00548B"/>
            </w:tcBorders>
          </w:tcPr>
          <w:p>
            <w:pPr>
              <w:spacing w:after="0" w:line="180" w:lineRule="exact"/>
              <w:rPr>
                <w:sz w:val="20"/>
                <w:szCs w:val="20"/>
                <w:color w:val="auto"/>
              </w:rPr>
            </w:pPr>
            <w:r>
              <w:rPr>
                <w:rFonts w:ascii="Arial" w:cs="Arial" w:eastAsia="Arial" w:hAnsi="Arial"/>
                <w:sz w:val="16"/>
                <w:szCs w:val="16"/>
                <w:color w:val="auto"/>
              </w:rPr>
              <w:t>Ernest W. Torain, Jr.</w:t>
            </w:r>
          </w:p>
        </w:tc>
        <w:tc>
          <w:tcPr>
            <w:tcW w:w="2080" w:type="dxa"/>
            <w:vAlign w:val="bottom"/>
            <w:tcBorders>
              <w:bottom w:val="single" w:sz="8" w:color="00548B"/>
            </w:tcBorders>
          </w:tcPr>
          <w:p>
            <w:pPr>
              <w:jc w:val="center"/>
              <w:ind w:left="324"/>
              <w:spacing w:after="0" w:line="180" w:lineRule="exact"/>
              <w:rPr>
                <w:sz w:val="20"/>
                <w:szCs w:val="20"/>
                <w:color w:val="auto"/>
              </w:rPr>
            </w:pPr>
            <w:r>
              <w:rPr>
                <w:rFonts w:ascii="Arial" w:cs="Arial" w:eastAsia="Arial" w:hAnsi="Arial"/>
                <w:sz w:val="16"/>
                <w:szCs w:val="16"/>
                <w:color w:val="auto"/>
                <w:w w:val="99"/>
              </w:rPr>
              <w:t>—</w:t>
            </w:r>
          </w:p>
        </w:tc>
        <w:tc>
          <w:tcPr>
            <w:tcW w:w="2320" w:type="dxa"/>
            <w:vAlign w:val="bottom"/>
            <w:tcBorders>
              <w:bottom w:val="single" w:sz="8" w:color="00548B"/>
            </w:tcBorders>
          </w:tcPr>
          <w:p>
            <w:pPr>
              <w:jc w:val="right"/>
              <w:ind w:right="1063"/>
              <w:spacing w:after="0" w:line="180" w:lineRule="exact"/>
              <w:rPr>
                <w:sz w:val="20"/>
                <w:szCs w:val="20"/>
                <w:color w:val="auto"/>
              </w:rPr>
            </w:pPr>
            <w:r>
              <w:rPr>
                <w:rFonts w:ascii="Arial" w:cs="Arial" w:eastAsia="Arial" w:hAnsi="Arial"/>
                <w:sz w:val="16"/>
                <w:szCs w:val="16"/>
                <w:color w:val="auto"/>
              </w:rPr>
              <w:t>—</w:t>
            </w:r>
          </w:p>
        </w:tc>
        <w:tc>
          <w:tcPr>
            <w:tcW w:w="2240" w:type="dxa"/>
            <w:vAlign w:val="bottom"/>
            <w:tcBorders>
              <w:bottom w:val="single" w:sz="8" w:color="00548B"/>
            </w:tcBorders>
          </w:tcPr>
          <w:p>
            <w:pPr>
              <w:jc w:val="right"/>
              <w:ind w:right="524"/>
              <w:spacing w:after="0" w:line="180" w:lineRule="exact"/>
              <w:rPr>
                <w:sz w:val="20"/>
                <w:szCs w:val="20"/>
                <w:color w:val="auto"/>
              </w:rPr>
            </w:pPr>
            <w:r>
              <w:rPr>
                <w:rFonts w:ascii="Arial" w:cs="Arial" w:eastAsia="Arial" w:hAnsi="Arial"/>
                <w:sz w:val="16"/>
                <w:szCs w:val="16"/>
                <w:color w:val="auto"/>
              </w:rPr>
              <w:t>1,512</w:t>
            </w:r>
          </w:p>
        </w:tc>
        <w:tc>
          <w:tcPr>
            <w:tcW w:w="1480" w:type="dxa"/>
            <w:vAlign w:val="bottom"/>
            <w:tcBorders>
              <w:bottom w:val="single" w:sz="8" w:color="00548B"/>
            </w:tcBorders>
          </w:tcPr>
          <w:p>
            <w:pPr>
              <w:jc w:val="right"/>
              <w:spacing w:after="0" w:line="180" w:lineRule="exact"/>
              <w:rPr>
                <w:sz w:val="20"/>
                <w:szCs w:val="20"/>
                <w:color w:val="auto"/>
              </w:rPr>
            </w:pPr>
            <w:r>
              <w:rPr>
                <w:rFonts w:ascii="Arial" w:cs="Arial" w:eastAsia="Arial" w:hAnsi="Arial"/>
                <w:sz w:val="16"/>
                <w:szCs w:val="16"/>
                <w:color w:val="auto"/>
              </w:rPr>
              <w:t>76,175</w:t>
            </w:r>
          </w:p>
        </w:tc>
      </w:tr>
    </w:tbl>
    <w:p>
      <w:pPr>
        <w:spacing w:after="0" w:line="215" w:lineRule="exact"/>
        <w:rPr>
          <w:sz w:val="20"/>
          <w:szCs w:val="20"/>
          <w:color w:val="auto"/>
        </w:rPr>
      </w:pPr>
    </w:p>
    <w:p>
      <w:pPr>
        <w:ind w:left="740" w:right="20" w:hanging="541"/>
        <w:spacing w:after="0" w:line="242" w:lineRule="auto"/>
        <w:tabs>
          <w:tab w:leader="none" w:pos="7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value realized on exercise equals the market value of Huron stock measured at the time of exercise minus the exercise price of the options multiplied by the number of options exercised.</w:t>
      </w:r>
    </w:p>
    <w:p>
      <w:pPr>
        <w:spacing w:after="0" w:line="1" w:lineRule="exact"/>
        <w:rPr>
          <w:rFonts w:ascii="Arial" w:cs="Arial" w:eastAsia="Arial" w:hAnsi="Arial"/>
          <w:sz w:val="16"/>
          <w:szCs w:val="16"/>
          <w:color w:val="auto"/>
        </w:rPr>
      </w:pPr>
    </w:p>
    <w:p>
      <w:pPr>
        <w:ind w:left="740" w:right="20" w:hanging="541"/>
        <w:spacing w:after="0" w:line="253" w:lineRule="auto"/>
        <w:tabs>
          <w:tab w:leader="none" w:pos="7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value realized on vesting equals the market value of Huron stock measured as the closing price of the stock on the most recent business day preceding the vesting date multiplied by the number of shares received on vesting.</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2021 N</w:t>
      </w:r>
      <w:r>
        <w:rPr>
          <w:rFonts w:ascii="Arial" w:cs="Arial" w:eastAsia="Arial" w:hAnsi="Arial"/>
          <w:sz w:val="14"/>
          <w:szCs w:val="14"/>
          <w:b w:val="1"/>
          <w:bCs w:val="1"/>
          <w:color w:val="00548B"/>
        </w:rPr>
        <w:t>ONQUALIFIED</w:t>
      </w:r>
      <w:r>
        <w:rPr>
          <w:rFonts w:ascii="Arial" w:cs="Arial" w:eastAsia="Arial" w:hAnsi="Arial"/>
          <w:sz w:val="18"/>
          <w:szCs w:val="18"/>
          <w:b w:val="1"/>
          <w:bCs w:val="1"/>
          <w:color w:val="00548B"/>
        </w:rPr>
        <w:t xml:space="preserve"> D</w:t>
      </w:r>
      <w:r>
        <w:rPr>
          <w:rFonts w:ascii="Arial" w:cs="Arial" w:eastAsia="Arial" w:hAnsi="Arial"/>
          <w:sz w:val="14"/>
          <w:szCs w:val="14"/>
          <w:b w:val="1"/>
          <w:bCs w:val="1"/>
          <w:color w:val="00548B"/>
        </w:rPr>
        <w:t>EFERRED</w:t>
      </w:r>
      <w:r>
        <w:rPr>
          <w:rFonts w:ascii="Arial" w:cs="Arial" w:eastAsia="Arial" w:hAnsi="Arial"/>
          <w:sz w:val="18"/>
          <w:szCs w:val="18"/>
          <w:b w:val="1"/>
          <w:bCs w:val="1"/>
          <w:color w:val="00548B"/>
        </w:rPr>
        <w:t xml:space="preserve"> C</w:t>
      </w:r>
      <w:r>
        <w:rPr>
          <w:rFonts w:ascii="Arial" w:cs="Arial" w:eastAsia="Arial" w:hAnsi="Arial"/>
          <w:sz w:val="14"/>
          <w:szCs w:val="14"/>
          <w:b w:val="1"/>
          <w:bCs w:val="1"/>
          <w:color w:val="00548B"/>
        </w:rPr>
        <w:t>OMPENSATION</w:t>
      </w:r>
    </w:p>
    <w:p>
      <w:pPr>
        <w:spacing w:after="0" w:line="1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following table sets forth the deferred compensation activity for the named executive officers in 2021.</w:t>
      </w:r>
    </w:p>
    <w:p>
      <w:pPr>
        <w:spacing w:after="0" w:line="19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380" w:type="dxa"/>
            <w:vAlign w:val="bottom"/>
            <w:shd w:val="clear" w:color="auto" w:fill="00548B"/>
          </w:tcPr>
          <w:p>
            <w:pPr>
              <w:spacing w:after="0"/>
              <w:rPr>
                <w:sz w:val="14"/>
                <w:szCs w:val="14"/>
                <w:color w:val="auto"/>
              </w:rPr>
            </w:pPr>
          </w:p>
        </w:tc>
        <w:tc>
          <w:tcPr>
            <w:tcW w:w="2240" w:type="dxa"/>
            <w:vAlign w:val="bottom"/>
            <w:shd w:val="clear" w:color="auto" w:fill="00548B"/>
          </w:tcPr>
          <w:p>
            <w:pPr>
              <w:spacing w:after="0"/>
              <w:rPr>
                <w:sz w:val="14"/>
                <w:szCs w:val="14"/>
                <w:color w:val="auto"/>
              </w:rPr>
            </w:pPr>
          </w:p>
        </w:tc>
        <w:tc>
          <w:tcPr>
            <w:tcW w:w="1700" w:type="dxa"/>
            <w:vAlign w:val="bottom"/>
            <w:shd w:val="clear" w:color="auto" w:fill="00548B"/>
          </w:tcPr>
          <w:p>
            <w:pPr>
              <w:spacing w:after="0"/>
              <w:rPr>
                <w:sz w:val="14"/>
                <w:szCs w:val="14"/>
                <w:color w:val="auto"/>
              </w:rPr>
            </w:pPr>
          </w:p>
        </w:tc>
        <w:tc>
          <w:tcPr>
            <w:tcW w:w="1580" w:type="dxa"/>
            <w:vAlign w:val="bottom"/>
            <w:shd w:val="clear" w:color="auto" w:fill="00548B"/>
          </w:tcPr>
          <w:p>
            <w:pPr>
              <w:jc w:val="center"/>
              <w:ind w:right="45"/>
              <w:spacing w:after="0"/>
              <w:rPr>
                <w:sz w:val="20"/>
                <w:szCs w:val="20"/>
                <w:color w:val="auto"/>
              </w:rPr>
            </w:pPr>
            <w:r>
              <w:rPr>
                <w:rFonts w:ascii="Arial" w:cs="Arial" w:eastAsia="Arial" w:hAnsi="Arial"/>
                <w:sz w:val="14"/>
                <w:szCs w:val="14"/>
                <w:b w:val="1"/>
                <w:bCs w:val="1"/>
                <w:color w:val="D8D8D8"/>
              </w:rPr>
              <w:t>Aggregate</w:t>
            </w:r>
          </w:p>
        </w:tc>
        <w:tc>
          <w:tcPr>
            <w:tcW w:w="156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Aggregate</w:t>
            </w:r>
          </w:p>
        </w:tc>
        <w:tc>
          <w:tcPr>
            <w:tcW w:w="1400" w:type="dxa"/>
            <w:vAlign w:val="bottom"/>
            <w:shd w:val="clear" w:color="auto" w:fill="00548B"/>
          </w:tcPr>
          <w:p>
            <w:pPr>
              <w:spacing w:after="0"/>
              <w:rPr>
                <w:sz w:val="14"/>
                <w:szCs w:val="14"/>
                <w:color w:val="auto"/>
              </w:rPr>
            </w:pPr>
          </w:p>
        </w:tc>
      </w:tr>
      <w:tr>
        <w:trPr>
          <w:trHeight w:val="160"/>
        </w:trPr>
        <w:tc>
          <w:tcPr>
            <w:tcW w:w="2380" w:type="dxa"/>
            <w:vAlign w:val="bottom"/>
            <w:shd w:val="clear" w:color="auto" w:fill="00548B"/>
          </w:tcPr>
          <w:p>
            <w:pPr>
              <w:spacing w:after="0"/>
              <w:rPr>
                <w:sz w:val="13"/>
                <w:szCs w:val="13"/>
                <w:color w:val="auto"/>
              </w:rPr>
            </w:pPr>
          </w:p>
        </w:tc>
        <w:tc>
          <w:tcPr>
            <w:tcW w:w="2240" w:type="dxa"/>
            <w:vAlign w:val="bottom"/>
            <w:shd w:val="clear" w:color="auto" w:fill="00548B"/>
          </w:tcPr>
          <w:p>
            <w:pPr>
              <w:jc w:val="center"/>
              <w:ind w:left="504"/>
              <w:spacing w:after="0" w:line="159" w:lineRule="exact"/>
              <w:rPr>
                <w:sz w:val="20"/>
                <w:szCs w:val="20"/>
                <w:color w:val="auto"/>
              </w:rPr>
            </w:pPr>
            <w:r>
              <w:rPr>
                <w:rFonts w:ascii="Arial" w:cs="Arial" w:eastAsia="Arial" w:hAnsi="Arial"/>
                <w:sz w:val="14"/>
                <w:szCs w:val="14"/>
                <w:b w:val="1"/>
                <w:bCs w:val="1"/>
                <w:color w:val="D8D8D8"/>
              </w:rPr>
              <w:t>Executive</w:t>
            </w:r>
          </w:p>
        </w:tc>
        <w:tc>
          <w:tcPr>
            <w:tcW w:w="1700" w:type="dxa"/>
            <w:vAlign w:val="bottom"/>
            <w:shd w:val="clear" w:color="auto" w:fill="00548B"/>
          </w:tcPr>
          <w:p>
            <w:pPr>
              <w:jc w:val="center"/>
              <w:spacing w:after="0" w:line="159" w:lineRule="exact"/>
              <w:rPr>
                <w:sz w:val="20"/>
                <w:szCs w:val="20"/>
                <w:color w:val="auto"/>
              </w:rPr>
            </w:pPr>
            <w:r>
              <w:rPr>
                <w:rFonts w:ascii="Arial" w:cs="Arial" w:eastAsia="Arial" w:hAnsi="Arial"/>
                <w:sz w:val="14"/>
                <w:szCs w:val="14"/>
                <w:b w:val="1"/>
                <w:bCs w:val="1"/>
                <w:color w:val="D8D8D8"/>
              </w:rPr>
              <w:t>Company</w:t>
            </w:r>
          </w:p>
        </w:tc>
        <w:tc>
          <w:tcPr>
            <w:tcW w:w="1580" w:type="dxa"/>
            <w:vAlign w:val="bottom"/>
            <w:shd w:val="clear" w:color="auto" w:fill="00548B"/>
          </w:tcPr>
          <w:p>
            <w:pPr>
              <w:jc w:val="center"/>
              <w:ind w:right="25"/>
              <w:spacing w:after="0" w:line="159" w:lineRule="exact"/>
              <w:rPr>
                <w:sz w:val="20"/>
                <w:szCs w:val="20"/>
                <w:color w:val="auto"/>
              </w:rPr>
            </w:pPr>
            <w:r>
              <w:rPr>
                <w:rFonts w:ascii="Arial" w:cs="Arial" w:eastAsia="Arial" w:hAnsi="Arial"/>
                <w:sz w:val="14"/>
                <w:szCs w:val="14"/>
                <w:b w:val="1"/>
                <w:bCs w:val="1"/>
                <w:color w:val="D8D8D8"/>
              </w:rPr>
              <w:t>Earnings/</w:t>
            </w:r>
          </w:p>
        </w:tc>
        <w:tc>
          <w:tcPr>
            <w:tcW w:w="1560" w:type="dxa"/>
            <w:vAlign w:val="bottom"/>
            <w:shd w:val="clear" w:color="auto" w:fill="00548B"/>
          </w:tcPr>
          <w:p>
            <w:pPr>
              <w:jc w:val="center"/>
              <w:spacing w:after="0" w:line="159" w:lineRule="exact"/>
              <w:rPr>
                <w:sz w:val="20"/>
                <w:szCs w:val="20"/>
                <w:color w:val="auto"/>
              </w:rPr>
            </w:pPr>
            <w:r>
              <w:rPr>
                <w:rFonts w:ascii="Arial" w:cs="Arial" w:eastAsia="Arial" w:hAnsi="Arial"/>
                <w:sz w:val="14"/>
                <w:szCs w:val="14"/>
                <w:b w:val="1"/>
                <w:bCs w:val="1"/>
                <w:color w:val="D8D8D8"/>
              </w:rPr>
              <w:t>Withdrawals/</w:t>
            </w:r>
          </w:p>
        </w:tc>
        <w:tc>
          <w:tcPr>
            <w:tcW w:w="1400" w:type="dxa"/>
            <w:vAlign w:val="bottom"/>
            <w:shd w:val="clear" w:color="auto" w:fill="00548B"/>
          </w:tcPr>
          <w:p>
            <w:pPr>
              <w:jc w:val="center"/>
              <w:ind w:left="224"/>
              <w:spacing w:after="0" w:line="159" w:lineRule="exact"/>
              <w:rPr>
                <w:sz w:val="20"/>
                <w:szCs w:val="20"/>
                <w:color w:val="auto"/>
              </w:rPr>
            </w:pPr>
            <w:r>
              <w:rPr>
                <w:rFonts w:ascii="Arial" w:cs="Arial" w:eastAsia="Arial" w:hAnsi="Arial"/>
                <w:sz w:val="14"/>
                <w:szCs w:val="14"/>
                <w:b w:val="1"/>
                <w:bCs w:val="1"/>
                <w:color w:val="D8D8D8"/>
              </w:rPr>
              <w:t>Aggregate</w:t>
            </w:r>
          </w:p>
        </w:tc>
      </w:tr>
      <w:tr>
        <w:trPr>
          <w:trHeight w:val="160"/>
        </w:trPr>
        <w:tc>
          <w:tcPr>
            <w:tcW w:w="2380" w:type="dxa"/>
            <w:vAlign w:val="bottom"/>
            <w:shd w:val="clear" w:color="auto" w:fill="00548B"/>
          </w:tcPr>
          <w:p>
            <w:pPr>
              <w:spacing w:after="0"/>
              <w:rPr>
                <w:sz w:val="13"/>
                <w:szCs w:val="13"/>
                <w:color w:val="auto"/>
              </w:rPr>
            </w:pPr>
          </w:p>
        </w:tc>
        <w:tc>
          <w:tcPr>
            <w:tcW w:w="2240" w:type="dxa"/>
            <w:vAlign w:val="bottom"/>
            <w:shd w:val="clear" w:color="auto" w:fill="00548B"/>
          </w:tcPr>
          <w:p>
            <w:pPr>
              <w:jc w:val="center"/>
              <w:ind w:left="484"/>
              <w:spacing w:after="0" w:line="159" w:lineRule="exact"/>
              <w:rPr>
                <w:sz w:val="20"/>
                <w:szCs w:val="20"/>
                <w:color w:val="auto"/>
              </w:rPr>
            </w:pPr>
            <w:r>
              <w:rPr>
                <w:rFonts w:ascii="Arial" w:cs="Arial" w:eastAsia="Arial" w:hAnsi="Arial"/>
                <w:sz w:val="14"/>
                <w:szCs w:val="14"/>
                <w:b w:val="1"/>
                <w:bCs w:val="1"/>
                <w:color w:val="D8D8D8"/>
              </w:rPr>
              <w:t>Contributions</w:t>
            </w:r>
          </w:p>
        </w:tc>
        <w:tc>
          <w:tcPr>
            <w:tcW w:w="1700" w:type="dxa"/>
            <w:vAlign w:val="bottom"/>
            <w:shd w:val="clear" w:color="auto" w:fill="00548B"/>
          </w:tcPr>
          <w:p>
            <w:pPr>
              <w:jc w:val="center"/>
              <w:spacing w:after="0" w:line="159" w:lineRule="exact"/>
              <w:rPr>
                <w:sz w:val="20"/>
                <w:szCs w:val="20"/>
                <w:color w:val="auto"/>
              </w:rPr>
            </w:pPr>
            <w:r>
              <w:rPr>
                <w:rFonts w:ascii="Arial" w:cs="Arial" w:eastAsia="Arial" w:hAnsi="Arial"/>
                <w:sz w:val="14"/>
                <w:szCs w:val="14"/>
                <w:b w:val="1"/>
                <w:bCs w:val="1"/>
                <w:color w:val="D8D8D8"/>
              </w:rPr>
              <w:t>Contributions</w:t>
            </w:r>
          </w:p>
        </w:tc>
        <w:tc>
          <w:tcPr>
            <w:tcW w:w="1580" w:type="dxa"/>
            <w:vAlign w:val="bottom"/>
            <w:shd w:val="clear" w:color="auto" w:fill="00548B"/>
          </w:tcPr>
          <w:p>
            <w:pPr>
              <w:jc w:val="center"/>
              <w:ind w:right="25"/>
              <w:spacing w:after="0" w:line="159" w:lineRule="exact"/>
              <w:rPr>
                <w:sz w:val="20"/>
                <w:szCs w:val="20"/>
                <w:color w:val="auto"/>
              </w:rPr>
            </w:pPr>
            <w:r>
              <w:rPr>
                <w:rFonts w:ascii="Arial" w:cs="Arial" w:eastAsia="Arial" w:hAnsi="Arial"/>
                <w:sz w:val="14"/>
                <w:szCs w:val="14"/>
                <w:b w:val="1"/>
                <w:bCs w:val="1"/>
                <w:color w:val="D8D8D8"/>
                <w:w w:val="99"/>
              </w:rPr>
              <w:t>Losses</w:t>
            </w:r>
          </w:p>
        </w:tc>
        <w:tc>
          <w:tcPr>
            <w:tcW w:w="1560" w:type="dxa"/>
            <w:vAlign w:val="bottom"/>
            <w:shd w:val="clear" w:color="auto" w:fill="00548B"/>
          </w:tcPr>
          <w:p>
            <w:pPr>
              <w:jc w:val="center"/>
              <w:spacing w:after="0" w:line="159" w:lineRule="exact"/>
              <w:rPr>
                <w:sz w:val="20"/>
                <w:szCs w:val="20"/>
                <w:color w:val="auto"/>
              </w:rPr>
            </w:pPr>
            <w:r>
              <w:rPr>
                <w:rFonts w:ascii="Arial" w:cs="Arial" w:eastAsia="Arial" w:hAnsi="Arial"/>
                <w:sz w:val="14"/>
                <w:szCs w:val="14"/>
                <w:b w:val="1"/>
                <w:bCs w:val="1"/>
                <w:color w:val="D8D8D8"/>
              </w:rPr>
              <w:t>Distributions</w:t>
            </w:r>
          </w:p>
        </w:tc>
        <w:tc>
          <w:tcPr>
            <w:tcW w:w="1400" w:type="dxa"/>
            <w:vAlign w:val="bottom"/>
            <w:shd w:val="clear" w:color="auto" w:fill="00548B"/>
          </w:tcPr>
          <w:p>
            <w:pPr>
              <w:jc w:val="center"/>
              <w:ind w:left="204"/>
              <w:spacing w:after="0" w:line="159" w:lineRule="exact"/>
              <w:rPr>
                <w:sz w:val="20"/>
                <w:szCs w:val="20"/>
                <w:color w:val="auto"/>
              </w:rPr>
            </w:pPr>
            <w:r>
              <w:rPr>
                <w:rFonts w:ascii="Arial" w:cs="Arial" w:eastAsia="Arial" w:hAnsi="Arial"/>
                <w:sz w:val="14"/>
                <w:szCs w:val="14"/>
                <w:b w:val="1"/>
                <w:bCs w:val="1"/>
                <w:color w:val="D8D8D8"/>
              </w:rPr>
              <w:t>Balance as of</w:t>
            </w:r>
          </w:p>
        </w:tc>
      </w:tr>
      <w:tr>
        <w:trPr>
          <w:trHeight w:val="186"/>
        </w:trPr>
        <w:tc>
          <w:tcPr>
            <w:tcW w:w="2380" w:type="dxa"/>
            <w:vAlign w:val="bottom"/>
            <w:shd w:val="clear" w:color="auto" w:fill="00548B"/>
          </w:tcPr>
          <w:p>
            <w:pPr>
              <w:spacing w:after="0"/>
              <w:rPr>
                <w:sz w:val="20"/>
                <w:szCs w:val="20"/>
                <w:color w:val="auto"/>
              </w:rPr>
            </w:pPr>
            <w:r>
              <w:rPr>
                <w:rFonts w:ascii="Arial" w:cs="Arial" w:eastAsia="Arial" w:hAnsi="Arial"/>
                <w:sz w:val="14"/>
                <w:szCs w:val="14"/>
                <w:b w:val="1"/>
                <w:bCs w:val="1"/>
                <w:color w:val="D8D8D8"/>
              </w:rPr>
              <w:t>Name</w:t>
            </w:r>
          </w:p>
        </w:tc>
        <w:tc>
          <w:tcPr>
            <w:tcW w:w="2240" w:type="dxa"/>
            <w:vAlign w:val="bottom"/>
            <w:shd w:val="clear" w:color="auto" w:fill="00548B"/>
          </w:tcPr>
          <w:p>
            <w:pPr>
              <w:jc w:val="center"/>
              <w:ind w:left="484"/>
              <w:spacing w:after="0"/>
              <w:rPr>
                <w:sz w:val="20"/>
                <w:szCs w:val="20"/>
                <w:color w:val="auto"/>
              </w:rPr>
            </w:pPr>
            <w:r>
              <w:rPr>
                <w:rFonts w:ascii="Arial" w:cs="Arial" w:eastAsia="Arial" w:hAnsi="Arial"/>
                <w:sz w:val="14"/>
                <w:szCs w:val="14"/>
                <w:b w:val="1"/>
                <w:bCs w:val="1"/>
                <w:color w:val="D8D8D8"/>
              </w:rPr>
              <w:t>in 2021 ($)(1)</w:t>
            </w:r>
          </w:p>
        </w:tc>
        <w:tc>
          <w:tcPr>
            <w:tcW w:w="170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in 2021 ($)</w:t>
            </w:r>
          </w:p>
        </w:tc>
        <w:tc>
          <w:tcPr>
            <w:tcW w:w="1580" w:type="dxa"/>
            <w:vAlign w:val="bottom"/>
            <w:shd w:val="clear" w:color="auto" w:fill="00548B"/>
          </w:tcPr>
          <w:p>
            <w:pPr>
              <w:jc w:val="center"/>
              <w:ind w:right="25"/>
              <w:spacing w:after="0"/>
              <w:rPr>
                <w:sz w:val="20"/>
                <w:szCs w:val="20"/>
                <w:color w:val="auto"/>
              </w:rPr>
            </w:pPr>
            <w:r>
              <w:rPr>
                <w:rFonts w:ascii="Arial" w:cs="Arial" w:eastAsia="Arial" w:hAnsi="Arial"/>
                <w:sz w:val="14"/>
                <w:szCs w:val="14"/>
                <w:b w:val="1"/>
                <w:bCs w:val="1"/>
                <w:color w:val="D8D8D8"/>
                <w:w w:val="99"/>
              </w:rPr>
              <w:t>in 2021 ($)</w:t>
            </w:r>
          </w:p>
        </w:tc>
        <w:tc>
          <w:tcPr>
            <w:tcW w:w="1560" w:type="dxa"/>
            <w:vAlign w:val="bottom"/>
            <w:shd w:val="clear" w:color="auto" w:fill="00548B"/>
          </w:tcPr>
          <w:p>
            <w:pPr>
              <w:jc w:val="center"/>
              <w:spacing w:after="0"/>
              <w:rPr>
                <w:sz w:val="20"/>
                <w:szCs w:val="20"/>
                <w:color w:val="auto"/>
              </w:rPr>
            </w:pPr>
            <w:r>
              <w:rPr>
                <w:rFonts w:ascii="Arial" w:cs="Arial" w:eastAsia="Arial" w:hAnsi="Arial"/>
                <w:sz w:val="14"/>
                <w:szCs w:val="14"/>
                <w:b w:val="1"/>
                <w:bCs w:val="1"/>
                <w:color w:val="D8D8D8"/>
              </w:rPr>
              <w:t>in 2021 ($)</w:t>
            </w:r>
          </w:p>
        </w:tc>
        <w:tc>
          <w:tcPr>
            <w:tcW w:w="1400" w:type="dxa"/>
            <w:vAlign w:val="bottom"/>
            <w:shd w:val="clear" w:color="auto" w:fill="00548B"/>
          </w:tcPr>
          <w:p>
            <w:pPr>
              <w:jc w:val="center"/>
              <w:ind w:left="204"/>
              <w:spacing w:after="0"/>
              <w:rPr>
                <w:sz w:val="20"/>
                <w:szCs w:val="20"/>
                <w:color w:val="auto"/>
              </w:rPr>
            </w:pPr>
            <w:r>
              <w:rPr>
                <w:rFonts w:ascii="Arial" w:cs="Arial" w:eastAsia="Arial" w:hAnsi="Arial"/>
                <w:sz w:val="14"/>
                <w:szCs w:val="14"/>
                <w:b w:val="1"/>
                <w:bCs w:val="1"/>
                <w:color w:val="D8D8D8"/>
              </w:rPr>
              <w:t>12/31/21 ($)</w:t>
            </w:r>
          </w:p>
        </w:tc>
      </w:tr>
      <w:tr>
        <w:trPr>
          <w:trHeight w:val="186"/>
        </w:trPr>
        <w:tc>
          <w:tcPr>
            <w:tcW w:w="2380" w:type="dxa"/>
            <w:vAlign w:val="bottom"/>
            <w:tcBorders>
              <w:bottom w:val="single" w:sz="8" w:color="999999"/>
            </w:tcBorders>
          </w:tcPr>
          <w:p>
            <w:pPr>
              <w:spacing w:after="0"/>
              <w:rPr>
                <w:sz w:val="20"/>
                <w:szCs w:val="20"/>
                <w:color w:val="auto"/>
              </w:rPr>
            </w:pPr>
            <w:r>
              <w:rPr>
                <w:rFonts w:ascii="Arial" w:cs="Arial" w:eastAsia="Arial" w:hAnsi="Arial"/>
                <w:sz w:val="16"/>
                <w:szCs w:val="16"/>
                <w:color w:val="auto"/>
              </w:rPr>
              <w:t>James H. Roth</w:t>
            </w:r>
          </w:p>
        </w:tc>
        <w:tc>
          <w:tcPr>
            <w:tcW w:w="2240" w:type="dxa"/>
            <w:vAlign w:val="bottom"/>
            <w:tcBorders>
              <w:bottom w:val="single" w:sz="8" w:color="999999"/>
            </w:tcBorders>
          </w:tcPr>
          <w:p>
            <w:pPr>
              <w:ind w:left="1400"/>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999999"/>
            </w:tcBorders>
          </w:tcPr>
          <w:p>
            <w:pPr>
              <w:ind w:left="800"/>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999999"/>
            </w:tcBorders>
          </w:tcPr>
          <w:p>
            <w:pPr>
              <w:jc w:val="right"/>
              <w:ind w:right="265"/>
              <w:spacing w:after="0"/>
              <w:rPr>
                <w:sz w:val="20"/>
                <w:szCs w:val="20"/>
                <w:color w:val="auto"/>
              </w:rPr>
            </w:pPr>
            <w:r>
              <w:rPr>
                <w:rFonts w:ascii="Arial" w:cs="Arial" w:eastAsia="Arial" w:hAnsi="Arial"/>
                <w:sz w:val="16"/>
                <w:szCs w:val="16"/>
                <w:color w:val="auto"/>
              </w:rPr>
              <w:t>346,076</w:t>
            </w:r>
          </w:p>
        </w:tc>
        <w:tc>
          <w:tcPr>
            <w:tcW w:w="1560" w:type="dxa"/>
            <w:vAlign w:val="bottom"/>
            <w:tcBorders>
              <w:bottom w:val="single" w:sz="8" w:color="999999"/>
            </w:tcBorders>
          </w:tcPr>
          <w:p>
            <w:pPr>
              <w:ind w:left="70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4,036,073</w:t>
            </w:r>
          </w:p>
        </w:tc>
      </w:tr>
      <w:tr>
        <w:trPr>
          <w:trHeight w:val="179"/>
        </w:trPr>
        <w:tc>
          <w:tcPr>
            <w:tcW w:w="2380" w:type="dxa"/>
            <w:vAlign w:val="bottom"/>
            <w:tcBorders>
              <w:bottom w:val="single" w:sz="8" w:color="999999"/>
            </w:tcBorders>
          </w:tcPr>
          <w:p>
            <w:pPr>
              <w:spacing w:after="0" w:line="180" w:lineRule="exact"/>
              <w:rPr>
                <w:sz w:val="20"/>
                <w:szCs w:val="20"/>
                <w:color w:val="auto"/>
              </w:rPr>
            </w:pPr>
            <w:r>
              <w:rPr>
                <w:rFonts w:ascii="Arial" w:cs="Arial" w:eastAsia="Arial" w:hAnsi="Arial"/>
                <w:sz w:val="16"/>
                <w:szCs w:val="16"/>
                <w:color w:val="auto"/>
              </w:rPr>
              <w:t>C. Mark Hussey</w:t>
            </w:r>
          </w:p>
        </w:tc>
        <w:tc>
          <w:tcPr>
            <w:tcW w:w="2240" w:type="dxa"/>
            <w:vAlign w:val="bottom"/>
            <w:tcBorders>
              <w:bottom w:val="single" w:sz="8" w:color="999999"/>
            </w:tcBorders>
          </w:tcPr>
          <w:p>
            <w:pPr>
              <w:ind w:left="1400"/>
              <w:spacing w:after="0" w:line="180" w:lineRule="exact"/>
              <w:rPr>
                <w:sz w:val="20"/>
                <w:szCs w:val="20"/>
                <w:color w:val="auto"/>
              </w:rPr>
            </w:pPr>
            <w:r>
              <w:rPr>
                <w:rFonts w:ascii="Arial" w:cs="Arial" w:eastAsia="Arial" w:hAnsi="Arial"/>
                <w:sz w:val="16"/>
                <w:szCs w:val="16"/>
                <w:color w:val="auto"/>
              </w:rPr>
              <w:t>—</w:t>
            </w:r>
          </w:p>
        </w:tc>
        <w:tc>
          <w:tcPr>
            <w:tcW w:w="1700" w:type="dxa"/>
            <w:vAlign w:val="bottom"/>
            <w:tcBorders>
              <w:bottom w:val="single" w:sz="8" w:color="999999"/>
            </w:tcBorders>
          </w:tcPr>
          <w:p>
            <w:pPr>
              <w:ind w:left="800"/>
              <w:spacing w:after="0" w:line="180" w:lineRule="exact"/>
              <w:rPr>
                <w:sz w:val="20"/>
                <w:szCs w:val="20"/>
                <w:color w:val="auto"/>
              </w:rPr>
            </w:pPr>
            <w:r>
              <w:rPr>
                <w:rFonts w:ascii="Arial" w:cs="Arial" w:eastAsia="Arial" w:hAnsi="Arial"/>
                <w:sz w:val="16"/>
                <w:szCs w:val="16"/>
                <w:color w:val="auto"/>
              </w:rPr>
              <w:t>—</w:t>
            </w:r>
          </w:p>
        </w:tc>
        <w:tc>
          <w:tcPr>
            <w:tcW w:w="1580" w:type="dxa"/>
            <w:vAlign w:val="bottom"/>
            <w:tcBorders>
              <w:bottom w:val="single" w:sz="8" w:color="999999"/>
            </w:tcBorders>
          </w:tcPr>
          <w:p>
            <w:pPr>
              <w:jc w:val="right"/>
              <w:ind w:right="265"/>
              <w:spacing w:after="0" w:line="180" w:lineRule="exact"/>
              <w:rPr>
                <w:sz w:val="20"/>
                <w:szCs w:val="20"/>
                <w:color w:val="auto"/>
              </w:rPr>
            </w:pPr>
            <w:r>
              <w:rPr>
                <w:rFonts w:ascii="Arial" w:cs="Arial" w:eastAsia="Arial" w:hAnsi="Arial"/>
                <w:sz w:val="16"/>
                <w:szCs w:val="16"/>
                <w:color w:val="auto"/>
              </w:rPr>
              <w:t>324,985</w:t>
            </w:r>
          </w:p>
        </w:tc>
        <w:tc>
          <w:tcPr>
            <w:tcW w:w="1560" w:type="dxa"/>
            <w:vAlign w:val="bottom"/>
            <w:tcBorders>
              <w:bottom w:val="single" w:sz="8" w:color="999999"/>
            </w:tcBorders>
          </w:tcPr>
          <w:p>
            <w:pPr>
              <w:ind w:left="700"/>
              <w:spacing w:after="0" w:line="180" w:lineRule="exact"/>
              <w:rPr>
                <w:sz w:val="20"/>
                <w:szCs w:val="20"/>
                <w:color w:val="auto"/>
              </w:rPr>
            </w:pPr>
            <w:r>
              <w:rPr>
                <w:rFonts w:ascii="Arial" w:cs="Arial" w:eastAsia="Arial" w:hAnsi="Arial"/>
                <w:sz w:val="16"/>
                <w:szCs w:val="16"/>
                <w:color w:val="auto"/>
              </w:rPr>
              <w:t>—</w:t>
            </w:r>
          </w:p>
        </w:tc>
        <w:tc>
          <w:tcPr>
            <w:tcW w:w="1400" w:type="dxa"/>
            <w:vAlign w:val="bottom"/>
            <w:tcBorders>
              <w:bottom w:val="single" w:sz="8" w:color="999999"/>
            </w:tcBorders>
          </w:tcPr>
          <w:p>
            <w:pPr>
              <w:jc w:val="right"/>
              <w:spacing w:after="0" w:line="180" w:lineRule="exact"/>
              <w:rPr>
                <w:sz w:val="20"/>
                <w:szCs w:val="20"/>
                <w:color w:val="auto"/>
              </w:rPr>
            </w:pPr>
            <w:r>
              <w:rPr>
                <w:rFonts w:ascii="Arial" w:cs="Arial" w:eastAsia="Arial" w:hAnsi="Arial"/>
                <w:sz w:val="16"/>
                <w:szCs w:val="16"/>
                <w:color w:val="auto"/>
              </w:rPr>
              <w:t>1,837,422</w:t>
            </w:r>
          </w:p>
        </w:tc>
      </w:tr>
      <w:tr>
        <w:trPr>
          <w:trHeight w:val="179"/>
        </w:trPr>
        <w:tc>
          <w:tcPr>
            <w:tcW w:w="2380" w:type="dxa"/>
            <w:vAlign w:val="bottom"/>
            <w:tcBorders>
              <w:bottom w:val="single" w:sz="8" w:color="999999"/>
            </w:tcBorders>
          </w:tcPr>
          <w:p>
            <w:pPr>
              <w:spacing w:after="0" w:line="180" w:lineRule="exact"/>
              <w:rPr>
                <w:sz w:val="20"/>
                <w:szCs w:val="20"/>
                <w:color w:val="auto"/>
              </w:rPr>
            </w:pPr>
            <w:r>
              <w:rPr>
                <w:rFonts w:ascii="Arial" w:cs="Arial" w:eastAsia="Arial" w:hAnsi="Arial"/>
                <w:sz w:val="16"/>
                <w:szCs w:val="16"/>
                <w:color w:val="auto"/>
              </w:rPr>
              <w:t>John D. Kelly</w:t>
            </w:r>
          </w:p>
        </w:tc>
        <w:tc>
          <w:tcPr>
            <w:tcW w:w="2240" w:type="dxa"/>
            <w:vAlign w:val="bottom"/>
            <w:tcBorders>
              <w:bottom w:val="single" w:sz="8" w:color="999999"/>
            </w:tcBorders>
          </w:tcPr>
          <w:p>
            <w:pPr>
              <w:ind w:left="1400"/>
              <w:spacing w:after="0" w:line="180" w:lineRule="exact"/>
              <w:rPr>
                <w:sz w:val="20"/>
                <w:szCs w:val="20"/>
                <w:color w:val="auto"/>
              </w:rPr>
            </w:pPr>
            <w:r>
              <w:rPr>
                <w:rFonts w:ascii="Arial" w:cs="Arial" w:eastAsia="Arial" w:hAnsi="Arial"/>
                <w:sz w:val="16"/>
                <w:szCs w:val="16"/>
                <w:color w:val="auto"/>
              </w:rPr>
              <w:t>—</w:t>
            </w:r>
          </w:p>
        </w:tc>
        <w:tc>
          <w:tcPr>
            <w:tcW w:w="1700" w:type="dxa"/>
            <w:vAlign w:val="bottom"/>
            <w:tcBorders>
              <w:bottom w:val="single" w:sz="8" w:color="999999"/>
            </w:tcBorders>
          </w:tcPr>
          <w:p>
            <w:pPr>
              <w:ind w:left="800"/>
              <w:spacing w:after="0" w:line="180" w:lineRule="exact"/>
              <w:rPr>
                <w:sz w:val="20"/>
                <w:szCs w:val="20"/>
                <w:color w:val="auto"/>
              </w:rPr>
            </w:pPr>
            <w:r>
              <w:rPr>
                <w:rFonts w:ascii="Arial" w:cs="Arial" w:eastAsia="Arial" w:hAnsi="Arial"/>
                <w:sz w:val="16"/>
                <w:szCs w:val="16"/>
                <w:color w:val="auto"/>
              </w:rPr>
              <w:t>—</w:t>
            </w:r>
          </w:p>
        </w:tc>
        <w:tc>
          <w:tcPr>
            <w:tcW w:w="1580" w:type="dxa"/>
            <w:vAlign w:val="bottom"/>
            <w:tcBorders>
              <w:bottom w:val="single" w:sz="8" w:color="999999"/>
            </w:tcBorders>
          </w:tcPr>
          <w:p>
            <w:pPr>
              <w:jc w:val="right"/>
              <w:ind w:right="525"/>
              <w:spacing w:after="0" w:line="180" w:lineRule="exact"/>
              <w:rPr>
                <w:sz w:val="20"/>
                <w:szCs w:val="20"/>
                <w:color w:val="auto"/>
              </w:rPr>
            </w:pPr>
            <w:r>
              <w:rPr>
                <w:rFonts w:ascii="Arial" w:cs="Arial" w:eastAsia="Arial" w:hAnsi="Arial"/>
                <w:sz w:val="16"/>
                <w:szCs w:val="16"/>
                <w:color w:val="auto"/>
              </w:rPr>
              <w:t>—</w:t>
            </w:r>
          </w:p>
        </w:tc>
        <w:tc>
          <w:tcPr>
            <w:tcW w:w="1560" w:type="dxa"/>
            <w:vAlign w:val="bottom"/>
            <w:tcBorders>
              <w:bottom w:val="single" w:sz="8" w:color="999999"/>
            </w:tcBorders>
          </w:tcPr>
          <w:p>
            <w:pPr>
              <w:ind w:left="700"/>
              <w:spacing w:after="0" w:line="180" w:lineRule="exact"/>
              <w:rPr>
                <w:sz w:val="20"/>
                <w:szCs w:val="20"/>
                <w:color w:val="auto"/>
              </w:rPr>
            </w:pPr>
            <w:r>
              <w:rPr>
                <w:rFonts w:ascii="Arial" w:cs="Arial" w:eastAsia="Arial" w:hAnsi="Arial"/>
                <w:sz w:val="16"/>
                <w:szCs w:val="16"/>
                <w:color w:val="auto"/>
              </w:rPr>
              <w:t>—</w:t>
            </w:r>
          </w:p>
        </w:tc>
        <w:tc>
          <w:tcPr>
            <w:tcW w:w="1400" w:type="dxa"/>
            <w:vAlign w:val="bottom"/>
            <w:tcBorders>
              <w:bottom w:val="single" w:sz="8" w:color="999999"/>
            </w:tcBorders>
          </w:tcPr>
          <w:p>
            <w:pPr>
              <w:jc w:val="right"/>
              <w:ind w:right="284"/>
              <w:spacing w:after="0" w:line="180" w:lineRule="exact"/>
              <w:rPr>
                <w:sz w:val="20"/>
                <w:szCs w:val="20"/>
                <w:color w:val="auto"/>
              </w:rPr>
            </w:pPr>
            <w:r>
              <w:rPr>
                <w:rFonts w:ascii="Arial" w:cs="Arial" w:eastAsia="Arial" w:hAnsi="Arial"/>
                <w:sz w:val="16"/>
                <w:szCs w:val="16"/>
                <w:color w:val="auto"/>
              </w:rPr>
              <w:t>—</w:t>
            </w:r>
          </w:p>
        </w:tc>
      </w:tr>
      <w:tr>
        <w:trPr>
          <w:trHeight w:val="179"/>
        </w:trPr>
        <w:tc>
          <w:tcPr>
            <w:tcW w:w="2380" w:type="dxa"/>
            <w:vAlign w:val="bottom"/>
            <w:tcBorders>
              <w:bottom w:val="single" w:sz="8" w:color="00548B"/>
            </w:tcBorders>
          </w:tcPr>
          <w:p>
            <w:pPr>
              <w:spacing w:after="0" w:line="180" w:lineRule="exact"/>
              <w:rPr>
                <w:sz w:val="20"/>
                <w:szCs w:val="20"/>
                <w:color w:val="auto"/>
              </w:rPr>
            </w:pPr>
            <w:r>
              <w:rPr>
                <w:rFonts w:ascii="Arial" w:cs="Arial" w:eastAsia="Arial" w:hAnsi="Arial"/>
                <w:sz w:val="16"/>
                <w:szCs w:val="16"/>
                <w:color w:val="auto"/>
              </w:rPr>
              <w:t>Ernest W. Torain, Jr.</w:t>
            </w:r>
          </w:p>
        </w:tc>
        <w:tc>
          <w:tcPr>
            <w:tcW w:w="2240" w:type="dxa"/>
            <w:vAlign w:val="bottom"/>
            <w:tcBorders>
              <w:bottom w:val="single" w:sz="8" w:color="00548B"/>
            </w:tcBorders>
          </w:tcPr>
          <w:p>
            <w:pPr>
              <w:ind w:left="1400"/>
              <w:spacing w:after="0" w:line="180" w:lineRule="exact"/>
              <w:rPr>
                <w:sz w:val="20"/>
                <w:szCs w:val="20"/>
                <w:color w:val="auto"/>
              </w:rPr>
            </w:pPr>
            <w:r>
              <w:rPr>
                <w:rFonts w:ascii="Arial" w:cs="Arial" w:eastAsia="Arial" w:hAnsi="Arial"/>
                <w:sz w:val="16"/>
                <w:szCs w:val="16"/>
                <w:color w:val="auto"/>
              </w:rPr>
              <w:t>—</w:t>
            </w:r>
          </w:p>
        </w:tc>
        <w:tc>
          <w:tcPr>
            <w:tcW w:w="1700" w:type="dxa"/>
            <w:vAlign w:val="bottom"/>
            <w:tcBorders>
              <w:bottom w:val="single" w:sz="8" w:color="00548B"/>
            </w:tcBorders>
          </w:tcPr>
          <w:p>
            <w:pPr>
              <w:ind w:left="800"/>
              <w:spacing w:after="0" w:line="180" w:lineRule="exact"/>
              <w:rPr>
                <w:sz w:val="20"/>
                <w:szCs w:val="20"/>
                <w:color w:val="auto"/>
              </w:rPr>
            </w:pPr>
            <w:r>
              <w:rPr>
                <w:rFonts w:ascii="Arial" w:cs="Arial" w:eastAsia="Arial" w:hAnsi="Arial"/>
                <w:sz w:val="16"/>
                <w:szCs w:val="16"/>
                <w:color w:val="auto"/>
              </w:rPr>
              <w:t>—</w:t>
            </w:r>
          </w:p>
        </w:tc>
        <w:tc>
          <w:tcPr>
            <w:tcW w:w="1580" w:type="dxa"/>
            <w:vAlign w:val="bottom"/>
            <w:tcBorders>
              <w:bottom w:val="single" w:sz="8" w:color="00548B"/>
            </w:tcBorders>
          </w:tcPr>
          <w:p>
            <w:pPr>
              <w:jc w:val="right"/>
              <w:ind w:right="525"/>
              <w:spacing w:after="0" w:line="180" w:lineRule="exact"/>
              <w:rPr>
                <w:sz w:val="20"/>
                <w:szCs w:val="20"/>
                <w:color w:val="auto"/>
              </w:rPr>
            </w:pPr>
            <w:r>
              <w:rPr>
                <w:rFonts w:ascii="Arial" w:cs="Arial" w:eastAsia="Arial" w:hAnsi="Arial"/>
                <w:sz w:val="16"/>
                <w:szCs w:val="16"/>
                <w:color w:val="auto"/>
              </w:rPr>
              <w:t>—</w:t>
            </w:r>
          </w:p>
        </w:tc>
        <w:tc>
          <w:tcPr>
            <w:tcW w:w="1560" w:type="dxa"/>
            <w:vAlign w:val="bottom"/>
            <w:tcBorders>
              <w:bottom w:val="single" w:sz="8" w:color="00548B"/>
            </w:tcBorders>
          </w:tcPr>
          <w:p>
            <w:pPr>
              <w:ind w:left="700"/>
              <w:spacing w:after="0" w:line="180" w:lineRule="exact"/>
              <w:rPr>
                <w:sz w:val="20"/>
                <w:szCs w:val="20"/>
                <w:color w:val="auto"/>
              </w:rPr>
            </w:pPr>
            <w:r>
              <w:rPr>
                <w:rFonts w:ascii="Arial" w:cs="Arial" w:eastAsia="Arial" w:hAnsi="Arial"/>
                <w:sz w:val="16"/>
                <w:szCs w:val="16"/>
                <w:color w:val="auto"/>
              </w:rPr>
              <w:t>—</w:t>
            </w:r>
          </w:p>
        </w:tc>
        <w:tc>
          <w:tcPr>
            <w:tcW w:w="1400" w:type="dxa"/>
            <w:vAlign w:val="bottom"/>
            <w:tcBorders>
              <w:bottom w:val="single" w:sz="8" w:color="00548B"/>
            </w:tcBorders>
          </w:tcPr>
          <w:p>
            <w:pPr>
              <w:jc w:val="right"/>
              <w:ind w:right="284"/>
              <w:spacing w:after="0" w:line="180" w:lineRule="exact"/>
              <w:rPr>
                <w:sz w:val="20"/>
                <w:szCs w:val="20"/>
                <w:color w:val="auto"/>
              </w:rPr>
            </w:pPr>
            <w:r>
              <w:rPr>
                <w:rFonts w:ascii="Arial" w:cs="Arial" w:eastAsia="Arial" w:hAnsi="Arial"/>
                <w:sz w:val="16"/>
                <w:szCs w:val="16"/>
                <w:color w:val="auto"/>
              </w:rPr>
              <w:t>—</w:t>
            </w:r>
          </w:p>
        </w:tc>
      </w:tr>
    </w:tbl>
    <w:p>
      <w:pPr>
        <w:spacing w:after="0" w:line="215" w:lineRule="exact"/>
        <w:rPr>
          <w:sz w:val="20"/>
          <w:szCs w:val="20"/>
          <w:color w:val="auto"/>
        </w:rPr>
      </w:pPr>
    </w:p>
    <w:p>
      <w:pPr>
        <w:ind w:left="740" w:hanging="541"/>
        <w:spacing w:after="0"/>
        <w:tabs>
          <w:tab w:leader="none" w:pos="7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There were no executive contributions made to the DCP for 2021.</w:t>
      </w:r>
    </w:p>
    <w:p>
      <w:pPr>
        <w:spacing w:after="0" w:line="175" w:lineRule="exact"/>
        <w:rPr>
          <w:sz w:val="20"/>
          <w:szCs w:val="20"/>
          <w:color w:val="auto"/>
        </w:rPr>
      </w:pPr>
    </w:p>
    <w:p>
      <w:pPr>
        <w:jc w:val="both"/>
        <w:ind w:left="200" w:right="20"/>
        <w:spacing w:after="0" w:line="244" w:lineRule="auto"/>
        <w:rPr>
          <w:sz w:val="20"/>
          <w:szCs w:val="20"/>
          <w:color w:val="auto"/>
        </w:rPr>
      </w:pPr>
      <w:r>
        <w:rPr>
          <w:rFonts w:ascii="Arial" w:cs="Arial" w:eastAsia="Arial" w:hAnsi="Arial"/>
          <w:sz w:val="16"/>
          <w:szCs w:val="16"/>
          <w:color w:val="auto"/>
        </w:rPr>
        <w:t>The Company maintains the DCP, which became effective July 1, 2006. The DCP permits managing directors, corporate vice presidents and named executive officers to elect to defer up to 75% of their base salary and 100% of their annual cash incentive into a deferred compensation account and to choose from a number of investment alternatives. Earnings are credited based on the returns of the investment options selected by the participant. Huron does not match any amounts deferred or otherwise contribute to the DCP except to make restoration payments to the accounts of participants who do not receive the maximum eligible 401(k) match as a result of participation in the DCP. Deferral elections for base salary and any guaranteed bonus must be made in the calendar year prior to earning such base salary or within 30 days of becoming eligible for the plan. The Company requires that deferral elections of the annual cash incentive must be made 12 months prior to the end of the applicable performance period. Non-employee directors may also defer up to 100% of their retainer and meeting fees into the DCP.</w:t>
      </w:r>
    </w:p>
    <w:p>
      <w:pPr>
        <w:spacing w:after="0" w:line="166" w:lineRule="exact"/>
        <w:rPr>
          <w:sz w:val="20"/>
          <w:szCs w:val="20"/>
          <w:color w:val="auto"/>
        </w:rPr>
      </w:pPr>
    </w:p>
    <w:p>
      <w:pPr>
        <w:jc w:val="both"/>
        <w:ind w:left="200" w:right="20"/>
        <w:spacing w:after="0" w:line="246" w:lineRule="auto"/>
        <w:rPr>
          <w:sz w:val="20"/>
          <w:szCs w:val="20"/>
          <w:color w:val="auto"/>
        </w:rPr>
      </w:pPr>
      <w:r>
        <w:rPr>
          <w:rFonts w:ascii="Arial" w:cs="Arial" w:eastAsia="Arial" w:hAnsi="Arial"/>
          <w:sz w:val="16"/>
          <w:szCs w:val="16"/>
          <w:color w:val="auto"/>
        </w:rPr>
        <w:t>Payments from the plan automatically begin upon termination of employment or separation from service as a director. Key employees, including executive officers, must wait six months after termination to receive payment from the plan. Participants may elect payment in a lump sum or annual installments for up to 15 years. Upon proof of financial hardship and approval from the Compensation Committee, a participant may be allowed an early distribution. Participants may also elect to receive payments prior to termination through a scheduled distribution.</w:t>
      </w:r>
    </w:p>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00548B"/>
        </w:rPr>
        <w:t>43</w:t>
      </w:r>
    </w:p>
    <w:p>
      <w:pPr>
        <w:sectPr>
          <w:pgSz w:w="11900" w:h="16838" w:orient="portrait"/>
          <w:cols w:equalWidth="0" w:num="1">
            <w:col w:w="11060"/>
          </w:cols>
          <w:pgMar w:left="320" w:top="454" w:right="5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200660</wp:posOffset>
            </wp:positionV>
            <wp:extent cx="6889750" cy="1860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89750" cy="186055"/>
                    </a:xfrm>
                    <a:prstGeom prst="rect">
                      <a:avLst/>
                    </a:prstGeom>
                    <a:noFill/>
                  </pic:spPr>
                </pic:pic>
              </a:graphicData>
            </a:graphic>
          </wp:anchor>
        </w:drawing>
      </w:r>
    </w:p>
    <w:p>
      <w:pPr>
        <w:spacing w:after="0" w:line="35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D8D8D8"/>
        </w:rPr>
        <w:t>POTENTIAL PAYMENTS UPON TERMINATION OR CHANGE OF CONTROL</w:t>
      </w:r>
    </w:p>
    <w:p>
      <w:pPr>
        <w:spacing w:after="0" w:line="199"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Background</w:t>
      </w:r>
    </w:p>
    <w:p>
      <w:pPr>
        <w:spacing w:after="0" w:line="20"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color w:val="auto"/>
        </w:rPr>
        <w:t>We have entered into agreements and maintain plans and arrangements that require us to pay or provide compensation and benefits to each of the named executive officers in the event of certain terminations of employment or a change of control.</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Senior Management Agreements</w:t>
      </w:r>
    </w:p>
    <w:p>
      <w:pPr>
        <w:spacing w:after="0" w:line="20" w:lineRule="exact"/>
        <w:rPr>
          <w:sz w:val="20"/>
          <w:szCs w:val="20"/>
          <w:color w:val="auto"/>
        </w:rPr>
      </w:pPr>
    </w:p>
    <w:p>
      <w:pPr>
        <w:jc w:val="both"/>
        <w:ind w:left="200"/>
        <w:spacing w:after="0" w:line="248" w:lineRule="auto"/>
        <w:rPr>
          <w:sz w:val="20"/>
          <w:szCs w:val="20"/>
          <w:color w:val="auto"/>
        </w:rPr>
      </w:pPr>
      <w:r>
        <w:rPr>
          <w:rFonts w:ascii="Arial" w:cs="Arial" w:eastAsia="Arial" w:hAnsi="Arial"/>
          <w:sz w:val="16"/>
          <w:szCs w:val="16"/>
          <w:color w:val="auto"/>
        </w:rPr>
        <w:t>Mr. Roth’s agreement covers a term beginning on January 1, 2017 and continues for three years from that date. Following the expiration of that initial three-year term, his agreement was renewed and will continue to automatically renew every year, unless Mr. Roth or the Company provides 60 days’ notice to the other that such automatic renewal shall cease. The agreement may be earlier terminated by Mr. Roth or the Company pursuant to its terms.</w:t>
      </w:r>
    </w:p>
    <w:p>
      <w:pPr>
        <w:spacing w:after="0" w:line="161" w:lineRule="exact"/>
        <w:rPr>
          <w:sz w:val="20"/>
          <w:szCs w:val="20"/>
          <w:color w:val="auto"/>
        </w:rPr>
      </w:pPr>
    </w:p>
    <w:p>
      <w:pPr>
        <w:jc w:val="both"/>
        <w:ind w:left="200"/>
        <w:spacing w:after="0" w:line="248" w:lineRule="auto"/>
        <w:rPr>
          <w:sz w:val="20"/>
          <w:szCs w:val="20"/>
          <w:color w:val="auto"/>
        </w:rPr>
      </w:pPr>
      <w:r>
        <w:rPr>
          <w:rFonts w:ascii="Arial" w:cs="Arial" w:eastAsia="Arial" w:hAnsi="Arial"/>
          <w:sz w:val="16"/>
          <w:szCs w:val="16"/>
          <w:color w:val="auto"/>
        </w:rPr>
        <w:t>Mr. Hussey, Mr. Kelly, and Mr. Torain’s agreements provide that employment will continue unless either the Company or the executive delivers to the other 60 days’ advance written notice of the cessation of employment. These may be earlier terminated by the executive or the Company pursuant to their terms.</w:t>
      </w:r>
    </w:p>
    <w:p>
      <w:pPr>
        <w:spacing w:after="0" w:line="174"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color w:val="auto"/>
        </w:rPr>
        <w:t>The following table summarizes how unvested equity awards will be addressed in the event of a termination under the Senior Management Agreements that were in effect during 2021.</w:t>
      </w:r>
    </w:p>
    <w:p>
      <w:pPr>
        <w:spacing w:after="0" w:line="175" w:lineRule="exact"/>
        <w:rPr>
          <w:sz w:val="20"/>
          <w:szCs w:val="20"/>
          <w:color w:val="auto"/>
        </w:rPr>
      </w:pPr>
    </w:p>
    <w:tbl>
      <w:tblPr>
        <w:tblLayout w:type="fixed"/>
        <w:tblInd w:w="330" w:type="dxa"/>
        <w:tblCellMar>
          <w:top w:w="0" w:type="dxa"/>
          <w:left w:w="0" w:type="dxa"/>
          <w:bottom w:w="0" w:type="dxa"/>
          <w:right w:w="0" w:type="dxa"/>
        </w:tblCellMar>
      </w:tblPr>
      <w:tr>
        <w:trPr>
          <w:trHeight w:val="181"/>
        </w:trPr>
        <w:tc>
          <w:tcPr>
            <w:tcW w:w="3740" w:type="dxa"/>
            <w:vAlign w:val="bottom"/>
            <w:tcBorders>
              <w:top w:val="single" w:sz="8" w:color="00548B"/>
              <w:left w:val="single" w:sz="8" w:color="00548B"/>
              <w:right w:val="single" w:sz="8" w:color="999999"/>
            </w:tcBorders>
            <w:shd w:val="clear" w:color="auto" w:fill="00548B"/>
          </w:tcPr>
          <w:p>
            <w:pPr>
              <w:spacing w:after="0"/>
              <w:rPr>
                <w:sz w:val="15"/>
                <w:szCs w:val="15"/>
                <w:color w:val="auto"/>
              </w:rPr>
            </w:pPr>
          </w:p>
        </w:tc>
        <w:tc>
          <w:tcPr>
            <w:tcW w:w="3500" w:type="dxa"/>
            <w:vAlign w:val="bottom"/>
            <w:tcBorders>
              <w:top w:val="single" w:sz="8" w:color="00548B"/>
              <w:right w:val="single" w:sz="8" w:color="999999"/>
            </w:tcBorders>
            <w:shd w:val="clear" w:color="auto" w:fill="00548B"/>
          </w:tcPr>
          <w:p>
            <w:pPr>
              <w:spacing w:after="0"/>
              <w:rPr>
                <w:sz w:val="15"/>
                <w:szCs w:val="15"/>
                <w:color w:val="auto"/>
              </w:rPr>
            </w:pPr>
          </w:p>
        </w:tc>
        <w:tc>
          <w:tcPr>
            <w:tcW w:w="3400" w:type="dxa"/>
            <w:vAlign w:val="bottom"/>
            <w:tcBorders>
              <w:top w:val="single" w:sz="8" w:color="00548B"/>
              <w:right w:val="single" w:sz="8" w:color="00548B"/>
            </w:tcBorders>
            <w:shd w:val="clear" w:color="auto" w:fill="00548B"/>
          </w:tcPr>
          <w:p>
            <w:pPr>
              <w:ind w:left="940"/>
              <w:spacing w:after="0" w:line="181" w:lineRule="exact"/>
              <w:rPr>
                <w:sz w:val="20"/>
                <w:szCs w:val="20"/>
                <w:color w:val="auto"/>
              </w:rPr>
            </w:pPr>
            <w:r>
              <w:rPr>
                <w:rFonts w:ascii="Arial" w:cs="Arial" w:eastAsia="Arial" w:hAnsi="Arial"/>
                <w:sz w:val="16"/>
                <w:szCs w:val="16"/>
                <w:b w:val="1"/>
                <w:bCs w:val="1"/>
                <w:color w:val="E5E5E5"/>
              </w:rPr>
              <w:t>2019, 2020 and 2021</w:t>
            </w:r>
          </w:p>
        </w:tc>
      </w:tr>
      <w:tr>
        <w:trPr>
          <w:trHeight w:val="204"/>
        </w:trPr>
        <w:tc>
          <w:tcPr>
            <w:tcW w:w="3740" w:type="dxa"/>
            <w:vAlign w:val="bottom"/>
            <w:tcBorders>
              <w:left w:val="single" w:sz="8" w:color="00548B"/>
              <w:right w:val="single" w:sz="8" w:color="999999"/>
            </w:tcBorders>
            <w:shd w:val="clear" w:color="auto" w:fill="00548B"/>
          </w:tcPr>
          <w:p>
            <w:pPr>
              <w:ind w:left="1720"/>
              <w:spacing w:after="0"/>
              <w:rPr>
                <w:sz w:val="20"/>
                <w:szCs w:val="20"/>
                <w:color w:val="auto"/>
              </w:rPr>
            </w:pPr>
            <w:r>
              <w:rPr>
                <w:rFonts w:ascii="Arial" w:cs="Arial" w:eastAsia="Arial" w:hAnsi="Arial"/>
                <w:sz w:val="16"/>
                <w:szCs w:val="16"/>
                <w:b w:val="1"/>
                <w:bCs w:val="1"/>
                <w:color w:val="E5E5E5"/>
              </w:rPr>
              <w:t>Event</w:t>
            </w:r>
          </w:p>
        </w:tc>
        <w:tc>
          <w:tcPr>
            <w:tcW w:w="3500" w:type="dxa"/>
            <w:vAlign w:val="bottom"/>
            <w:tcBorders>
              <w:right w:val="single" w:sz="8" w:color="999999"/>
            </w:tcBorders>
            <w:shd w:val="clear" w:color="auto" w:fill="00548B"/>
          </w:tcPr>
          <w:p>
            <w:pPr>
              <w:ind w:left="660"/>
              <w:spacing w:after="0"/>
              <w:rPr>
                <w:sz w:val="20"/>
                <w:szCs w:val="20"/>
                <w:color w:val="auto"/>
              </w:rPr>
            </w:pPr>
            <w:r>
              <w:rPr>
                <w:rFonts w:ascii="Arial" w:cs="Arial" w:eastAsia="Arial" w:hAnsi="Arial"/>
                <w:sz w:val="16"/>
                <w:szCs w:val="16"/>
                <w:b w:val="1"/>
                <w:bCs w:val="1"/>
                <w:color w:val="E5E5E5"/>
              </w:rPr>
              <w:t>Restricted Stock and Options</w:t>
            </w:r>
          </w:p>
        </w:tc>
        <w:tc>
          <w:tcPr>
            <w:tcW w:w="3400" w:type="dxa"/>
            <w:vAlign w:val="bottom"/>
            <w:tcBorders>
              <w:right w:val="single" w:sz="8" w:color="00548B"/>
            </w:tcBorders>
            <w:shd w:val="clear" w:color="auto" w:fill="00548B"/>
          </w:tcPr>
          <w:p>
            <w:pPr>
              <w:ind w:left="760"/>
              <w:spacing w:after="0"/>
              <w:rPr>
                <w:sz w:val="20"/>
                <w:szCs w:val="20"/>
                <w:color w:val="auto"/>
              </w:rPr>
            </w:pPr>
            <w:r>
              <w:rPr>
                <w:rFonts w:ascii="Arial" w:cs="Arial" w:eastAsia="Arial" w:hAnsi="Arial"/>
                <w:sz w:val="16"/>
                <w:szCs w:val="16"/>
                <w:b w:val="1"/>
                <w:bCs w:val="1"/>
                <w:color w:val="E5E5E5"/>
              </w:rPr>
              <w:t>Performance Stock Units</w:t>
            </w:r>
          </w:p>
        </w:tc>
      </w:tr>
      <w:tr>
        <w:trPr>
          <w:trHeight w:val="188"/>
        </w:trPr>
        <w:tc>
          <w:tcPr>
            <w:tcW w:w="3740" w:type="dxa"/>
            <w:vAlign w:val="bottom"/>
            <w:tcBorders>
              <w:left w:val="single" w:sz="8" w:color="00548B"/>
              <w:right w:val="single" w:sz="8" w:color="999999"/>
            </w:tcBorders>
          </w:tcPr>
          <w:p>
            <w:pPr>
              <w:ind w:left="140"/>
              <w:spacing w:after="0"/>
              <w:rPr>
                <w:sz w:val="20"/>
                <w:szCs w:val="20"/>
                <w:color w:val="auto"/>
              </w:rPr>
            </w:pPr>
            <w:r>
              <w:rPr>
                <w:rFonts w:ascii="Arial" w:cs="Arial" w:eastAsia="Arial" w:hAnsi="Arial"/>
                <w:sz w:val="16"/>
                <w:szCs w:val="16"/>
                <w:color w:val="auto"/>
              </w:rPr>
              <w:t>Normal Vesting</w:t>
            </w:r>
          </w:p>
        </w:tc>
        <w:tc>
          <w:tcPr>
            <w:tcW w:w="3500" w:type="dxa"/>
            <w:vAlign w:val="bottom"/>
            <w:tcBorders>
              <w:right w:val="single" w:sz="8" w:color="999999"/>
            </w:tcBorders>
          </w:tcPr>
          <w:p>
            <w:pPr>
              <w:ind w:left="60"/>
              <w:spacing w:after="0"/>
              <w:rPr>
                <w:sz w:val="20"/>
                <w:szCs w:val="20"/>
                <w:color w:val="auto"/>
              </w:rPr>
            </w:pPr>
            <w:r>
              <w:rPr>
                <w:rFonts w:ascii="Arial" w:cs="Arial" w:eastAsia="Arial" w:hAnsi="Arial"/>
                <w:sz w:val="16"/>
                <w:szCs w:val="16"/>
                <w:color w:val="auto"/>
              </w:rPr>
              <w:t>33% annual vesting over 3 years for awards</w:t>
            </w:r>
          </w:p>
        </w:tc>
        <w:tc>
          <w:tcPr>
            <w:tcW w:w="3400" w:type="dxa"/>
            <w:vAlign w:val="bottom"/>
            <w:tcBorders>
              <w:right w:val="single" w:sz="8" w:color="00548B"/>
            </w:tcBorders>
          </w:tcPr>
          <w:p>
            <w:pPr>
              <w:ind w:left="60"/>
              <w:spacing w:after="0"/>
              <w:rPr>
                <w:sz w:val="20"/>
                <w:szCs w:val="20"/>
                <w:color w:val="auto"/>
              </w:rPr>
            </w:pPr>
            <w:r>
              <w:rPr>
                <w:rFonts w:ascii="Arial" w:cs="Arial" w:eastAsia="Arial" w:hAnsi="Arial"/>
                <w:sz w:val="16"/>
                <w:szCs w:val="16"/>
                <w:color w:val="auto"/>
              </w:rPr>
              <w:t>100% of the earned PSUs vest in Q1 of the</w:t>
            </w:r>
          </w:p>
        </w:tc>
      </w:tr>
      <w:tr>
        <w:trPr>
          <w:trHeight w:val="186"/>
        </w:trPr>
        <w:tc>
          <w:tcPr>
            <w:tcW w:w="3740" w:type="dxa"/>
            <w:vAlign w:val="bottom"/>
            <w:tcBorders>
              <w:left w:val="single" w:sz="8" w:color="00548B"/>
              <w:right w:val="single" w:sz="8" w:color="999999"/>
            </w:tcBorders>
          </w:tcPr>
          <w:p>
            <w:pPr>
              <w:spacing w:after="0"/>
              <w:rPr>
                <w:sz w:val="16"/>
                <w:szCs w:val="16"/>
                <w:color w:val="auto"/>
              </w:rPr>
            </w:pPr>
          </w:p>
        </w:tc>
        <w:tc>
          <w:tcPr>
            <w:tcW w:w="3500" w:type="dxa"/>
            <w:vAlign w:val="bottom"/>
            <w:tcBorders>
              <w:right w:val="single" w:sz="8" w:color="999999"/>
            </w:tcBorders>
          </w:tcPr>
          <w:p>
            <w:pPr>
              <w:ind w:left="60"/>
              <w:spacing w:after="0"/>
              <w:rPr>
                <w:sz w:val="20"/>
                <w:szCs w:val="20"/>
                <w:color w:val="auto"/>
              </w:rPr>
            </w:pPr>
            <w:r>
              <w:rPr>
                <w:rFonts w:ascii="Arial" w:cs="Arial" w:eastAsia="Arial" w:hAnsi="Arial"/>
                <w:sz w:val="16"/>
                <w:szCs w:val="16"/>
                <w:color w:val="auto"/>
              </w:rPr>
              <w:t>granted on or after 3/15/2017; 100% vesting</w:t>
            </w:r>
          </w:p>
        </w:tc>
        <w:tc>
          <w:tcPr>
            <w:tcW w:w="3400" w:type="dxa"/>
            <w:vAlign w:val="bottom"/>
            <w:tcBorders>
              <w:right w:val="single" w:sz="8" w:color="00548B"/>
            </w:tcBorders>
          </w:tcPr>
          <w:p>
            <w:pPr>
              <w:ind w:left="60"/>
              <w:spacing w:after="0"/>
              <w:rPr>
                <w:sz w:val="20"/>
                <w:szCs w:val="20"/>
                <w:color w:val="auto"/>
              </w:rPr>
            </w:pPr>
            <w:r>
              <w:rPr>
                <w:rFonts w:ascii="Arial" w:cs="Arial" w:eastAsia="Arial" w:hAnsi="Arial"/>
                <w:sz w:val="16"/>
                <w:szCs w:val="16"/>
                <w:color w:val="auto"/>
              </w:rPr>
              <w:t>year following the end of the three year</w:t>
            </w:r>
          </w:p>
        </w:tc>
      </w:tr>
      <w:tr>
        <w:trPr>
          <w:trHeight w:val="186"/>
        </w:trPr>
        <w:tc>
          <w:tcPr>
            <w:tcW w:w="3740" w:type="dxa"/>
            <w:vAlign w:val="bottom"/>
            <w:tcBorders>
              <w:left w:val="single" w:sz="8" w:color="00548B"/>
              <w:right w:val="single" w:sz="8" w:color="999999"/>
            </w:tcBorders>
          </w:tcPr>
          <w:p>
            <w:pPr>
              <w:spacing w:after="0"/>
              <w:rPr>
                <w:sz w:val="16"/>
                <w:szCs w:val="16"/>
                <w:color w:val="auto"/>
              </w:rPr>
            </w:pPr>
          </w:p>
        </w:tc>
        <w:tc>
          <w:tcPr>
            <w:tcW w:w="3500" w:type="dxa"/>
            <w:vAlign w:val="bottom"/>
            <w:tcBorders>
              <w:right w:val="single" w:sz="8" w:color="999999"/>
            </w:tcBorders>
          </w:tcPr>
          <w:p>
            <w:pPr>
              <w:ind w:left="60"/>
              <w:spacing w:after="0"/>
              <w:rPr>
                <w:sz w:val="20"/>
                <w:szCs w:val="20"/>
                <w:color w:val="auto"/>
              </w:rPr>
            </w:pPr>
            <w:r>
              <w:rPr>
                <w:rFonts w:ascii="Arial" w:cs="Arial" w:eastAsia="Arial" w:hAnsi="Arial"/>
                <w:sz w:val="16"/>
                <w:szCs w:val="16"/>
                <w:color w:val="auto"/>
              </w:rPr>
              <w:t>after 4 years for the supplemental award</w:t>
            </w:r>
          </w:p>
        </w:tc>
        <w:tc>
          <w:tcPr>
            <w:tcW w:w="3400" w:type="dxa"/>
            <w:vAlign w:val="bottom"/>
            <w:tcBorders>
              <w:right w:val="single" w:sz="8" w:color="00548B"/>
            </w:tcBorders>
          </w:tcPr>
          <w:p>
            <w:pPr>
              <w:ind w:left="60"/>
              <w:spacing w:after="0"/>
              <w:rPr>
                <w:sz w:val="20"/>
                <w:szCs w:val="20"/>
                <w:color w:val="auto"/>
              </w:rPr>
            </w:pPr>
            <w:r>
              <w:rPr>
                <w:rFonts w:ascii="Arial" w:cs="Arial" w:eastAsia="Arial" w:hAnsi="Arial"/>
                <w:sz w:val="16"/>
                <w:szCs w:val="16"/>
                <w:color w:val="auto"/>
              </w:rPr>
              <w:t>Performance Period provided that executive</w:t>
            </w:r>
          </w:p>
        </w:tc>
      </w:tr>
      <w:tr>
        <w:trPr>
          <w:trHeight w:val="186"/>
        </w:trPr>
        <w:tc>
          <w:tcPr>
            <w:tcW w:w="3740" w:type="dxa"/>
            <w:vAlign w:val="bottom"/>
            <w:tcBorders>
              <w:left w:val="single" w:sz="8" w:color="00548B"/>
              <w:right w:val="single" w:sz="8" w:color="999999"/>
            </w:tcBorders>
          </w:tcPr>
          <w:p>
            <w:pPr>
              <w:spacing w:after="0"/>
              <w:rPr>
                <w:sz w:val="16"/>
                <w:szCs w:val="16"/>
                <w:color w:val="auto"/>
              </w:rPr>
            </w:pPr>
          </w:p>
        </w:tc>
        <w:tc>
          <w:tcPr>
            <w:tcW w:w="3500" w:type="dxa"/>
            <w:vAlign w:val="bottom"/>
            <w:tcBorders>
              <w:right w:val="single" w:sz="8" w:color="999999"/>
            </w:tcBorders>
          </w:tcPr>
          <w:p>
            <w:pPr>
              <w:ind w:left="60"/>
              <w:spacing w:after="0"/>
              <w:rPr>
                <w:sz w:val="20"/>
                <w:szCs w:val="20"/>
                <w:color w:val="auto"/>
              </w:rPr>
            </w:pPr>
            <w:r>
              <w:rPr>
                <w:rFonts w:ascii="Arial" w:cs="Arial" w:eastAsia="Arial" w:hAnsi="Arial"/>
                <w:sz w:val="16"/>
                <w:szCs w:val="16"/>
                <w:color w:val="auto"/>
              </w:rPr>
              <w:t>granted to John D. Kelly on 3/1/2020.</w:t>
            </w:r>
          </w:p>
        </w:tc>
        <w:tc>
          <w:tcPr>
            <w:tcW w:w="3400" w:type="dxa"/>
            <w:vAlign w:val="bottom"/>
            <w:tcBorders>
              <w:right w:val="single" w:sz="8" w:color="00548B"/>
            </w:tcBorders>
          </w:tcPr>
          <w:p>
            <w:pPr>
              <w:ind w:left="60"/>
              <w:spacing w:after="0"/>
              <w:rPr>
                <w:sz w:val="20"/>
                <w:szCs w:val="20"/>
                <w:color w:val="auto"/>
              </w:rPr>
            </w:pPr>
            <w:r>
              <w:rPr>
                <w:rFonts w:ascii="Arial" w:cs="Arial" w:eastAsia="Arial" w:hAnsi="Arial"/>
                <w:sz w:val="16"/>
                <w:szCs w:val="16"/>
                <w:color w:val="auto"/>
              </w:rPr>
              <w:t>remains employed at Huron through the</w:t>
            </w:r>
          </w:p>
        </w:tc>
      </w:tr>
      <w:tr>
        <w:trPr>
          <w:trHeight w:val="184"/>
        </w:trPr>
        <w:tc>
          <w:tcPr>
            <w:tcW w:w="3740" w:type="dxa"/>
            <w:vAlign w:val="bottom"/>
            <w:tcBorders>
              <w:left w:val="single" w:sz="8" w:color="00548B"/>
              <w:bottom w:val="single" w:sz="8" w:color="999999"/>
              <w:right w:val="single" w:sz="8" w:color="999999"/>
            </w:tcBorders>
          </w:tcPr>
          <w:p>
            <w:pPr>
              <w:spacing w:after="0"/>
              <w:rPr>
                <w:sz w:val="16"/>
                <w:szCs w:val="16"/>
                <w:color w:val="auto"/>
              </w:rPr>
            </w:pPr>
          </w:p>
        </w:tc>
        <w:tc>
          <w:tcPr>
            <w:tcW w:w="3500" w:type="dxa"/>
            <w:vAlign w:val="bottom"/>
            <w:tcBorders>
              <w:bottom w:val="single" w:sz="8" w:color="999999"/>
              <w:right w:val="single" w:sz="8" w:color="999999"/>
            </w:tcBorders>
          </w:tcPr>
          <w:p>
            <w:pPr>
              <w:spacing w:after="0"/>
              <w:rPr>
                <w:sz w:val="16"/>
                <w:szCs w:val="16"/>
                <w:color w:val="auto"/>
              </w:rPr>
            </w:pPr>
          </w:p>
        </w:tc>
        <w:tc>
          <w:tcPr>
            <w:tcW w:w="3400" w:type="dxa"/>
            <w:vAlign w:val="bottom"/>
            <w:tcBorders>
              <w:bottom w:val="single" w:sz="8" w:color="999999"/>
              <w:right w:val="single" w:sz="8" w:color="00548B"/>
            </w:tcBorders>
          </w:tcPr>
          <w:p>
            <w:pPr>
              <w:ind w:left="60"/>
              <w:spacing w:after="0"/>
              <w:rPr>
                <w:sz w:val="20"/>
                <w:szCs w:val="20"/>
                <w:color w:val="auto"/>
              </w:rPr>
            </w:pPr>
            <w:r>
              <w:rPr>
                <w:rFonts w:ascii="Arial" w:cs="Arial" w:eastAsia="Arial" w:hAnsi="Arial"/>
                <w:sz w:val="16"/>
                <w:szCs w:val="16"/>
                <w:color w:val="auto"/>
              </w:rPr>
              <w:t>Performance Period.</w:t>
            </w:r>
          </w:p>
        </w:tc>
      </w:tr>
      <w:tr>
        <w:trPr>
          <w:trHeight w:val="179"/>
        </w:trPr>
        <w:tc>
          <w:tcPr>
            <w:tcW w:w="3740" w:type="dxa"/>
            <w:vAlign w:val="bottom"/>
            <w:tcBorders>
              <w:left w:val="single" w:sz="8" w:color="00548B"/>
              <w:bottom w:val="single" w:sz="8" w:color="999999"/>
              <w:right w:val="single" w:sz="8" w:color="999999"/>
            </w:tcBorders>
          </w:tcPr>
          <w:p>
            <w:pPr>
              <w:ind w:left="140"/>
              <w:spacing w:after="0" w:line="180" w:lineRule="exact"/>
              <w:rPr>
                <w:sz w:val="20"/>
                <w:szCs w:val="20"/>
                <w:color w:val="auto"/>
              </w:rPr>
            </w:pPr>
            <w:r>
              <w:rPr>
                <w:rFonts w:ascii="Arial" w:cs="Arial" w:eastAsia="Arial" w:hAnsi="Arial"/>
                <w:sz w:val="16"/>
                <w:szCs w:val="16"/>
                <w:color w:val="auto"/>
              </w:rPr>
              <w:t>Voluntary Termination</w:t>
            </w:r>
          </w:p>
        </w:tc>
        <w:tc>
          <w:tcPr>
            <w:tcW w:w="3500" w:type="dxa"/>
            <w:vAlign w:val="bottom"/>
            <w:tcBorders>
              <w:bottom w:val="single" w:sz="8" w:color="999999"/>
              <w:right w:val="single" w:sz="8" w:color="999999"/>
            </w:tcBorders>
          </w:tcPr>
          <w:p>
            <w:pPr>
              <w:ind w:left="60"/>
              <w:spacing w:after="0" w:line="180" w:lineRule="exact"/>
              <w:rPr>
                <w:sz w:val="20"/>
                <w:szCs w:val="20"/>
                <w:color w:val="auto"/>
              </w:rPr>
            </w:pPr>
            <w:r>
              <w:rPr>
                <w:rFonts w:ascii="Arial" w:cs="Arial" w:eastAsia="Arial" w:hAnsi="Arial"/>
                <w:sz w:val="16"/>
                <w:szCs w:val="16"/>
                <w:color w:val="auto"/>
              </w:rPr>
              <w:t>Forfeit.</w:t>
            </w:r>
          </w:p>
        </w:tc>
        <w:tc>
          <w:tcPr>
            <w:tcW w:w="3400" w:type="dxa"/>
            <w:vAlign w:val="bottom"/>
            <w:tcBorders>
              <w:bottom w:val="single" w:sz="8" w:color="999999"/>
              <w:right w:val="single" w:sz="8" w:color="00548B"/>
            </w:tcBorders>
          </w:tcPr>
          <w:p>
            <w:pPr>
              <w:ind w:left="60"/>
              <w:spacing w:after="0" w:line="180" w:lineRule="exact"/>
              <w:rPr>
                <w:sz w:val="20"/>
                <w:szCs w:val="20"/>
                <w:color w:val="auto"/>
              </w:rPr>
            </w:pPr>
            <w:r>
              <w:rPr>
                <w:rFonts w:ascii="Arial" w:cs="Arial" w:eastAsia="Arial" w:hAnsi="Arial"/>
                <w:sz w:val="16"/>
                <w:szCs w:val="16"/>
                <w:color w:val="auto"/>
              </w:rPr>
              <w:t>Forfeit.</w:t>
            </w:r>
          </w:p>
        </w:tc>
      </w:tr>
      <w:tr>
        <w:trPr>
          <w:trHeight w:val="179"/>
        </w:trPr>
        <w:tc>
          <w:tcPr>
            <w:tcW w:w="3740" w:type="dxa"/>
            <w:vAlign w:val="bottom"/>
            <w:tcBorders>
              <w:left w:val="single" w:sz="8" w:color="00548B"/>
              <w:bottom w:val="single" w:sz="8" w:color="999999"/>
              <w:right w:val="single" w:sz="8" w:color="999999"/>
            </w:tcBorders>
          </w:tcPr>
          <w:p>
            <w:pPr>
              <w:ind w:left="140"/>
              <w:spacing w:after="0" w:line="180" w:lineRule="exact"/>
              <w:rPr>
                <w:sz w:val="20"/>
                <w:szCs w:val="20"/>
                <w:color w:val="auto"/>
              </w:rPr>
            </w:pPr>
            <w:r>
              <w:rPr>
                <w:rFonts w:ascii="Arial" w:cs="Arial" w:eastAsia="Arial" w:hAnsi="Arial"/>
                <w:sz w:val="16"/>
                <w:szCs w:val="16"/>
                <w:color w:val="auto"/>
              </w:rPr>
              <w:t>Termination for “Cause”</w:t>
            </w:r>
          </w:p>
        </w:tc>
        <w:tc>
          <w:tcPr>
            <w:tcW w:w="3500" w:type="dxa"/>
            <w:vAlign w:val="bottom"/>
            <w:tcBorders>
              <w:bottom w:val="single" w:sz="8" w:color="999999"/>
              <w:right w:val="single" w:sz="8" w:color="999999"/>
            </w:tcBorders>
          </w:tcPr>
          <w:p>
            <w:pPr>
              <w:ind w:left="60"/>
              <w:spacing w:after="0" w:line="180" w:lineRule="exact"/>
              <w:rPr>
                <w:sz w:val="20"/>
                <w:szCs w:val="20"/>
                <w:color w:val="auto"/>
              </w:rPr>
            </w:pPr>
            <w:r>
              <w:rPr>
                <w:rFonts w:ascii="Arial" w:cs="Arial" w:eastAsia="Arial" w:hAnsi="Arial"/>
                <w:sz w:val="16"/>
                <w:szCs w:val="16"/>
                <w:color w:val="auto"/>
              </w:rPr>
              <w:t>Forfeit.</w:t>
            </w:r>
          </w:p>
        </w:tc>
        <w:tc>
          <w:tcPr>
            <w:tcW w:w="3400" w:type="dxa"/>
            <w:vAlign w:val="bottom"/>
            <w:tcBorders>
              <w:bottom w:val="single" w:sz="8" w:color="999999"/>
              <w:right w:val="single" w:sz="8" w:color="00548B"/>
            </w:tcBorders>
          </w:tcPr>
          <w:p>
            <w:pPr>
              <w:ind w:left="60"/>
              <w:spacing w:after="0" w:line="180" w:lineRule="exact"/>
              <w:rPr>
                <w:sz w:val="20"/>
                <w:szCs w:val="20"/>
                <w:color w:val="auto"/>
              </w:rPr>
            </w:pPr>
            <w:r>
              <w:rPr>
                <w:rFonts w:ascii="Arial" w:cs="Arial" w:eastAsia="Arial" w:hAnsi="Arial"/>
                <w:sz w:val="16"/>
                <w:szCs w:val="16"/>
                <w:color w:val="auto"/>
              </w:rPr>
              <w:t>Forfeit.</w:t>
            </w:r>
          </w:p>
        </w:tc>
      </w:tr>
      <w:tr>
        <w:trPr>
          <w:trHeight w:val="181"/>
        </w:trPr>
        <w:tc>
          <w:tcPr>
            <w:tcW w:w="3740" w:type="dxa"/>
            <w:vAlign w:val="bottom"/>
            <w:tcBorders>
              <w:left w:val="single" w:sz="8" w:color="00548B"/>
              <w:right w:val="single" w:sz="8" w:color="999999"/>
            </w:tcBorders>
          </w:tcPr>
          <w:p>
            <w:pPr>
              <w:ind w:left="140"/>
              <w:spacing w:after="0" w:line="181" w:lineRule="exact"/>
              <w:rPr>
                <w:sz w:val="20"/>
                <w:szCs w:val="20"/>
                <w:color w:val="auto"/>
              </w:rPr>
            </w:pPr>
            <w:r>
              <w:rPr>
                <w:rFonts w:ascii="Arial" w:cs="Arial" w:eastAsia="Arial" w:hAnsi="Arial"/>
                <w:sz w:val="16"/>
                <w:szCs w:val="16"/>
                <w:color w:val="auto"/>
              </w:rPr>
              <w:t>Approved Retirement (comply with non-compete</w:t>
            </w:r>
          </w:p>
        </w:tc>
        <w:tc>
          <w:tcPr>
            <w:tcW w:w="3500" w:type="dxa"/>
            <w:vAlign w:val="bottom"/>
            <w:tcBorders>
              <w:right w:val="single" w:sz="8" w:color="999999"/>
            </w:tcBorders>
          </w:tcPr>
          <w:p>
            <w:pPr>
              <w:ind w:left="60"/>
              <w:spacing w:after="0" w:line="181" w:lineRule="exact"/>
              <w:rPr>
                <w:sz w:val="20"/>
                <w:szCs w:val="20"/>
                <w:color w:val="auto"/>
              </w:rPr>
            </w:pPr>
            <w:r>
              <w:rPr>
                <w:rFonts w:ascii="Arial" w:cs="Arial" w:eastAsia="Arial" w:hAnsi="Arial"/>
                <w:sz w:val="16"/>
                <w:szCs w:val="16"/>
                <w:color w:val="auto"/>
              </w:rPr>
              <w:t>Subject to non-compete, vesting continues per</w:t>
            </w:r>
          </w:p>
        </w:tc>
        <w:tc>
          <w:tcPr>
            <w:tcW w:w="3400" w:type="dxa"/>
            <w:vAlign w:val="bottom"/>
            <w:tcBorders>
              <w:right w:val="single" w:sz="8" w:color="00548B"/>
            </w:tcBorders>
          </w:tcPr>
          <w:p>
            <w:pPr>
              <w:ind w:left="60"/>
              <w:spacing w:after="0" w:line="181" w:lineRule="exact"/>
              <w:rPr>
                <w:sz w:val="20"/>
                <w:szCs w:val="20"/>
                <w:color w:val="auto"/>
              </w:rPr>
            </w:pPr>
            <w:r>
              <w:rPr>
                <w:rFonts w:ascii="Arial" w:cs="Arial" w:eastAsia="Arial" w:hAnsi="Arial"/>
                <w:sz w:val="16"/>
                <w:szCs w:val="16"/>
                <w:color w:val="auto"/>
              </w:rPr>
              <w:t>Earned based on actual performance and will</w:t>
            </w:r>
          </w:p>
        </w:tc>
      </w:tr>
      <w:tr>
        <w:trPr>
          <w:trHeight w:val="186"/>
        </w:trPr>
        <w:tc>
          <w:tcPr>
            <w:tcW w:w="3740" w:type="dxa"/>
            <w:vAlign w:val="bottom"/>
            <w:tcBorders>
              <w:left w:val="single" w:sz="8" w:color="00548B"/>
              <w:right w:val="single" w:sz="8" w:color="999999"/>
            </w:tcBorders>
          </w:tcPr>
          <w:p>
            <w:pPr>
              <w:ind w:left="140"/>
              <w:spacing w:after="0"/>
              <w:rPr>
                <w:sz w:val="20"/>
                <w:szCs w:val="20"/>
                <w:color w:val="auto"/>
              </w:rPr>
            </w:pPr>
            <w:r>
              <w:rPr>
                <w:rFonts w:ascii="Arial" w:cs="Arial" w:eastAsia="Arial" w:hAnsi="Arial"/>
                <w:sz w:val="16"/>
                <w:szCs w:val="16"/>
                <w:color w:val="auto"/>
              </w:rPr>
              <w:t>provisions)</w:t>
            </w:r>
          </w:p>
        </w:tc>
        <w:tc>
          <w:tcPr>
            <w:tcW w:w="3500" w:type="dxa"/>
            <w:vAlign w:val="bottom"/>
            <w:tcBorders>
              <w:right w:val="single" w:sz="8" w:color="999999"/>
            </w:tcBorders>
          </w:tcPr>
          <w:p>
            <w:pPr>
              <w:ind w:left="60"/>
              <w:spacing w:after="0"/>
              <w:rPr>
                <w:sz w:val="20"/>
                <w:szCs w:val="20"/>
                <w:color w:val="auto"/>
              </w:rPr>
            </w:pPr>
            <w:r>
              <w:rPr>
                <w:rFonts w:ascii="Arial" w:cs="Arial" w:eastAsia="Arial" w:hAnsi="Arial"/>
                <w:sz w:val="16"/>
                <w:szCs w:val="16"/>
                <w:color w:val="auto"/>
              </w:rPr>
              <w:t>normal course post-retirement.</w:t>
            </w:r>
          </w:p>
        </w:tc>
        <w:tc>
          <w:tcPr>
            <w:tcW w:w="3400" w:type="dxa"/>
            <w:vAlign w:val="bottom"/>
            <w:tcBorders>
              <w:right w:val="single" w:sz="8" w:color="00548B"/>
            </w:tcBorders>
          </w:tcPr>
          <w:p>
            <w:pPr>
              <w:ind w:left="60"/>
              <w:spacing w:after="0"/>
              <w:rPr>
                <w:sz w:val="20"/>
                <w:szCs w:val="20"/>
                <w:color w:val="auto"/>
              </w:rPr>
            </w:pPr>
            <w:r>
              <w:rPr>
                <w:rFonts w:ascii="Arial" w:cs="Arial" w:eastAsia="Arial" w:hAnsi="Arial"/>
                <w:sz w:val="16"/>
                <w:szCs w:val="16"/>
                <w:color w:val="auto"/>
              </w:rPr>
              <w:t>vest pro rata on March 1 of the year following</w:t>
            </w:r>
          </w:p>
        </w:tc>
      </w:tr>
      <w:tr>
        <w:trPr>
          <w:trHeight w:val="186"/>
        </w:trPr>
        <w:tc>
          <w:tcPr>
            <w:tcW w:w="3740" w:type="dxa"/>
            <w:vAlign w:val="bottom"/>
            <w:tcBorders>
              <w:left w:val="single" w:sz="8" w:color="00548B"/>
              <w:right w:val="single" w:sz="8" w:color="999999"/>
            </w:tcBorders>
          </w:tcPr>
          <w:p>
            <w:pPr>
              <w:spacing w:after="0"/>
              <w:rPr>
                <w:sz w:val="16"/>
                <w:szCs w:val="16"/>
                <w:color w:val="auto"/>
              </w:rPr>
            </w:pPr>
          </w:p>
        </w:tc>
        <w:tc>
          <w:tcPr>
            <w:tcW w:w="3500" w:type="dxa"/>
            <w:vAlign w:val="bottom"/>
            <w:tcBorders>
              <w:right w:val="single" w:sz="8" w:color="999999"/>
            </w:tcBorders>
          </w:tcPr>
          <w:p>
            <w:pPr>
              <w:spacing w:after="0"/>
              <w:rPr>
                <w:sz w:val="16"/>
                <w:szCs w:val="16"/>
                <w:color w:val="auto"/>
              </w:rPr>
            </w:pPr>
          </w:p>
        </w:tc>
        <w:tc>
          <w:tcPr>
            <w:tcW w:w="3400" w:type="dxa"/>
            <w:vAlign w:val="bottom"/>
            <w:tcBorders>
              <w:right w:val="single" w:sz="8" w:color="00548B"/>
            </w:tcBorders>
          </w:tcPr>
          <w:p>
            <w:pPr>
              <w:ind w:left="60"/>
              <w:spacing w:after="0"/>
              <w:rPr>
                <w:sz w:val="20"/>
                <w:szCs w:val="20"/>
                <w:color w:val="auto"/>
              </w:rPr>
            </w:pPr>
            <w:r>
              <w:rPr>
                <w:rFonts w:ascii="Arial" w:cs="Arial" w:eastAsia="Arial" w:hAnsi="Arial"/>
                <w:sz w:val="16"/>
                <w:szCs w:val="16"/>
                <w:color w:val="auto"/>
              </w:rPr>
              <w:t>the three year Performance Period based on</w:t>
            </w:r>
          </w:p>
        </w:tc>
      </w:tr>
      <w:tr>
        <w:trPr>
          <w:trHeight w:val="186"/>
        </w:trPr>
        <w:tc>
          <w:tcPr>
            <w:tcW w:w="3740" w:type="dxa"/>
            <w:vAlign w:val="bottom"/>
            <w:tcBorders>
              <w:left w:val="single" w:sz="8" w:color="00548B"/>
              <w:right w:val="single" w:sz="8" w:color="999999"/>
            </w:tcBorders>
          </w:tcPr>
          <w:p>
            <w:pPr>
              <w:spacing w:after="0"/>
              <w:rPr>
                <w:sz w:val="16"/>
                <w:szCs w:val="16"/>
                <w:color w:val="auto"/>
              </w:rPr>
            </w:pPr>
          </w:p>
        </w:tc>
        <w:tc>
          <w:tcPr>
            <w:tcW w:w="3500" w:type="dxa"/>
            <w:vAlign w:val="bottom"/>
            <w:tcBorders>
              <w:right w:val="single" w:sz="8" w:color="999999"/>
            </w:tcBorders>
          </w:tcPr>
          <w:p>
            <w:pPr>
              <w:spacing w:after="0"/>
              <w:rPr>
                <w:sz w:val="16"/>
                <w:szCs w:val="16"/>
                <w:color w:val="auto"/>
              </w:rPr>
            </w:pPr>
          </w:p>
        </w:tc>
        <w:tc>
          <w:tcPr>
            <w:tcW w:w="3400" w:type="dxa"/>
            <w:vAlign w:val="bottom"/>
            <w:tcBorders>
              <w:right w:val="single" w:sz="8" w:color="00548B"/>
            </w:tcBorders>
          </w:tcPr>
          <w:p>
            <w:pPr>
              <w:ind w:left="60"/>
              <w:spacing w:after="0"/>
              <w:rPr>
                <w:sz w:val="20"/>
                <w:szCs w:val="20"/>
                <w:color w:val="auto"/>
              </w:rPr>
            </w:pPr>
            <w:r>
              <w:rPr>
                <w:rFonts w:ascii="Arial" w:cs="Arial" w:eastAsia="Arial" w:hAnsi="Arial"/>
                <w:sz w:val="16"/>
                <w:szCs w:val="16"/>
                <w:color w:val="auto"/>
              </w:rPr>
              <w:t>number of days employed during the</w:t>
            </w:r>
          </w:p>
        </w:tc>
      </w:tr>
      <w:tr>
        <w:trPr>
          <w:trHeight w:val="186"/>
        </w:trPr>
        <w:tc>
          <w:tcPr>
            <w:tcW w:w="3740" w:type="dxa"/>
            <w:vAlign w:val="bottom"/>
            <w:tcBorders>
              <w:left w:val="single" w:sz="8" w:color="00548B"/>
              <w:right w:val="single" w:sz="8" w:color="999999"/>
            </w:tcBorders>
          </w:tcPr>
          <w:p>
            <w:pPr>
              <w:spacing w:after="0"/>
              <w:rPr>
                <w:sz w:val="16"/>
                <w:szCs w:val="16"/>
                <w:color w:val="auto"/>
              </w:rPr>
            </w:pPr>
          </w:p>
        </w:tc>
        <w:tc>
          <w:tcPr>
            <w:tcW w:w="3500" w:type="dxa"/>
            <w:vAlign w:val="bottom"/>
            <w:tcBorders>
              <w:right w:val="single" w:sz="8" w:color="999999"/>
            </w:tcBorders>
          </w:tcPr>
          <w:p>
            <w:pPr>
              <w:spacing w:after="0"/>
              <w:rPr>
                <w:sz w:val="16"/>
                <w:szCs w:val="16"/>
                <w:color w:val="auto"/>
              </w:rPr>
            </w:pPr>
          </w:p>
        </w:tc>
        <w:tc>
          <w:tcPr>
            <w:tcW w:w="3400" w:type="dxa"/>
            <w:vAlign w:val="bottom"/>
            <w:tcBorders>
              <w:right w:val="single" w:sz="8" w:color="00548B"/>
            </w:tcBorders>
          </w:tcPr>
          <w:p>
            <w:pPr>
              <w:ind w:left="60"/>
              <w:spacing w:after="0"/>
              <w:rPr>
                <w:sz w:val="20"/>
                <w:szCs w:val="20"/>
                <w:color w:val="auto"/>
              </w:rPr>
            </w:pPr>
            <w:r>
              <w:rPr>
                <w:rFonts w:ascii="Arial" w:cs="Arial" w:eastAsia="Arial" w:hAnsi="Arial"/>
                <w:sz w:val="16"/>
                <w:szCs w:val="16"/>
                <w:color w:val="auto"/>
              </w:rPr>
              <w:t>Performance Period. Subject to non-compete,</w:t>
            </w:r>
          </w:p>
        </w:tc>
      </w:tr>
      <w:tr>
        <w:trPr>
          <w:trHeight w:val="186"/>
        </w:trPr>
        <w:tc>
          <w:tcPr>
            <w:tcW w:w="3740" w:type="dxa"/>
            <w:vAlign w:val="bottom"/>
            <w:tcBorders>
              <w:left w:val="single" w:sz="8" w:color="00548B"/>
              <w:right w:val="single" w:sz="8" w:color="999999"/>
            </w:tcBorders>
          </w:tcPr>
          <w:p>
            <w:pPr>
              <w:spacing w:after="0"/>
              <w:rPr>
                <w:sz w:val="16"/>
                <w:szCs w:val="16"/>
                <w:color w:val="auto"/>
              </w:rPr>
            </w:pPr>
          </w:p>
        </w:tc>
        <w:tc>
          <w:tcPr>
            <w:tcW w:w="3500" w:type="dxa"/>
            <w:vAlign w:val="bottom"/>
            <w:tcBorders>
              <w:right w:val="single" w:sz="8" w:color="999999"/>
            </w:tcBorders>
          </w:tcPr>
          <w:p>
            <w:pPr>
              <w:spacing w:after="0"/>
              <w:rPr>
                <w:sz w:val="16"/>
                <w:szCs w:val="16"/>
                <w:color w:val="auto"/>
              </w:rPr>
            </w:pPr>
          </w:p>
        </w:tc>
        <w:tc>
          <w:tcPr>
            <w:tcW w:w="3400" w:type="dxa"/>
            <w:vAlign w:val="bottom"/>
            <w:tcBorders>
              <w:right w:val="single" w:sz="8" w:color="00548B"/>
            </w:tcBorders>
          </w:tcPr>
          <w:p>
            <w:pPr>
              <w:ind w:left="60"/>
              <w:spacing w:after="0"/>
              <w:rPr>
                <w:sz w:val="20"/>
                <w:szCs w:val="20"/>
                <w:color w:val="auto"/>
              </w:rPr>
            </w:pPr>
            <w:r>
              <w:rPr>
                <w:rFonts w:ascii="Arial" w:cs="Arial" w:eastAsia="Arial" w:hAnsi="Arial"/>
                <w:sz w:val="16"/>
                <w:szCs w:val="16"/>
                <w:color w:val="auto"/>
              </w:rPr>
              <w:t>vesting continues per normal course post-</w:t>
            </w:r>
          </w:p>
        </w:tc>
      </w:tr>
      <w:tr>
        <w:trPr>
          <w:trHeight w:val="184"/>
        </w:trPr>
        <w:tc>
          <w:tcPr>
            <w:tcW w:w="3740" w:type="dxa"/>
            <w:vAlign w:val="bottom"/>
            <w:tcBorders>
              <w:left w:val="single" w:sz="8" w:color="00548B"/>
              <w:bottom w:val="single" w:sz="8" w:color="999999"/>
              <w:right w:val="single" w:sz="8" w:color="999999"/>
            </w:tcBorders>
          </w:tcPr>
          <w:p>
            <w:pPr>
              <w:spacing w:after="0"/>
              <w:rPr>
                <w:sz w:val="16"/>
                <w:szCs w:val="16"/>
                <w:color w:val="auto"/>
              </w:rPr>
            </w:pPr>
          </w:p>
        </w:tc>
        <w:tc>
          <w:tcPr>
            <w:tcW w:w="3500" w:type="dxa"/>
            <w:vAlign w:val="bottom"/>
            <w:tcBorders>
              <w:bottom w:val="single" w:sz="8" w:color="999999"/>
              <w:right w:val="single" w:sz="8" w:color="999999"/>
            </w:tcBorders>
          </w:tcPr>
          <w:p>
            <w:pPr>
              <w:spacing w:after="0"/>
              <w:rPr>
                <w:sz w:val="16"/>
                <w:szCs w:val="16"/>
                <w:color w:val="auto"/>
              </w:rPr>
            </w:pPr>
          </w:p>
        </w:tc>
        <w:tc>
          <w:tcPr>
            <w:tcW w:w="3400" w:type="dxa"/>
            <w:vAlign w:val="bottom"/>
            <w:tcBorders>
              <w:bottom w:val="single" w:sz="8" w:color="999999"/>
              <w:right w:val="single" w:sz="8" w:color="00548B"/>
            </w:tcBorders>
          </w:tcPr>
          <w:p>
            <w:pPr>
              <w:ind w:left="60"/>
              <w:spacing w:after="0"/>
              <w:rPr>
                <w:sz w:val="20"/>
                <w:szCs w:val="20"/>
                <w:color w:val="auto"/>
              </w:rPr>
            </w:pPr>
            <w:r>
              <w:rPr>
                <w:rFonts w:ascii="Arial" w:cs="Arial" w:eastAsia="Arial" w:hAnsi="Arial"/>
                <w:sz w:val="16"/>
                <w:szCs w:val="16"/>
                <w:color w:val="auto"/>
              </w:rPr>
              <w:t>retirement.</w:t>
            </w:r>
          </w:p>
        </w:tc>
      </w:tr>
      <w:tr>
        <w:trPr>
          <w:trHeight w:val="181"/>
        </w:trPr>
        <w:tc>
          <w:tcPr>
            <w:tcW w:w="3740" w:type="dxa"/>
            <w:vAlign w:val="bottom"/>
            <w:tcBorders>
              <w:left w:val="single" w:sz="8" w:color="00548B"/>
              <w:right w:val="single" w:sz="8" w:color="999999"/>
            </w:tcBorders>
          </w:tcPr>
          <w:p>
            <w:pPr>
              <w:ind w:left="140"/>
              <w:spacing w:after="0" w:line="181" w:lineRule="exact"/>
              <w:rPr>
                <w:sz w:val="20"/>
                <w:szCs w:val="20"/>
                <w:color w:val="auto"/>
              </w:rPr>
            </w:pPr>
            <w:r>
              <w:rPr>
                <w:rFonts w:ascii="Arial" w:cs="Arial" w:eastAsia="Arial" w:hAnsi="Arial"/>
                <w:sz w:val="16"/>
                <w:szCs w:val="16"/>
                <w:color w:val="auto"/>
              </w:rPr>
              <w:t>Death or Disability</w:t>
            </w:r>
          </w:p>
        </w:tc>
        <w:tc>
          <w:tcPr>
            <w:tcW w:w="3500" w:type="dxa"/>
            <w:vAlign w:val="bottom"/>
            <w:tcBorders>
              <w:right w:val="single" w:sz="8" w:color="999999"/>
            </w:tcBorders>
          </w:tcPr>
          <w:p>
            <w:pPr>
              <w:ind w:left="60"/>
              <w:spacing w:after="0" w:line="181" w:lineRule="exact"/>
              <w:rPr>
                <w:sz w:val="20"/>
                <w:szCs w:val="20"/>
                <w:color w:val="auto"/>
              </w:rPr>
            </w:pPr>
            <w:r>
              <w:rPr>
                <w:rFonts w:ascii="Arial" w:cs="Arial" w:eastAsia="Arial" w:hAnsi="Arial"/>
                <w:sz w:val="16"/>
                <w:szCs w:val="16"/>
                <w:color w:val="auto"/>
              </w:rPr>
              <w:t>Full acceleration.</w:t>
            </w:r>
          </w:p>
        </w:tc>
        <w:tc>
          <w:tcPr>
            <w:tcW w:w="3400" w:type="dxa"/>
            <w:vAlign w:val="bottom"/>
            <w:tcBorders>
              <w:right w:val="single" w:sz="8" w:color="00548B"/>
            </w:tcBorders>
          </w:tcPr>
          <w:p>
            <w:pPr>
              <w:ind w:left="60"/>
              <w:spacing w:after="0" w:line="181" w:lineRule="exact"/>
              <w:rPr>
                <w:sz w:val="20"/>
                <w:szCs w:val="20"/>
                <w:color w:val="auto"/>
              </w:rPr>
            </w:pPr>
            <w:r>
              <w:rPr>
                <w:rFonts w:ascii="Arial" w:cs="Arial" w:eastAsia="Arial" w:hAnsi="Arial"/>
                <w:sz w:val="16"/>
                <w:szCs w:val="16"/>
                <w:color w:val="auto"/>
              </w:rPr>
              <w:t>Earned based on actual performance and will</w:t>
            </w:r>
          </w:p>
        </w:tc>
      </w:tr>
      <w:tr>
        <w:trPr>
          <w:trHeight w:val="186"/>
        </w:trPr>
        <w:tc>
          <w:tcPr>
            <w:tcW w:w="3740" w:type="dxa"/>
            <w:vAlign w:val="bottom"/>
            <w:tcBorders>
              <w:left w:val="single" w:sz="8" w:color="00548B"/>
              <w:right w:val="single" w:sz="8" w:color="999999"/>
            </w:tcBorders>
          </w:tcPr>
          <w:p>
            <w:pPr>
              <w:spacing w:after="0"/>
              <w:rPr>
                <w:sz w:val="16"/>
                <w:szCs w:val="16"/>
                <w:color w:val="auto"/>
              </w:rPr>
            </w:pPr>
          </w:p>
        </w:tc>
        <w:tc>
          <w:tcPr>
            <w:tcW w:w="3500" w:type="dxa"/>
            <w:vAlign w:val="bottom"/>
            <w:tcBorders>
              <w:right w:val="single" w:sz="8" w:color="999999"/>
            </w:tcBorders>
          </w:tcPr>
          <w:p>
            <w:pPr>
              <w:spacing w:after="0"/>
              <w:rPr>
                <w:sz w:val="16"/>
                <w:szCs w:val="16"/>
                <w:color w:val="auto"/>
              </w:rPr>
            </w:pPr>
          </w:p>
        </w:tc>
        <w:tc>
          <w:tcPr>
            <w:tcW w:w="3400" w:type="dxa"/>
            <w:vAlign w:val="bottom"/>
            <w:tcBorders>
              <w:right w:val="single" w:sz="8" w:color="00548B"/>
            </w:tcBorders>
          </w:tcPr>
          <w:p>
            <w:pPr>
              <w:ind w:left="60"/>
              <w:spacing w:after="0"/>
              <w:rPr>
                <w:sz w:val="20"/>
                <w:szCs w:val="20"/>
                <w:color w:val="auto"/>
              </w:rPr>
            </w:pPr>
            <w:r>
              <w:rPr>
                <w:rFonts w:ascii="Arial" w:cs="Arial" w:eastAsia="Arial" w:hAnsi="Arial"/>
                <w:sz w:val="16"/>
                <w:szCs w:val="16"/>
                <w:color w:val="auto"/>
              </w:rPr>
              <w:t>vest pro rata on March 1 of the year following</w:t>
            </w:r>
          </w:p>
        </w:tc>
      </w:tr>
      <w:tr>
        <w:trPr>
          <w:trHeight w:val="186"/>
        </w:trPr>
        <w:tc>
          <w:tcPr>
            <w:tcW w:w="3740" w:type="dxa"/>
            <w:vAlign w:val="bottom"/>
            <w:tcBorders>
              <w:left w:val="single" w:sz="8" w:color="00548B"/>
              <w:right w:val="single" w:sz="8" w:color="999999"/>
            </w:tcBorders>
          </w:tcPr>
          <w:p>
            <w:pPr>
              <w:spacing w:after="0"/>
              <w:rPr>
                <w:sz w:val="16"/>
                <w:szCs w:val="16"/>
                <w:color w:val="auto"/>
              </w:rPr>
            </w:pPr>
          </w:p>
        </w:tc>
        <w:tc>
          <w:tcPr>
            <w:tcW w:w="3500" w:type="dxa"/>
            <w:vAlign w:val="bottom"/>
            <w:tcBorders>
              <w:right w:val="single" w:sz="8" w:color="999999"/>
            </w:tcBorders>
          </w:tcPr>
          <w:p>
            <w:pPr>
              <w:spacing w:after="0"/>
              <w:rPr>
                <w:sz w:val="16"/>
                <w:szCs w:val="16"/>
                <w:color w:val="auto"/>
              </w:rPr>
            </w:pPr>
          </w:p>
        </w:tc>
        <w:tc>
          <w:tcPr>
            <w:tcW w:w="3400" w:type="dxa"/>
            <w:vAlign w:val="bottom"/>
            <w:tcBorders>
              <w:right w:val="single" w:sz="8" w:color="00548B"/>
            </w:tcBorders>
          </w:tcPr>
          <w:p>
            <w:pPr>
              <w:ind w:left="60"/>
              <w:spacing w:after="0"/>
              <w:rPr>
                <w:sz w:val="20"/>
                <w:szCs w:val="20"/>
                <w:color w:val="auto"/>
              </w:rPr>
            </w:pPr>
            <w:r>
              <w:rPr>
                <w:rFonts w:ascii="Arial" w:cs="Arial" w:eastAsia="Arial" w:hAnsi="Arial"/>
                <w:sz w:val="16"/>
                <w:szCs w:val="16"/>
                <w:color w:val="auto"/>
              </w:rPr>
              <w:t>the three year Performance Period based on</w:t>
            </w:r>
          </w:p>
        </w:tc>
      </w:tr>
      <w:tr>
        <w:trPr>
          <w:trHeight w:val="186"/>
        </w:trPr>
        <w:tc>
          <w:tcPr>
            <w:tcW w:w="3740" w:type="dxa"/>
            <w:vAlign w:val="bottom"/>
            <w:tcBorders>
              <w:left w:val="single" w:sz="8" w:color="00548B"/>
              <w:right w:val="single" w:sz="8" w:color="999999"/>
            </w:tcBorders>
          </w:tcPr>
          <w:p>
            <w:pPr>
              <w:spacing w:after="0"/>
              <w:rPr>
                <w:sz w:val="16"/>
                <w:szCs w:val="16"/>
                <w:color w:val="auto"/>
              </w:rPr>
            </w:pPr>
          </w:p>
        </w:tc>
        <w:tc>
          <w:tcPr>
            <w:tcW w:w="3500" w:type="dxa"/>
            <w:vAlign w:val="bottom"/>
            <w:tcBorders>
              <w:right w:val="single" w:sz="8" w:color="999999"/>
            </w:tcBorders>
          </w:tcPr>
          <w:p>
            <w:pPr>
              <w:spacing w:after="0"/>
              <w:rPr>
                <w:sz w:val="16"/>
                <w:szCs w:val="16"/>
                <w:color w:val="auto"/>
              </w:rPr>
            </w:pPr>
          </w:p>
        </w:tc>
        <w:tc>
          <w:tcPr>
            <w:tcW w:w="3400" w:type="dxa"/>
            <w:vAlign w:val="bottom"/>
            <w:tcBorders>
              <w:right w:val="single" w:sz="8" w:color="00548B"/>
            </w:tcBorders>
          </w:tcPr>
          <w:p>
            <w:pPr>
              <w:ind w:left="60"/>
              <w:spacing w:after="0"/>
              <w:rPr>
                <w:sz w:val="20"/>
                <w:szCs w:val="20"/>
                <w:color w:val="auto"/>
              </w:rPr>
            </w:pPr>
            <w:r>
              <w:rPr>
                <w:rFonts w:ascii="Arial" w:cs="Arial" w:eastAsia="Arial" w:hAnsi="Arial"/>
                <w:sz w:val="16"/>
                <w:szCs w:val="16"/>
                <w:color w:val="auto"/>
              </w:rPr>
              <w:t>number of days employed during the</w:t>
            </w:r>
          </w:p>
        </w:tc>
      </w:tr>
      <w:tr>
        <w:trPr>
          <w:trHeight w:val="184"/>
        </w:trPr>
        <w:tc>
          <w:tcPr>
            <w:tcW w:w="3740" w:type="dxa"/>
            <w:vAlign w:val="bottom"/>
            <w:tcBorders>
              <w:left w:val="single" w:sz="8" w:color="00548B"/>
              <w:bottom w:val="single" w:sz="8" w:color="00548B"/>
              <w:right w:val="single" w:sz="8" w:color="999999"/>
            </w:tcBorders>
          </w:tcPr>
          <w:p>
            <w:pPr>
              <w:spacing w:after="0"/>
              <w:rPr>
                <w:sz w:val="16"/>
                <w:szCs w:val="16"/>
                <w:color w:val="auto"/>
              </w:rPr>
            </w:pPr>
          </w:p>
        </w:tc>
        <w:tc>
          <w:tcPr>
            <w:tcW w:w="3500" w:type="dxa"/>
            <w:vAlign w:val="bottom"/>
            <w:tcBorders>
              <w:bottom w:val="single" w:sz="8" w:color="00548B"/>
              <w:right w:val="single" w:sz="8" w:color="999999"/>
            </w:tcBorders>
          </w:tcPr>
          <w:p>
            <w:pPr>
              <w:spacing w:after="0"/>
              <w:rPr>
                <w:sz w:val="16"/>
                <w:szCs w:val="16"/>
                <w:color w:val="auto"/>
              </w:rPr>
            </w:pPr>
          </w:p>
        </w:tc>
        <w:tc>
          <w:tcPr>
            <w:tcW w:w="3400" w:type="dxa"/>
            <w:vAlign w:val="bottom"/>
            <w:tcBorders>
              <w:bottom w:val="single" w:sz="8" w:color="00548B"/>
              <w:right w:val="single" w:sz="8" w:color="00548B"/>
            </w:tcBorders>
          </w:tcPr>
          <w:p>
            <w:pPr>
              <w:ind w:left="60"/>
              <w:spacing w:after="0"/>
              <w:rPr>
                <w:sz w:val="20"/>
                <w:szCs w:val="20"/>
                <w:color w:val="auto"/>
              </w:rPr>
            </w:pPr>
            <w:r>
              <w:rPr>
                <w:rFonts w:ascii="Arial" w:cs="Arial" w:eastAsia="Arial" w:hAnsi="Arial"/>
                <w:sz w:val="16"/>
                <w:szCs w:val="16"/>
                <w:color w:val="auto"/>
              </w:rPr>
              <w:t>Performance Period.</w:t>
            </w:r>
          </w:p>
        </w:tc>
      </w:tr>
    </w:tbl>
    <w:p>
      <w:pPr>
        <w:spacing w:after="0" w:line="14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44</w:t>
      </w:r>
    </w:p>
    <w:p>
      <w:pPr>
        <w:sectPr>
          <w:pgSz w:w="11900" w:h="16838" w:orient="portrait"/>
          <w:cols w:equalWidth="0" w:num="1">
            <w:col w:w="11040"/>
          </w:cols>
          <w:pgMar w:left="320" w:top="454" w:right="5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tbl>
      <w:tblPr>
        <w:tblLayout w:type="fixed"/>
        <w:tblInd w:w="330" w:type="dxa"/>
        <w:tblCellMar>
          <w:top w:w="0" w:type="dxa"/>
          <w:left w:w="0" w:type="dxa"/>
          <w:bottom w:w="0" w:type="dxa"/>
          <w:right w:w="0" w:type="dxa"/>
        </w:tblCellMar>
      </w:tblPr>
      <w:tr>
        <w:trPr>
          <w:trHeight w:val="181"/>
        </w:trPr>
        <w:tc>
          <w:tcPr>
            <w:tcW w:w="3740" w:type="dxa"/>
            <w:vAlign w:val="bottom"/>
            <w:tcBorders>
              <w:top w:val="single" w:sz="8" w:color="00548B"/>
              <w:left w:val="single" w:sz="8" w:color="00548B"/>
              <w:right w:val="single" w:sz="8" w:color="999999"/>
            </w:tcBorders>
            <w:shd w:val="clear" w:color="auto" w:fill="00548B"/>
          </w:tcPr>
          <w:p>
            <w:pPr>
              <w:spacing w:after="0"/>
              <w:rPr>
                <w:sz w:val="15"/>
                <w:szCs w:val="15"/>
                <w:color w:val="auto"/>
              </w:rPr>
            </w:pPr>
          </w:p>
        </w:tc>
        <w:tc>
          <w:tcPr>
            <w:tcW w:w="3500" w:type="dxa"/>
            <w:vAlign w:val="bottom"/>
            <w:tcBorders>
              <w:top w:val="single" w:sz="8" w:color="00548B"/>
              <w:right w:val="single" w:sz="8" w:color="999999"/>
            </w:tcBorders>
            <w:shd w:val="clear" w:color="auto" w:fill="00548B"/>
          </w:tcPr>
          <w:p>
            <w:pPr>
              <w:spacing w:after="0"/>
              <w:rPr>
                <w:sz w:val="15"/>
                <w:szCs w:val="15"/>
                <w:color w:val="auto"/>
              </w:rPr>
            </w:pPr>
          </w:p>
        </w:tc>
        <w:tc>
          <w:tcPr>
            <w:tcW w:w="3400" w:type="dxa"/>
            <w:vAlign w:val="bottom"/>
            <w:tcBorders>
              <w:top w:val="single" w:sz="8" w:color="00548B"/>
              <w:right w:val="single" w:sz="8" w:color="00548B"/>
            </w:tcBorders>
            <w:shd w:val="clear" w:color="auto" w:fill="00548B"/>
          </w:tcPr>
          <w:p>
            <w:pPr>
              <w:ind w:left="940"/>
              <w:spacing w:after="0" w:line="181" w:lineRule="exact"/>
              <w:rPr>
                <w:sz w:val="20"/>
                <w:szCs w:val="20"/>
                <w:color w:val="auto"/>
              </w:rPr>
            </w:pPr>
            <w:r>
              <w:rPr>
                <w:rFonts w:ascii="Arial" w:cs="Arial" w:eastAsia="Arial" w:hAnsi="Arial"/>
                <w:sz w:val="16"/>
                <w:szCs w:val="16"/>
                <w:b w:val="1"/>
                <w:bCs w:val="1"/>
                <w:color w:val="E5E5E5"/>
              </w:rPr>
              <w:t>2019, 2020 and 2021</w:t>
            </w:r>
          </w:p>
        </w:tc>
      </w:tr>
      <w:tr>
        <w:trPr>
          <w:trHeight w:val="204"/>
        </w:trPr>
        <w:tc>
          <w:tcPr>
            <w:tcW w:w="3740" w:type="dxa"/>
            <w:vAlign w:val="bottom"/>
            <w:tcBorders>
              <w:left w:val="single" w:sz="8" w:color="00548B"/>
              <w:right w:val="single" w:sz="8" w:color="999999"/>
            </w:tcBorders>
            <w:shd w:val="clear" w:color="auto" w:fill="00548B"/>
          </w:tcPr>
          <w:p>
            <w:pPr>
              <w:ind w:left="1720"/>
              <w:spacing w:after="0"/>
              <w:rPr>
                <w:sz w:val="20"/>
                <w:szCs w:val="20"/>
                <w:color w:val="auto"/>
              </w:rPr>
            </w:pPr>
            <w:r>
              <w:rPr>
                <w:rFonts w:ascii="Arial" w:cs="Arial" w:eastAsia="Arial" w:hAnsi="Arial"/>
                <w:sz w:val="16"/>
                <w:szCs w:val="16"/>
                <w:b w:val="1"/>
                <w:bCs w:val="1"/>
                <w:color w:val="E5E5E5"/>
              </w:rPr>
              <w:t>Event</w:t>
            </w:r>
          </w:p>
        </w:tc>
        <w:tc>
          <w:tcPr>
            <w:tcW w:w="3500" w:type="dxa"/>
            <w:vAlign w:val="bottom"/>
            <w:tcBorders>
              <w:right w:val="single" w:sz="8" w:color="999999"/>
            </w:tcBorders>
            <w:shd w:val="clear" w:color="auto" w:fill="00548B"/>
          </w:tcPr>
          <w:p>
            <w:pPr>
              <w:ind w:left="660"/>
              <w:spacing w:after="0"/>
              <w:rPr>
                <w:sz w:val="20"/>
                <w:szCs w:val="20"/>
                <w:color w:val="auto"/>
              </w:rPr>
            </w:pPr>
            <w:r>
              <w:rPr>
                <w:rFonts w:ascii="Arial" w:cs="Arial" w:eastAsia="Arial" w:hAnsi="Arial"/>
                <w:sz w:val="16"/>
                <w:szCs w:val="16"/>
                <w:b w:val="1"/>
                <w:bCs w:val="1"/>
                <w:color w:val="E5E5E5"/>
              </w:rPr>
              <w:t>Restricted Stock and Options</w:t>
            </w:r>
          </w:p>
        </w:tc>
        <w:tc>
          <w:tcPr>
            <w:tcW w:w="3400" w:type="dxa"/>
            <w:vAlign w:val="bottom"/>
            <w:tcBorders>
              <w:right w:val="single" w:sz="8" w:color="00548B"/>
            </w:tcBorders>
            <w:shd w:val="clear" w:color="auto" w:fill="00548B"/>
          </w:tcPr>
          <w:p>
            <w:pPr>
              <w:ind w:left="760"/>
              <w:spacing w:after="0"/>
              <w:rPr>
                <w:sz w:val="20"/>
                <w:szCs w:val="20"/>
                <w:color w:val="auto"/>
              </w:rPr>
            </w:pPr>
            <w:r>
              <w:rPr>
                <w:rFonts w:ascii="Arial" w:cs="Arial" w:eastAsia="Arial" w:hAnsi="Arial"/>
                <w:sz w:val="16"/>
                <w:szCs w:val="16"/>
                <w:b w:val="1"/>
                <w:bCs w:val="1"/>
                <w:color w:val="E5E5E5"/>
              </w:rPr>
              <w:t>Performance Stock Units</w:t>
            </w:r>
          </w:p>
        </w:tc>
      </w:tr>
      <w:tr>
        <w:trPr>
          <w:trHeight w:val="188"/>
        </w:trPr>
        <w:tc>
          <w:tcPr>
            <w:tcW w:w="3740" w:type="dxa"/>
            <w:vAlign w:val="bottom"/>
            <w:tcBorders>
              <w:left w:val="single" w:sz="8" w:color="00548B"/>
              <w:right w:val="single" w:sz="8" w:color="999999"/>
            </w:tcBorders>
          </w:tcPr>
          <w:p>
            <w:pPr>
              <w:ind w:left="140"/>
              <w:spacing w:after="0"/>
              <w:rPr>
                <w:sz w:val="20"/>
                <w:szCs w:val="20"/>
                <w:color w:val="auto"/>
              </w:rPr>
            </w:pPr>
            <w:r>
              <w:rPr>
                <w:rFonts w:ascii="Arial" w:cs="Arial" w:eastAsia="Arial" w:hAnsi="Arial"/>
                <w:sz w:val="16"/>
                <w:szCs w:val="16"/>
                <w:color w:val="auto"/>
              </w:rPr>
              <w:t>Involuntary/Good Reason Termination</w:t>
            </w:r>
          </w:p>
        </w:tc>
        <w:tc>
          <w:tcPr>
            <w:tcW w:w="3500" w:type="dxa"/>
            <w:vAlign w:val="bottom"/>
            <w:tcBorders>
              <w:right w:val="single" w:sz="8" w:color="999999"/>
            </w:tcBorders>
          </w:tcPr>
          <w:p>
            <w:pPr>
              <w:ind w:left="60"/>
              <w:spacing w:after="0"/>
              <w:rPr>
                <w:sz w:val="20"/>
                <w:szCs w:val="20"/>
                <w:color w:val="auto"/>
              </w:rPr>
            </w:pPr>
            <w:r>
              <w:rPr>
                <w:rFonts w:ascii="Arial" w:cs="Arial" w:eastAsia="Arial" w:hAnsi="Arial"/>
                <w:sz w:val="16"/>
                <w:szCs w:val="16"/>
                <w:color w:val="auto"/>
              </w:rPr>
              <w:t>Forfeit.</w:t>
            </w:r>
          </w:p>
        </w:tc>
        <w:tc>
          <w:tcPr>
            <w:tcW w:w="3400" w:type="dxa"/>
            <w:vAlign w:val="bottom"/>
            <w:tcBorders>
              <w:right w:val="single" w:sz="8" w:color="00548B"/>
            </w:tcBorders>
          </w:tcPr>
          <w:p>
            <w:pPr>
              <w:ind w:left="60"/>
              <w:spacing w:after="0"/>
              <w:rPr>
                <w:sz w:val="20"/>
                <w:szCs w:val="20"/>
                <w:color w:val="auto"/>
              </w:rPr>
            </w:pPr>
            <w:r>
              <w:rPr>
                <w:rFonts w:ascii="Arial" w:cs="Arial" w:eastAsia="Arial" w:hAnsi="Arial"/>
                <w:sz w:val="16"/>
                <w:szCs w:val="16"/>
                <w:color w:val="auto"/>
              </w:rPr>
              <w:t>Earned based on actual performance and will</w:t>
            </w:r>
          </w:p>
        </w:tc>
      </w:tr>
      <w:tr>
        <w:trPr>
          <w:trHeight w:val="186"/>
        </w:trPr>
        <w:tc>
          <w:tcPr>
            <w:tcW w:w="3740" w:type="dxa"/>
            <w:vAlign w:val="bottom"/>
            <w:tcBorders>
              <w:left w:val="single" w:sz="8" w:color="00548B"/>
              <w:right w:val="single" w:sz="8" w:color="999999"/>
            </w:tcBorders>
          </w:tcPr>
          <w:p>
            <w:pPr>
              <w:spacing w:after="0"/>
              <w:rPr>
                <w:sz w:val="16"/>
                <w:szCs w:val="16"/>
                <w:color w:val="auto"/>
              </w:rPr>
            </w:pPr>
          </w:p>
        </w:tc>
        <w:tc>
          <w:tcPr>
            <w:tcW w:w="3500" w:type="dxa"/>
            <w:vAlign w:val="bottom"/>
            <w:tcBorders>
              <w:right w:val="single" w:sz="8" w:color="999999"/>
            </w:tcBorders>
          </w:tcPr>
          <w:p>
            <w:pPr>
              <w:spacing w:after="0"/>
              <w:rPr>
                <w:sz w:val="16"/>
                <w:szCs w:val="16"/>
                <w:color w:val="auto"/>
              </w:rPr>
            </w:pPr>
          </w:p>
        </w:tc>
        <w:tc>
          <w:tcPr>
            <w:tcW w:w="3400" w:type="dxa"/>
            <w:vAlign w:val="bottom"/>
            <w:tcBorders>
              <w:right w:val="single" w:sz="8" w:color="00548B"/>
            </w:tcBorders>
          </w:tcPr>
          <w:p>
            <w:pPr>
              <w:ind w:left="60"/>
              <w:spacing w:after="0"/>
              <w:rPr>
                <w:sz w:val="20"/>
                <w:szCs w:val="20"/>
                <w:color w:val="auto"/>
              </w:rPr>
            </w:pPr>
            <w:r>
              <w:rPr>
                <w:rFonts w:ascii="Arial" w:cs="Arial" w:eastAsia="Arial" w:hAnsi="Arial"/>
                <w:sz w:val="16"/>
                <w:szCs w:val="16"/>
                <w:color w:val="auto"/>
              </w:rPr>
              <w:t>vest pro rata on March 1 of the year following</w:t>
            </w:r>
          </w:p>
        </w:tc>
      </w:tr>
      <w:tr>
        <w:trPr>
          <w:trHeight w:val="186"/>
        </w:trPr>
        <w:tc>
          <w:tcPr>
            <w:tcW w:w="3740" w:type="dxa"/>
            <w:vAlign w:val="bottom"/>
            <w:tcBorders>
              <w:left w:val="single" w:sz="8" w:color="00548B"/>
              <w:right w:val="single" w:sz="8" w:color="999999"/>
            </w:tcBorders>
          </w:tcPr>
          <w:p>
            <w:pPr>
              <w:spacing w:after="0"/>
              <w:rPr>
                <w:sz w:val="16"/>
                <w:szCs w:val="16"/>
                <w:color w:val="auto"/>
              </w:rPr>
            </w:pPr>
          </w:p>
        </w:tc>
        <w:tc>
          <w:tcPr>
            <w:tcW w:w="3500" w:type="dxa"/>
            <w:vAlign w:val="bottom"/>
            <w:tcBorders>
              <w:right w:val="single" w:sz="8" w:color="999999"/>
            </w:tcBorders>
          </w:tcPr>
          <w:p>
            <w:pPr>
              <w:spacing w:after="0"/>
              <w:rPr>
                <w:sz w:val="16"/>
                <w:szCs w:val="16"/>
                <w:color w:val="auto"/>
              </w:rPr>
            </w:pPr>
          </w:p>
        </w:tc>
        <w:tc>
          <w:tcPr>
            <w:tcW w:w="3400" w:type="dxa"/>
            <w:vAlign w:val="bottom"/>
            <w:tcBorders>
              <w:right w:val="single" w:sz="8" w:color="00548B"/>
            </w:tcBorders>
          </w:tcPr>
          <w:p>
            <w:pPr>
              <w:ind w:left="60"/>
              <w:spacing w:after="0"/>
              <w:rPr>
                <w:sz w:val="20"/>
                <w:szCs w:val="20"/>
                <w:color w:val="auto"/>
              </w:rPr>
            </w:pPr>
            <w:r>
              <w:rPr>
                <w:rFonts w:ascii="Arial" w:cs="Arial" w:eastAsia="Arial" w:hAnsi="Arial"/>
                <w:sz w:val="16"/>
                <w:szCs w:val="16"/>
                <w:color w:val="auto"/>
              </w:rPr>
              <w:t>the three year Performance Period based on</w:t>
            </w:r>
          </w:p>
        </w:tc>
      </w:tr>
      <w:tr>
        <w:trPr>
          <w:trHeight w:val="186"/>
        </w:trPr>
        <w:tc>
          <w:tcPr>
            <w:tcW w:w="3740" w:type="dxa"/>
            <w:vAlign w:val="bottom"/>
            <w:tcBorders>
              <w:left w:val="single" w:sz="8" w:color="00548B"/>
              <w:right w:val="single" w:sz="8" w:color="999999"/>
            </w:tcBorders>
          </w:tcPr>
          <w:p>
            <w:pPr>
              <w:spacing w:after="0"/>
              <w:rPr>
                <w:sz w:val="16"/>
                <w:szCs w:val="16"/>
                <w:color w:val="auto"/>
              </w:rPr>
            </w:pPr>
          </w:p>
        </w:tc>
        <w:tc>
          <w:tcPr>
            <w:tcW w:w="3500" w:type="dxa"/>
            <w:vAlign w:val="bottom"/>
            <w:tcBorders>
              <w:right w:val="single" w:sz="8" w:color="999999"/>
            </w:tcBorders>
          </w:tcPr>
          <w:p>
            <w:pPr>
              <w:spacing w:after="0"/>
              <w:rPr>
                <w:sz w:val="16"/>
                <w:szCs w:val="16"/>
                <w:color w:val="auto"/>
              </w:rPr>
            </w:pPr>
          </w:p>
        </w:tc>
        <w:tc>
          <w:tcPr>
            <w:tcW w:w="3400" w:type="dxa"/>
            <w:vAlign w:val="bottom"/>
            <w:tcBorders>
              <w:right w:val="single" w:sz="8" w:color="00548B"/>
            </w:tcBorders>
          </w:tcPr>
          <w:p>
            <w:pPr>
              <w:ind w:left="60"/>
              <w:spacing w:after="0"/>
              <w:rPr>
                <w:sz w:val="20"/>
                <w:szCs w:val="20"/>
                <w:color w:val="auto"/>
              </w:rPr>
            </w:pPr>
            <w:r>
              <w:rPr>
                <w:rFonts w:ascii="Arial" w:cs="Arial" w:eastAsia="Arial" w:hAnsi="Arial"/>
                <w:sz w:val="16"/>
                <w:szCs w:val="16"/>
                <w:color w:val="auto"/>
              </w:rPr>
              <w:t>number of days employed during the</w:t>
            </w:r>
          </w:p>
        </w:tc>
      </w:tr>
      <w:tr>
        <w:trPr>
          <w:trHeight w:val="184"/>
        </w:trPr>
        <w:tc>
          <w:tcPr>
            <w:tcW w:w="3740" w:type="dxa"/>
            <w:vAlign w:val="bottom"/>
            <w:tcBorders>
              <w:left w:val="single" w:sz="8" w:color="00548B"/>
              <w:bottom w:val="single" w:sz="8" w:color="999999"/>
              <w:right w:val="single" w:sz="8" w:color="999999"/>
            </w:tcBorders>
          </w:tcPr>
          <w:p>
            <w:pPr>
              <w:spacing w:after="0"/>
              <w:rPr>
                <w:sz w:val="16"/>
                <w:szCs w:val="16"/>
                <w:color w:val="auto"/>
              </w:rPr>
            </w:pPr>
          </w:p>
        </w:tc>
        <w:tc>
          <w:tcPr>
            <w:tcW w:w="3500" w:type="dxa"/>
            <w:vAlign w:val="bottom"/>
            <w:tcBorders>
              <w:bottom w:val="single" w:sz="8" w:color="999999"/>
              <w:right w:val="single" w:sz="8" w:color="999999"/>
            </w:tcBorders>
          </w:tcPr>
          <w:p>
            <w:pPr>
              <w:spacing w:after="0"/>
              <w:rPr>
                <w:sz w:val="16"/>
                <w:szCs w:val="16"/>
                <w:color w:val="auto"/>
              </w:rPr>
            </w:pPr>
          </w:p>
        </w:tc>
        <w:tc>
          <w:tcPr>
            <w:tcW w:w="3400" w:type="dxa"/>
            <w:vAlign w:val="bottom"/>
            <w:tcBorders>
              <w:bottom w:val="single" w:sz="8" w:color="999999"/>
              <w:right w:val="single" w:sz="8" w:color="00548B"/>
            </w:tcBorders>
          </w:tcPr>
          <w:p>
            <w:pPr>
              <w:ind w:left="60"/>
              <w:spacing w:after="0"/>
              <w:rPr>
                <w:sz w:val="20"/>
                <w:szCs w:val="20"/>
                <w:color w:val="auto"/>
              </w:rPr>
            </w:pPr>
            <w:r>
              <w:rPr>
                <w:rFonts w:ascii="Arial" w:cs="Arial" w:eastAsia="Arial" w:hAnsi="Arial"/>
                <w:sz w:val="16"/>
                <w:szCs w:val="16"/>
                <w:color w:val="auto"/>
              </w:rPr>
              <w:t>Performance Period.</w:t>
            </w:r>
          </w:p>
        </w:tc>
      </w:tr>
      <w:tr>
        <w:trPr>
          <w:trHeight w:val="181"/>
        </w:trPr>
        <w:tc>
          <w:tcPr>
            <w:tcW w:w="3740" w:type="dxa"/>
            <w:vAlign w:val="bottom"/>
            <w:tcBorders>
              <w:left w:val="single" w:sz="8" w:color="00548B"/>
              <w:right w:val="single" w:sz="8" w:color="999999"/>
            </w:tcBorders>
          </w:tcPr>
          <w:p>
            <w:pPr>
              <w:ind w:left="140"/>
              <w:spacing w:after="0" w:line="181" w:lineRule="exact"/>
              <w:rPr>
                <w:sz w:val="20"/>
                <w:szCs w:val="20"/>
                <w:color w:val="auto"/>
              </w:rPr>
            </w:pPr>
            <w:r>
              <w:rPr>
                <w:rFonts w:ascii="Arial" w:cs="Arial" w:eastAsia="Arial" w:hAnsi="Arial"/>
                <w:sz w:val="16"/>
                <w:szCs w:val="16"/>
                <w:color w:val="auto"/>
              </w:rPr>
              <w:t>Change of Control (“COC”), No Termination</w:t>
            </w:r>
          </w:p>
        </w:tc>
        <w:tc>
          <w:tcPr>
            <w:tcW w:w="3500" w:type="dxa"/>
            <w:vAlign w:val="bottom"/>
            <w:tcBorders>
              <w:right w:val="single" w:sz="8" w:color="999999"/>
            </w:tcBorders>
          </w:tcPr>
          <w:p>
            <w:pPr>
              <w:ind w:left="60"/>
              <w:spacing w:after="0" w:line="181" w:lineRule="exact"/>
              <w:rPr>
                <w:sz w:val="20"/>
                <w:szCs w:val="20"/>
                <w:color w:val="auto"/>
              </w:rPr>
            </w:pPr>
            <w:r>
              <w:rPr>
                <w:rFonts w:ascii="Arial" w:cs="Arial" w:eastAsia="Arial" w:hAnsi="Arial"/>
                <w:sz w:val="16"/>
                <w:szCs w:val="16"/>
                <w:color w:val="auto"/>
              </w:rPr>
              <w:t>No impact, assumed by acquirer.</w:t>
            </w:r>
          </w:p>
        </w:tc>
        <w:tc>
          <w:tcPr>
            <w:tcW w:w="3400" w:type="dxa"/>
            <w:vAlign w:val="bottom"/>
            <w:tcBorders>
              <w:right w:val="single" w:sz="8" w:color="00548B"/>
            </w:tcBorders>
          </w:tcPr>
          <w:p>
            <w:pPr>
              <w:ind w:left="60"/>
              <w:spacing w:after="0" w:line="181" w:lineRule="exact"/>
              <w:rPr>
                <w:sz w:val="20"/>
                <w:szCs w:val="20"/>
                <w:color w:val="auto"/>
              </w:rPr>
            </w:pPr>
            <w:r>
              <w:rPr>
                <w:rFonts w:ascii="Arial" w:cs="Arial" w:eastAsia="Arial" w:hAnsi="Arial"/>
                <w:sz w:val="16"/>
                <w:szCs w:val="16"/>
                <w:color w:val="auto"/>
              </w:rPr>
              <w:t>If assumed by acquirer and converts shares</w:t>
            </w:r>
          </w:p>
        </w:tc>
      </w:tr>
      <w:tr>
        <w:trPr>
          <w:trHeight w:val="186"/>
        </w:trPr>
        <w:tc>
          <w:tcPr>
            <w:tcW w:w="3740" w:type="dxa"/>
            <w:vAlign w:val="bottom"/>
            <w:tcBorders>
              <w:left w:val="single" w:sz="8" w:color="00548B"/>
              <w:right w:val="single" w:sz="8" w:color="999999"/>
            </w:tcBorders>
          </w:tcPr>
          <w:p>
            <w:pPr>
              <w:spacing w:after="0"/>
              <w:rPr>
                <w:sz w:val="16"/>
                <w:szCs w:val="16"/>
                <w:color w:val="auto"/>
              </w:rPr>
            </w:pPr>
          </w:p>
        </w:tc>
        <w:tc>
          <w:tcPr>
            <w:tcW w:w="3500" w:type="dxa"/>
            <w:vAlign w:val="bottom"/>
            <w:tcBorders>
              <w:right w:val="single" w:sz="8" w:color="999999"/>
            </w:tcBorders>
          </w:tcPr>
          <w:p>
            <w:pPr>
              <w:spacing w:after="0"/>
              <w:rPr>
                <w:sz w:val="16"/>
                <w:szCs w:val="16"/>
                <w:color w:val="auto"/>
              </w:rPr>
            </w:pPr>
          </w:p>
        </w:tc>
        <w:tc>
          <w:tcPr>
            <w:tcW w:w="3400" w:type="dxa"/>
            <w:vAlign w:val="bottom"/>
            <w:tcBorders>
              <w:right w:val="single" w:sz="8" w:color="00548B"/>
            </w:tcBorders>
          </w:tcPr>
          <w:p>
            <w:pPr>
              <w:ind w:left="60"/>
              <w:spacing w:after="0"/>
              <w:rPr>
                <w:sz w:val="20"/>
                <w:szCs w:val="20"/>
                <w:color w:val="auto"/>
              </w:rPr>
            </w:pPr>
            <w:r>
              <w:rPr>
                <w:rFonts w:ascii="Arial" w:cs="Arial" w:eastAsia="Arial" w:hAnsi="Arial"/>
                <w:sz w:val="16"/>
                <w:szCs w:val="16"/>
                <w:color w:val="auto"/>
              </w:rPr>
              <w:t>into right to receive equivalent value shares in</w:t>
            </w:r>
          </w:p>
        </w:tc>
      </w:tr>
      <w:tr>
        <w:trPr>
          <w:trHeight w:val="186"/>
        </w:trPr>
        <w:tc>
          <w:tcPr>
            <w:tcW w:w="3740" w:type="dxa"/>
            <w:vAlign w:val="bottom"/>
            <w:tcBorders>
              <w:left w:val="single" w:sz="8" w:color="00548B"/>
              <w:right w:val="single" w:sz="8" w:color="999999"/>
            </w:tcBorders>
          </w:tcPr>
          <w:p>
            <w:pPr>
              <w:spacing w:after="0"/>
              <w:rPr>
                <w:sz w:val="16"/>
                <w:szCs w:val="16"/>
                <w:color w:val="auto"/>
              </w:rPr>
            </w:pPr>
          </w:p>
        </w:tc>
        <w:tc>
          <w:tcPr>
            <w:tcW w:w="3500" w:type="dxa"/>
            <w:vAlign w:val="bottom"/>
            <w:tcBorders>
              <w:right w:val="single" w:sz="8" w:color="999999"/>
            </w:tcBorders>
          </w:tcPr>
          <w:p>
            <w:pPr>
              <w:spacing w:after="0"/>
              <w:rPr>
                <w:sz w:val="16"/>
                <w:szCs w:val="16"/>
                <w:color w:val="auto"/>
              </w:rPr>
            </w:pPr>
          </w:p>
        </w:tc>
        <w:tc>
          <w:tcPr>
            <w:tcW w:w="3400" w:type="dxa"/>
            <w:vAlign w:val="bottom"/>
            <w:tcBorders>
              <w:right w:val="single" w:sz="8" w:color="00548B"/>
            </w:tcBorders>
          </w:tcPr>
          <w:p>
            <w:pPr>
              <w:ind w:left="60"/>
              <w:spacing w:after="0"/>
              <w:rPr>
                <w:sz w:val="20"/>
                <w:szCs w:val="20"/>
                <w:color w:val="auto"/>
              </w:rPr>
            </w:pPr>
            <w:r>
              <w:rPr>
                <w:rFonts w:ascii="Arial" w:cs="Arial" w:eastAsia="Arial" w:hAnsi="Arial"/>
                <w:sz w:val="16"/>
                <w:szCs w:val="16"/>
                <w:color w:val="auto"/>
              </w:rPr>
              <w:t>new entity then vesting continues per normal</w:t>
            </w:r>
          </w:p>
        </w:tc>
      </w:tr>
      <w:tr>
        <w:trPr>
          <w:trHeight w:val="192"/>
        </w:trPr>
        <w:tc>
          <w:tcPr>
            <w:tcW w:w="3740" w:type="dxa"/>
            <w:vAlign w:val="bottom"/>
            <w:tcBorders>
              <w:left w:val="single" w:sz="8" w:color="00548B"/>
              <w:right w:val="single" w:sz="8" w:color="999999"/>
            </w:tcBorders>
          </w:tcPr>
          <w:p>
            <w:pPr>
              <w:spacing w:after="0"/>
              <w:rPr>
                <w:sz w:val="16"/>
                <w:szCs w:val="16"/>
                <w:color w:val="auto"/>
              </w:rPr>
            </w:pPr>
          </w:p>
        </w:tc>
        <w:tc>
          <w:tcPr>
            <w:tcW w:w="3500" w:type="dxa"/>
            <w:vAlign w:val="bottom"/>
            <w:tcBorders>
              <w:right w:val="single" w:sz="8" w:color="999999"/>
            </w:tcBorders>
          </w:tcPr>
          <w:p>
            <w:pPr>
              <w:spacing w:after="0"/>
              <w:rPr>
                <w:sz w:val="16"/>
                <w:szCs w:val="16"/>
                <w:color w:val="auto"/>
              </w:rPr>
            </w:pPr>
          </w:p>
        </w:tc>
        <w:tc>
          <w:tcPr>
            <w:tcW w:w="3400" w:type="dxa"/>
            <w:vAlign w:val="bottom"/>
            <w:tcBorders>
              <w:right w:val="single" w:sz="8" w:color="00548B"/>
            </w:tcBorders>
          </w:tcPr>
          <w:p>
            <w:pPr>
              <w:ind w:left="60"/>
              <w:spacing w:after="0"/>
              <w:rPr>
                <w:sz w:val="20"/>
                <w:szCs w:val="20"/>
                <w:color w:val="auto"/>
              </w:rPr>
            </w:pPr>
            <w:r>
              <w:rPr>
                <w:rFonts w:ascii="Arial" w:cs="Arial" w:eastAsia="Arial" w:hAnsi="Arial"/>
                <w:sz w:val="16"/>
                <w:szCs w:val="16"/>
                <w:color w:val="auto"/>
              </w:rPr>
              <w:t>course.</w:t>
            </w:r>
          </w:p>
        </w:tc>
      </w:tr>
      <w:tr>
        <w:trPr>
          <w:trHeight w:val="300"/>
        </w:trPr>
        <w:tc>
          <w:tcPr>
            <w:tcW w:w="3740" w:type="dxa"/>
            <w:vAlign w:val="bottom"/>
            <w:tcBorders>
              <w:left w:val="single" w:sz="8" w:color="00548B"/>
              <w:right w:val="single" w:sz="8" w:color="999999"/>
            </w:tcBorders>
          </w:tcPr>
          <w:p>
            <w:pPr>
              <w:spacing w:after="0"/>
              <w:rPr>
                <w:sz w:val="24"/>
                <w:szCs w:val="24"/>
                <w:color w:val="auto"/>
              </w:rPr>
            </w:pPr>
          </w:p>
        </w:tc>
        <w:tc>
          <w:tcPr>
            <w:tcW w:w="3500" w:type="dxa"/>
            <w:vAlign w:val="bottom"/>
            <w:tcBorders>
              <w:right w:val="single" w:sz="8" w:color="999999"/>
            </w:tcBorders>
          </w:tcPr>
          <w:p>
            <w:pPr>
              <w:spacing w:after="0"/>
              <w:rPr>
                <w:sz w:val="24"/>
                <w:szCs w:val="24"/>
                <w:color w:val="auto"/>
              </w:rPr>
            </w:pPr>
          </w:p>
        </w:tc>
        <w:tc>
          <w:tcPr>
            <w:tcW w:w="3400" w:type="dxa"/>
            <w:vAlign w:val="bottom"/>
            <w:tcBorders>
              <w:right w:val="single" w:sz="8" w:color="00548B"/>
            </w:tcBorders>
          </w:tcPr>
          <w:p>
            <w:pPr>
              <w:ind w:left="60"/>
              <w:spacing w:after="0"/>
              <w:rPr>
                <w:sz w:val="20"/>
                <w:szCs w:val="20"/>
                <w:color w:val="auto"/>
              </w:rPr>
            </w:pPr>
            <w:r>
              <w:rPr>
                <w:rFonts w:ascii="Arial" w:cs="Arial" w:eastAsia="Arial" w:hAnsi="Arial"/>
                <w:sz w:val="16"/>
                <w:szCs w:val="16"/>
                <w:color w:val="auto"/>
              </w:rPr>
              <w:t>If not assumed by acquirer or acquirer does</w:t>
            </w:r>
          </w:p>
        </w:tc>
      </w:tr>
      <w:tr>
        <w:trPr>
          <w:trHeight w:val="186"/>
        </w:trPr>
        <w:tc>
          <w:tcPr>
            <w:tcW w:w="3740" w:type="dxa"/>
            <w:vAlign w:val="bottom"/>
            <w:tcBorders>
              <w:left w:val="single" w:sz="8" w:color="00548B"/>
              <w:right w:val="single" w:sz="8" w:color="999999"/>
            </w:tcBorders>
          </w:tcPr>
          <w:p>
            <w:pPr>
              <w:spacing w:after="0"/>
              <w:rPr>
                <w:sz w:val="16"/>
                <w:szCs w:val="16"/>
                <w:color w:val="auto"/>
              </w:rPr>
            </w:pPr>
          </w:p>
        </w:tc>
        <w:tc>
          <w:tcPr>
            <w:tcW w:w="3500" w:type="dxa"/>
            <w:vAlign w:val="bottom"/>
            <w:tcBorders>
              <w:right w:val="single" w:sz="8" w:color="999999"/>
            </w:tcBorders>
          </w:tcPr>
          <w:p>
            <w:pPr>
              <w:spacing w:after="0"/>
              <w:rPr>
                <w:sz w:val="16"/>
                <w:szCs w:val="16"/>
                <w:color w:val="auto"/>
              </w:rPr>
            </w:pPr>
          </w:p>
        </w:tc>
        <w:tc>
          <w:tcPr>
            <w:tcW w:w="3400" w:type="dxa"/>
            <w:vAlign w:val="bottom"/>
            <w:tcBorders>
              <w:right w:val="single" w:sz="8" w:color="00548B"/>
            </w:tcBorders>
          </w:tcPr>
          <w:p>
            <w:pPr>
              <w:ind w:left="60"/>
              <w:spacing w:after="0"/>
              <w:rPr>
                <w:sz w:val="20"/>
                <w:szCs w:val="20"/>
                <w:color w:val="auto"/>
              </w:rPr>
            </w:pPr>
            <w:r>
              <w:rPr>
                <w:rFonts w:ascii="Arial" w:cs="Arial" w:eastAsia="Arial" w:hAnsi="Arial"/>
                <w:sz w:val="16"/>
                <w:szCs w:val="16"/>
                <w:color w:val="auto"/>
              </w:rPr>
              <w:t>not convert shares into right to receive</w:t>
            </w:r>
          </w:p>
        </w:tc>
      </w:tr>
      <w:tr>
        <w:trPr>
          <w:trHeight w:val="186"/>
        </w:trPr>
        <w:tc>
          <w:tcPr>
            <w:tcW w:w="3740" w:type="dxa"/>
            <w:vAlign w:val="bottom"/>
            <w:tcBorders>
              <w:left w:val="single" w:sz="8" w:color="00548B"/>
              <w:right w:val="single" w:sz="8" w:color="999999"/>
            </w:tcBorders>
          </w:tcPr>
          <w:p>
            <w:pPr>
              <w:spacing w:after="0"/>
              <w:rPr>
                <w:sz w:val="16"/>
                <w:szCs w:val="16"/>
                <w:color w:val="auto"/>
              </w:rPr>
            </w:pPr>
          </w:p>
        </w:tc>
        <w:tc>
          <w:tcPr>
            <w:tcW w:w="3500" w:type="dxa"/>
            <w:vAlign w:val="bottom"/>
            <w:tcBorders>
              <w:right w:val="single" w:sz="8" w:color="999999"/>
            </w:tcBorders>
          </w:tcPr>
          <w:p>
            <w:pPr>
              <w:spacing w:after="0"/>
              <w:rPr>
                <w:sz w:val="16"/>
                <w:szCs w:val="16"/>
                <w:color w:val="auto"/>
              </w:rPr>
            </w:pPr>
          </w:p>
        </w:tc>
        <w:tc>
          <w:tcPr>
            <w:tcW w:w="3400" w:type="dxa"/>
            <w:vAlign w:val="bottom"/>
            <w:tcBorders>
              <w:right w:val="single" w:sz="8" w:color="00548B"/>
            </w:tcBorders>
          </w:tcPr>
          <w:p>
            <w:pPr>
              <w:ind w:left="60"/>
              <w:spacing w:after="0"/>
              <w:rPr>
                <w:sz w:val="20"/>
                <w:szCs w:val="20"/>
                <w:color w:val="auto"/>
              </w:rPr>
            </w:pPr>
            <w:r>
              <w:rPr>
                <w:rFonts w:ascii="Arial" w:cs="Arial" w:eastAsia="Arial" w:hAnsi="Arial"/>
                <w:sz w:val="16"/>
                <w:szCs w:val="16"/>
                <w:color w:val="auto"/>
              </w:rPr>
              <w:t>equivalent value in shares of new entity, then</w:t>
            </w:r>
          </w:p>
        </w:tc>
      </w:tr>
      <w:tr>
        <w:trPr>
          <w:trHeight w:val="186"/>
        </w:trPr>
        <w:tc>
          <w:tcPr>
            <w:tcW w:w="3740" w:type="dxa"/>
            <w:vAlign w:val="bottom"/>
            <w:tcBorders>
              <w:left w:val="single" w:sz="8" w:color="00548B"/>
              <w:right w:val="single" w:sz="8" w:color="999999"/>
            </w:tcBorders>
          </w:tcPr>
          <w:p>
            <w:pPr>
              <w:spacing w:after="0"/>
              <w:rPr>
                <w:sz w:val="16"/>
                <w:szCs w:val="16"/>
                <w:color w:val="auto"/>
              </w:rPr>
            </w:pPr>
          </w:p>
        </w:tc>
        <w:tc>
          <w:tcPr>
            <w:tcW w:w="3500" w:type="dxa"/>
            <w:vAlign w:val="bottom"/>
            <w:tcBorders>
              <w:right w:val="single" w:sz="8" w:color="999999"/>
            </w:tcBorders>
          </w:tcPr>
          <w:p>
            <w:pPr>
              <w:spacing w:after="0"/>
              <w:rPr>
                <w:sz w:val="16"/>
                <w:szCs w:val="16"/>
                <w:color w:val="auto"/>
              </w:rPr>
            </w:pPr>
          </w:p>
        </w:tc>
        <w:tc>
          <w:tcPr>
            <w:tcW w:w="3400" w:type="dxa"/>
            <w:vAlign w:val="bottom"/>
            <w:tcBorders>
              <w:right w:val="single" w:sz="8" w:color="00548B"/>
            </w:tcBorders>
          </w:tcPr>
          <w:p>
            <w:pPr>
              <w:ind w:left="60"/>
              <w:spacing w:after="0"/>
              <w:rPr>
                <w:sz w:val="20"/>
                <w:szCs w:val="20"/>
                <w:color w:val="auto"/>
              </w:rPr>
            </w:pPr>
            <w:r>
              <w:rPr>
                <w:rFonts w:ascii="Arial" w:cs="Arial" w:eastAsia="Arial" w:hAnsi="Arial"/>
                <w:sz w:val="16"/>
                <w:szCs w:val="16"/>
                <w:color w:val="auto"/>
              </w:rPr>
              <w:t>PSUs will vest at target (or, with respect to the</w:t>
            </w:r>
          </w:p>
        </w:tc>
      </w:tr>
      <w:tr>
        <w:trPr>
          <w:trHeight w:val="186"/>
        </w:trPr>
        <w:tc>
          <w:tcPr>
            <w:tcW w:w="3740" w:type="dxa"/>
            <w:vAlign w:val="bottom"/>
            <w:tcBorders>
              <w:left w:val="single" w:sz="8" w:color="00548B"/>
              <w:right w:val="single" w:sz="8" w:color="999999"/>
            </w:tcBorders>
          </w:tcPr>
          <w:p>
            <w:pPr>
              <w:spacing w:after="0"/>
              <w:rPr>
                <w:sz w:val="16"/>
                <w:szCs w:val="16"/>
                <w:color w:val="auto"/>
              </w:rPr>
            </w:pPr>
          </w:p>
        </w:tc>
        <w:tc>
          <w:tcPr>
            <w:tcW w:w="3500" w:type="dxa"/>
            <w:vAlign w:val="bottom"/>
            <w:tcBorders>
              <w:right w:val="single" w:sz="8" w:color="999999"/>
            </w:tcBorders>
          </w:tcPr>
          <w:p>
            <w:pPr>
              <w:spacing w:after="0"/>
              <w:rPr>
                <w:sz w:val="16"/>
                <w:szCs w:val="16"/>
                <w:color w:val="auto"/>
              </w:rPr>
            </w:pPr>
          </w:p>
        </w:tc>
        <w:tc>
          <w:tcPr>
            <w:tcW w:w="3400" w:type="dxa"/>
            <w:vAlign w:val="bottom"/>
            <w:tcBorders>
              <w:right w:val="single" w:sz="8" w:color="00548B"/>
            </w:tcBorders>
          </w:tcPr>
          <w:p>
            <w:pPr>
              <w:ind w:left="60"/>
              <w:spacing w:after="0"/>
              <w:rPr>
                <w:sz w:val="20"/>
                <w:szCs w:val="20"/>
                <w:color w:val="auto"/>
              </w:rPr>
            </w:pPr>
            <w:r>
              <w:rPr>
                <w:rFonts w:ascii="Arial" w:cs="Arial" w:eastAsia="Arial" w:hAnsi="Arial"/>
                <w:sz w:val="16"/>
                <w:szCs w:val="16"/>
                <w:color w:val="auto"/>
              </w:rPr>
              <w:t>2021 PSUs, the greater of target or the level</w:t>
            </w:r>
          </w:p>
        </w:tc>
      </w:tr>
      <w:tr>
        <w:trPr>
          <w:trHeight w:val="186"/>
        </w:trPr>
        <w:tc>
          <w:tcPr>
            <w:tcW w:w="3740" w:type="dxa"/>
            <w:vAlign w:val="bottom"/>
            <w:tcBorders>
              <w:left w:val="single" w:sz="8" w:color="00548B"/>
              <w:right w:val="single" w:sz="8" w:color="999999"/>
            </w:tcBorders>
          </w:tcPr>
          <w:p>
            <w:pPr>
              <w:spacing w:after="0"/>
              <w:rPr>
                <w:sz w:val="16"/>
                <w:szCs w:val="16"/>
                <w:color w:val="auto"/>
              </w:rPr>
            </w:pPr>
          </w:p>
        </w:tc>
        <w:tc>
          <w:tcPr>
            <w:tcW w:w="3500" w:type="dxa"/>
            <w:vAlign w:val="bottom"/>
            <w:tcBorders>
              <w:right w:val="single" w:sz="8" w:color="999999"/>
            </w:tcBorders>
          </w:tcPr>
          <w:p>
            <w:pPr>
              <w:spacing w:after="0"/>
              <w:rPr>
                <w:sz w:val="16"/>
                <w:szCs w:val="16"/>
                <w:color w:val="auto"/>
              </w:rPr>
            </w:pPr>
          </w:p>
        </w:tc>
        <w:tc>
          <w:tcPr>
            <w:tcW w:w="3400" w:type="dxa"/>
            <w:vAlign w:val="bottom"/>
            <w:tcBorders>
              <w:right w:val="single" w:sz="8" w:color="00548B"/>
            </w:tcBorders>
          </w:tcPr>
          <w:p>
            <w:pPr>
              <w:ind w:left="60"/>
              <w:spacing w:after="0"/>
              <w:rPr>
                <w:sz w:val="20"/>
                <w:szCs w:val="20"/>
                <w:color w:val="auto"/>
              </w:rPr>
            </w:pPr>
            <w:r>
              <w:rPr>
                <w:rFonts w:ascii="Arial" w:cs="Arial" w:eastAsia="Arial" w:hAnsi="Arial"/>
                <w:sz w:val="16"/>
                <w:szCs w:val="16"/>
                <w:color w:val="auto"/>
              </w:rPr>
              <w:t>dictated by actual performance at the time of</w:t>
            </w:r>
          </w:p>
        </w:tc>
      </w:tr>
      <w:tr>
        <w:trPr>
          <w:trHeight w:val="186"/>
        </w:trPr>
        <w:tc>
          <w:tcPr>
            <w:tcW w:w="3740" w:type="dxa"/>
            <w:vAlign w:val="bottom"/>
            <w:tcBorders>
              <w:left w:val="single" w:sz="8" w:color="00548B"/>
              <w:right w:val="single" w:sz="8" w:color="999999"/>
            </w:tcBorders>
          </w:tcPr>
          <w:p>
            <w:pPr>
              <w:spacing w:after="0"/>
              <w:rPr>
                <w:sz w:val="16"/>
                <w:szCs w:val="16"/>
                <w:color w:val="auto"/>
              </w:rPr>
            </w:pPr>
          </w:p>
        </w:tc>
        <w:tc>
          <w:tcPr>
            <w:tcW w:w="3500" w:type="dxa"/>
            <w:vAlign w:val="bottom"/>
            <w:tcBorders>
              <w:right w:val="single" w:sz="8" w:color="999999"/>
            </w:tcBorders>
          </w:tcPr>
          <w:p>
            <w:pPr>
              <w:spacing w:after="0"/>
              <w:rPr>
                <w:sz w:val="16"/>
                <w:szCs w:val="16"/>
                <w:color w:val="auto"/>
              </w:rPr>
            </w:pPr>
          </w:p>
        </w:tc>
        <w:tc>
          <w:tcPr>
            <w:tcW w:w="3400" w:type="dxa"/>
            <w:vAlign w:val="bottom"/>
            <w:tcBorders>
              <w:right w:val="single" w:sz="8" w:color="00548B"/>
            </w:tcBorders>
          </w:tcPr>
          <w:p>
            <w:pPr>
              <w:ind w:left="60"/>
              <w:spacing w:after="0"/>
              <w:rPr>
                <w:sz w:val="20"/>
                <w:szCs w:val="20"/>
                <w:color w:val="auto"/>
              </w:rPr>
            </w:pPr>
            <w:r>
              <w:rPr>
                <w:rFonts w:ascii="Arial" w:cs="Arial" w:eastAsia="Arial" w:hAnsi="Arial"/>
                <w:sz w:val="16"/>
                <w:szCs w:val="16"/>
                <w:color w:val="auto"/>
              </w:rPr>
              <w:t>the COC without adjustment for the multiplier</w:t>
            </w:r>
          </w:p>
        </w:tc>
      </w:tr>
      <w:tr>
        <w:trPr>
          <w:trHeight w:val="186"/>
        </w:trPr>
        <w:tc>
          <w:tcPr>
            <w:tcW w:w="3740" w:type="dxa"/>
            <w:vAlign w:val="bottom"/>
            <w:tcBorders>
              <w:left w:val="single" w:sz="8" w:color="00548B"/>
              <w:right w:val="single" w:sz="8" w:color="999999"/>
            </w:tcBorders>
          </w:tcPr>
          <w:p>
            <w:pPr>
              <w:spacing w:after="0"/>
              <w:rPr>
                <w:sz w:val="16"/>
                <w:szCs w:val="16"/>
                <w:color w:val="auto"/>
              </w:rPr>
            </w:pPr>
          </w:p>
        </w:tc>
        <w:tc>
          <w:tcPr>
            <w:tcW w:w="3500" w:type="dxa"/>
            <w:vAlign w:val="bottom"/>
            <w:tcBorders>
              <w:right w:val="single" w:sz="8" w:color="999999"/>
            </w:tcBorders>
          </w:tcPr>
          <w:p>
            <w:pPr>
              <w:spacing w:after="0"/>
              <w:rPr>
                <w:sz w:val="16"/>
                <w:szCs w:val="16"/>
                <w:color w:val="auto"/>
              </w:rPr>
            </w:pPr>
          </w:p>
        </w:tc>
        <w:tc>
          <w:tcPr>
            <w:tcW w:w="3400" w:type="dxa"/>
            <w:vAlign w:val="bottom"/>
            <w:tcBorders>
              <w:right w:val="single" w:sz="8" w:color="00548B"/>
            </w:tcBorders>
          </w:tcPr>
          <w:p>
            <w:pPr>
              <w:ind w:left="60"/>
              <w:spacing w:after="0"/>
              <w:rPr>
                <w:sz w:val="20"/>
                <w:szCs w:val="20"/>
                <w:color w:val="auto"/>
              </w:rPr>
            </w:pPr>
            <w:r>
              <w:rPr>
                <w:rFonts w:ascii="Arial" w:cs="Arial" w:eastAsia="Arial" w:hAnsi="Arial"/>
                <w:sz w:val="16"/>
                <w:szCs w:val="16"/>
                <w:color w:val="auto"/>
              </w:rPr>
              <w:t>based on Revenue Growth) if the COC occurs</w:t>
            </w:r>
          </w:p>
        </w:tc>
      </w:tr>
      <w:tr>
        <w:trPr>
          <w:trHeight w:val="186"/>
        </w:trPr>
        <w:tc>
          <w:tcPr>
            <w:tcW w:w="3740" w:type="dxa"/>
            <w:vAlign w:val="bottom"/>
            <w:tcBorders>
              <w:left w:val="single" w:sz="8" w:color="00548B"/>
              <w:right w:val="single" w:sz="8" w:color="999999"/>
            </w:tcBorders>
          </w:tcPr>
          <w:p>
            <w:pPr>
              <w:spacing w:after="0"/>
              <w:rPr>
                <w:sz w:val="16"/>
                <w:szCs w:val="16"/>
                <w:color w:val="auto"/>
              </w:rPr>
            </w:pPr>
          </w:p>
        </w:tc>
        <w:tc>
          <w:tcPr>
            <w:tcW w:w="3500" w:type="dxa"/>
            <w:vAlign w:val="bottom"/>
            <w:tcBorders>
              <w:right w:val="single" w:sz="8" w:color="999999"/>
            </w:tcBorders>
          </w:tcPr>
          <w:p>
            <w:pPr>
              <w:spacing w:after="0"/>
              <w:rPr>
                <w:sz w:val="16"/>
                <w:szCs w:val="16"/>
                <w:color w:val="auto"/>
              </w:rPr>
            </w:pPr>
          </w:p>
        </w:tc>
        <w:tc>
          <w:tcPr>
            <w:tcW w:w="3400" w:type="dxa"/>
            <w:vAlign w:val="bottom"/>
            <w:tcBorders>
              <w:right w:val="single" w:sz="8" w:color="00548B"/>
            </w:tcBorders>
          </w:tcPr>
          <w:p>
            <w:pPr>
              <w:ind w:left="60"/>
              <w:spacing w:after="0"/>
              <w:rPr>
                <w:sz w:val="20"/>
                <w:szCs w:val="20"/>
                <w:color w:val="auto"/>
              </w:rPr>
            </w:pPr>
            <w:r>
              <w:rPr>
                <w:rFonts w:ascii="Arial" w:cs="Arial" w:eastAsia="Arial" w:hAnsi="Arial"/>
                <w:sz w:val="16"/>
                <w:szCs w:val="16"/>
                <w:color w:val="auto"/>
              </w:rPr>
              <w:t>during the performance period or at the level</w:t>
            </w:r>
          </w:p>
        </w:tc>
      </w:tr>
      <w:tr>
        <w:trPr>
          <w:trHeight w:val="186"/>
        </w:trPr>
        <w:tc>
          <w:tcPr>
            <w:tcW w:w="3740" w:type="dxa"/>
            <w:vAlign w:val="bottom"/>
            <w:tcBorders>
              <w:left w:val="single" w:sz="8" w:color="00548B"/>
              <w:right w:val="single" w:sz="8" w:color="999999"/>
            </w:tcBorders>
          </w:tcPr>
          <w:p>
            <w:pPr>
              <w:spacing w:after="0"/>
              <w:rPr>
                <w:sz w:val="16"/>
                <w:szCs w:val="16"/>
                <w:color w:val="auto"/>
              </w:rPr>
            </w:pPr>
          </w:p>
        </w:tc>
        <w:tc>
          <w:tcPr>
            <w:tcW w:w="3500" w:type="dxa"/>
            <w:vAlign w:val="bottom"/>
            <w:tcBorders>
              <w:right w:val="single" w:sz="8" w:color="999999"/>
            </w:tcBorders>
          </w:tcPr>
          <w:p>
            <w:pPr>
              <w:spacing w:after="0"/>
              <w:rPr>
                <w:sz w:val="16"/>
                <w:szCs w:val="16"/>
                <w:color w:val="auto"/>
              </w:rPr>
            </w:pPr>
          </w:p>
        </w:tc>
        <w:tc>
          <w:tcPr>
            <w:tcW w:w="3400" w:type="dxa"/>
            <w:vAlign w:val="bottom"/>
            <w:tcBorders>
              <w:right w:val="single" w:sz="8" w:color="00548B"/>
            </w:tcBorders>
          </w:tcPr>
          <w:p>
            <w:pPr>
              <w:ind w:left="60"/>
              <w:spacing w:after="0"/>
              <w:rPr>
                <w:sz w:val="20"/>
                <w:szCs w:val="20"/>
                <w:color w:val="auto"/>
              </w:rPr>
            </w:pPr>
            <w:r>
              <w:rPr>
                <w:rFonts w:ascii="Arial" w:cs="Arial" w:eastAsia="Arial" w:hAnsi="Arial"/>
                <w:sz w:val="16"/>
                <w:szCs w:val="16"/>
                <w:color w:val="auto"/>
              </w:rPr>
              <w:t>dictated by actual performance (or, with</w:t>
            </w:r>
          </w:p>
        </w:tc>
      </w:tr>
      <w:tr>
        <w:trPr>
          <w:trHeight w:val="186"/>
        </w:trPr>
        <w:tc>
          <w:tcPr>
            <w:tcW w:w="3740" w:type="dxa"/>
            <w:vAlign w:val="bottom"/>
            <w:tcBorders>
              <w:left w:val="single" w:sz="8" w:color="00548B"/>
              <w:right w:val="single" w:sz="8" w:color="999999"/>
            </w:tcBorders>
          </w:tcPr>
          <w:p>
            <w:pPr>
              <w:spacing w:after="0"/>
              <w:rPr>
                <w:sz w:val="16"/>
                <w:szCs w:val="16"/>
                <w:color w:val="auto"/>
              </w:rPr>
            </w:pPr>
          </w:p>
        </w:tc>
        <w:tc>
          <w:tcPr>
            <w:tcW w:w="3500" w:type="dxa"/>
            <w:vAlign w:val="bottom"/>
            <w:tcBorders>
              <w:right w:val="single" w:sz="8" w:color="999999"/>
            </w:tcBorders>
          </w:tcPr>
          <w:p>
            <w:pPr>
              <w:spacing w:after="0"/>
              <w:rPr>
                <w:sz w:val="16"/>
                <w:szCs w:val="16"/>
                <w:color w:val="auto"/>
              </w:rPr>
            </w:pPr>
          </w:p>
        </w:tc>
        <w:tc>
          <w:tcPr>
            <w:tcW w:w="3400" w:type="dxa"/>
            <w:vAlign w:val="bottom"/>
            <w:tcBorders>
              <w:right w:val="single" w:sz="8" w:color="00548B"/>
            </w:tcBorders>
          </w:tcPr>
          <w:p>
            <w:pPr>
              <w:ind w:left="60"/>
              <w:spacing w:after="0"/>
              <w:rPr>
                <w:sz w:val="20"/>
                <w:szCs w:val="20"/>
                <w:color w:val="auto"/>
              </w:rPr>
            </w:pPr>
            <w:r>
              <w:rPr>
                <w:rFonts w:ascii="Arial" w:cs="Arial" w:eastAsia="Arial" w:hAnsi="Arial"/>
                <w:sz w:val="16"/>
                <w:szCs w:val="16"/>
                <w:color w:val="auto"/>
              </w:rPr>
              <w:t>respect to the 2021 PSUs, the greater of</w:t>
            </w:r>
          </w:p>
        </w:tc>
      </w:tr>
      <w:tr>
        <w:trPr>
          <w:trHeight w:val="186"/>
        </w:trPr>
        <w:tc>
          <w:tcPr>
            <w:tcW w:w="3740" w:type="dxa"/>
            <w:vAlign w:val="bottom"/>
            <w:tcBorders>
              <w:left w:val="single" w:sz="8" w:color="00548B"/>
              <w:right w:val="single" w:sz="8" w:color="999999"/>
            </w:tcBorders>
          </w:tcPr>
          <w:p>
            <w:pPr>
              <w:spacing w:after="0"/>
              <w:rPr>
                <w:sz w:val="16"/>
                <w:szCs w:val="16"/>
                <w:color w:val="auto"/>
              </w:rPr>
            </w:pPr>
          </w:p>
        </w:tc>
        <w:tc>
          <w:tcPr>
            <w:tcW w:w="3500" w:type="dxa"/>
            <w:vAlign w:val="bottom"/>
            <w:tcBorders>
              <w:right w:val="single" w:sz="8" w:color="999999"/>
            </w:tcBorders>
          </w:tcPr>
          <w:p>
            <w:pPr>
              <w:spacing w:after="0"/>
              <w:rPr>
                <w:sz w:val="16"/>
                <w:szCs w:val="16"/>
                <w:color w:val="auto"/>
              </w:rPr>
            </w:pPr>
          </w:p>
        </w:tc>
        <w:tc>
          <w:tcPr>
            <w:tcW w:w="3400" w:type="dxa"/>
            <w:vAlign w:val="bottom"/>
            <w:tcBorders>
              <w:right w:val="single" w:sz="8" w:color="00548B"/>
            </w:tcBorders>
          </w:tcPr>
          <w:p>
            <w:pPr>
              <w:ind w:left="60"/>
              <w:spacing w:after="0"/>
              <w:rPr>
                <w:sz w:val="20"/>
                <w:szCs w:val="20"/>
                <w:color w:val="auto"/>
              </w:rPr>
            </w:pPr>
            <w:r>
              <w:rPr>
                <w:rFonts w:ascii="Arial" w:cs="Arial" w:eastAsia="Arial" w:hAnsi="Arial"/>
                <w:sz w:val="16"/>
                <w:szCs w:val="16"/>
                <w:color w:val="auto"/>
              </w:rPr>
              <w:t>target or the level dictated by actual</w:t>
            </w:r>
          </w:p>
        </w:tc>
      </w:tr>
      <w:tr>
        <w:trPr>
          <w:trHeight w:val="186"/>
        </w:trPr>
        <w:tc>
          <w:tcPr>
            <w:tcW w:w="3740" w:type="dxa"/>
            <w:vAlign w:val="bottom"/>
            <w:tcBorders>
              <w:left w:val="single" w:sz="8" w:color="00548B"/>
              <w:right w:val="single" w:sz="8" w:color="999999"/>
            </w:tcBorders>
          </w:tcPr>
          <w:p>
            <w:pPr>
              <w:spacing w:after="0"/>
              <w:rPr>
                <w:sz w:val="16"/>
                <w:szCs w:val="16"/>
                <w:color w:val="auto"/>
              </w:rPr>
            </w:pPr>
          </w:p>
        </w:tc>
        <w:tc>
          <w:tcPr>
            <w:tcW w:w="3500" w:type="dxa"/>
            <w:vAlign w:val="bottom"/>
            <w:tcBorders>
              <w:right w:val="single" w:sz="8" w:color="999999"/>
            </w:tcBorders>
          </w:tcPr>
          <w:p>
            <w:pPr>
              <w:spacing w:after="0"/>
              <w:rPr>
                <w:sz w:val="16"/>
                <w:szCs w:val="16"/>
                <w:color w:val="auto"/>
              </w:rPr>
            </w:pPr>
          </w:p>
        </w:tc>
        <w:tc>
          <w:tcPr>
            <w:tcW w:w="3400" w:type="dxa"/>
            <w:vAlign w:val="bottom"/>
            <w:tcBorders>
              <w:right w:val="single" w:sz="8" w:color="00548B"/>
            </w:tcBorders>
          </w:tcPr>
          <w:p>
            <w:pPr>
              <w:ind w:left="60"/>
              <w:spacing w:after="0"/>
              <w:rPr>
                <w:sz w:val="20"/>
                <w:szCs w:val="20"/>
                <w:color w:val="auto"/>
              </w:rPr>
            </w:pPr>
            <w:r>
              <w:rPr>
                <w:rFonts w:ascii="Arial" w:cs="Arial" w:eastAsia="Arial" w:hAnsi="Arial"/>
                <w:sz w:val="16"/>
                <w:szCs w:val="16"/>
                <w:color w:val="auto"/>
              </w:rPr>
              <w:t>performance at the time of the COC) if the</w:t>
            </w:r>
          </w:p>
        </w:tc>
      </w:tr>
      <w:tr>
        <w:trPr>
          <w:trHeight w:val="186"/>
        </w:trPr>
        <w:tc>
          <w:tcPr>
            <w:tcW w:w="3740" w:type="dxa"/>
            <w:vAlign w:val="bottom"/>
            <w:tcBorders>
              <w:left w:val="single" w:sz="8" w:color="00548B"/>
              <w:right w:val="single" w:sz="8" w:color="999999"/>
            </w:tcBorders>
          </w:tcPr>
          <w:p>
            <w:pPr>
              <w:spacing w:after="0"/>
              <w:rPr>
                <w:sz w:val="16"/>
                <w:szCs w:val="16"/>
                <w:color w:val="auto"/>
              </w:rPr>
            </w:pPr>
          </w:p>
        </w:tc>
        <w:tc>
          <w:tcPr>
            <w:tcW w:w="3500" w:type="dxa"/>
            <w:vAlign w:val="bottom"/>
            <w:tcBorders>
              <w:right w:val="single" w:sz="8" w:color="999999"/>
            </w:tcBorders>
          </w:tcPr>
          <w:p>
            <w:pPr>
              <w:spacing w:after="0"/>
              <w:rPr>
                <w:sz w:val="16"/>
                <w:szCs w:val="16"/>
                <w:color w:val="auto"/>
              </w:rPr>
            </w:pPr>
          </w:p>
        </w:tc>
        <w:tc>
          <w:tcPr>
            <w:tcW w:w="3400" w:type="dxa"/>
            <w:vAlign w:val="bottom"/>
            <w:tcBorders>
              <w:right w:val="single" w:sz="8" w:color="00548B"/>
            </w:tcBorders>
          </w:tcPr>
          <w:p>
            <w:pPr>
              <w:ind w:left="60"/>
              <w:spacing w:after="0"/>
              <w:rPr>
                <w:sz w:val="20"/>
                <w:szCs w:val="20"/>
                <w:color w:val="auto"/>
              </w:rPr>
            </w:pPr>
            <w:r>
              <w:rPr>
                <w:rFonts w:ascii="Arial" w:cs="Arial" w:eastAsia="Arial" w:hAnsi="Arial"/>
                <w:sz w:val="16"/>
                <w:szCs w:val="16"/>
                <w:color w:val="auto"/>
              </w:rPr>
              <w:t>COC occurs after the performance period and</w:t>
            </w:r>
          </w:p>
        </w:tc>
      </w:tr>
      <w:tr>
        <w:trPr>
          <w:trHeight w:val="186"/>
        </w:trPr>
        <w:tc>
          <w:tcPr>
            <w:tcW w:w="3740" w:type="dxa"/>
            <w:vAlign w:val="bottom"/>
            <w:tcBorders>
              <w:left w:val="single" w:sz="8" w:color="00548B"/>
              <w:right w:val="single" w:sz="8" w:color="999999"/>
            </w:tcBorders>
          </w:tcPr>
          <w:p>
            <w:pPr>
              <w:spacing w:after="0"/>
              <w:rPr>
                <w:sz w:val="16"/>
                <w:szCs w:val="16"/>
                <w:color w:val="auto"/>
              </w:rPr>
            </w:pPr>
          </w:p>
        </w:tc>
        <w:tc>
          <w:tcPr>
            <w:tcW w:w="3500" w:type="dxa"/>
            <w:vAlign w:val="bottom"/>
            <w:tcBorders>
              <w:right w:val="single" w:sz="8" w:color="999999"/>
            </w:tcBorders>
          </w:tcPr>
          <w:p>
            <w:pPr>
              <w:spacing w:after="0"/>
              <w:rPr>
                <w:sz w:val="16"/>
                <w:szCs w:val="16"/>
                <w:color w:val="auto"/>
              </w:rPr>
            </w:pPr>
          </w:p>
        </w:tc>
        <w:tc>
          <w:tcPr>
            <w:tcW w:w="3400" w:type="dxa"/>
            <w:vAlign w:val="bottom"/>
            <w:tcBorders>
              <w:right w:val="single" w:sz="8" w:color="00548B"/>
            </w:tcBorders>
          </w:tcPr>
          <w:p>
            <w:pPr>
              <w:ind w:left="60"/>
              <w:spacing w:after="0"/>
              <w:rPr>
                <w:sz w:val="20"/>
                <w:szCs w:val="20"/>
                <w:color w:val="auto"/>
              </w:rPr>
            </w:pPr>
            <w:r>
              <w:rPr>
                <w:rFonts w:ascii="Arial" w:cs="Arial" w:eastAsia="Arial" w:hAnsi="Arial"/>
                <w:sz w:val="16"/>
                <w:szCs w:val="16"/>
                <w:color w:val="auto"/>
              </w:rPr>
              <w:t>one share of Company common stock will be</w:t>
            </w:r>
          </w:p>
        </w:tc>
      </w:tr>
      <w:tr>
        <w:trPr>
          <w:trHeight w:val="186"/>
        </w:trPr>
        <w:tc>
          <w:tcPr>
            <w:tcW w:w="3740" w:type="dxa"/>
            <w:vAlign w:val="bottom"/>
            <w:tcBorders>
              <w:left w:val="single" w:sz="8" w:color="00548B"/>
              <w:right w:val="single" w:sz="8" w:color="999999"/>
            </w:tcBorders>
          </w:tcPr>
          <w:p>
            <w:pPr>
              <w:spacing w:after="0"/>
              <w:rPr>
                <w:sz w:val="16"/>
                <w:szCs w:val="16"/>
                <w:color w:val="auto"/>
              </w:rPr>
            </w:pPr>
          </w:p>
        </w:tc>
        <w:tc>
          <w:tcPr>
            <w:tcW w:w="3500" w:type="dxa"/>
            <w:vAlign w:val="bottom"/>
            <w:tcBorders>
              <w:right w:val="single" w:sz="8" w:color="999999"/>
            </w:tcBorders>
          </w:tcPr>
          <w:p>
            <w:pPr>
              <w:spacing w:after="0"/>
              <w:rPr>
                <w:sz w:val="16"/>
                <w:szCs w:val="16"/>
                <w:color w:val="auto"/>
              </w:rPr>
            </w:pPr>
          </w:p>
        </w:tc>
        <w:tc>
          <w:tcPr>
            <w:tcW w:w="3400" w:type="dxa"/>
            <w:vAlign w:val="bottom"/>
            <w:tcBorders>
              <w:right w:val="single" w:sz="8" w:color="00548B"/>
            </w:tcBorders>
          </w:tcPr>
          <w:p>
            <w:pPr>
              <w:ind w:left="60"/>
              <w:spacing w:after="0"/>
              <w:rPr>
                <w:sz w:val="20"/>
                <w:szCs w:val="20"/>
                <w:color w:val="auto"/>
              </w:rPr>
            </w:pPr>
            <w:r>
              <w:rPr>
                <w:rFonts w:ascii="Arial" w:cs="Arial" w:eastAsia="Arial" w:hAnsi="Arial"/>
                <w:sz w:val="16"/>
                <w:szCs w:val="16"/>
                <w:color w:val="auto"/>
              </w:rPr>
              <w:t>exchanged for each PSU and such common</w:t>
            </w:r>
          </w:p>
        </w:tc>
      </w:tr>
      <w:tr>
        <w:trPr>
          <w:trHeight w:val="186"/>
        </w:trPr>
        <w:tc>
          <w:tcPr>
            <w:tcW w:w="3740" w:type="dxa"/>
            <w:vAlign w:val="bottom"/>
            <w:tcBorders>
              <w:left w:val="single" w:sz="8" w:color="00548B"/>
              <w:right w:val="single" w:sz="8" w:color="999999"/>
            </w:tcBorders>
          </w:tcPr>
          <w:p>
            <w:pPr>
              <w:spacing w:after="0"/>
              <w:rPr>
                <w:sz w:val="16"/>
                <w:szCs w:val="16"/>
                <w:color w:val="auto"/>
              </w:rPr>
            </w:pPr>
          </w:p>
        </w:tc>
        <w:tc>
          <w:tcPr>
            <w:tcW w:w="3500" w:type="dxa"/>
            <w:vAlign w:val="bottom"/>
            <w:tcBorders>
              <w:right w:val="single" w:sz="8" w:color="999999"/>
            </w:tcBorders>
          </w:tcPr>
          <w:p>
            <w:pPr>
              <w:spacing w:after="0"/>
              <w:rPr>
                <w:sz w:val="16"/>
                <w:szCs w:val="16"/>
                <w:color w:val="auto"/>
              </w:rPr>
            </w:pPr>
          </w:p>
        </w:tc>
        <w:tc>
          <w:tcPr>
            <w:tcW w:w="3400" w:type="dxa"/>
            <w:vAlign w:val="bottom"/>
            <w:tcBorders>
              <w:right w:val="single" w:sz="8" w:color="00548B"/>
            </w:tcBorders>
          </w:tcPr>
          <w:p>
            <w:pPr>
              <w:ind w:left="60"/>
              <w:spacing w:after="0"/>
              <w:rPr>
                <w:sz w:val="20"/>
                <w:szCs w:val="20"/>
                <w:color w:val="auto"/>
              </w:rPr>
            </w:pPr>
            <w:r>
              <w:rPr>
                <w:rFonts w:ascii="Arial" w:cs="Arial" w:eastAsia="Arial" w:hAnsi="Arial"/>
                <w:sz w:val="16"/>
                <w:szCs w:val="16"/>
                <w:color w:val="auto"/>
              </w:rPr>
              <w:t>stock will receive the consideration paid by</w:t>
            </w:r>
          </w:p>
        </w:tc>
      </w:tr>
      <w:tr>
        <w:trPr>
          <w:trHeight w:val="195"/>
        </w:trPr>
        <w:tc>
          <w:tcPr>
            <w:tcW w:w="3740" w:type="dxa"/>
            <w:vAlign w:val="bottom"/>
            <w:tcBorders>
              <w:left w:val="single" w:sz="8" w:color="00548B"/>
              <w:bottom w:val="single" w:sz="8" w:color="999999"/>
              <w:right w:val="single" w:sz="8" w:color="999999"/>
            </w:tcBorders>
          </w:tcPr>
          <w:p>
            <w:pPr>
              <w:spacing w:after="0"/>
              <w:rPr>
                <w:sz w:val="16"/>
                <w:szCs w:val="16"/>
                <w:color w:val="auto"/>
              </w:rPr>
            </w:pPr>
          </w:p>
        </w:tc>
        <w:tc>
          <w:tcPr>
            <w:tcW w:w="3500" w:type="dxa"/>
            <w:vAlign w:val="bottom"/>
            <w:tcBorders>
              <w:bottom w:val="single" w:sz="8" w:color="999999"/>
              <w:right w:val="single" w:sz="8" w:color="999999"/>
            </w:tcBorders>
          </w:tcPr>
          <w:p>
            <w:pPr>
              <w:spacing w:after="0"/>
              <w:rPr>
                <w:sz w:val="16"/>
                <w:szCs w:val="16"/>
                <w:color w:val="auto"/>
              </w:rPr>
            </w:pPr>
          </w:p>
        </w:tc>
        <w:tc>
          <w:tcPr>
            <w:tcW w:w="3400" w:type="dxa"/>
            <w:vAlign w:val="bottom"/>
            <w:tcBorders>
              <w:bottom w:val="single" w:sz="8" w:color="999999"/>
              <w:right w:val="single" w:sz="8" w:color="00548B"/>
            </w:tcBorders>
          </w:tcPr>
          <w:p>
            <w:pPr>
              <w:ind w:left="60"/>
              <w:spacing w:after="0"/>
              <w:rPr>
                <w:sz w:val="20"/>
                <w:szCs w:val="20"/>
                <w:color w:val="auto"/>
              </w:rPr>
            </w:pPr>
            <w:r>
              <w:rPr>
                <w:rFonts w:ascii="Arial" w:cs="Arial" w:eastAsia="Arial" w:hAnsi="Arial"/>
                <w:sz w:val="16"/>
                <w:szCs w:val="16"/>
                <w:color w:val="auto"/>
              </w:rPr>
              <w:t>the acquirer in the COC.</w:t>
            </w:r>
          </w:p>
        </w:tc>
      </w:tr>
      <w:tr>
        <w:trPr>
          <w:trHeight w:val="184"/>
        </w:trPr>
        <w:tc>
          <w:tcPr>
            <w:tcW w:w="3740" w:type="dxa"/>
            <w:vAlign w:val="bottom"/>
            <w:tcBorders>
              <w:left w:val="single" w:sz="8" w:color="00548B"/>
              <w:right w:val="single" w:sz="8" w:color="999999"/>
            </w:tcBorders>
          </w:tcPr>
          <w:p>
            <w:pPr>
              <w:ind w:left="140"/>
              <w:spacing w:after="0"/>
              <w:rPr>
                <w:sz w:val="20"/>
                <w:szCs w:val="20"/>
                <w:color w:val="auto"/>
              </w:rPr>
            </w:pPr>
            <w:r>
              <w:rPr>
                <w:rFonts w:ascii="Arial" w:cs="Arial" w:eastAsia="Arial" w:hAnsi="Arial"/>
                <w:sz w:val="16"/>
                <w:szCs w:val="16"/>
                <w:color w:val="auto"/>
              </w:rPr>
              <w:t>Involuntary/Good Reason Termination Post-COC</w:t>
            </w:r>
          </w:p>
        </w:tc>
        <w:tc>
          <w:tcPr>
            <w:tcW w:w="3500" w:type="dxa"/>
            <w:vAlign w:val="bottom"/>
            <w:tcBorders>
              <w:right w:val="single" w:sz="8" w:color="999999"/>
            </w:tcBorders>
          </w:tcPr>
          <w:p>
            <w:pPr>
              <w:ind w:left="60"/>
              <w:spacing w:after="0"/>
              <w:rPr>
                <w:sz w:val="20"/>
                <w:szCs w:val="20"/>
                <w:color w:val="auto"/>
              </w:rPr>
            </w:pPr>
            <w:r>
              <w:rPr>
                <w:rFonts w:ascii="Arial" w:cs="Arial" w:eastAsia="Arial" w:hAnsi="Arial"/>
                <w:sz w:val="16"/>
                <w:szCs w:val="16"/>
                <w:color w:val="auto"/>
              </w:rPr>
              <w:t>Full acceleration.</w:t>
            </w:r>
          </w:p>
        </w:tc>
        <w:tc>
          <w:tcPr>
            <w:tcW w:w="3400" w:type="dxa"/>
            <w:vAlign w:val="bottom"/>
            <w:tcBorders>
              <w:right w:val="single" w:sz="8" w:color="00548B"/>
            </w:tcBorders>
          </w:tcPr>
          <w:p>
            <w:pPr>
              <w:ind w:left="60"/>
              <w:spacing w:after="0"/>
              <w:rPr>
                <w:sz w:val="20"/>
                <w:szCs w:val="20"/>
                <w:color w:val="auto"/>
              </w:rPr>
            </w:pPr>
            <w:r>
              <w:rPr>
                <w:rFonts w:ascii="Arial" w:cs="Arial" w:eastAsia="Arial" w:hAnsi="Arial"/>
                <w:sz w:val="16"/>
                <w:szCs w:val="16"/>
                <w:color w:val="auto"/>
              </w:rPr>
              <w:t>Shares shall immediately fully vest (at the</w:t>
            </w:r>
          </w:p>
        </w:tc>
      </w:tr>
      <w:tr>
        <w:trPr>
          <w:trHeight w:val="186"/>
        </w:trPr>
        <w:tc>
          <w:tcPr>
            <w:tcW w:w="3740" w:type="dxa"/>
            <w:vAlign w:val="bottom"/>
            <w:tcBorders>
              <w:left w:val="single" w:sz="8" w:color="00548B"/>
              <w:right w:val="single" w:sz="8" w:color="999999"/>
            </w:tcBorders>
          </w:tcPr>
          <w:p>
            <w:pPr>
              <w:spacing w:after="0"/>
              <w:rPr>
                <w:sz w:val="16"/>
                <w:szCs w:val="16"/>
                <w:color w:val="auto"/>
              </w:rPr>
            </w:pPr>
          </w:p>
        </w:tc>
        <w:tc>
          <w:tcPr>
            <w:tcW w:w="3500" w:type="dxa"/>
            <w:vAlign w:val="bottom"/>
            <w:tcBorders>
              <w:right w:val="single" w:sz="8" w:color="999999"/>
            </w:tcBorders>
          </w:tcPr>
          <w:p>
            <w:pPr>
              <w:spacing w:after="0"/>
              <w:rPr>
                <w:sz w:val="16"/>
                <w:szCs w:val="16"/>
                <w:color w:val="auto"/>
              </w:rPr>
            </w:pPr>
          </w:p>
        </w:tc>
        <w:tc>
          <w:tcPr>
            <w:tcW w:w="3400" w:type="dxa"/>
            <w:vAlign w:val="bottom"/>
            <w:tcBorders>
              <w:right w:val="single" w:sz="8" w:color="00548B"/>
            </w:tcBorders>
          </w:tcPr>
          <w:p>
            <w:pPr>
              <w:ind w:left="60"/>
              <w:spacing w:after="0"/>
              <w:rPr>
                <w:sz w:val="20"/>
                <w:szCs w:val="20"/>
                <w:color w:val="auto"/>
              </w:rPr>
            </w:pPr>
            <w:r>
              <w:rPr>
                <w:rFonts w:ascii="Arial" w:cs="Arial" w:eastAsia="Arial" w:hAnsi="Arial"/>
                <w:sz w:val="16"/>
                <w:szCs w:val="16"/>
                <w:color w:val="auto"/>
              </w:rPr>
              <w:t>greater of target or level dictated by actual</w:t>
            </w:r>
          </w:p>
        </w:tc>
      </w:tr>
      <w:tr>
        <w:trPr>
          <w:trHeight w:val="186"/>
        </w:trPr>
        <w:tc>
          <w:tcPr>
            <w:tcW w:w="3740" w:type="dxa"/>
            <w:vAlign w:val="bottom"/>
            <w:tcBorders>
              <w:left w:val="single" w:sz="8" w:color="00548B"/>
              <w:right w:val="single" w:sz="8" w:color="999999"/>
            </w:tcBorders>
          </w:tcPr>
          <w:p>
            <w:pPr>
              <w:spacing w:after="0"/>
              <w:rPr>
                <w:sz w:val="16"/>
                <w:szCs w:val="16"/>
                <w:color w:val="auto"/>
              </w:rPr>
            </w:pPr>
          </w:p>
        </w:tc>
        <w:tc>
          <w:tcPr>
            <w:tcW w:w="3500" w:type="dxa"/>
            <w:vAlign w:val="bottom"/>
            <w:tcBorders>
              <w:right w:val="single" w:sz="8" w:color="999999"/>
            </w:tcBorders>
          </w:tcPr>
          <w:p>
            <w:pPr>
              <w:spacing w:after="0"/>
              <w:rPr>
                <w:sz w:val="16"/>
                <w:szCs w:val="16"/>
                <w:color w:val="auto"/>
              </w:rPr>
            </w:pPr>
          </w:p>
        </w:tc>
        <w:tc>
          <w:tcPr>
            <w:tcW w:w="3400" w:type="dxa"/>
            <w:vAlign w:val="bottom"/>
            <w:tcBorders>
              <w:right w:val="single" w:sz="8" w:color="00548B"/>
            </w:tcBorders>
          </w:tcPr>
          <w:p>
            <w:pPr>
              <w:ind w:left="60"/>
              <w:spacing w:after="0"/>
              <w:rPr>
                <w:sz w:val="20"/>
                <w:szCs w:val="20"/>
                <w:color w:val="auto"/>
              </w:rPr>
            </w:pPr>
            <w:r>
              <w:rPr>
                <w:rFonts w:ascii="Arial" w:cs="Arial" w:eastAsia="Arial" w:hAnsi="Arial"/>
                <w:sz w:val="16"/>
                <w:szCs w:val="16"/>
                <w:color w:val="auto"/>
              </w:rPr>
              <w:t>performance (with respect to the 2021 PSUs</w:t>
            </w:r>
          </w:p>
        </w:tc>
      </w:tr>
      <w:tr>
        <w:trPr>
          <w:trHeight w:val="186"/>
        </w:trPr>
        <w:tc>
          <w:tcPr>
            <w:tcW w:w="3740" w:type="dxa"/>
            <w:vAlign w:val="bottom"/>
            <w:tcBorders>
              <w:left w:val="single" w:sz="8" w:color="00548B"/>
              <w:right w:val="single" w:sz="8" w:color="999999"/>
            </w:tcBorders>
          </w:tcPr>
          <w:p>
            <w:pPr>
              <w:spacing w:after="0"/>
              <w:rPr>
                <w:sz w:val="16"/>
                <w:szCs w:val="16"/>
                <w:color w:val="auto"/>
              </w:rPr>
            </w:pPr>
          </w:p>
        </w:tc>
        <w:tc>
          <w:tcPr>
            <w:tcW w:w="3500" w:type="dxa"/>
            <w:vAlign w:val="bottom"/>
            <w:tcBorders>
              <w:right w:val="single" w:sz="8" w:color="999999"/>
            </w:tcBorders>
          </w:tcPr>
          <w:p>
            <w:pPr>
              <w:spacing w:after="0"/>
              <w:rPr>
                <w:sz w:val="16"/>
                <w:szCs w:val="16"/>
                <w:color w:val="auto"/>
              </w:rPr>
            </w:pPr>
          </w:p>
        </w:tc>
        <w:tc>
          <w:tcPr>
            <w:tcW w:w="3400" w:type="dxa"/>
            <w:vAlign w:val="bottom"/>
            <w:tcBorders>
              <w:right w:val="single" w:sz="8" w:color="00548B"/>
            </w:tcBorders>
          </w:tcPr>
          <w:p>
            <w:pPr>
              <w:ind w:left="60"/>
              <w:spacing w:after="0"/>
              <w:rPr>
                <w:sz w:val="20"/>
                <w:szCs w:val="20"/>
                <w:color w:val="auto"/>
              </w:rPr>
            </w:pPr>
            <w:r>
              <w:rPr>
                <w:rFonts w:ascii="Arial" w:cs="Arial" w:eastAsia="Arial" w:hAnsi="Arial"/>
                <w:sz w:val="16"/>
                <w:szCs w:val="16"/>
                <w:color w:val="auto"/>
              </w:rPr>
              <w:t>actual performance will be determined without</w:t>
            </w:r>
          </w:p>
        </w:tc>
      </w:tr>
      <w:tr>
        <w:trPr>
          <w:trHeight w:val="186"/>
        </w:trPr>
        <w:tc>
          <w:tcPr>
            <w:tcW w:w="3740" w:type="dxa"/>
            <w:vAlign w:val="bottom"/>
            <w:tcBorders>
              <w:left w:val="single" w:sz="8" w:color="00548B"/>
              <w:right w:val="single" w:sz="8" w:color="999999"/>
            </w:tcBorders>
          </w:tcPr>
          <w:p>
            <w:pPr>
              <w:spacing w:after="0"/>
              <w:rPr>
                <w:sz w:val="16"/>
                <w:szCs w:val="16"/>
                <w:color w:val="auto"/>
              </w:rPr>
            </w:pPr>
          </w:p>
        </w:tc>
        <w:tc>
          <w:tcPr>
            <w:tcW w:w="3500" w:type="dxa"/>
            <w:vAlign w:val="bottom"/>
            <w:tcBorders>
              <w:right w:val="single" w:sz="8" w:color="999999"/>
            </w:tcBorders>
          </w:tcPr>
          <w:p>
            <w:pPr>
              <w:spacing w:after="0"/>
              <w:rPr>
                <w:sz w:val="16"/>
                <w:szCs w:val="16"/>
                <w:color w:val="auto"/>
              </w:rPr>
            </w:pPr>
          </w:p>
        </w:tc>
        <w:tc>
          <w:tcPr>
            <w:tcW w:w="3400" w:type="dxa"/>
            <w:vAlign w:val="bottom"/>
            <w:tcBorders>
              <w:right w:val="single" w:sz="8" w:color="00548B"/>
            </w:tcBorders>
          </w:tcPr>
          <w:p>
            <w:pPr>
              <w:ind w:left="60"/>
              <w:spacing w:after="0"/>
              <w:rPr>
                <w:sz w:val="20"/>
                <w:szCs w:val="20"/>
                <w:color w:val="auto"/>
              </w:rPr>
            </w:pPr>
            <w:r>
              <w:rPr>
                <w:rFonts w:ascii="Arial" w:cs="Arial" w:eastAsia="Arial" w:hAnsi="Arial"/>
                <w:sz w:val="16"/>
                <w:szCs w:val="16"/>
                <w:color w:val="auto"/>
              </w:rPr>
              <w:t>adjustment for the multiplier based on</w:t>
            </w:r>
          </w:p>
        </w:tc>
      </w:tr>
      <w:tr>
        <w:trPr>
          <w:trHeight w:val="184"/>
        </w:trPr>
        <w:tc>
          <w:tcPr>
            <w:tcW w:w="3740" w:type="dxa"/>
            <w:vAlign w:val="bottom"/>
            <w:tcBorders>
              <w:left w:val="single" w:sz="8" w:color="00548B"/>
              <w:bottom w:val="single" w:sz="8" w:color="00548B"/>
              <w:right w:val="single" w:sz="8" w:color="999999"/>
            </w:tcBorders>
          </w:tcPr>
          <w:p>
            <w:pPr>
              <w:spacing w:after="0"/>
              <w:rPr>
                <w:sz w:val="16"/>
                <w:szCs w:val="16"/>
                <w:color w:val="auto"/>
              </w:rPr>
            </w:pPr>
          </w:p>
        </w:tc>
        <w:tc>
          <w:tcPr>
            <w:tcW w:w="3500" w:type="dxa"/>
            <w:vAlign w:val="bottom"/>
            <w:tcBorders>
              <w:bottom w:val="single" w:sz="8" w:color="00548B"/>
              <w:right w:val="single" w:sz="8" w:color="999999"/>
            </w:tcBorders>
          </w:tcPr>
          <w:p>
            <w:pPr>
              <w:spacing w:after="0"/>
              <w:rPr>
                <w:sz w:val="16"/>
                <w:szCs w:val="16"/>
                <w:color w:val="auto"/>
              </w:rPr>
            </w:pPr>
          </w:p>
        </w:tc>
        <w:tc>
          <w:tcPr>
            <w:tcW w:w="3400" w:type="dxa"/>
            <w:vAlign w:val="bottom"/>
            <w:tcBorders>
              <w:bottom w:val="single" w:sz="8" w:color="00548B"/>
              <w:right w:val="single" w:sz="8" w:color="00548B"/>
            </w:tcBorders>
          </w:tcPr>
          <w:p>
            <w:pPr>
              <w:ind w:left="60"/>
              <w:spacing w:after="0"/>
              <w:rPr>
                <w:sz w:val="20"/>
                <w:szCs w:val="20"/>
                <w:color w:val="auto"/>
              </w:rPr>
            </w:pPr>
            <w:r>
              <w:rPr>
                <w:rFonts w:ascii="Arial" w:cs="Arial" w:eastAsia="Arial" w:hAnsi="Arial"/>
                <w:sz w:val="16"/>
                <w:szCs w:val="16"/>
                <w:color w:val="auto"/>
              </w:rPr>
              <w:t>Revenue Growth)).</w:t>
            </w:r>
          </w:p>
        </w:tc>
      </w:tr>
    </w:tbl>
    <w:p>
      <w:pPr>
        <w:spacing w:after="0" w:line="14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00548B"/>
        </w:rPr>
        <w:t>45</w:t>
      </w:r>
    </w:p>
    <w:p>
      <w:pPr>
        <w:sectPr>
          <w:pgSz w:w="11900" w:h="16838" w:orient="portrait"/>
          <w:cols w:equalWidth="0" w:num="1">
            <w:col w:w="10940"/>
          </w:cols>
          <w:pgMar w:left="320" w:top="454" w:right="6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Other Benefits</w:t>
      </w:r>
    </w:p>
    <w:p>
      <w:pPr>
        <w:spacing w:after="0" w:line="20"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color w:val="auto"/>
        </w:rPr>
        <w:t>Mr. Roth, Mr. Hussey, Mr. Kelly, and Mr. Torain will be eligible to participate in the Company’s various health and welfare benefit plans for its similarly situated key management employees.</w:t>
      </w:r>
    </w:p>
    <w:p>
      <w:pPr>
        <w:spacing w:after="0" w:line="153"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Restrictive Covenants on Termination</w:t>
      </w:r>
    </w:p>
    <w:p>
      <w:pPr>
        <w:spacing w:after="0" w:line="20" w:lineRule="exact"/>
        <w:rPr>
          <w:sz w:val="20"/>
          <w:szCs w:val="20"/>
          <w:color w:val="auto"/>
        </w:rPr>
      </w:pPr>
    </w:p>
    <w:p>
      <w:pPr>
        <w:jc w:val="both"/>
        <w:ind w:left="200"/>
        <w:spacing w:after="0" w:line="244" w:lineRule="auto"/>
        <w:rPr>
          <w:sz w:val="20"/>
          <w:szCs w:val="20"/>
          <w:color w:val="auto"/>
        </w:rPr>
      </w:pPr>
      <w:r>
        <w:rPr>
          <w:rFonts w:ascii="Arial" w:cs="Arial" w:eastAsia="Arial" w:hAnsi="Arial"/>
          <w:sz w:val="16"/>
          <w:szCs w:val="16"/>
          <w:color w:val="auto"/>
        </w:rPr>
        <w:t>For the applicable restricted period set forth in each executive officer’s Senior Management Agreement, he may not directly or indirectly (i) hire any employees of the Company or solicit, induce or encourage any employee of the Company or any client of the Company to leave, alter or cease his relationship with it or (ii) provide services that are the same as or similar to those offered by the Company to any client of the Company that he obtained as a client for the Company, to whom he provided services within the 12 months preceding termination of employment, or to whom he submitted a proposal during the six months prior to termination of employment. The restricted period for Mr. Roth is 12 to 24 months (depending on the type of termination) following termination of employment. The restricted period for Mr. Hussey, Mr. Kelly, and Mr. Torain is 12 months following termination of employment for any reason. In addition, for a period of 12 to 24 months (depending on the type of termination) following the termination of his employment, Mr. Roth may not, directly or indirectly, provide services that are competitive with those of the Company to any person, firm or other business entity. Executives are also subject to a confidentiality and non-disclosure covenant.</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Key Definitions</w:t>
      </w:r>
    </w:p>
    <w:p>
      <w:pPr>
        <w:spacing w:after="0" w:line="69"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Definition of “Change of Control”</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 Change of Control is defined in each of Mr. Roth, Mr. Hussey, Mr. Kelly and Mr. Torain’s Senior Management Agreements as:</w:t>
      </w:r>
    </w:p>
    <w:p>
      <w:pPr>
        <w:spacing w:after="0" w:line="122" w:lineRule="exact"/>
        <w:rPr>
          <w:sz w:val="20"/>
          <w:szCs w:val="20"/>
          <w:color w:val="auto"/>
        </w:rPr>
      </w:pPr>
    </w:p>
    <w:p>
      <w:pPr>
        <w:ind w:left="1060" w:hanging="435"/>
        <w:spacing w:after="0"/>
        <w:tabs>
          <w:tab w:leader="none" w:pos="1060" w:val="left"/>
        </w:tabs>
        <w:numPr>
          <w:ilvl w:val="0"/>
          <w:numId w:val="37"/>
        </w:numPr>
        <w:rPr>
          <w:rFonts w:ascii="Arial" w:cs="Arial" w:eastAsia="Arial" w:hAnsi="Arial"/>
          <w:sz w:val="16"/>
          <w:szCs w:val="16"/>
          <w:color w:val="00548B"/>
        </w:rPr>
      </w:pPr>
      <w:r>
        <w:rPr>
          <w:rFonts w:ascii="Arial" w:cs="Arial" w:eastAsia="Arial" w:hAnsi="Arial"/>
          <w:sz w:val="16"/>
          <w:szCs w:val="16"/>
          <w:color w:val="auto"/>
        </w:rPr>
        <w:t>any person becomes a beneficial owner of 40% or more of the Company’s outstanding securities;</w:t>
      </w:r>
    </w:p>
    <w:p>
      <w:pPr>
        <w:spacing w:after="0" w:line="2" w:lineRule="exact"/>
        <w:rPr>
          <w:rFonts w:ascii="Arial" w:cs="Arial" w:eastAsia="Arial" w:hAnsi="Arial"/>
          <w:sz w:val="16"/>
          <w:szCs w:val="16"/>
          <w:color w:val="00548B"/>
        </w:rPr>
      </w:pPr>
    </w:p>
    <w:p>
      <w:pPr>
        <w:jc w:val="both"/>
        <w:ind w:left="1060" w:hanging="435"/>
        <w:spacing w:after="0" w:line="242" w:lineRule="auto"/>
        <w:tabs>
          <w:tab w:leader="none" w:pos="1060" w:val="left"/>
        </w:tabs>
        <w:numPr>
          <w:ilvl w:val="0"/>
          <w:numId w:val="37"/>
        </w:numPr>
        <w:rPr>
          <w:rFonts w:ascii="Arial" w:cs="Arial" w:eastAsia="Arial" w:hAnsi="Arial"/>
          <w:sz w:val="16"/>
          <w:szCs w:val="16"/>
          <w:color w:val="00548B"/>
        </w:rPr>
      </w:pPr>
      <w:r>
        <w:rPr>
          <w:rFonts w:ascii="Arial" w:cs="Arial" w:eastAsia="Arial" w:hAnsi="Arial"/>
          <w:sz w:val="16"/>
          <w:szCs w:val="16"/>
          <w:color w:val="auto"/>
        </w:rPr>
        <w:t>there is a consummation of a merger or consolidation with any person unless (a) the voting securities of the Company outstanding immediately prior to the transaction continue to represent at least 50% of the combined voting power of the securities of the Company or such other surviving entity; (b) the merger is a recapitalization in which no person other than existing security holders becomes a beneficial owner representing 50% or more of the Company’s then outstanding securities; or (c) the merger does not represent a sale of all or substantially all of the Company’s assets;</w:t>
      </w:r>
    </w:p>
    <w:p>
      <w:pPr>
        <w:spacing w:after="0" w:line="3" w:lineRule="exact"/>
        <w:rPr>
          <w:rFonts w:ascii="Arial" w:cs="Arial" w:eastAsia="Arial" w:hAnsi="Arial"/>
          <w:sz w:val="16"/>
          <w:szCs w:val="16"/>
          <w:color w:val="00548B"/>
        </w:rPr>
      </w:pPr>
    </w:p>
    <w:p>
      <w:pPr>
        <w:ind w:left="1060" w:hanging="435"/>
        <w:spacing w:after="0"/>
        <w:tabs>
          <w:tab w:leader="none" w:pos="1060" w:val="left"/>
        </w:tabs>
        <w:numPr>
          <w:ilvl w:val="0"/>
          <w:numId w:val="37"/>
        </w:numPr>
        <w:rPr>
          <w:rFonts w:ascii="Arial" w:cs="Arial" w:eastAsia="Arial" w:hAnsi="Arial"/>
          <w:sz w:val="16"/>
          <w:szCs w:val="16"/>
          <w:color w:val="00548B"/>
        </w:rPr>
      </w:pPr>
      <w:r>
        <w:rPr>
          <w:rFonts w:ascii="Arial" w:cs="Arial" w:eastAsia="Arial" w:hAnsi="Arial"/>
          <w:sz w:val="16"/>
          <w:szCs w:val="16"/>
          <w:color w:val="auto"/>
        </w:rPr>
        <w:t>the stockholders approve a plan of complete liquidation or dissolution; or</w:t>
      </w:r>
    </w:p>
    <w:p>
      <w:pPr>
        <w:spacing w:after="0" w:line="2" w:lineRule="exact"/>
        <w:rPr>
          <w:rFonts w:ascii="Arial" w:cs="Arial" w:eastAsia="Arial" w:hAnsi="Arial"/>
          <w:sz w:val="16"/>
          <w:szCs w:val="16"/>
          <w:color w:val="00548B"/>
        </w:rPr>
      </w:pPr>
    </w:p>
    <w:p>
      <w:pPr>
        <w:ind w:left="1060" w:hanging="435"/>
        <w:spacing w:after="0" w:line="253" w:lineRule="auto"/>
        <w:tabs>
          <w:tab w:leader="none" w:pos="1060" w:val="left"/>
        </w:tabs>
        <w:numPr>
          <w:ilvl w:val="0"/>
          <w:numId w:val="37"/>
        </w:numPr>
        <w:rPr>
          <w:rFonts w:ascii="Arial" w:cs="Arial" w:eastAsia="Arial" w:hAnsi="Arial"/>
          <w:sz w:val="16"/>
          <w:szCs w:val="16"/>
          <w:color w:val="00548B"/>
        </w:rPr>
      </w:pPr>
      <w:r>
        <w:rPr>
          <w:rFonts w:ascii="Arial" w:cs="Arial" w:eastAsia="Arial" w:hAnsi="Arial"/>
          <w:sz w:val="16"/>
          <w:szCs w:val="16"/>
          <w:color w:val="auto"/>
        </w:rPr>
        <w:t>there is a disposition or sale of all or substantially all of the Company’s assets other than a sale or disposition in which at least 50% of the combined voting power of the voting securities are owned by shareholders of Huron.</w:t>
      </w:r>
    </w:p>
    <w:p>
      <w:pPr>
        <w:spacing w:after="0" w:line="153"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Definition of “Good Reason”</w:t>
      </w:r>
    </w:p>
    <w:p>
      <w:pPr>
        <w:spacing w:after="0" w:line="20" w:lineRule="exact"/>
        <w:rPr>
          <w:sz w:val="20"/>
          <w:szCs w:val="20"/>
          <w:color w:val="auto"/>
        </w:rPr>
      </w:pPr>
    </w:p>
    <w:p>
      <w:pPr>
        <w:jc w:val="both"/>
        <w:ind w:left="200"/>
        <w:spacing w:after="0" w:line="245" w:lineRule="auto"/>
        <w:rPr>
          <w:sz w:val="20"/>
          <w:szCs w:val="20"/>
          <w:color w:val="auto"/>
        </w:rPr>
      </w:pPr>
      <w:r>
        <w:rPr>
          <w:rFonts w:ascii="Arial" w:cs="Arial" w:eastAsia="Arial" w:hAnsi="Arial"/>
          <w:sz w:val="16"/>
          <w:szCs w:val="16"/>
          <w:color w:val="auto"/>
        </w:rPr>
        <w:t>The definition of “Good Reason” is defined under the Senior Management Agreements to mean a resignation following: (i) a change in primary location of employment to a location that is more than 50 miles from Chicago, Illinois; (ii) a failure to comply with any material term of the agreement by the Company or (iii) a material reduction in base salary or benefits coverage, provided that such reduction is without his or her consent, is not warranted by the Company’s financial condition, and is not a change that applies uniformly to similarly situated Company executives. The agreements provide the Company the right to cure prior to a senior executive’s resignation for Good Reason.</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Definition of “Good Reason” in Relation to a Change of Control</w:t>
      </w:r>
    </w:p>
    <w:p>
      <w:pPr>
        <w:spacing w:after="0" w:line="20"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color w:val="auto"/>
        </w:rPr>
        <w:t>Under each of Mr. Roth, Mr. Hussey, Mr. Kelly and Mr. Torain’s Senior Management Agreements, a Change of Control Good Reason occurs if certain adverse changes occur in anticipation of, or within twenty-four months following, a Change of Control including:</w:t>
      </w:r>
    </w:p>
    <w:p>
      <w:pPr>
        <w:spacing w:after="0" w:line="104" w:lineRule="exact"/>
        <w:rPr>
          <w:sz w:val="20"/>
          <w:szCs w:val="20"/>
          <w:color w:val="auto"/>
        </w:rPr>
      </w:pPr>
    </w:p>
    <w:p>
      <w:pPr>
        <w:ind w:left="1060" w:hanging="435"/>
        <w:spacing w:after="0"/>
        <w:tabs>
          <w:tab w:leader="none" w:pos="10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any material breach of the Senior Management Agreement by the Company,</w:t>
      </w:r>
    </w:p>
    <w:p>
      <w:pPr>
        <w:spacing w:after="0" w:line="2" w:lineRule="exact"/>
        <w:rPr>
          <w:rFonts w:ascii="Arial" w:cs="Arial" w:eastAsia="Arial" w:hAnsi="Arial"/>
          <w:sz w:val="16"/>
          <w:szCs w:val="16"/>
          <w:color w:val="auto"/>
        </w:rPr>
      </w:pPr>
    </w:p>
    <w:p>
      <w:pPr>
        <w:ind w:left="1060" w:hanging="435"/>
        <w:spacing w:after="0"/>
        <w:tabs>
          <w:tab w:leader="none" w:pos="10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any material adverse change in the executive’s status, responsibilities or position with the Company,</w:t>
      </w:r>
    </w:p>
    <w:p>
      <w:pPr>
        <w:spacing w:after="0" w:line="2" w:lineRule="exact"/>
        <w:rPr>
          <w:rFonts w:ascii="Arial" w:cs="Arial" w:eastAsia="Arial" w:hAnsi="Arial"/>
          <w:sz w:val="16"/>
          <w:szCs w:val="16"/>
          <w:color w:val="auto"/>
        </w:rPr>
      </w:pPr>
    </w:p>
    <w:p>
      <w:pPr>
        <w:ind w:left="1060" w:hanging="435"/>
        <w:spacing w:after="0" w:line="242" w:lineRule="auto"/>
        <w:tabs>
          <w:tab w:leader="none" w:pos="10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any material reduction in his base salary or target bonus, other than in connection with an across-the-board reduction in base salaries applicable in like proportions to all similarly situated executives of the Company and any direct or indirect parent of the Company,</w:t>
      </w:r>
    </w:p>
    <w:p>
      <w:pPr>
        <w:spacing w:after="0" w:line="1" w:lineRule="exact"/>
        <w:rPr>
          <w:rFonts w:ascii="Arial" w:cs="Arial" w:eastAsia="Arial" w:hAnsi="Arial"/>
          <w:sz w:val="16"/>
          <w:szCs w:val="16"/>
          <w:color w:val="auto"/>
        </w:rPr>
      </w:pPr>
    </w:p>
    <w:p>
      <w:pPr>
        <w:jc w:val="both"/>
        <w:ind w:left="1060" w:hanging="435"/>
        <w:spacing w:after="0" w:line="248" w:lineRule="auto"/>
        <w:tabs>
          <w:tab w:leader="none" w:pos="10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assignment of duties to the executive that are materially inconsistent with his position and responsibilities described in the Senior Management Agreement, including, specifically, assignment of a position other than as Chief Executive Officer of the surviving Company in the case of Mr. Roth, or</w:t>
      </w:r>
    </w:p>
    <w:p>
      <w:pPr>
        <w:spacing w:after="0" w:line="13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46</w:t>
      </w:r>
    </w:p>
    <w:p>
      <w:pPr>
        <w:sectPr>
          <w:pgSz w:w="11900" w:h="16838" w:orient="portrait"/>
          <w:cols w:equalWidth="0" w:num="1">
            <w:col w:w="11040"/>
          </w:cols>
          <w:pgMar w:left="320" w:top="454" w:right="5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060" w:hanging="435"/>
        <w:spacing w:after="0"/>
        <w:tabs>
          <w:tab w:leader="none" w:pos="10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requiring the executive to be principally based at any office or location that is greater than 50 miles from Chicago, Illinois.</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Termination without Cause or Resignation for Good Reason</w:t>
      </w:r>
    </w:p>
    <w:p>
      <w:pPr>
        <w:spacing w:after="0" w:line="20" w:lineRule="exact"/>
        <w:rPr>
          <w:sz w:val="20"/>
          <w:szCs w:val="20"/>
          <w:color w:val="auto"/>
        </w:rPr>
      </w:pPr>
    </w:p>
    <w:p>
      <w:pPr>
        <w:jc w:val="both"/>
        <w:ind w:left="200"/>
        <w:spacing w:after="0" w:line="248" w:lineRule="auto"/>
        <w:rPr>
          <w:sz w:val="20"/>
          <w:szCs w:val="20"/>
          <w:color w:val="auto"/>
        </w:rPr>
      </w:pPr>
      <w:r>
        <w:rPr>
          <w:rFonts w:ascii="Arial" w:cs="Arial" w:eastAsia="Arial" w:hAnsi="Arial"/>
          <w:sz w:val="16"/>
          <w:szCs w:val="16"/>
          <w:color w:val="auto"/>
        </w:rPr>
        <w:t>If any of the NEOs is terminated without Cause or resigns for Good Reason, as defined in his Senior Management Agreement, upon executing a general release and waiver, the Company is obligated to pay severance and continuation of benefits in varying amounts. In addition, NEOs will receive pro rata vesting of performance stock units that would otherwise have been earned in the performance period.</w:t>
      </w:r>
    </w:p>
    <w:p>
      <w:pPr>
        <w:spacing w:after="0" w:line="161"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color w:val="auto"/>
        </w:rPr>
        <w:t>The following severance benefits are payable to each of our named executive officers upon termination without Cause or resignation for Good Reason, except in the case of a Change of Control, as of December 31, 2021:</w:t>
      </w:r>
    </w:p>
    <w:p>
      <w:pPr>
        <w:spacing w:after="0" w:line="194" w:lineRule="exact"/>
        <w:rPr>
          <w:sz w:val="20"/>
          <w:szCs w:val="20"/>
          <w:color w:val="auto"/>
        </w:rPr>
      </w:pPr>
    </w:p>
    <w:tbl>
      <w:tblPr>
        <w:tblLayout w:type="fixed"/>
        <w:tblInd w:w="330" w:type="dxa"/>
        <w:tblCellMar>
          <w:top w:w="0" w:type="dxa"/>
          <w:left w:w="0" w:type="dxa"/>
          <w:bottom w:w="0" w:type="dxa"/>
          <w:right w:w="0" w:type="dxa"/>
        </w:tblCellMar>
      </w:tblPr>
      <w:tr>
        <w:trPr>
          <w:trHeight w:val="161"/>
        </w:trPr>
        <w:tc>
          <w:tcPr>
            <w:tcW w:w="1960" w:type="dxa"/>
            <w:vAlign w:val="bottom"/>
            <w:tcBorders>
              <w:left w:val="single" w:sz="8" w:color="00548B"/>
              <w:right w:val="single" w:sz="8" w:color="999999"/>
            </w:tcBorders>
            <w:shd w:val="clear" w:color="auto" w:fill="00548B"/>
          </w:tcPr>
          <w:p>
            <w:pPr>
              <w:ind w:left="140"/>
              <w:spacing w:after="0"/>
              <w:rPr>
                <w:sz w:val="20"/>
                <w:szCs w:val="20"/>
                <w:color w:val="auto"/>
              </w:rPr>
            </w:pPr>
            <w:r>
              <w:rPr>
                <w:rFonts w:ascii="Arial" w:cs="Arial" w:eastAsia="Arial" w:hAnsi="Arial"/>
                <w:sz w:val="14"/>
                <w:szCs w:val="14"/>
                <w:b w:val="1"/>
                <w:bCs w:val="1"/>
                <w:color w:val="D8D8D8"/>
              </w:rPr>
              <w:t>Executive</w:t>
            </w:r>
          </w:p>
        </w:tc>
        <w:tc>
          <w:tcPr>
            <w:tcW w:w="8680" w:type="dxa"/>
            <w:vAlign w:val="bottom"/>
            <w:tcBorders>
              <w:right w:val="single" w:sz="8" w:color="00548B"/>
            </w:tcBorders>
            <w:shd w:val="clear" w:color="auto" w:fill="00548B"/>
          </w:tcPr>
          <w:p>
            <w:pPr>
              <w:ind w:left="3740"/>
              <w:spacing w:after="0"/>
              <w:rPr>
                <w:sz w:val="20"/>
                <w:szCs w:val="20"/>
                <w:color w:val="auto"/>
              </w:rPr>
            </w:pPr>
            <w:r>
              <w:rPr>
                <w:rFonts w:ascii="Arial" w:cs="Arial" w:eastAsia="Arial" w:hAnsi="Arial"/>
                <w:sz w:val="14"/>
                <w:szCs w:val="14"/>
                <w:b w:val="1"/>
                <w:bCs w:val="1"/>
                <w:color w:val="D8D8D8"/>
              </w:rPr>
              <w:t>Severance Benefits</w:t>
            </w:r>
          </w:p>
        </w:tc>
      </w:tr>
      <w:tr>
        <w:trPr>
          <w:trHeight w:val="188"/>
        </w:trPr>
        <w:tc>
          <w:tcPr>
            <w:tcW w:w="1960" w:type="dxa"/>
            <w:vAlign w:val="bottom"/>
            <w:tcBorders>
              <w:left w:val="single" w:sz="8" w:color="00548B"/>
              <w:right w:val="single" w:sz="8" w:color="999999"/>
            </w:tcBorders>
          </w:tcPr>
          <w:p>
            <w:pPr>
              <w:ind w:left="140"/>
              <w:spacing w:after="0"/>
              <w:rPr>
                <w:sz w:val="20"/>
                <w:szCs w:val="20"/>
                <w:color w:val="auto"/>
              </w:rPr>
            </w:pPr>
            <w:r>
              <w:rPr>
                <w:rFonts w:ascii="Arial" w:cs="Arial" w:eastAsia="Arial" w:hAnsi="Arial"/>
                <w:sz w:val="16"/>
                <w:szCs w:val="16"/>
                <w:color w:val="auto"/>
              </w:rPr>
              <w:t>James H. Roth</w:t>
            </w:r>
          </w:p>
        </w:tc>
        <w:tc>
          <w:tcPr>
            <w:tcW w:w="8680" w:type="dxa"/>
            <w:vAlign w:val="bottom"/>
            <w:tcBorders>
              <w:right w:val="single" w:sz="8" w:color="00548B"/>
            </w:tcBorders>
          </w:tcPr>
          <w:p>
            <w:pPr>
              <w:ind w:left="180"/>
              <w:spacing w:after="0"/>
              <w:rPr>
                <w:sz w:val="20"/>
                <w:szCs w:val="20"/>
                <w:color w:val="auto"/>
              </w:rPr>
            </w:pPr>
            <w:r>
              <w:rPr>
                <w:rFonts w:ascii="Arial" w:cs="Arial" w:eastAsia="Arial" w:hAnsi="Arial"/>
                <w:sz w:val="16"/>
                <w:szCs w:val="16"/>
                <w:color w:val="auto"/>
              </w:rPr>
              <w:t>An amount in cash equal to two times the sum of his then current annual base salary and his then current target bonus;</w:t>
            </w:r>
          </w:p>
        </w:tc>
      </w:tr>
      <w:tr>
        <w:trPr>
          <w:trHeight w:val="186"/>
        </w:trPr>
        <w:tc>
          <w:tcPr>
            <w:tcW w:w="1960" w:type="dxa"/>
            <w:vAlign w:val="bottom"/>
            <w:tcBorders>
              <w:left w:val="single" w:sz="8" w:color="00548B"/>
              <w:right w:val="single" w:sz="8" w:color="999999"/>
            </w:tcBorders>
          </w:tcPr>
          <w:p>
            <w:pPr>
              <w:spacing w:after="0"/>
              <w:rPr>
                <w:sz w:val="16"/>
                <w:szCs w:val="16"/>
                <w:color w:val="auto"/>
              </w:rPr>
            </w:pPr>
          </w:p>
        </w:tc>
        <w:tc>
          <w:tcPr>
            <w:tcW w:w="8680" w:type="dxa"/>
            <w:vAlign w:val="bottom"/>
            <w:tcBorders>
              <w:right w:val="single" w:sz="8" w:color="00548B"/>
            </w:tcBorders>
          </w:tcPr>
          <w:p>
            <w:pPr>
              <w:ind w:left="180"/>
              <w:spacing w:after="0"/>
              <w:rPr>
                <w:sz w:val="20"/>
                <w:szCs w:val="20"/>
                <w:color w:val="auto"/>
              </w:rPr>
            </w:pPr>
            <w:r>
              <w:rPr>
                <w:rFonts w:ascii="Arial" w:cs="Arial" w:eastAsia="Arial" w:hAnsi="Arial"/>
                <w:sz w:val="16"/>
                <w:szCs w:val="16"/>
                <w:color w:val="auto"/>
              </w:rPr>
              <w:t>pro rata bonus in the year of termination based on actual results; 24 months’ continuation of medical insurance; and pro</w:t>
            </w:r>
          </w:p>
        </w:tc>
      </w:tr>
      <w:tr>
        <w:trPr>
          <w:trHeight w:val="186"/>
        </w:trPr>
        <w:tc>
          <w:tcPr>
            <w:tcW w:w="1960" w:type="dxa"/>
            <w:vAlign w:val="bottom"/>
            <w:tcBorders>
              <w:left w:val="single" w:sz="8" w:color="00548B"/>
              <w:right w:val="single" w:sz="8" w:color="999999"/>
            </w:tcBorders>
          </w:tcPr>
          <w:p>
            <w:pPr>
              <w:spacing w:after="0"/>
              <w:rPr>
                <w:sz w:val="16"/>
                <w:szCs w:val="16"/>
                <w:color w:val="auto"/>
              </w:rPr>
            </w:pPr>
          </w:p>
        </w:tc>
        <w:tc>
          <w:tcPr>
            <w:tcW w:w="8680" w:type="dxa"/>
            <w:vAlign w:val="bottom"/>
            <w:tcBorders>
              <w:right w:val="single" w:sz="8" w:color="00548B"/>
            </w:tcBorders>
          </w:tcPr>
          <w:p>
            <w:pPr>
              <w:ind w:left="180"/>
              <w:spacing w:after="0"/>
              <w:rPr>
                <w:sz w:val="20"/>
                <w:szCs w:val="20"/>
                <w:color w:val="auto"/>
              </w:rPr>
            </w:pPr>
            <w:r>
              <w:rPr>
                <w:rFonts w:ascii="Arial" w:cs="Arial" w:eastAsia="Arial" w:hAnsi="Arial"/>
                <w:sz w:val="16"/>
                <w:szCs w:val="16"/>
                <w:color w:val="auto"/>
              </w:rPr>
              <w:t>rata vesting of performance stock units that would otherwise have been earned in the performance period. Severance</w:t>
            </w:r>
          </w:p>
        </w:tc>
      </w:tr>
      <w:tr>
        <w:trPr>
          <w:trHeight w:val="184"/>
        </w:trPr>
        <w:tc>
          <w:tcPr>
            <w:tcW w:w="1960" w:type="dxa"/>
            <w:vAlign w:val="bottom"/>
            <w:tcBorders>
              <w:left w:val="single" w:sz="8" w:color="00548B"/>
              <w:bottom w:val="single" w:sz="8" w:color="999999"/>
              <w:right w:val="single" w:sz="8" w:color="999999"/>
            </w:tcBorders>
          </w:tcPr>
          <w:p>
            <w:pPr>
              <w:spacing w:after="0"/>
              <w:rPr>
                <w:sz w:val="16"/>
                <w:szCs w:val="16"/>
                <w:color w:val="auto"/>
              </w:rPr>
            </w:pPr>
          </w:p>
        </w:tc>
        <w:tc>
          <w:tcPr>
            <w:tcW w:w="8680" w:type="dxa"/>
            <w:vAlign w:val="bottom"/>
            <w:tcBorders>
              <w:bottom w:val="single" w:sz="8" w:color="999999"/>
              <w:right w:val="single" w:sz="8" w:color="00548B"/>
            </w:tcBorders>
          </w:tcPr>
          <w:p>
            <w:pPr>
              <w:ind w:left="180"/>
              <w:spacing w:after="0"/>
              <w:rPr>
                <w:sz w:val="20"/>
                <w:szCs w:val="20"/>
                <w:color w:val="auto"/>
              </w:rPr>
            </w:pPr>
            <w:r>
              <w:rPr>
                <w:rFonts w:ascii="Arial" w:cs="Arial" w:eastAsia="Arial" w:hAnsi="Arial"/>
                <w:sz w:val="16"/>
                <w:szCs w:val="16"/>
                <w:color w:val="auto"/>
              </w:rPr>
              <w:t>amounts are payable in a lump sum.</w:t>
            </w:r>
          </w:p>
        </w:tc>
      </w:tr>
      <w:tr>
        <w:trPr>
          <w:trHeight w:val="181"/>
        </w:trPr>
        <w:tc>
          <w:tcPr>
            <w:tcW w:w="1960" w:type="dxa"/>
            <w:vAlign w:val="bottom"/>
            <w:tcBorders>
              <w:left w:val="single" w:sz="8" w:color="00548B"/>
              <w:right w:val="single" w:sz="8" w:color="999999"/>
            </w:tcBorders>
          </w:tcPr>
          <w:p>
            <w:pPr>
              <w:ind w:left="140"/>
              <w:spacing w:after="0" w:line="181" w:lineRule="exact"/>
              <w:rPr>
                <w:sz w:val="20"/>
                <w:szCs w:val="20"/>
                <w:color w:val="auto"/>
              </w:rPr>
            </w:pPr>
            <w:r>
              <w:rPr>
                <w:rFonts w:ascii="Arial" w:cs="Arial" w:eastAsia="Arial" w:hAnsi="Arial"/>
                <w:sz w:val="16"/>
                <w:szCs w:val="16"/>
                <w:color w:val="auto"/>
              </w:rPr>
              <w:t>C. Mark Hussey</w:t>
            </w:r>
          </w:p>
        </w:tc>
        <w:tc>
          <w:tcPr>
            <w:tcW w:w="8680" w:type="dxa"/>
            <w:vAlign w:val="bottom"/>
            <w:tcBorders>
              <w:right w:val="single" w:sz="8" w:color="00548B"/>
            </w:tcBorders>
          </w:tcPr>
          <w:p>
            <w:pPr>
              <w:ind w:left="180"/>
              <w:spacing w:after="0" w:line="181" w:lineRule="exact"/>
              <w:rPr>
                <w:sz w:val="20"/>
                <w:szCs w:val="20"/>
                <w:color w:val="auto"/>
              </w:rPr>
            </w:pPr>
            <w:r>
              <w:rPr>
                <w:rFonts w:ascii="Arial" w:cs="Arial" w:eastAsia="Arial" w:hAnsi="Arial"/>
                <w:sz w:val="16"/>
                <w:szCs w:val="16"/>
                <w:color w:val="auto"/>
              </w:rPr>
              <w:t>An amount in cash equal to one and one-half times the sum of his then current annual base salary and his then current</w:t>
            </w:r>
          </w:p>
        </w:tc>
      </w:tr>
      <w:tr>
        <w:trPr>
          <w:trHeight w:val="186"/>
        </w:trPr>
        <w:tc>
          <w:tcPr>
            <w:tcW w:w="1960" w:type="dxa"/>
            <w:vAlign w:val="bottom"/>
            <w:tcBorders>
              <w:left w:val="single" w:sz="8" w:color="00548B"/>
              <w:right w:val="single" w:sz="8" w:color="999999"/>
            </w:tcBorders>
          </w:tcPr>
          <w:p>
            <w:pPr>
              <w:spacing w:after="0"/>
              <w:rPr>
                <w:sz w:val="16"/>
                <w:szCs w:val="16"/>
                <w:color w:val="auto"/>
              </w:rPr>
            </w:pPr>
          </w:p>
        </w:tc>
        <w:tc>
          <w:tcPr>
            <w:tcW w:w="8680" w:type="dxa"/>
            <w:vAlign w:val="bottom"/>
            <w:tcBorders>
              <w:right w:val="single" w:sz="8" w:color="00548B"/>
            </w:tcBorders>
          </w:tcPr>
          <w:p>
            <w:pPr>
              <w:ind w:left="180"/>
              <w:spacing w:after="0"/>
              <w:rPr>
                <w:sz w:val="20"/>
                <w:szCs w:val="20"/>
                <w:color w:val="auto"/>
              </w:rPr>
            </w:pPr>
            <w:r>
              <w:rPr>
                <w:rFonts w:ascii="Arial" w:cs="Arial" w:eastAsia="Arial" w:hAnsi="Arial"/>
                <w:sz w:val="16"/>
                <w:szCs w:val="16"/>
                <w:color w:val="auto"/>
              </w:rPr>
              <w:t>target bonus; pro rata bonus in the year of termination based on actual results; 18 months’ continuation of medical</w:t>
            </w:r>
          </w:p>
        </w:tc>
      </w:tr>
      <w:tr>
        <w:trPr>
          <w:trHeight w:val="186"/>
        </w:trPr>
        <w:tc>
          <w:tcPr>
            <w:tcW w:w="1960" w:type="dxa"/>
            <w:vAlign w:val="bottom"/>
            <w:tcBorders>
              <w:left w:val="single" w:sz="8" w:color="00548B"/>
              <w:right w:val="single" w:sz="8" w:color="999999"/>
            </w:tcBorders>
          </w:tcPr>
          <w:p>
            <w:pPr>
              <w:spacing w:after="0"/>
              <w:rPr>
                <w:sz w:val="16"/>
                <w:szCs w:val="16"/>
                <w:color w:val="auto"/>
              </w:rPr>
            </w:pPr>
          </w:p>
        </w:tc>
        <w:tc>
          <w:tcPr>
            <w:tcW w:w="8680" w:type="dxa"/>
            <w:vAlign w:val="bottom"/>
            <w:tcBorders>
              <w:right w:val="single" w:sz="8" w:color="00548B"/>
            </w:tcBorders>
          </w:tcPr>
          <w:p>
            <w:pPr>
              <w:ind w:left="180"/>
              <w:spacing w:after="0"/>
              <w:rPr>
                <w:sz w:val="20"/>
                <w:szCs w:val="20"/>
                <w:color w:val="auto"/>
              </w:rPr>
            </w:pPr>
            <w:r>
              <w:rPr>
                <w:rFonts w:ascii="Arial" w:cs="Arial" w:eastAsia="Arial" w:hAnsi="Arial"/>
                <w:sz w:val="16"/>
                <w:szCs w:val="16"/>
                <w:color w:val="auto"/>
              </w:rPr>
              <w:t>insurance; and pro rata vesting of performance stock units that would otherwise have been earned in the performance</w:t>
            </w:r>
          </w:p>
        </w:tc>
      </w:tr>
      <w:tr>
        <w:trPr>
          <w:trHeight w:val="184"/>
        </w:trPr>
        <w:tc>
          <w:tcPr>
            <w:tcW w:w="1960" w:type="dxa"/>
            <w:vAlign w:val="bottom"/>
            <w:tcBorders>
              <w:left w:val="single" w:sz="8" w:color="00548B"/>
              <w:bottom w:val="single" w:sz="8" w:color="999999"/>
              <w:right w:val="single" w:sz="8" w:color="999999"/>
            </w:tcBorders>
          </w:tcPr>
          <w:p>
            <w:pPr>
              <w:spacing w:after="0"/>
              <w:rPr>
                <w:sz w:val="16"/>
                <w:szCs w:val="16"/>
                <w:color w:val="auto"/>
              </w:rPr>
            </w:pPr>
          </w:p>
        </w:tc>
        <w:tc>
          <w:tcPr>
            <w:tcW w:w="8680" w:type="dxa"/>
            <w:vAlign w:val="bottom"/>
            <w:tcBorders>
              <w:bottom w:val="single" w:sz="8" w:color="999999"/>
              <w:right w:val="single" w:sz="8" w:color="00548B"/>
            </w:tcBorders>
          </w:tcPr>
          <w:p>
            <w:pPr>
              <w:ind w:left="180"/>
              <w:spacing w:after="0"/>
              <w:rPr>
                <w:sz w:val="20"/>
                <w:szCs w:val="20"/>
                <w:color w:val="auto"/>
              </w:rPr>
            </w:pPr>
            <w:r>
              <w:rPr>
                <w:rFonts w:ascii="Arial" w:cs="Arial" w:eastAsia="Arial" w:hAnsi="Arial"/>
                <w:sz w:val="16"/>
                <w:szCs w:val="16"/>
                <w:color w:val="auto"/>
              </w:rPr>
              <w:t>period. Severance amounts are payable in a lump sum.</w:t>
            </w:r>
          </w:p>
        </w:tc>
      </w:tr>
      <w:tr>
        <w:trPr>
          <w:trHeight w:val="181"/>
        </w:trPr>
        <w:tc>
          <w:tcPr>
            <w:tcW w:w="1960" w:type="dxa"/>
            <w:vAlign w:val="bottom"/>
            <w:tcBorders>
              <w:left w:val="single" w:sz="8" w:color="00548B"/>
              <w:right w:val="single" w:sz="8" w:color="999999"/>
            </w:tcBorders>
          </w:tcPr>
          <w:p>
            <w:pPr>
              <w:ind w:left="140"/>
              <w:spacing w:after="0" w:line="181" w:lineRule="exact"/>
              <w:rPr>
                <w:sz w:val="20"/>
                <w:szCs w:val="20"/>
                <w:color w:val="auto"/>
              </w:rPr>
            </w:pPr>
            <w:r>
              <w:rPr>
                <w:rFonts w:ascii="Arial" w:cs="Arial" w:eastAsia="Arial" w:hAnsi="Arial"/>
                <w:sz w:val="16"/>
                <w:szCs w:val="16"/>
                <w:color w:val="auto"/>
              </w:rPr>
              <w:t>John D. Kelly</w:t>
            </w:r>
          </w:p>
        </w:tc>
        <w:tc>
          <w:tcPr>
            <w:tcW w:w="8680" w:type="dxa"/>
            <w:vAlign w:val="bottom"/>
            <w:tcBorders>
              <w:right w:val="single" w:sz="8" w:color="00548B"/>
            </w:tcBorders>
          </w:tcPr>
          <w:p>
            <w:pPr>
              <w:ind w:left="180"/>
              <w:spacing w:after="0" w:line="181" w:lineRule="exact"/>
              <w:rPr>
                <w:sz w:val="20"/>
                <w:szCs w:val="20"/>
                <w:color w:val="auto"/>
              </w:rPr>
            </w:pPr>
            <w:r>
              <w:rPr>
                <w:rFonts w:ascii="Arial" w:cs="Arial" w:eastAsia="Arial" w:hAnsi="Arial"/>
                <w:sz w:val="16"/>
                <w:szCs w:val="16"/>
                <w:color w:val="auto"/>
              </w:rPr>
              <w:t>An amount in cash equal to the sum of his then current annual base salary and his then current target bonus; pro rata</w:t>
            </w:r>
          </w:p>
        </w:tc>
      </w:tr>
      <w:tr>
        <w:trPr>
          <w:trHeight w:val="186"/>
        </w:trPr>
        <w:tc>
          <w:tcPr>
            <w:tcW w:w="1960" w:type="dxa"/>
            <w:vAlign w:val="bottom"/>
            <w:tcBorders>
              <w:left w:val="single" w:sz="8" w:color="00548B"/>
              <w:right w:val="single" w:sz="8" w:color="999999"/>
            </w:tcBorders>
          </w:tcPr>
          <w:p>
            <w:pPr>
              <w:spacing w:after="0"/>
              <w:rPr>
                <w:sz w:val="16"/>
                <w:szCs w:val="16"/>
                <w:color w:val="auto"/>
              </w:rPr>
            </w:pPr>
          </w:p>
        </w:tc>
        <w:tc>
          <w:tcPr>
            <w:tcW w:w="8680" w:type="dxa"/>
            <w:vAlign w:val="bottom"/>
            <w:tcBorders>
              <w:right w:val="single" w:sz="8" w:color="00548B"/>
            </w:tcBorders>
          </w:tcPr>
          <w:p>
            <w:pPr>
              <w:ind w:left="180"/>
              <w:spacing w:after="0"/>
              <w:rPr>
                <w:sz w:val="20"/>
                <w:szCs w:val="20"/>
                <w:color w:val="auto"/>
              </w:rPr>
            </w:pPr>
            <w:r>
              <w:rPr>
                <w:rFonts w:ascii="Arial" w:cs="Arial" w:eastAsia="Arial" w:hAnsi="Arial"/>
                <w:sz w:val="16"/>
                <w:szCs w:val="16"/>
                <w:color w:val="auto"/>
              </w:rPr>
              <w:t>bonus in the year of termination based on actual results; 12 months’ continuation of medical insurance; and pro rata</w:t>
            </w:r>
          </w:p>
        </w:tc>
      </w:tr>
      <w:tr>
        <w:trPr>
          <w:trHeight w:val="186"/>
        </w:trPr>
        <w:tc>
          <w:tcPr>
            <w:tcW w:w="1960" w:type="dxa"/>
            <w:vAlign w:val="bottom"/>
            <w:tcBorders>
              <w:left w:val="single" w:sz="8" w:color="00548B"/>
              <w:right w:val="single" w:sz="8" w:color="999999"/>
            </w:tcBorders>
          </w:tcPr>
          <w:p>
            <w:pPr>
              <w:spacing w:after="0"/>
              <w:rPr>
                <w:sz w:val="16"/>
                <w:szCs w:val="16"/>
                <w:color w:val="auto"/>
              </w:rPr>
            </w:pPr>
          </w:p>
        </w:tc>
        <w:tc>
          <w:tcPr>
            <w:tcW w:w="8680" w:type="dxa"/>
            <w:vAlign w:val="bottom"/>
            <w:tcBorders>
              <w:right w:val="single" w:sz="8" w:color="00548B"/>
            </w:tcBorders>
          </w:tcPr>
          <w:p>
            <w:pPr>
              <w:ind w:left="180"/>
              <w:spacing w:after="0"/>
              <w:rPr>
                <w:sz w:val="20"/>
                <w:szCs w:val="20"/>
                <w:color w:val="auto"/>
              </w:rPr>
            </w:pPr>
            <w:r>
              <w:rPr>
                <w:rFonts w:ascii="Arial" w:cs="Arial" w:eastAsia="Arial" w:hAnsi="Arial"/>
                <w:sz w:val="16"/>
                <w:szCs w:val="16"/>
                <w:color w:val="auto"/>
              </w:rPr>
              <w:t>vesting of performance stock units that would otherwise have been earned in the performance period. Severance</w:t>
            </w:r>
          </w:p>
        </w:tc>
      </w:tr>
      <w:tr>
        <w:trPr>
          <w:trHeight w:val="184"/>
        </w:trPr>
        <w:tc>
          <w:tcPr>
            <w:tcW w:w="1960" w:type="dxa"/>
            <w:vAlign w:val="bottom"/>
            <w:tcBorders>
              <w:left w:val="single" w:sz="8" w:color="00548B"/>
              <w:bottom w:val="single" w:sz="8" w:color="999999"/>
              <w:right w:val="single" w:sz="8" w:color="999999"/>
            </w:tcBorders>
          </w:tcPr>
          <w:p>
            <w:pPr>
              <w:spacing w:after="0"/>
              <w:rPr>
                <w:sz w:val="16"/>
                <w:szCs w:val="16"/>
                <w:color w:val="auto"/>
              </w:rPr>
            </w:pPr>
          </w:p>
        </w:tc>
        <w:tc>
          <w:tcPr>
            <w:tcW w:w="8680" w:type="dxa"/>
            <w:vAlign w:val="bottom"/>
            <w:tcBorders>
              <w:bottom w:val="single" w:sz="8" w:color="999999"/>
              <w:right w:val="single" w:sz="8" w:color="00548B"/>
            </w:tcBorders>
          </w:tcPr>
          <w:p>
            <w:pPr>
              <w:ind w:left="180"/>
              <w:spacing w:after="0"/>
              <w:rPr>
                <w:sz w:val="20"/>
                <w:szCs w:val="20"/>
                <w:color w:val="auto"/>
              </w:rPr>
            </w:pPr>
            <w:r>
              <w:rPr>
                <w:rFonts w:ascii="Arial" w:cs="Arial" w:eastAsia="Arial" w:hAnsi="Arial"/>
                <w:sz w:val="16"/>
                <w:szCs w:val="16"/>
                <w:color w:val="auto"/>
              </w:rPr>
              <w:t>amounts are payable in a lump sum.</w:t>
            </w:r>
          </w:p>
        </w:tc>
      </w:tr>
      <w:tr>
        <w:trPr>
          <w:trHeight w:val="181"/>
        </w:trPr>
        <w:tc>
          <w:tcPr>
            <w:tcW w:w="1960" w:type="dxa"/>
            <w:vAlign w:val="bottom"/>
            <w:tcBorders>
              <w:left w:val="single" w:sz="8" w:color="00548B"/>
              <w:right w:val="single" w:sz="8" w:color="999999"/>
            </w:tcBorders>
          </w:tcPr>
          <w:p>
            <w:pPr>
              <w:ind w:left="140"/>
              <w:spacing w:after="0" w:line="181" w:lineRule="exact"/>
              <w:rPr>
                <w:sz w:val="20"/>
                <w:szCs w:val="20"/>
                <w:color w:val="auto"/>
              </w:rPr>
            </w:pPr>
            <w:r>
              <w:rPr>
                <w:rFonts w:ascii="Arial" w:cs="Arial" w:eastAsia="Arial" w:hAnsi="Arial"/>
                <w:sz w:val="16"/>
                <w:szCs w:val="16"/>
                <w:color w:val="auto"/>
              </w:rPr>
              <w:t>Ernest W. Torain, Jr.</w:t>
            </w:r>
          </w:p>
        </w:tc>
        <w:tc>
          <w:tcPr>
            <w:tcW w:w="8680" w:type="dxa"/>
            <w:vAlign w:val="bottom"/>
            <w:tcBorders>
              <w:right w:val="single" w:sz="8" w:color="00548B"/>
            </w:tcBorders>
          </w:tcPr>
          <w:p>
            <w:pPr>
              <w:ind w:left="180"/>
              <w:spacing w:after="0" w:line="181" w:lineRule="exact"/>
              <w:rPr>
                <w:sz w:val="20"/>
                <w:szCs w:val="20"/>
                <w:color w:val="auto"/>
              </w:rPr>
            </w:pPr>
            <w:r>
              <w:rPr>
                <w:rFonts w:ascii="Arial" w:cs="Arial" w:eastAsia="Arial" w:hAnsi="Arial"/>
                <w:sz w:val="16"/>
                <w:szCs w:val="16"/>
                <w:color w:val="auto"/>
              </w:rPr>
              <w:t>An amount in cash equal to the sum of his then current annual base salary and his then current target bonus; pro rata</w:t>
            </w:r>
          </w:p>
        </w:tc>
      </w:tr>
      <w:tr>
        <w:trPr>
          <w:trHeight w:val="186"/>
        </w:trPr>
        <w:tc>
          <w:tcPr>
            <w:tcW w:w="1960" w:type="dxa"/>
            <w:vAlign w:val="bottom"/>
            <w:tcBorders>
              <w:left w:val="single" w:sz="8" w:color="00548B"/>
              <w:right w:val="single" w:sz="8" w:color="999999"/>
            </w:tcBorders>
          </w:tcPr>
          <w:p>
            <w:pPr>
              <w:spacing w:after="0"/>
              <w:rPr>
                <w:sz w:val="16"/>
                <w:szCs w:val="16"/>
                <w:color w:val="auto"/>
              </w:rPr>
            </w:pPr>
          </w:p>
        </w:tc>
        <w:tc>
          <w:tcPr>
            <w:tcW w:w="8680" w:type="dxa"/>
            <w:vAlign w:val="bottom"/>
            <w:tcBorders>
              <w:right w:val="single" w:sz="8" w:color="00548B"/>
            </w:tcBorders>
          </w:tcPr>
          <w:p>
            <w:pPr>
              <w:ind w:left="180"/>
              <w:spacing w:after="0"/>
              <w:rPr>
                <w:sz w:val="20"/>
                <w:szCs w:val="20"/>
                <w:color w:val="auto"/>
              </w:rPr>
            </w:pPr>
            <w:r>
              <w:rPr>
                <w:rFonts w:ascii="Arial" w:cs="Arial" w:eastAsia="Arial" w:hAnsi="Arial"/>
                <w:sz w:val="16"/>
                <w:szCs w:val="16"/>
                <w:color w:val="auto"/>
              </w:rPr>
              <w:t>bonus in the year of termination based on actual results; 12 months’ continuation of medical insurance; and pro rata</w:t>
            </w:r>
          </w:p>
        </w:tc>
      </w:tr>
      <w:tr>
        <w:trPr>
          <w:trHeight w:val="186"/>
        </w:trPr>
        <w:tc>
          <w:tcPr>
            <w:tcW w:w="1960" w:type="dxa"/>
            <w:vAlign w:val="bottom"/>
            <w:tcBorders>
              <w:left w:val="single" w:sz="8" w:color="00548B"/>
              <w:right w:val="single" w:sz="8" w:color="999999"/>
            </w:tcBorders>
          </w:tcPr>
          <w:p>
            <w:pPr>
              <w:spacing w:after="0"/>
              <w:rPr>
                <w:sz w:val="16"/>
                <w:szCs w:val="16"/>
                <w:color w:val="auto"/>
              </w:rPr>
            </w:pPr>
          </w:p>
        </w:tc>
        <w:tc>
          <w:tcPr>
            <w:tcW w:w="8680" w:type="dxa"/>
            <w:vAlign w:val="bottom"/>
            <w:tcBorders>
              <w:right w:val="single" w:sz="8" w:color="00548B"/>
            </w:tcBorders>
          </w:tcPr>
          <w:p>
            <w:pPr>
              <w:ind w:left="180"/>
              <w:spacing w:after="0"/>
              <w:rPr>
                <w:sz w:val="20"/>
                <w:szCs w:val="20"/>
                <w:color w:val="auto"/>
              </w:rPr>
            </w:pPr>
            <w:r>
              <w:rPr>
                <w:rFonts w:ascii="Arial" w:cs="Arial" w:eastAsia="Arial" w:hAnsi="Arial"/>
                <w:sz w:val="16"/>
                <w:szCs w:val="16"/>
                <w:color w:val="auto"/>
              </w:rPr>
              <w:t>vesting of performance stock units that would otherwise have been earned in the performance period. Severance</w:t>
            </w:r>
          </w:p>
        </w:tc>
      </w:tr>
      <w:tr>
        <w:trPr>
          <w:trHeight w:val="184"/>
        </w:trPr>
        <w:tc>
          <w:tcPr>
            <w:tcW w:w="1960" w:type="dxa"/>
            <w:vAlign w:val="bottom"/>
            <w:tcBorders>
              <w:left w:val="single" w:sz="8" w:color="00548B"/>
              <w:bottom w:val="single" w:sz="8" w:color="00548B"/>
              <w:right w:val="single" w:sz="8" w:color="999999"/>
            </w:tcBorders>
          </w:tcPr>
          <w:p>
            <w:pPr>
              <w:spacing w:after="0"/>
              <w:rPr>
                <w:sz w:val="16"/>
                <w:szCs w:val="16"/>
                <w:color w:val="auto"/>
              </w:rPr>
            </w:pPr>
          </w:p>
        </w:tc>
        <w:tc>
          <w:tcPr>
            <w:tcW w:w="8680" w:type="dxa"/>
            <w:vAlign w:val="bottom"/>
            <w:tcBorders>
              <w:bottom w:val="single" w:sz="8" w:color="00548B"/>
              <w:right w:val="single" w:sz="8" w:color="00548B"/>
            </w:tcBorders>
          </w:tcPr>
          <w:p>
            <w:pPr>
              <w:ind w:left="180"/>
              <w:spacing w:after="0"/>
              <w:rPr>
                <w:sz w:val="20"/>
                <w:szCs w:val="20"/>
                <w:color w:val="auto"/>
              </w:rPr>
            </w:pPr>
            <w:r>
              <w:rPr>
                <w:rFonts w:ascii="Arial" w:cs="Arial" w:eastAsia="Arial" w:hAnsi="Arial"/>
                <w:sz w:val="16"/>
                <w:szCs w:val="16"/>
                <w:color w:val="auto"/>
              </w:rPr>
              <w:t>amounts are payable in a lump sum.</w:t>
            </w:r>
          </w:p>
        </w:tc>
      </w:tr>
    </w:tbl>
    <w:p>
      <w:pPr>
        <w:spacing w:after="0" w:line="175"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color w:val="auto"/>
        </w:rPr>
        <w:t>In the event an executive qualifies for an approved retirement and signs a non-compete agreement, he would receive continued vesting of his stock options and restricted stock. There would be no acceleration, but the equity would continue to vest per the schedule as outlined in the grant agreements.</w:t>
      </w:r>
    </w:p>
    <w:p>
      <w:pPr>
        <w:spacing w:after="0" w:line="153"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Termination of Employment Due to Death or Disability</w:t>
      </w:r>
    </w:p>
    <w:p>
      <w:pPr>
        <w:spacing w:after="0" w:line="20" w:lineRule="exact"/>
        <w:rPr>
          <w:sz w:val="20"/>
          <w:szCs w:val="20"/>
          <w:color w:val="auto"/>
        </w:rPr>
      </w:pPr>
    </w:p>
    <w:p>
      <w:pPr>
        <w:jc w:val="both"/>
        <w:ind w:left="200"/>
        <w:spacing w:after="0" w:line="248" w:lineRule="auto"/>
        <w:rPr>
          <w:sz w:val="20"/>
          <w:szCs w:val="20"/>
          <w:color w:val="auto"/>
        </w:rPr>
      </w:pPr>
      <w:r>
        <w:rPr>
          <w:rFonts w:ascii="Arial" w:cs="Arial" w:eastAsia="Arial" w:hAnsi="Arial"/>
          <w:sz w:val="16"/>
          <w:szCs w:val="16"/>
          <w:color w:val="auto"/>
        </w:rPr>
        <w:t>If any of our executives dies or becomes disabled, his estate will receive payment of base salary and a pro rata bonus at target through the date of termination. The executive and/or his eligible dependents shall receive continuation of medical benefits for six months. In addition, unvested time-based equity outstanding will vest and unvested performance-based awards will vest in accordance with the applicable PSU agreement.</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Termination of Employment Due to Termination other than for Resignation for Good Reason or Due to Cause</w:t>
      </w:r>
    </w:p>
    <w:p>
      <w:pPr>
        <w:spacing w:after="0" w:line="20"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color w:val="auto"/>
        </w:rPr>
        <w:t>No severance or benefits are paid if an executive officer is terminated for Cause or resigns other than for Good Reason as defined in the executive’s Senior Management Agreement.</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Termination without Cause or Resignation for Good Reason Related to a Change of Control</w:t>
      </w:r>
    </w:p>
    <w:p>
      <w:pPr>
        <w:spacing w:after="0" w:line="20" w:lineRule="exact"/>
        <w:rPr>
          <w:sz w:val="20"/>
          <w:szCs w:val="20"/>
          <w:color w:val="auto"/>
        </w:rPr>
      </w:pPr>
    </w:p>
    <w:p>
      <w:pPr>
        <w:jc w:val="both"/>
        <w:ind w:left="200"/>
        <w:spacing w:after="0" w:line="248" w:lineRule="auto"/>
        <w:rPr>
          <w:sz w:val="20"/>
          <w:szCs w:val="20"/>
          <w:color w:val="auto"/>
        </w:rPr>
      </w:pPr>
      <w:r>
        <w:rPr>
          <w:rFonts w:ascii="Arial" w:cs="Arial" w:eastAsia="Arial" w:hAnsi="Arial"/>
          <w:sz w:val="16"/>
          <w:szCs w:val="16"/>
          <w:color w:val="auto"/>
        </w:rPr>
        <w:t>If any of our executives with a Senior Management Agreement is terminated without Cause or resigns for Good Reason in conjunction with a Change of Control, as defined in his Senior Management Agreement, upon executing a general release and waiver, the Company is obligated to pay severance and continuation of benefits in varying amounts.</w:t>
      </w:r>
    </w:p>
    <w:p>
      <w:pPr>
        <w:spacing w:after="0" w:line="13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47</w:t>
      </w:r>
    </w:p>
    <w:p>
      <w:pPr>
        <w:sectPr>
          <w:pgSz w:w="11900" w:h="16838" w:orient="portrait"/>
          <w:cols w:equalWidth="0" w:num="1">
            <w:col w:w="11040"/>
          </w:cols>
          <w:pgMar w:left="320" w:top="454" w:right="5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color w:val="auto"/>
        </w:rPr>
        <w:t>The following severance benefits are payable to each of our named executive officers upon termination without Cause or resignation for Good Reason, in the case of a Change of Control, as of December 31, 2021:</w:t>
      </w:r>
    </w:p>
    <w:p>
      <w:pPr>
        <w:spacing w:after="0" w:line="194" w:lineRule="exact"/>
        <w:rPr>
          <w:sz w:val="20"/>
          <w:szCs w:val="20"/>
          <w:color w:val="auto"/>
        </w:rPr>
      </w:pPr>
    </w:p>
    <w:tbl>
      <w:tblPr>
        <w:tblLayout w:type="fixed"/>
        <w:tblInd w:w="330" w:type="dxa"/>
        <w:tblCellMar>
          <w:top w:w="0" w:type="dxa"/>
          <w:left w:w="0" w:type="dxa"/>
          <w:bottom w:w="0" w:type="dxa"/>
          <w:right w:w="0" w:type="dxa"/>
        </w:tblCellMar>
      </w:tblPr>
      <w:tr>
        <w:trPr>
          <w:trHeight w:val="161"/>
        </w:trPr>
        <w:tc>
          <w:tcPr>
            <w:tcW w:w="1960" w:type="dxa"/>
            <w:vAlign w:val="bottom"/>
            <w:tcBorders>
              <w:left w:val="single" w:sz="8" w:color="00548B"/>
              <w:right w:val="single" w:sz="8" w:color="999999"/>
            </w:tcBorders>
            <w:shd w:val="clear" w:color="auto" w:fill="00548B"/>
          </w:tcPr>
          <w:p>
            <w:pPr>
              <w:ind w:left="140"/>
              <w:spacing w:after="0"/>
              <w:rPr>
                <w:sz w:val="20"/>
                <w:szCs w:val="20"/>
                <w:color w:val="auto"/>
              </w:rPr>
            </w:pPr>
            <w:r>
              <w:rPr>
                <w:rFonts w:ascii="Arial" w:cs="Arial" w:eastAsia="Arial" w:hAnsi="Arial"/>
                <w:sz w:val="14"/>
                <w:szCs w:val="14"/>
                <w:b w:val="1"/>
                <w:bCs w:val="1"/>
                <w:color w:val="D8D8D8"/>
              </w:rPr>
              <w:t>Executive</w:t>
            </w:r>
          </w:p>
        </w:tc>
        <w:tc>
          <w:tcPr>
            <w:tcW w:w="8680" w:type="dxa"/>
            <w:vAlign w:val="bottom"/>
            <w:tcBorders>
              <w:right w:val="single" w:sz="8" w:color="00548B"/>
            </w:tcBorders>
            <w:shd w:val="clear" w:color="auto" w:fill="00548B"/>
          </w:tcPr>
          <w:p>
            <w:pPr>
              <w:ind w:left="3740"/>
              <w:spacing w:after="0"/>
              <w:rPr>
                <w:sz w:val="20"/>
                <w:szCs w:val="20"/>
                <w:color w:val="auto"/>
              </w:rPr>
            </w:pPr>
            <w:r>
              <w:rPr>
                <w:rFonts w:ascii="Arial" w:cs="Arial" w:eastAsia="Arial" w:hAnsi="Arial"/>
                <w:sz w:val="14"/>
                <w:szCs w:val="14"/>
                <w:b w:val="1"/>
                <w:bCs w:val="1"/>
                <w:color w:val="D8D8D8"/>
              </w:rPr>
              <w:t>Severance Benefits</w:t>
            </w:r>
          </w:p>
        </w:tc>
      </w:tr>
      <w:tr>
        <w:trPr>
          <w:trHeight w:val="188"/>
        </w:trPr>
        <w:tc>
          <w:tcPr>
            <w:tcW w:w="1960" w:type="dxa"/>
            <w:vAlign w:val="bottom"/>
            <w:tcBorders>
              <w:left w:val="single" w:sz="8" w:color="00548B"/>
              <w:right w:val="single" w:sz="8" w:color="999999"/>
            </w:tcBorders>
          </w:tcPr>
          <w:p>
            <w:pPr>
              <w:ind w:left="140"/>
              <w:spacing w:after="0"/>
              <w:rPr>
                <w:sz w:val="20"/>
                <w:szCs w:val="20"/>
                <w:color w:val="auto"/>
              </w:rPr>
            </w:pPr>
            <w:r>
              <w:rPr>
                <w:rFonts w:ascii="Arial" w:cs="Arial" w:eastAsia="Arial" w:hAnsi="Arial"/>
                <w:sz w:val="16"/>
                <w:szCs w:val="16"/>
                <w:color w:val="auto"/>
              </w:rPr>
              <w:t>James H. Roth</w:t>
            </w:r>
          </w:p>
        </w:tc>
        <w:tc>
          <w:tcPr>
            <w:tcW w:w="8680" w:type="dxa"/>
            <w:vAlign w:val="bottom"/>
            <w:tcBorders>
              <w:right w:val="single" w:sz="8" w:color="00548B"/>
            </w:tcBorders>
          </w:tcPr>
          <w:p>
            <w:pPr>
              <w:ind w:left="180"/>
              <w:spacing w:after="0"/>
              <w:rPr>
                <w:sz w:val="20"/>
                <w:szCs w:val="20"/>
                <w:color w:val="auto"/>
              </w:rPr>
            </w:pPr>
            <w:r>
              <w:rPr>
                <w:rFonts w:ascii="Arial" w:cs="Arial" w:eastAsia="Arial" w:hAnsi="Arial"/>
                <w:sz w:val="16"/>
                <w:szCs w:val="16"/>
                <w:color w:val="auto"/>
              </w:rPr>
              <w:t>An amount in cash equal to two and one-half times the sum of his then current annual base salary and his then current</w:t>
            </w:r>
          </w:p>
        </w:tc>
      </w:tr>
      <w:tr>
        <w:trPr>
          <w:trHeight w:val="186"/>
        </w:trPr>
        <w:tc>
          <w:tcPr>
            <w:tcW w:w="1960" w:type="dxa"/>
            <w:vAlign w:val="bottom"/>
            <w:tcBorders>
              <w:left w:val="single" w:sz="8" w:color="00548B"/>
              <w:right w:val="single" w:sz="8" w:color="999999"/>
            </w:tcBorders>
          </w:tcPr>
          <w:p>
            <w:pPr>
              <w:spacing w:after="0"/>
              <w:rPr>
                <w:sz w:val="16"/>
                <w:szCs w:val="16"/>
                <w:color w:val="auto"/>
              </w:rPr>
            </w:pPr>
          </w:p>
        </w:tc>
        <w:tc>
          <w:tcPr>
            <w:tcW w:w="8680" w:type="dxa"/>
            <w:vAlign w:val="bottom"/>
            <w:tcBorders>
              <w:right w:val="single" w:sz="8" w:color="00548B"/>
            </w:tcBorders>
          </w:tcPr>
          <w:p>
            <w:pPr>
              <w:ind w:left="180"/>
              <w:spacing w:after="0"/>
              <w:rPr>
                <w:sz w:val="20"/>
                <w:szCs w:val="20"/>
                <w:color w:val="auto"/>
              </w:rPr>
            </w:pPr>
            <w:r>
              <w:rPr>
                <w:rFonts w:ascii="Arial" w:cs="Arial" w:eastAsia="Arial" w:hAnsi="Arial"/>
                <w:sz w:val="16"/>
                <w:szCs w:val="16"/>
                <w:color w:val="auto"/>
              </w:rPr>
              <w:t>target bonus, pro rata target bonus in the year of termination, 30 months’ continuation of medical insurance, and</w:t>
            </w:r>
          </w:p>
        </w:tc>
      </w:tr>
      <w:tr>
        <w:trPr>
          <w:trHeight w:val="186"/>
        </w:trPr>
        <w:tc>
          <w:tcPr>
            <w:tcW w:w="1960" w:type="dxa"/>
            <w:vAlign w:val="bottom"/>
            <w:tcBorders>
              <w:left w:val="single" w:sz="8" w:color="00548B"/>
              <w:right w:val="single" w:sz="8" w:color="999999"/>
            </w:tcBorders>
          </w:tcPr>
          <w:p>
            <w:pPr>
              <w:spacing w:after="0"/>
              <w:rPr>
                <w:sz w:val="16"/>
                <w:szCs w:val="16"/>
                <w:color w:val="auto"/>
              </w:rPr>
            </w:pPr>
          </w:p>
        </w:tc>
        <w:tc>
          <w:tcPr>
            <w:tcW w:w="8680" w:type="dxa"/>
            <w:vAlign w:val="bottom"/>
            <w:tcBorders>
              <w:right w:val="single" w:sz="8" w:color="00548B"/>
            </w:tcBorders>
          </w:tcPr>
          <w:p>
            <w:pPr>
              <w:ind w:left="180"/>
              <w:spacing w:after="0"/>
              <w:rPr>
                <w:sz w:val="20"/>
                <w:szCs w:val="20"/>
                <w:color w:val="auto"/>
              </w:rPr>
            </w:pPr>
            <w:r>
              <w:rPr>
                <w:rFonts w:ascii="Arial" w:cs="Arial" w:eastAsia="Arial" w:hAnsi="Arial"/>
                <w:sz w:val="16"/>
                <w:szCs w:val="16"/>
                <w:color w:val="auto"/>
              </w:rPr>
              <w:t>accelerated vesting of all outstanding equity grants that were awarded at or prior to the time of the Change of Control.</w:t>
            </w:r>
          </w:p>
        </w:tc>
      </w:tr>
      <w:tr>
        <w:trPr>
          <w:trHeight w:val="184"/>
        </w:trPr>
        <w:tc>
          <w:tcPr>
            <w:tcW w:w="1960" w:type="dxa"/>
            <w:vAlign w:val="bottom"/>
            <w:tcBorders>
              <w:left w:val="single" w:sz="8" w:color="00548B"/>
              <w:bottom w:val="single" w:sz="8" w:color="999999"/>
              <w:right w:val="single" w:sz="8" w:color="999999"/>
            </w:tcBorders>
          </w:tcPr>
          <w:p>
            <w:pPr>
              <w:spacing w:after="0"/>
              <w:rPr>
                <w:sz w:val="16"/>
                <w:szCs w:val="16"/>
                <w:color w:val="auto"/>
              </w:rPr>
            </w:pPr>
          </w:p>
        </w:tc>
        <w:tc>
          <w:tcPr>
            <w:tcW w:w="8680" w:type="dxa"/>
            <w:vAlign w:val="bottom"/>
            <w:tcBorders>
              <w:bottom w:val="single" w:sz="8" w:color="999999"/>
              <w:right w:val="single" w:sz="8" w:color="00548B"/>
            </w:tcBorders>
          </w:tcPr>
          <w:p>
            <w:pPr>
              <w:ind w:left="180"/>
              <w:spacing w:after="0"/>
              <w:rPr>
                <w:sz w:val="20"/>
                <w:szCs w:val="20"/>
                <w:color w:val="auto"/>
              </w:rPr>
            </w:pPr>
            <w:r>
              <w:rPr>
                <w:rFonts w:ascii="Arial" w:cs="Arial" w:eastAsia="Arial" w:hAnsi="Arial"/>
                <w:sz w:val="16"/>
                <w:szCs w:val="16"/>
                <w:color w:val="auto"/>
              </w:rPr>
              <w:t>Severance amounts are payable in a lump sum.</w:t>
            </w:r>
          </w:p>
        </w:tc>
      </w:tr>
      <w:tr>
        <w:trPr>
          <w:trHeight w:val="181"/>
        </w:trPr>
        <w:tc>
          <w:tcPr>
            <w:tcW w:w="1960" w:type="dxa"/>
            <w:vAlign w:val="bottom"/>
            <w:tcBorders>
              <w:left w:val="single" w:sz="8" w:color="00548B"/>
              <w:right w:val="single" w:sz="8" w:color="999999"/>
            </w:tcBorders>
          </w:tcPr>
          <w:p>
            <w:pPr>
              <w:ind w:left="140"/>
              <w:spacing w:after="0" w:line="181" w:lineRule="exact"/>
              <w:rPr>
                <w:sz w:val="20"/>
                <w:szCs w:val="20"/>
                <w:color w:val="auto"/>
              </w:rPr>
            </w:pPr>
            <w:r>
              <w:rPr>
                <w:rFonts w:ascii="Arial" w:cs="Arial" w:eastAsia="Arial" w:hAnsi="Arial"/>
                <w:sz w:val="16"/>
                <w:szCs w:val="16"/>
                <w:color w:val="auto"/>
              </w:rPr>
              <w:t>C. Mark Hussey</w:t>
            </w:r>
          </w:p>
        </w:tc>
        <w:tc>
          <w:tcPr>
            <w:tcW w:w="8680" w:type="dxa"/>
            <w:vAlign w:val="bottom"/>
            <w:tcBorders>
              <w:right w:val="single" w:sz="8" w:color="00548B"/>
            </w:tcBorders>
          </w:tcPr>
          <w:p>
            <w:pPr>
              <w:ind w:left="180"/>
              <w:spacing w:after="0" w:line="181" w:lineRule="exact"/>
              <w:rPr>
                <w:sz w:val="20"/>
                <w:szCs w:val="20"/>
                <w:color w:val="auto"/>
              </w:rPr>
            </w:pPr>
            <w:r>
              <w:rPr>
                <w:rFonts w:ascii="Arial" w:cs="Arial" w:eastAsia="Arial" w:hAnsi="Arial"/>
                <w:sz w:val="16"/>
                <w:szCs w:val="16"/>
                <w:color w:val="auto"/>
              </w:rPr>
              <w:t>An amount in cash equal to two times the sum of his then current annual base salary and his then current target bonus,</w:t>
            </w:r>
          </w:p>
        </w:tc>
      </w:tr>
      <w:tr>
        <w:trPr>
          <w:trHeight w:val="186"/>
        </w:trPr>
        <w:tc>
          <w:tcPr>
            <w:tcW w:w="1960" w:type="dxa"/>
            <w:vAlign w:val="bottom"/>
            <w:tcBorders>
              <w:left w:val="single" w:sz="8" w:color="00548B"/>
              <w:right w:val="single" w:sz="8" w:color="999999"/>
            </w:tcBorders>
          </w:tcPr>
          <w:p>
            <w:pPr>
              <w:spacing w:after="0"/>
              <w:rPr>
                <w:sz w:val="16"/>
                <w:szCs w:val="16"/>
                <w:color w:val="auto"/>
              </w:rPr>
            </w:pPr>
          </w:p>
        </w:tc>
        <w:tc>
          <w:tcPr>
            <w:tcW w:w="8680" w:type="dxa"/>
            <w:vAlign w:val="bottom"/>
            <w:tcBorders>
              <w:right w:val="single" w:sz="8" w:color="00548B"/>
            </w:tcBorders>
          </w:tcPr>
          <w:p>
            <w:pPr>
              <w:ind w:left="180"/>
              <w:spacing w:after="0"/>
              <w:rPr>
                <w:sz w:val="20"/>
                <w:szCs w:val="20"/>
                <w:color w:val="auto"/>
              </w:rPr>
            </w:pPr>
            <w:r>
              <w:rPr>
                <w:rFonts w:ascii="Arial" w:cs="Arial" w:eastAsia="Arial" w:hAnsi="Arial"/>
                <w:sz w:val="16"/>
                <w:szCs w:val="16"/>
                <w:color w:val="auto"/>
              </w:rPr>
              <w:t>pro rata target bonus in the year of termination, 24 months’ continuation of medical insurance, and accelerated vesting</w:t>
            </w:r>
          </w:p>
        </w:tc>
      </w:tr>
      <w:tr>
        <w:trPr>
          <w:trHeight w:val="186"/>
        </w:trPr>
        <w:tc>
          <w:tcPr>
            <w:tcW w:w="1960" w:type="dxa"/>
            <w:vAlign w:val="bottom"/>
            <w:tcBorders>
              <w:left w:val="single" w:sz="8" w:color="00548B"/>
              <w:right w:val="single" w:sz="8" w:color="999999"/>
            </w:tcBorders>
          </w:tcPr>
          <w:p>
            <w:pPr>
              <w:spacing w:after="0"/>
              <w:rPr>
                <w:sz w:val="16"/>
                <w:szCs w:val="16"/>
                <w:color w:val="auto"/>
              </w:rPr>
            </w:pPr>
          </w:p>
        </w:tc>
        <w:tc>
          <w:tcPr>
            <w:tcW w:w="8680" w:type="dxa"/>
            <w:vAlign w:val="bottom"/>
            <w:tcBorders>
              <w:right w:val="single" w:sz="8" w:color="00548B"/>
            </w:tcBorders>
          </w:tcPr>
          <w:p>
            <w:pPr>
              <w:ind w:left="180"/>
              <w:spacing w:after="0"/>
              <w:rPr>
                <w:sz w:val="20"/>
                <w:szCs w:val="20"/>
                <w:color w:val="auto"/>
              </w:rPr>
            </w:pPr>
            <w:r>
              <w:rPr>
                <w:rFonts w:ascii="Arial" w:cs="Arial" w:eastAsia="Arial" w:hAnsi="Arial"/>
                <w:sz w:val="16"/>
                <w:szCs w:val="16"/>
                <w:color w:val="auto"/>
              </w:rPr>
              <w:t>of all outstanding equity grants that were awarded at or prior to the time of the Change of Control. Severance amounts</w:t>
            </w:r>
          </w:p>
        </w:tc>
      </w:tr>
      <w:tr>
        <w:trPr>
          <w:trHeight w:val="184"/>
        </w:trPr>
        <w:tc>
          <w:tcPr>
            <w:tcW w:w="1960" w:type="dxa"/>
            <w:vAlign w:val="bottom"/>
            <w:tcBorders>
              <w:left w:val="single" w:sz="8" w:color="00548B"/>
              <w:bottom w:val="single" w:sz="8" w:color="999999"/>
              <w:right w:val="single" w:sz="8" w:color="999999"/>
            </w:tcBorders>
          </w:tcPr>
          <w:p>
            <w:pPr>
              <w:spacing w:after="0"/>
              <w:rPr>
                <w:sz w:val="16"/>
                <w:szCs w:val="16"/>
                <w:color w:val="auto"/>
              </w:rPr>
            </w:pPr>
          </w:p>
        </w:tc>
        <w:tc>
          <w:tcPr>
            <w:tcW w:w="8680" w:type="dxa"/>
            <w:vAlign w:val="bottom"/>
            <w:tcBorders>
              <w:bottom w:val="single" w:sz="8" w:color="999999"/>
              <w:right w:val="single" w:sz="8" w:color="00548B"/>
            </w:tcBorders>
          </w:tcPr>
          <w:p>
            <w:pPr>
              <w:ind w:left="180"/>
              <w:spacing w:after="0"/>
              <w:rPr>
                <w:sz w:val="20"/>
                <w:szCs w:val="20"/>
                <w:color w:val="auto"/>
              </w:rPr>
            </w:pPr>
            <w:r>
              <w:rPr>
                <w:rFonts w:ascii="Arial" w:cs="Arial" w:eastAsia="Arial" w:hAnsi="Arial"/>
                <w:sz w:val="16"/>
                <w:szCs w:val="16"/>
                <w:color w:val="auto"/>
              </w:rPr>
              <w:t>are payable in a lump sum.</w:t>
            </w:r>
          </w:p>
        </w:tc>
      </w:tr>
      <w:tr>
        <w:trPr>
          <w:trHeight w:val="181"/>
        </w:trPr>
        <w:tc>
          <w:tcPr>
            <w:tcW w:w="1960" w:type="dxa"/>
            <w:vAlign w:val="bottom"/>
            <w:tcBorders>
              <w:left w:val="single" w:sz="8" w:color="00548B"/>
              <w:right w:val="single" w:sz="8" w:color="999999"/>
            </w:tcBorders>
          </w:tcPr>
          <w:p>
            <w:pPr>
              <w:ind w:left="140"/>
              <w:spacing w:after="0" w:line="181" w:lineRule="exact"/>
              <w:rPr>
                <w:sz w:val="20"/>
                <w:szCs w:val="20"/>
                <w:color w:val="auto"/>
              </w:rPr>
            </w:pPr>
            <w:r>
              <w:rPr>
                <w:rFonts w:ascii="Arial" w:cs="Arial" w:eastAsia="Arial" w:hAnsi="Arial"/>
                <w:sz w:val="16"/>
                <w:szCs w:val="16"/>
                <w:color w:val="auto"/>
              </w:rPr>
              <w:t>John D. Kelly</w:t>
            </w:r>
          </w:p>
        </w:tc>
        <w:tc>
          <w:tcPr>
            <w:tcW w:w="8680" w:type="dxa"/>
            <w:vAlign w:val="bottom"/>
            <w:tcBorders>
              <w:right w:val="single" w:sz="8" w:color="00548B"/>
            </w:tcBorders>
          </w:tcPr>
          <w:p>
            <w:pPr>
              <w:ind w:left="180"/>
              <w:spacing w:after="0" w:line="181" w:lineRule="exact"/>
              <w:rPr>
                <w:sz w:val="20"/>
                <w:szCs w:val="20"/>
                <w:color w:val="auto"/>
              </w:rPr>
            </w:pPr>
            <w:r>
              <w:rPr>
                <w:rFonts w:ascii="Arial" w:cs="Arial" w:eastAsia="Arial" w:hAnsi="Arial"/>
                <w:sz w:val="16"/>
                <w:szCs w:val="16"/>
                <w:color w:val="auto"/>
              </w:rPr>
              <w:t>An amount in cash equal to one and one-half times the sum of his then current annual base salary and his then current</w:t>
            </w:r>
          </w:p>
        </w:tc>
      </w:tr>
      <w:tr>
        <w:trPr>
          <w:trHeight w:val="186"/>
        </w:trPr>
        <w:tc>
          <w:tcPr>
            <w:tcW w:w="1960" w:type="dxa"/>
            <w:vAlign w:val="bottom"/>
            <w:tcBorders>
              <w:left w:val="single" w:sz="8" w:color="00548B"/>
              <w:right w:val="single" w:sz="8" w:color="999999"/>
            </w:tcBorders>
          </w:tcPr>
          <w:p>
            <w:pPr>
              <w:spacing w:after="0"/>
              <w:rPr>
                <w:sz w:val="16"/>
                <w:szCs w:val="16"/>
                <w:color w:val="auto"/>
              </w:rPr>
            </w:pPr>
          </w:p>
        </w:tc>
        <w:tc>
          <w:tcPr>
            <w:tcW w:w="8680" w:type="dxa"/>
            <w:vAlign w:val="bottom"/>
            <w:tcBorders>
              <w:right w:val="single" w:sz="8" w:color="00548B"/>
            </w:tcBorders>
          </w:tcPr>
          <w:p>
            <w:pPr>
              <w:ind w:left="180"/>
              <w:spacing w:after="0"/>
              <w:rPr>
                <w:sz w:val="20"/>
                <w:szCs w:val="20"/>
                <w:color w:val="auto"/>
              </w:rPr>
            </w:pPr>
            <w:r>
              <w:rPr>
                <w:rFonts w:ascii="Arial" w:cs="Arial" w:eastAsia="Arial" w:hAnsi="Arial"/>
                <w:sz w:val="16"/>
                <w:szCs w:val="16"/>
                <w:color w:val="auto"/>
              </w:rPr>
              <w:t>target bonus, pro rata target bonus in the year of termination, 18 months’ continuation of medical insurance, and</w:t>
            </w:r>
          </w:p>
        </w:tc>
      </w:tr>
      <w:tr>
        <w:trPr>
          <w:trHeight w:val="186"/>
        </w:trPr>
        <w:tc>
          <w:tcPr>
            <w:tcW w:w="1960" w:type="dxa"/>
            <w:vAlign w:val="bottom"/>
            <w:tcBorders>
              <w:left w:val="single" w:sz="8" w:color="00548B"/>
              <w:right w:val="single" w:sz="8" w:color="999999"/>
            </w:tcBorders>
          </w:tcPr>
          <w:p>
            <w:pPr>
              <w:spacing w:after="0"/>
              <w:rPr>
                <w:sz w:val="16"/>
                <w:szCs w:val="16"/>
                <w:color w:val="auto"/>
              </w:rPr>
            </w:pPr>
          </w:p>
        </w:tc>
        <w:tc>
          <w:tcPr>
            <w:tcW w:w="8680" w:type="dxa"/>
            <w:vAlign w:val="bottom"/>
            <w:tcBorders>
              <w:right w:val="single" w:sz="8" w:color="00548B"/>
            </w:tcBorders>
          </w:tcPr>
          <w:p>
            <w:pPr>
              <w:ind w:left="180"/>
              <w:spacing w:after="0"/>
              <w:rPr>
                <w:sz w:val="20"/>
                <w:szCs w:val="20"/>
                <w:color w:val="auto"/>
              </w:rPr>
            </w:pPr>
            <w:r>
              <w:rPr>
                <w:rFonts w:ascii="Arial" w:cs="Arial" w:eastAsia="Arial" w:hAnsi="Arial"/>
                <w:sz w:val="16"/>
                <w:szCs w:val="16"/>
                <w:color w:val="auto"/>
              </w:rPr>
              <w:t>accelerated vesting of all outstanding equity grants that were awarded at or prior to the time of the Change of Control.</w:t>
            </w:r>
          </w:p>
        </w:tc>
      </w:tr>
      <w:tr>
        <w:trPr>
          <w:trHeight w:val="184"/>
        </w:trPr>
        <w:tc>
          <w:tcPr>
            <w:tcW w:w="1960" w:type="dxa"/>
            <w:vAlign w:val="bottom"/>
            <w:tcBorders>
              <w:left w:val="single" w:sz="8" w:color="00548B"/>
              <w:bottom w:val="single" w:sz="8" w:color="999999"/>
              <w:right w:val="single" w:sz="8" w:color="999999"/>
            </w:tcBorders>
          </w:tcPr>
          <w:p>
            <w:pPr>
              <w:spacing w:after="0"/>
              <w:rPr>
                <w:sz w:val="16"/>
                <w:szCs w:val="16"/>
                <w:color w:val="auto"/>
              </w:rPr>
            </w:pPr>
          </w:p>
        </w:tc>
        <w:tc>
          <w:tcPr>
            <w:tcW w:w="8680" w:type="dxa"/>
            <w:vAlign w:val="bottom"/>
            <w:tcBorders>
              <w:bottom w:val="single" w:sz="8" w:color="999999"/>
              <w:right w:val="single" w:sz="8" w:color="00548B"/>
            </w:tcBorders>
          </w:tcPr>
          <w:p>
            <w:pPr>
              <w:ind w:left="180"/>
              <w:spacing w:after="0"/>
              <w:rPr>
                <w:sz w:val="20"/>
                <w:szCs w:val="20"/>
                <w:color w:val="auto"/>
              </w:rPr>
            </w:pPr>
            <w:r>
              <w:rPr>
                <w:rFonts w:ascii="Arial" w:cs="Arial" w:eastAsia="Arial" w:hAnsi="Arial"/>
                <w:sz w:val="16"/>
                <w:szCs w:val="16"/>
                <w:color w:val="auto"/>
              </w:rPr>
              <w:t>Severance amounts are payable in a lump sum.</w:t>
            </w:r>
          </w:p>
        </w:tc>
      </w:tr>
      <w:tr>
        <w:trPr>
          <w:trHeight w:val="181"/>
        </w:trPr>
        <w:tc>
          <w:tcPr>
            <w:tcW w:w="1960" w:type="dxa"/>
            <w:vAlign w:val="bottom"/>
            <w:tcBorders>
              <w:left w:val="single" w:sz="8" w:color="00548B"/>
              <w:right w:val="single" w:sz="8" w:color="999999"/>
            </w:tcBorders>
          </w:tcPr>
          <w:p>
            <w:pPr>
              <w:ind w:left="140"/>
              <w:spacing w:after="0" w:line="181" w:lineRule="exact"/>
              <w:rPr>
                <w:sz w:val="20"/>
                <w:szCs w:val="20"/>
                <w:color w:val="auto"/>
              </w:rPr>
            </w:pPr>
            <w:r>
              <w:rPr>
                <w:rFonts w:ascii="Arial" w:cs="Arial" w:eastAsia="Arial" w:hAnsi="Arial"/>
                <w:sz w:val="16"/>
                <w:szCs w:val="16"/>
                <w:color w:val="auto"/>
              </w:rPr>
              <w:t>Ernest W. Torain, Jr.</w:t>
            </w:r>
          </w:p>
        </w:tc>
        <w:tc>
          <w:tcPr>
            <w:tcW w:w="8680" w:type="dxa"/>
            <w:vAlign w:val="bottom"/>
            <w:tcBorders>
              <w:right w:val="single" w:sz="8" w:color="00548B"/>
            </w:tcBorders>
          </w:tcPr>
          <w:p>
            <w:pPr>
              <w:ind w:left="180"/>
              <w:spacing w:after="0" w:line="181" w:lineRule="exact"/>
              <w:rPr>
                <w:sz w:val="20"/>
                <w:szCs w:val="20"/>
                <w:color w:val="auto"/>
              </w:rPr>
            </w:pPr>
            <w:r>
              <w:rPr>
                <w:rFonts w:ascii="Arial" w:cs="Arial" w:eastAsia="Arial" w:hAnsi="Arial"/>
                <w:sz w:val="16"/>
                <w:szCs w:val="16"/>
                <w:color w:val="auto"/>
              </w:rPr>
              <w:t>An amount in cash equal to one and one-half times the sum of his then current annual base salary and his then current</w:t>
            </w:r>
          </w:p>
        </w:tc>
      </w:tr>
      <w:tr>
        <w:trPr>
          <w:trHeight w:val="186"/>
        </w:trPr>
        <w:tc>
          <w:tcPr>
            <w:tcW w:w="1960" w:type="dxa"/>
            <w:vAlign w:val="bottom"/>
            <w:tcBorders>
              <w:left w:val="single" w:sz="8" w:color="00548B"/>
              <w:right w:val="single" w:sz="8" w:color="999999"/>
            </w:tcBorders>
          </w:tcPr>
          <w:p>
            <w:pPr>
              <w:spacing w:after="0"/>
              <w:rPr>
                <w:sz w:val="16"/>
                <w:szCs w:val="16"/>
                <w:color w:val="auto"/>
              </w:rPr>
            </w:pPr>
          </w:p>
        </w:tc>
        <w:tc>
          <w:tcPr>
            <w:tcW w:w="8680" w:type="dxa"/>
            <w:vAlign w:val="bottom"/>
            <w:tcBorders>
              <w:right w:val="single" w:sz="8" w:color="00548B"/>
            </w:tcBorders>
          </w:tcPr>
          <w:p>
            <w:pPr>
              <w:ind w:left="180"/>
              <w:spacing w:after="0"/>
              <w:rPr>
                <w:sz w:val="20"/>
                <w:szCs w:val="20"/>
                <w:color w:val="auto"/>
              </w:rPr>
            </w:pPr>
            <w:r>
              <w:rPr>
                <w:rFonts w:ascii="Arial" w:cs="Arial" w:eastAsia="Arial" w:hAnsi="Arial"/>
                <w:sz w:val="16"/>
                <w:szCs w:val="16"/>
                <w:color w:val="auto"/>
              </w:rPr>
              <w:t>target bonus, pro rata target bonus in the year of termination, 18 months’ continuation of medical insurance, and</w:t>
            </w:r>
          </w:p>
        </w:tc>
      </w:tr>
      <w:tr>
        <w:trPr>
          <w:trHeight w:val="186"/>
        </w:trPr>
        <w:tc>
          <w:tcPr>
            <w:tcW w:w="1960" w:type="dxa"/>
            <w:vAlign w:val="bottom"/>
            <w:tcBorders>
              <w:left w:val="single" w:sz="8" w:color="00548B"/>
              <w:right w:val="single" w:sz="8" w:color="999999"/>
            </w:tcBorders>
          </w:tcPr>
          <w:p>
            <w:pPr>
              <w:spacing w:after="0"/>
              <w:rPr>
                <w:sz w:val="16"/>
                <w:szCs w:val="16"/>
                <w:color w:val="auto"/>
              </w:rPr>
            </w:pPr>
          </w:p>
        </w:tc>
        <w:tc>
          <w:tcPr>
            <w:tcW w:w="8680" w:type="dxa"/>
            <w:vAlign w:val="bottom"/>
            <w:tcBorders>
              <w:right w:val="single" w:sz="8" w:color="00548B"/>
            </w:tcBorders>
          </w:tcPr>
          <w:p>
            <w:pPr>
              <w:ind w:left="180"/>
              <w:spacing w:after="0"/>
              <w:rPr>
                <w:sz w:val="20"/>
                <w:szCs w:val="20"/>
                <w:color w:val="auto"/>
              </w:rPr>
            </w:pPr>
            <w:r>
              <w:rPr>
                <w:rFonts w:ascii="Arial" w:cs="Arial" w:eastAsia="Arial" w:hAnsi="Arial"/>
                <w:sz w:val="16"/>
                <w:szCs w:val="16"/>
                <w:color w:val="auto"/>
              </w:rPr>
              <w:t>accelerated vesting of all outstanding equity grants that were awarded at or prior to the time of the Change of Control.</w:t>
            </w:r>
          </w:p>
        </w:tc>
      </w:tr>
      <w:tr>
        <w:trPr>
          <w:trHeight w:val="184"/>
        </w:trPr>
        <w:tc>
          <w:tcPr>
            <w:tcW w:w="1960" w:type="dxa"/>
            <w:vAlign w:val="bottom"/>
            <w:tcBorders>
              <w:left w:val="single" w:sz="8" w:color="00548B"/>
              <w:bottom w:val="single" w:sz="8" w:color="00548B"/>
              <w:right w:val="single" w:sz="8" w:color="999999"/>
            </w:tcBorders>
          </w:tcPr>
          <w:p>
            <w:pPr>
              <w:spacing w:after="0"/>
              <w:rPr>
                <w:sz w:val="16"/>
                <w:szCs w:val="16"/>
                <w:color w:val="auto"/>
              </w:rPr>
            </w:pPr>
          </w:p>
        </w:tc>
        <w:tc>
          <w:tcPr>
            <w:tcW w:w="8680" w:type="dxa"/>
            <w:vAlign w:val="bottom"/>
            <w:tcBorders>
              <w:bottom w:val="single" w:sz="8" w:color="00548B"/>
              <w:right w:val="single" w:sz="8" w:color="00548B"/>
            </w:tcBorders>
          </w:tcPr>
          <w:p>
            <w:pPr>
              <w:ind w:left="180"/>
              <w:spacing w:after="0"/>
              <w:rPr>
                <w:sz w:val="20"/>
                <w:szCs w:val="20"/>
                <w:color w:val="auto"/>
              </w:rPr>
            </w:pPr>
            <w:r>
              <w:rPr>
                <w:rFonts w:ascii="Arial" w:cs="Arial" w:eastAsia="Arial" w:hAnsi="Arial"/>
                <w:sz w:val="16"/>
                <w:szCs w:val="16"/>
                <w:color w:val="auto"/>
              </w:rPr>
              <w:t>Severance amounts are payable in a lump sum.</w:t>
            </w:r>
          </w:p>
        </w:tc>
      </w:tr>
    </w:tbl>
    <w:p>
      <w:pPr>
        <w:spacing w:after="0" w:line="170"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00548B"/>
        </w:rPr>
        <w:t>Golden Parachute Cutback</w:t>
      </w:r>
    </w:p>
    <w:p>
      <w:pPr>
        <w:spacing w:after="0" w:line="20" w:lineRule="exact"/>
        <w:rPr>
          <w:sz w:val="20"/>
          <w:szCs w:val="20"/>
          <w:color w:val="auto"/>
        </w:rPr>
      </w:pPr>
    </w:p>
    <w:p>
      <w:pPr>
        <w:jc w:val="both"/>
        <w:ind w:left="200"/>
        <w:spacing w:after="0" w:line="246" w:lineRule="auto"/>
        <w:rPr>
          <w:sz w:val="20"/>
          <w:szCs w:val="20"/>
          <w:color w:val="auto"/>
        </w:rPr>
      </w:pPr>
      <w:r>
        <w:rPr>
          <w:rFonts w:ascii="Arial" w:cs="Arial" w:eastAsia="Arial" w:hAnsi="Arial"/>
          <w:sz w:val="16"/>
          <w:szCs w:val="16"/>
          <w:color w:val="auto"/>
        </w:rPr>
        <w:t>All four Senior Management Agreements provide that, if any amount, right or benefit paid or payable to the executive under his Senior Management Agreement or any other plan, program or arrangement would constitute an “excess parachute payment” under Section 280G of the Code, subject to the excise tax imposed by Section 4999 of the Code, then the amount of payments payable to the executive under his Senior Management Agreement will be reduced to the extent necessary so that no portion of such payments is subject to such excise tax.</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P</w:t>
      </w:r>
      <w:r>
        <w:rPr>
          <w:rFonts w:ascii="Arial" w:cs="Arial" w:eastAsia="Arial" w:hAnsi="Arial"/>
          <w:sz w:val="14"/>
          <w:szCs w:val="14"/>
          <w:b w:val="1"/>
          <w:bCs w:val="1"/>
          <w:color w:val="00548B"/>
        </w:rPr>
        <w:t>OTENTIAL</w:t>
      </w:r>
      <w:r>
        <w:rPr>
          <w:rFonts w:ascii="Arial" w:cs="Arial" w:eastAsia="Arial" w:hAnsi="Arial"/>
          <w:sz w:val="18"/>
          <w:szCs w:val="18"/>
          <w:b w:val="1"/>
          <w:bCs w:val="1"/>
          <w:color w:val="00548B"/>
        </w:rPr>
        <w:t xml:space="preserve"> P</w:t>
      </w:r>
      <w:r>
        <w:rPr>
          <w:rFonts w:ascii="Arial" w:cs="Arial" w:eastAsia="Arial" w:hAnsi="Arial"/>
          <w:sz w:val="14"/>
          <w:szCs w:val="14"/>
          <w:b w:val="1"/>
          <w:bCs w:val="1"/>
          <w:color w:val="00548B"/>
        </w:rPr>
        <w:t>AYMENTS UPON</w:t>
      </w:r>
      <w:r>
        <w:rPr>
          <w:rFonts w:ascii="Arial" w:cs="Arial" w:eastAsia="Arial" w:hAnsi="Arial"/>
          <w:sz w:val="18"/>
          <w:szCs w:val="18"/>
          <w:b w:val="1"/>
          <w:bCs w:val="1"/>
          <w:color w:val="00548B"/>
        </w:rPr>
        <w:t xml:space="preserve"> T</w:t>
      </w:r>
      <w:r>
        <w:rPr>
          <w:rFonts w:ascii="Arial" w:cs="Arial" w:eastAsia="Arial" w:hAnsi="Arial"/>
          <w:sz w:val="14"/>
          <w:szCs w:val="14"/>
          <w:b w:val="1"/>
          <w:bCs w:val="1"/>
          <w:color w:val="00548B"/>
        </w:rPr>
        <w:t>ERMINATION OR</w:t>
      </w:r>
      <w:r>
        <w:rPr>
          <w:rFonts w:ascii="Arial" w:cs="Arial" w:eastAsia="Arial" w:hAnsi="Arial"/>
          <w:sz w:val="18"/>
          <w:szCs w:val="18"/>
          <w:b w:val="1"/>
          <w:bCs w:val="1"/>
          <w:color w:val="00548B"/>
        </w:rPr>
        <w:t xml:space="preserve"> C</w:t>
      </w:r>
      <w:r>
        <w:rPr>
          <w:rFonts w:ascii="Arial" w:cs="Arial" w:eastAsia="Arial" w:hAnsi="Arial"/>
          <w:sz w:val="14"/>
          <w:szCs w:val="14"/>
          <w:b w:val="1"/>
          <w:bCs w:val="1"/>
          <w:color w:val="00548B"/>
        </w:rPr>
        <w:t>HANGE OF</w:t>
      </w:r>
      <w:r>
        <w:rPr>
          <w:rFonts w:ascii="Arial" w:cs="Arial" w:eastAsia="Arial" w:hAnsi="Arial"/>
          <w:sz w:val="18"/>
          <w:szCs w:val="18"/>
          <w:b w:val="1"/>
          <w:bCs w:val="1"/>
          <w:color w:val="00548B"/>
        </w:rPr>
        <w:t xml:space="preserve"> C</w:t>
      </w:r>
      <w:r>
        <w:rPr>
          <w:rFonts w:ascii="Arial" w:cs="Arial" w:eastAsia="Arial" w:hAnsi="Arial"/>
          <w:sz w:val="14"/>
          <w:szCs w:val="14"/>
          <w:b w:val="1"/>
          <w:bCs w:val="1"/>
          <w:color w:val="00548B"/>
        </w:rPr>
        <w:t>ONTROL</w:t>
      </w:r>
    </w:p>
    <w:p>
      <w:pPr>
        <w:spacing w:after="0" w:line="17" w:lineRule="exact"/>
        <w:rPr>
          <w:sz w:val="20"/>
          <w:szCs w:val="20"/>
          <w:color w:val="auto"/>
        </w:rPr>
      </w:pPr>
    </w:p>
    <w:p>
      <w:pPr>
        <w:jc w:val="both"/>
        <w:ind w:left="200"/>
        <w:spacing w:after="0" w:line="245" w:lineRule="auto"/>
        <w:rPr>
          <w:sz w:val="20"/>
          <w:szCs w:val="20"/>
          <w:color w:val="auto"/>
        </w:rPr>
      </w:pPr>
      <w:r>
        <w:rPr>
          <w:rFonts w:ascii="Arial" w:cs="Arial" w:eastAsia="Arial" w:hAnsi="Arial"/>
          <w:sz w:val="16"/>
          <w:szCs w:val="16"/>
          <w:color w:val="auto"/>
        </w:rPr>
        <w:t>The estimated amount payable or provided to each named executive officer in each situation is summarized below. These estimates are based on the assumption that the various triggering events occurred on the last day of 2021, along with other material assumptions noted below. The actual amounts that would be paid to a named executive officer upon termination or a change of control can only be determined at the time the actual triggering event occurs. The estimated amount of compensation and benefits described below does not take into account compensation and benefits that a named executive officer has earned prior to the applicable triggering event, such as equity awards that have previously vested in accordance with their terms or vested benefits otherwise payable under our compensation programs.</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48</w:t>
      </w:r>
    </w:p>
    <w:p>
      <w:pPr>
        <w:sectPr>
          <w:pgSz w:w="11900" w:h="16838" w:orient="portrait"/>
          <w:cols w:equalWidth="0" w:num="1">
            <w:col w:w="11040"/>
          </w:cols>
          <w:pgMar w:left="320" w:top="454" w:right="5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200" w:right="20"/>
        <w:spacing w:after="0" w:line="248" w:lineRule="auto"/>
        <w:rPr>
          <w:sz w:val="20"/>
          <w:szCs w:val="20"/>
          <w:color w:val="auto"/>
        </w:rPr>
      </w:pPr>
      <w:r>
        <w:rPr>
          <w:rFonts w:ascii="Arial" w:cs="Arial" w:eastAsia="Arial" w:hAnsi="Arial"/>
          <w:sz w:val="16"/>
          <w:szCs w:val="16"/>
          <w:color w:val="auto"/>
        </w:rPr>
        <w:t>The following table and summary set forth potential payments we would be required to make to our named executive officers upon termination of employment or change of control. The table assumes termination of employment on December 31, 2021 and uses a share price of $49.90, the closing price of our stock on December 31, 2021.</w:t>
      </w:r>
    </w:p>
    <w:p>
      <w:pPr>
        <w:spacing w:after="0" w:line="21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080" w:type="dxa"/>
            <w:vAlign w:val="bottom"/>
            <w:shd w:val="clear" w:color="auto" w:fill="00548B"/>
          </w:tcPr>
          <w:p>
            <w:pPr>
              <w:spacing w:after="0"/>
              <w:rPr>
                <w:sz w:val="14"/>
                <w:szCs w:val="14"/>
                <w:color w:val="auto"/>
              </w:rPr>
            </w:pPr>
          </w:p>
        </w:tc>
        <w:tc>
          <w:tcPr>
            <w:tcW w:w="1500" w:type="dxa"/>
            <w:vAlign w:val="bottom"/>
            <w:shd w:val="clear" w:color="auto" w:fill="00548B"/>
          </w:tcPr>
          <w:p>
            <w:pPr>
              <w:spacing w:after="0"/>
              <w:rPr>
                <w:sz w:val="14"/>
                <w:szCs w:val="14"/>
                <w:color w:val="auto"/>
              </w:rPr>
            </w:pPr>
          </w:p>
        </w:tc>
        <w:tc>
          <w:tcPr>
            <w:tcW w:w="1360" w:type="dxa"/>
            <w:vAlign w:val="bottom"/>
            <w:shd w:val="clear" w:color="auto" w:fill="00548B"/>
          </w:tcPr>
          <w:p>
            <w:pPr>
              <w:jc w:val="center"/>
              <w:ind w:right="61"/>
              <w:spacing w:after="0"/>
              <w:rPr>
                <w:sz w:val="20"/>
                <w:szCs w:val="20"/>
                <w:color w:val="auto"/>
              </w:rPr>
            </w:pPr>
            <w:r>
              <w:rPr>
                <w:rFonts w:ascii="Arial" w:cs="Arial" w:eastAsia="Arial" w:hAnsi="Arial"/>
                <w:sz w:val="14"/>
                <w:szCs w:val="14"/>
                <w:b w:val="1"/>
                <w:bCs w:val="1"/>
                <w:color w:val="D8D8D8"/>
              </w:rPr>
              <w:t>Voluntary</w:t>
            </w:r>
          </w:p>
        </w:tc>
        <w:tc>
          <w:tcPr>
            <w:tcW w:w="2160" w:type="dxa"/>
            <w:vAlign w:val="bottom"/>
            <w:shd w:val="clear" w:color="auto" w:fill="00548B"/>
          </w:tcPr>
          <w:p>
            <w:pPr>
              <w:jc w:val="center"/>
              <w:ind w:right="101"/>
              <w:spacing w:after="0"/>
              <w:rPr>
                <w:sz w:val="20"/>
                <w:szCs w:val="20"/>
                <w:color w:val="auto"/>
              </w:rPr>
            </w:pPr>
            <w:r>
              <w:rPr>
                <w:rFonts w:ascii="Arial" w:cs="Arial" w:eastAsia="Arial" w:hAnsi="Arial"/>
                <w:sz w:val="14"/>
                <w:szCs w:val="14"/>
                <w:b w:val="1"/>
                <w:bCs w:val="1"/>
                <w:color w:val="D8D8D8"/>
              </w:rPr>
              <w:t>Termination without</w:t>
            </w:r>
          </w:p>
        </w:tc>
        <w:tc>
          <w:tcPr>
            <w:tcW w:w="2360" w:type="dxa"/>
            <w:vAlign w:val="bottom"/>
            <w:shd w:val="clear" w:color="auto" w:fill="00548B"/>
          </w:tcPr>
          <w:p>
            <w:pPr>
              <w:spacing w:after="0"/>
              <w:rPr>
                <w:sz w:val="14"/>
                <w:szCs w:val="14"/>
                <w:color w:val="auto"/>
              </w:rPr>
            </w:pPr>
          </w:p>
        </w:tc>
        <w:tc>
          <w:tcPr>
            <w:tcW w:w="2400" w:type="dxa"/>
            <w:vAlign w:val="bottom"/>
            <w:shd w:val="clear" w:color="auto" w:fill="00548B"/>
          </w:tcPr>
          <w:p>
            <w:pPr>
              <w:jc w:val="center"/>
              <w:ind w:left="1"/>
              <w:spacing w:after="0"/>
              <w:rPr>
                <w:sz w:val="20"/>
                <w:szCs w:val="20"/>
                <w:color w:val="auto"/>
              </w:rPr>
            </w:pPr>
            <w:r>
              <w:rPr>
                <w:rFonts w:ascii="Arial" w:cs="Arial" w:eastAsia="Arial" w:hAnsi="Arial"/>
                <w:sz w:val="14"/>
                <w:szCs w:val="14"/>
                <w:b w:val="1"/>
                <w:bCs w:val="1"/>
                <w:color w:val="D8D8D8"/>
              </w:rPr>
              <w:t>Involuntary</w:t>
            </w:r>
          </w:p>
        </w:tc>
      </w:tr>
      <w:tr>
        <w:trPr>
          <w:trHeight w:val="160"/>
        </w:trPr>
        <w:tc>
          <w:tcPr>
            <w:tcW w:w="1080" w:type="dxa"/>
            <w:vAlign w:val="bottom"/>
            <w:shd w:val="clear" w:color="auto" w:fill="00548B"/>
          </w:tcPr>
          <w:p>
            <w:pPr>
              <w:spacing w:after="0"/>
              <w:rPr>
                <w:sz w:val="13"/>
                <w:szCs w:val="13"/>
                <w:color w:val="auto"/>
              </w:rPr>
            </w:pPr>
          </w:p>
        </w:tc>
        <w:tc>
          <w:tcPr>
            <w:tcW w:w="1500" w:type="dxa"/>
            <w:vAlign w:val="bottom"/>
            <w:shd w:val="clear" w:color="auto" w:fill="00548B"/>
          </w:tcPr>
          <w:p>
            <w:pPr>
              <w:spacing w:after="0"/>
              <w:rPr>
                <w:sz w:val="13"/>
                <w:szCs w:val="13"/>
                <w:color w:val="auto"/>
              </w:rPr>
            </w:pPr>
          </w:p>
        </w:tc>
        <w:tc>
          <w:tcPr>
            <w:tcW w:w="1360" w:type="dxa"/>
            <w:vAlign w:val="bottom"/>
            <w:shd w:val="clear" w:color="auto" w:fill="00548B"/>
          </w:tcPr>
          <w:p>
            <w:pPr>
              <w:jc w:val="center"/>
              <w:ind w:right="41"/>
              <w:spacing w:after="0" w:line="159" w:lineRule="exact"/>
              <w:rPr>
                <w:sz w:val="20"/>
                <w:szCs w:val="20"/>
                <w:color w:val="auto"/>
              </w:rPr>
            </w:pPr>
            <w:r>
              <w:rPr>
                <w:rFonts w:ascii="Arial" w:cs="Arial" w:eastAsia="Arial" w:hAnsi="Arial"/>
                <w:sz w:val="14"/>
                <w:szCs w:val="14"/>
                <w:b w:val="1"/>
                <w:bCs w:val="1"/>
                <w:color w:val="D8D8D8"/>
                <w:w w:val="99"/>
              </w:rPr>
              <w:t>Termination/</w:t>
            </w:r>
          </w:p>
        </w:tc>
        <w:tc>
          <w:tcPr>
            <w:tcW w:w="2160" w:type="dxa"/>
            <w:vAlign w:val="bottom"/>
            <w:shd w:val="clear" w:color="auto" w:fill="00548B"/>
          </w:tcPr>
          <w:p>
            <w:pPr>
              <w:jc w:val="center"/>
              <w:ind w:right="101"/>
              <w:spacing w:after="0" w:line="159" w:lineRule="exact"/>
              <w:rPr>
                <w:sz w:val="20"/>
                <w:szCs w:val="20"/>
                <w:color w:val="auto"/>
              </w:rPr>
            </w:pPr>
            <w:r>
              <w:rPr>
                <w:rFonts w:ascii="Arial" w:cs="Arial" w:eastAsia="Arial" w:hAnsi="Arial"/>
                <w:sz w:val="14"/>
                <w:szCs w:val="14"/>
                <w:b w:val="1"/>
                <w:bCs w:val="1"/>
                <w:color w:val="D8D8D8"/>
              </w:rPr>
              <w:t>Cause or resignation</w:t>
            </w:r>
          </w:p>
        </w:tc>
        <w:tc>
          <w:tcPr>
            <w:tcW w:w="2360" w:type="dxa"/>
            <w:vAlign w:val="bottom"/>
            <w:shd w:val="clear" w:color="auto" w:fill="00548B"/>
          </w:tcPr>
          <w:p>
            <w:pPr>
              <w:jc w:val="right"/>
              <w:ind w:right="421"/>
              <w:spacing w:after="0" w:line="159" w:lineRule="exact"/>
              <w:rPr>
                <w:sz w:val="20"/>
                <w:szCs w:val="20"/>
                <w:color w:val="auto"/>
              </w:rPr>
            </w:pPr>
            <w:r>
              <w:rPr>
                <w:rFonts w:ascii="Arial" w:cs="Arial" w:eastAsia="Arial" w:hAnsi="Arial"/>
                <w:sz w:val="14"/>
                <w:szCs w:val="14"/>
                <w:b w:val="1"/>
                <w:bCs w:val="1"/>
                <w:color w:val="D8D8D8"/>
              </w:rPr>
              <w:t>Permanent Disability</w:t>
            </w:r>
          </w:p>
        </w:tc>
        <w:tc>
          <w:tcPr>
            <w:tcW w:w="2400" w:type="dxa"/>
            <w:vAlign w:val="bottom"/>
            <w:shd w:val="clear" w:color="auto" w:fill="00548B"/>
          </w:tcPr>
          <w:p>
            <w:pPr>
              <w:jc w:val="center"/>
              <w:spacing w:after="0" w:line="159" w:lineRule="exact"/>
              <w:rPr>
                <w:sz w:val="20"/>
                <w:szCs w:val="20"/>
                <w:color w:val="auto"/>
              </w:rPr>
            </w:pPr>
            <w:r>
              <w:rPr>
                <w:rFonts w:ascii="Arial" w:cs="Arial" w:eastAsia="Arial" w:hAnsi="Arial"/>
                <w:sz w:val="14"/>
                <w:szCs w:val="14"/>
                <w:b w:val="1"/>
                <w:bCs w:val="1"/>
                <w:color w:val="D8D8D8"/>
              </w:rPr>
              <w:t>Termination Following</w:t>
            </w:r>
          </w:p>
        </w:tc>
      </w:tr>
      <w:tr>
        <w:trPr>
          <w:trHeight w:val="186"/>
        </w:trPr>
        <w:tc>
          <w:tcPr>
            <w:tcW w:w="1080" w:type="dxa"/>
            <w:vAlign w:val="bottom"/>
            <w:shd w:val="clear" w:color="auto" w:fill="00548B"/>
          </w:tcPr>
          <w:p>
            <w:pPr>
              <w:spacing w:after="0"/>
              <w:rPr>
                <w:sz w:val="20"/>
                <w:szCs w:val="20"/>
                <w:color w:val="auto"/>
              </w:rPr>
            </w:pPr>
            <w:r>
              <w:rPr>
                <w:rFonts w:ascii="Arial" w:cs="Arial" w:eastAsia="Arial" w:hAnsi="Arial"/>
                <w:sz w:val="14"/>
                <w:szCs w:val="14"/>
                <w:b w:val="1"/>
                <w:bCs w:val="1"/>
                <w:color w:val="D8D8D8"/>
              </w:rPr>
              <w:t>Name</w:t>
            </w:r>
          </w:p>
        </w:tc>
        <w:tc>
          <w:tcPr>
            <w:tcW w:w="1500" w:type="dxa"/>
            <w:vAlign w:val="bottom"/>
            <w:shd w:val="clear" w:color="auto" w:fill="00548B"/>
          </w:tcPr>
          <w:p>
            <w:pPr>
              <w:ind w:left="540"/>
              <w:spacing w:after="0"/>
              <w:rPr>
                <w:sz w:val="20"/>
                <w:szCs w:val="20"/>
                <w:color w:val="auto"/>
              </w:rPr>
            </w:pPr>
            <w:r>
              <w:rPr>
                <w:rFonts w:ascii="Arial" w:cs="Arial" w:eastAsia="Arial" w:hAnsi="Arial"/>
                <w:sz w:val="14"/>
                <w:szCs w:val="14"/>
                <w:b w:val="1"/>
                <w:bCs w:val="1"/>
                <w:color w:val="D8D8D8"/>
              </w:rPr>
              <w:t>Benefit</w:t>
            </w:r>
          </w:p>
        </w:tc>
        <w:tc>
          <w:tcPr>
            <w:tcW w:w="1360" w:type="dxa"/>
            <w:vAlign w:val="bottom"/>
            <w:shd w:val="clear" w:color="auto" w:fill="00548B"/>
          </w:tcPr>
          <w:p>
            <w:pPr>
              <w:jc w:val="center"/>
              <w:ind w:right="61"/>
              <w:spacing w:after="0"/>
              <w:rPr>
                <w:sz w:val="20"/>
                <w:szCs w:val="20"/>
                <w:color w:val="auto"/>
              </w:rPr>
            </w:pPr>
            <w:r>
              <w:rPr>
                <w:rFonts w:ascii="Arial" w:cs="Arial" w:eastAsia="Arial" w:hAnsi="Arial"/>
                <w:sz w:val="14"/>
                <w:szCs w:val="14"/>
                <w:b w:val="1"/>
                <w:bCs w:val="1"/>
                <w:color w:val="D8D8D8"/>
                <w:w w:val="99"/>
              </w:rPr>
              <w:t>Retirement ($)</w:t>
            </w:r>
          </w:p>
        </w:tc>
        <w:tc>
          <w:tcPr>
            <w:tcW w:w="2160" w:type="dxa"/>
            <w:vAlign w:val="bottom"/>
            <w:shd w:val="clear" w:color="auto" w:fill="00548B"/>
          </w:tcPr>
          <w:p>
            <w:pPr>
              <w:jc w:val="center"/>
              <w:ind w:right="81"/>
              <w:spacing w:after="0"/>
              <w:rPr>
                <w:sz w:val="20"/>
                <w:szCs w:val="20"/>
                <w:color w:val="auto"/>
              </w:rPr>
            </w:pPr>
            <w:r>
              <w:rPr>
                <w:rFonts w:ascii="Arial" w:cs="Arial" w:eastAsia="Arial" w:hAnsi="Arial"/>
                <w:sz w:val="14"/>
                <w:szCs w:val="14"/>
                <w:b w:val="1"/>
                <w:bCs w:val="1"/>
                <w:color w:val="D8D8D8"/>
              </w:rPr>
              <w:t>for Good Reason ($)</w:t>
            </w:r>
          </w:p>
        </w:tc>
        <w:tc>
          <w:tcPr>
            <w:tcW w:w="2360" w:type="dxa"/>
            <w:vAlign w:val="bottom"/>
            <w:shd w:val="clear" w:color="auto" w:fill="00548B"/>
          </w:tcPr>
          <w:p>
            <w:pPr>
              <w:jc w:val="right"/>
              <w:ind w:right="721"/>
              <w:spacing w:after="0"/>
              <w:rPr>
                <w:sz w:val="20"/>
                <w:szCs w:val="20"/>
                <w:color w:val="auto"/>
              </w:rPr>
            </w:pPr>
            <w:r>
              <w:rPr>
                <w:rFonts w:ascii="Arial" w:cs="Arial" w:eastAsia="Arial" w:hAnsi="Arial"/>
                <w:sz w:val="14"/>
                <w:szCs w:val="14"/>
                <w:b w:val="1"/>
                <w:bCs w:val="1"/>
                <w:color w:val="D8D8D8"/>
              </w:rPr>
              <w:t>or Death ($)</w:t>
            </w:r>
          </w:p>
        </w:tc>
        <w:tc>
          <w:tcPr>
            <w:tcW w:w="2400" w:type="dxa"/>
            <w:vAlign w:val="bottom"/>
            <w:shd w:val="clear" w:color="auto" w:fill="00548B"/>
          </w:tcPr>
          <w:p>
            <w:pPr>
              <w:jc w:val="center"/>
              <w:ind w:left="1"/>
              <w:spacing w:after="0"/>
              <w:rPr>
                <w:sz w:val="20"/>
                <w:szCs w:val="20"/>
                <w:color w:val="auto"/>
              </w:rPr>
            </w:pPr>
            <w:r>
              <w:rPr>
                <w:rFonts w:ascii="Arial" w:cs="Arial" w:eastAsia="Arial" w:hAnsi="Arial"/>
                <w:sz w:val="14"/>
                <w:szCs w:val="14"/>
                <w:b w:val="1"/>
                <w:bCs w:val="1"/>
                <w:color w:val="D8D8D8"/>
              </w:rPr>
              <w:t>Change of Control ($)</w:t>
            </w:r>
          </w:p>
        </w:tc>
      </w:tr>
      <w:tr>
        <w:trPr>
          <w:trHeight w:val="188"/>
        </w:trPr>
        <w:tc>
          <w:tcPr>
            <w:tcW w:w="1080" w:type="dxa"/>
            <w:vAlign w:val="bottom"/>
          </w:tcPr>
          <w:p>
            <w:pPr>
              <w:spacing w:after="0"/>
              <w:rPr>
                <w:sz w:val="20"/>
                <w:szCs w:val="20"/>
                <w:color w:val="auto"/>
              </w:rPr>
            </w:pPr>
            <w:r>
              <w:rPr>
                <w:rFonts w:ascii="Arial" w:cs="Arial" w:eastAsia="Arial" w:hAnsi="Arial"/>
                <w:sz w:val="16"/>
                <w:szCs w:val="16"/>
                <w:color w:val="auto"/>
              </w:rPr>
              <w:t>James H.</w:t>
            </w:r>
          </w:p>
        </w:tc>
        <w:tc>
          <w:tcPr>
            <w:tcW w:w="15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400" w:type="dxa"/>
            <w:vAlign w:val="bottom"/>
          </w:tcPr>
          <w:p>
            <w:pPr>
              <w:spacing w:after="0"/>
              <w:rPr>
                <w:sz w:val="16"/>
                <w:szCs w:val="16"/>
                <w:color w:val="auto"/>
              </w:rPr>
            </w:pPr>
          </w:p>
        </w:tc>
      </w:tr>
      <w:tr>
        <w:trPr>
          <w:trHeight w:val="186"/>
        </w:trPr>
        <w:tc>
          <w:tcPr>
            <w:tcW w:w="1080" w:type="dxa"/>
            <w:vAlign w:val="bottom"/>
          </w:tcPr>
          <w:p>
            <w:pPr>
              <w:ind w:left="160"/>
              <w:spacing w:after="0"/>
              <w:rPr>
                <w:sz w:val="20"/>
                <w:szCs w:val="20"/>
                <w:color w:val="auto"/>
              </w:rPr>
            </w:pPr>
            <w:r>
              <w:rPr>
                <w:rFonts w:ascii="Arial" w:cs="Arial" w:eastAsia="Arial" w:hAnsi="Arial"/>
                <w:sz w:val="16"/>
                <w:szCs w:val="16"/>
                <w:color w:val="auto"/>
              </w:rPr>
              <w:t>Roth</w:t>
            </w:r>
          </w:p>
        </w:tc>
        <w:tc>
          <w:tcPr>
            <w:tcW w:w="1500" w:type="dxa"/>
            <w:vAlign w:val="bottom"/>
          </w:tcPr>
          <w:p>
            <w:pPr>
              <w:ind w:left="140"/>
              <w:spacing w:after="0"/>
              <w:rPr>
                <w:sz w:val="20"/>
                <w:szCs w:val="20"/>
                <w:color w:val="auto"/>
              </w:rPr>
            </w:pPr>
            <w:r>
              <w:rPr>
                <w:rFonts w:ascii="Arial" w:cs="Arial" w:eastAsia="Arial" w:hAnsi="Arial"/>
                <w:sz w:val="16"/>
                <w:szCs w:val="16"/>
                <w:color w:val="auto"/>
              </w:rPr>
              <w:t>Salary</w:t>
            </w:r>
          </w:p>
        </w:tc>
        <w:tc>
          <w:tcPr>
            <w:tcW w:w="1360" w:type="dxa"/>
            <w:vAlign w:val="bottom"/>
          </w:tcPr>
          <w:p>
            <w:pPr>
              <w:ind w:left="620"/>
              <w:spacing w:after="0"/>
              <w:rPr>
                <w:sz w:val="20"/>
                <w:szCs w:val="20"/>
                <w:color w:val="auto"/>
              </w:rPr>
            </w:pPr>
            <w:r>
              <w:rPr>
                <w:rFonts w:ascii="Arial" w:cs="Arial" w:eastAsia="Arial" w:hAnsi="Arial"/>
                <w:sz w:val="16"/>
                <w:szCs w:val="16"/>
                <w:color w:val="auto"/>
              </w:rPr>
              <w:t>—</w:t>
            </w:r>
          </w:p>
        </w:tc>
        <w:tc>
          <w:tcPr>
            <w:tcW w:w="2160" w:type="dxa"/>
            <w:vAlign w:val="bottom"/>
          </w:tcPr>
          <w:p>
            <w:pPr>
              <w:jc w:val="right"/>
              <w:ind w:right="701"/>
              <w:spacing w:after="0"/>
              <w:rPr>
                <w:sz w:val="20"/>
                <w:szCs w:val="20"/>
                <w:color w:val="auto"/>
              </w:rPr>
            </w:pPr>
            <w:r>
              <w:rPr>
                <w:rFonts w:ascii="Arial" w:cs="Arial" w:eastAsia="Arial" w:hAnsi="Arial"/>
                <w:sz w:val="16"/>
                <w:szCs w:val="16"/>
                <w:color w:val="auto"/>
              </w:rPr>
              <w:t>1,900,000</w:t>
            </w:r>
          </w:p>
        </w:tc>
        <w:tc>
          <w:tcPr>
            <w:tcW w:w="2360" w:type="dxa"/>
            <w:vAlign w:val="bottom"/>
          </w:tcPr>
          <w:p>
            <w:pPr>
              <w:jc w:val="right"/>
              <w:ind w:right="741"/>
              <w:spacing w:after="0"/>
              <w:rPr>
                <w:sz w:val="20"/>
                <w:szCs w:val="20"/>
                <w:color w:val="auto"/>
              </w:rPr>
            </w:pPr>
            <w:r>
              <w:rPr>
                <w:rFonts w:ascii="Arial" w:cs="Arial" w:eastAsia="Arial" w:hAnsi="Arial"/>
                <w:sz w:val="16"/>
                <w:szCs w:val="16"/>
                <w:color w:val="auto"/>
              </w:rPr>
              <w:t>—</w:t>
            </w:r>
          </w:p>
        </w:tc>
        <w:tc>
          <w:tcPr>
            <w:tcW w:w="2400" w:type="dxa"/>
            <w:vAlign w:val="bottom"/>
          </w:tcPr>
          <w:p>
            <w:pPr>
              <w:jc w:val="right"/>
              <w:ind w:right="641"/>
              <w:spacing w:after="0"/>
              <w:rPr>
                <w:sz w:val="20"/>
                <w:szCs w:val="20"/>
                <w:color w:val="auto"/>
              </w:rPr>
            </w:pPr>
            <w:r>
              <w:rPr>
                <w:rFonts w:ascii="Arial" w:cs="Arial" w:eastAsia="Arial" w:hAnsi="Arial"/>
                <w:sz w:val="16"/>
                <w:szCs w:val="16"/>
                <w:color w:val="auto"/>
              </w:rPr>
              <w:t>2,375,000</w:t>
            </w:r>
          </w:p>
        </w:tc>
      </w:tr>
      <w:tr>
        <w:trPr>
          <w:trHeight w:val="186"/>
        </w:trPr>
        <w:tc>
          <w:tcPr>
            <w:tcW w:w="1080" w:type="dxa"/>
            <w:vAlign w:val="bottom"/>
          </w:tcPr>
          <w:p>
            <w:pPr>
              <w:spacing w:after="0"/>
              <w:rPr>
                <w:sz w:val="16"/>
                <w:szCs w:val="16"/>
                <w:color w:val="auto"/>
              </w:rPr>
            </w:pPr>
          </w:p>
        </w:tc>
        <w:tc>
          <w:tcPr>
            <w:tcW w:w="1500" w:type="dxa"/>
            <w:vAlign w:val="bottom"/>
          </w:tcPr>
          <w:p>
            <w:pPr>
              <w:ind w:left="140"/>
              <w:spacing w:after="0"/>
              <w:rPr>
                <w:sz w:val="20"/>
                <w:szCs w:val="20"/>
                <w:color w:val="auto"/>
              </w:rPr>
            </w:pPr>
            <w:r>
              <w:rPr>
                <w:rFonts w:ascii="Arial" w:cs="Arial" w:eastAsia="Arial" w:hAnsi="Arial"/>
                <w:sz w:val="16"/>
                <w:szCs w:val="16"/>
                <w:color w:val="auto"/>
              </w:rPr>
              <w:t>Bonus</w:t>
            </w:r>
          </w:p>
        </w:tc>
        <w:tc>
          <w:tcPr>
            <w:tcW w:w="1360" w:type="dxa"/>
            <w:vAlign w:val="bottom"/>
          </w:tcPr>
          <w:p>
            <w:pPr>
              <w:ind w:left="620"/>
              <w:spacing w:after="0"/>
              <w:rPr>
                <w:sz w:val="20"/>
                <w:szCs w:val="20"/>
                <w:color w:val="auto"/>
              </w:rPr>
            </w:pPr>
            <w:r>
              <w:rPr>
                <w:rFonts w:ascii="Arial" w:cs="Arial" w:eastAsia="Arial" w:hAnsi="Arial"/>
                <w:sz w:val="16"/>
                <w:szCs w:val="16"/>
                <w:color w:val="auto"/>
              </w:rPr>
              <w:t>—</w:t>
            </w:r>
          </w:p>
        </w:tc>
        <w:tc>
          <w:tcPr>
            <w:tcW w:w="2160" w:type="dxa"/>
            <w:vAlign w:val="bottom"/>
          </w:tcPr>
          <w:p>
            <w:pPr>
              <w:jc w:val="right"/>
              <w:ind w:right="701"/>
              <w:spacing w:after="0"/>
              <w:rPr>
                <w:sz w:val="20"/>
                <w:szCs w:val="20"/>
                <w:color w:val="auto"/>
              </w:rPr>
            </w:pPr>
            <w:r>
              <w:rPr>
                <w:rFonts w:ascii="Arial" w:cs="Arial" w:eastAsia="Arial" w:hAnsi="Arial"/>
                <w:sz w:val="16"/>
                <w:szCs w:val="16"/>
                <w:color w:val="auto"/>
              </w:rPr>
              <w:t>2,660,000</w:t>
            </w:r>
          </w:p>
        </w:tc>
        <w:tc>
          <w:tcPr>
            <w:tcW w:w="2360" w:type="dxa"/>
            <w:vAlign w:val="bottom"/>
          </w:tcPr>
          <w:p>
            <w:pPr>
              <w:jc w:val="right"/>
              <w:ind w:right="741"/>
              <w:spacing w:after="0"/>
              <w:rPr>
                <w:sz w:val="20"/>
                <w:szCs w:val="20"/>
                <w:color w:val="auto"/>
              </w:rPr>
            </w:pPr>
            <w:r>
              <w:rPr>
                <w:rFonts w:ascii="Arial" w:cs="Arial" w:eastAsia="Arial" w:hAnsi="Arial"/>
                <w:sz w:val="16"/>
                <w:szCs w:val="16"/>
                <w:color w:val="auto"/>
              </w:rPr>
              <w:t>—</w:t>
            </w:r>
          </w:p>
        </w:tc>
        <w:tc>
          <w:tcPr>
            <w:tcW w:w="2400" w:type="dxa"/>
            <w:vAlign w:val="bottom"/>
          </w:tcPr>
          <w:p>
            <w:pPr>
              <w:jc w:val="right"/>
              <w:ind w:right="641"/>
              <w:spacing w:after="0"/>
              <w:rPr>
                <w:sz w:val="20"/>
                <w:szCs w:val="20"/>
                <w:color w:val="auto"/>
              </w:rPr>
            </w:pPr>
            <w:r>
              <w:rPr>
                <w:rFonts w:ascii="Arial" w:cs="Arial" w:eastAsia="Arial" w:hAnsi="Arial"/>
                <w:sz w:val="16"/>
                <w:szCs w:val="16"/>
                <w:color w:val="auto"/>
              </w:rPr>
              <w:t>3,325,000</w:t>
            </w:r>
          </w:p>
        </w:tc>
      </w:tr>
      <w:tr>
        <w:trPr>
          <w:trHeight w:val="186"/>
        </w:trPr>
        <w:tc>
          <w:tcPr>
            <w:tcW w:w="1080" w:type="dxa"/>
            <w:vAlign w:val="bottom"/>
          </w:tcPr>
          <w:p>
            <w:pPr>
              <w:spacing w:after="0"/>
              <w:rPr>
                <w:sz w:val="16"/>
                <w:szCs w:val="16"/>
                <w:color w:val="auto"/>
              </w:rPr>
            </w:pPr>
          </w:p>
        </w:tc>
        <w:tc>
          <w:tcPr>
            <w:tcW w:w="1500" w:type="dxa"/>
            <w:vAlign w:val="bottom"/>
          </w:tcPr>
          <w:p>
            <w:pPr>
              <w:ind w:left="140"/>
              <w:spacing w:after="0"/>
              <w:rPr>
                <w:sz w:val="20"/>
                <w:szCs w:val="20"/>
                <w:color w:val="auto"/>
              </w:rPr>
            </w:pPr>
            <w:r>
              <w:rPr>
                <w:rFonts w:ascii="Arial" w:cs="Arial" w:eastAsia="Arial" w:hAnsi="Arial"/>
                <w:sz w:val="16"/>
                <w:szCs w:val="16"/>
                <w:color w:val="auto"/>
              </w:rPr>
              <w:t>Pro rata annual</w:t>
            </w:r>
          </w:p>
        </w:tc>
        <w:tc>
          <w:tcPr>
            <w:tcW w:w="13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400" w:type="dxa"/>
            <w:vAlign w:val="bottom"/>
          </w:tcPr>
          <w:p>
            <w:pPr>
              <w:spacing w:after="0"/>
              <w:rPr>
                <w:sz w:val="16"/>
                <w:szCs w:val="16"/>
                <w:color w:val="auto"/>
              </w:rPr>
            </w:pPr>
          </w:p>
        </w:tc>
      </w:tr>
      <w:tr>
        <w:trPr>
          <w:trHeight w:val="186"/>
        </w:trPr>
        <w:tc>
          <w:tcPr>
            <w:tcW w:w="1080" w:type="dxa"/>
            <w:vAlign w:val="bottom"/>
          </w:tcPr>
          <w:p>
            <w:pPr>
              <w:spacing w:after="0"/>
              <w:rPr>
                <w:sz w:val="16"/>
                <w:szCs w:val="16"/>
                <w:color w:val="auto"/>
              </w:rPr>
            </w:pPr>
          </w:p>
        </w:tc>
        <w:tc>
          <w:tcPr>
            <w:tcW w:w="1500" w:type="dxa"/>
            <w:vAlign w:val="bottom"/>
          </w:tcPr>
          <w:p>
            <w:pPr>
              <w:ind w:left="140"/>
              <w:spacing w:after="0"/>
              <w:rPr>
                <w:sz w:val="20"/>
                <w:szCs w:val="20"/>
                <w:color w:val="auto"/>
              </w:rPr>
            </w:pPr>
            <w:r>
              <w:rPr>
                <w:rFonts w:ascii="Arial" w:cs="Arial" w:eastAsia="Arial" w:hAnsi="Arial"/>
                <w:sz w:val="16"/>
                <w:szCs w:val="16"/>
                <w:color w:val="auto"/>
              </w:rPr>
              <w:t>bonus (1)</w:t>
            </w:r>
          </w:p>
        </w:tc>
        <w:tc>
          <w:tcPr>
            <w:tcW w:w="1360" w:type="dxa"/>
            <w:vAlign w:val="bottom"/>
          </w:tcPr>
          <w:p>
            <w:pPr>
              <w:ind w:left="620"/>
              <w:spacing w:after="0"/>
              <w:rPr>
                <w:sz w:val="20"/>
                <w:szCs w:val="20"/>
                <w:color w:val="auto"/>
              </w:rPr>
            </w:pPr>
            <w:r>
              <w:rPr>
                <w:rFonts w:ascii="Arial" w:cs="Arial" w:eastAsia="Arial" w:hAnsi="Arial"/>
                <w:sz w:val="16"/>
                <w:szCs w:val="16"/>
                <w:color w:val="auto"/>
              </w:rPr>
              <w:t>—</w:t>
            </w:r>
          </w:p>
        </w:tc>
        <w:tc>
          <w:tcPr>
            <w:tcW w:w="2160" w:type="dxa"/>
            <w:vAlign w:val="bottom"/>
          </w:tcPr>
          <w:p>
            <w:pPr>
              <w:jc w:val="right"/>
              <w:ind w:right="701"/>
              <w:spacing w:after="0"/>
              <w:rPr>
                <w:sz w:val="20"/>
                <w:szCs w:val="20"/>
                <w:color w:val="auto"/>
              </w:rPr>
            </w:pPr>
            <w:r>
              <w:rPr>
                <w:rFonts w:ascii="Arial" w:cs="Arial" w:eastAsia="Arial" w:hAnsi="Arial"/>
                <w:sz w:val="16"/>
                <w:szCs w:val="16"/>
                <w:color w:val="auto"/>
              </w:rPr>
              <w:t>—</w:t>
            </w:r>
          </w:p>
        </w:tc>
        <w:tc>
          <w:tcPr>
            <w:tcW w:w="2360" w:type="dxa"/>
            <w:vAlign w:val="bottom"/>
          </w:tcPr>
          <w:p>
            <w:pPr>
              <w:jc w:val="right"/>
              <w:ind w:right="741"/>
              <w:spacing w:after="0"/>
              <w:rPr>
                <w:sz w:val="20"/>
                <w:szCs w:val="20"/>
                <w:color w:val="auto"/>
              </w:rPr>
            </w:pPr>
            <w:r>
              <w:rPr>
                <w:rFonts w:ascii="Arial" w:cs="Arial" w:eastAsia="Arial" w:hAnsi="Arial"/>
                <w:sz w:val="16"/>
                <w:szCs w:val="16"/>
                <w:color w:val="auto"/>
              </w:rPr>
              <w:t>1,330,000</w:t>
            </w:r>
          </w:p>
        </w:tc>
        <w:tc>
          <w:tcPr>
            <w:tcW w:w="2400" w:type="dxa"/>
            <w:vAlign w:val="bottom"/>
          </w:tcPr>
          <w:p>
            <w:pPr>
              <w:jc w:val="right"/>
              <w:ind w:right="641"/>
              <w:spacing w:after="0"/>
              <w:rPr>
                <w:sz w:val="20"/>
                <w:szCs w:val="20"/>
                <w:color w:val="auto"/>
              </w:rPr>
            </w:pPr>
            <w:r>
              <w:rPr>
                <w:rFonts w:ascii="Arial" w:cs="Arial" w:eastAsia="Arial" w:hAnsi="Arial"/>
                <w:sz w:val="16"/>
                <w:szCs w:val="16"/>
                <w:color w:val="auto"/>
              </w:rPr>
              <w:t>1,330,000</w:t>
            </w:r>
          </w:p>
        </w:tc>
      </w:tr>
      <w:tr>
        <w:trPr>
          <w:trHeight w:val="186"/>
        </w:trPr>
        <w:tc>
          <w:tcPr>
            <w:tcW w:w="1080" w:type="dxa"/>
            <w:vAlign w:val="bottom"/>
          </w:tcPr>
          <w:p>
            <w:pPr>
              <w:spacing w:after="0"/>
              <w:rPr>
                <w:sz w:val="16"/>
                <w:szCs w:val="16"/>
                <w:color w:val="auto"/>
              </w:rPr>
            </w:pPr>
          </w:p>
        </w:tc>
        <w:tc>
          <w:tcPr>
            <w:tcW w:w="1500" w:type="dxa"/>
            <w:vAlign w:val="bottom"/>
          </w:tcPr>
          <w:p>
            <w:pPr>
              <w:ind w:left="140"/>
              <w:spacing w:after="0"/>
              <w:rPr>
                <w:sz w:val="20"/>
                <w:szCs w:val="20"/>
                <w:color w:val="auto"/>
              </w:rPr>
            </w:pPr>
            <w:r>
              <w:rPr>
                <w:rFonts w:ascii="Arial" w:cs="Arial" w:eastAsia="Arial" w:hAnsi="Arial"/>
                <w:sz w:val="16"/>
                <w:szCs w:val="16"/>
                <w:color w:val="auto"/>
              </w:rPr>
              <w:t>Pro rata retention</w:t>
            </w:r>
          </w:p>
        </w:tc>
        <w:tc>
          <w:tcPr>
            <w:tcW w:w="13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400" w:type="dxa"/>
            <w:vAlign w:val="bottom"/>
          </w:tcPr>
          <w:p>
            <w:pPr>
              <w:spacing w:after="0"/>
              <w:rPr>
                <w:sz w:val="16"/>
                <w:szCs w:val="16"/>
                <w:color w:val="auto"/>
              </w:rPr>
            </w:pPr>
          </w:p>
        </w:tc>
      </w:tr>
      <w:tr>
        <w:trPr>
          <w:trHeight w:val="186"/>
        </w:trPr>
        <w:tc>
          <w:tcPr>
            <w:tcW w:w="1080" w:type="dxa"/>
            <w:vAlign w:val="bottom"/>
          </w:tcPr>
          <w:p>
            <w:pPr>
              <w:spacing w:after="0"/>
              <w:rPr>
                <w:sz w:val="16"/>
                <w:szCs w:val="16"/>
                <w:color w:val="auto"/>
              </w:rPr>
            </w:pPr>
          </w:p>
        </w:tc>
        <w:tc>
          <w:tcPr>
            <w:tcW w:w="1500" w:type="dxa"/>
            <w:vAlign w:val="bottom"/>
          </w:tcPr>
          <w:p>
            <w:pPr>
              <w:ind w:left="140"/>
              <w:spacing w:after="0"/>
              <w:rPr>
                <w:sz w:val="20"/>
                <w:szCs w:val="20"/>
                <w:color w:val="auto"/>
              </w:rPr>
            </w:pPr>
            <w:r>
              <w:rPr>
                <w:rFonts w:ascii="Arial" w:cs="Arial" w:eastAsia="Arial" w:hAnsi="Arial"/>
                <w:sz w:val="16"/>
                <w:szCs w:val="16"/>
                <w:color w:val="auto"/>
              </w:rPr>
              <w:t>bonus (2)</w:t>
            </w:r>
          </w:p>
        </w:tc>
        <w:tc>
          <w:tcPr>
            <w:tcW w:w="1360" w:type="dxa"/>
            <w:vAlign w:val="bottom"/>
          </w:tcPr>
          <w:p>
            <w:pPr>
              <w:ind w:left="620"/>
              <w:spacing w:after="0"/>
              <w:rPr>
                <w:sz w:val="20"/>
                <w:szCs w:val="20"/>
                <w:color w:val="auto"/>
              </w:rPr>
            </w:pPr>
            <w:r>
              <w:rPr>
                <w:rFonts w:ascii="Arial" w:cs="Arial" w:eastAsia="Arial" w:hAnsi="Arial"/>
                <w:sz w:val="16"/>
                <w:szCs w:val="16"/>
                <w:color w:val="auto"/>
              </w:rPr>
              <w:t>—</w:t>
            </w:r>
          </w:p>
        </w:tc>
        <w:tc>
          <w:tcPr>
            <w:tcW w:w="2160" w:type="dxa"/>
            <w:vAlign w:val="bottom"/>
          </w:tcPr>
          <w:p>
            <w:pPr>
              <w:jc w:val="right"/>
              <w:ind w:right="701"/>
              <w:spacing w:after="0"/>
              <w:rPr>
                <w:sz w:val="20"/>
                <w:szCs w:val="20"/>
                <w:color w:val="auto"/>
              </w:rPr>
            </w:pPr>
            <w:r>
              <w:rPr>
                <w:rFonts w:ascii="Arial" w:cs="Arial" w:eastAsia="Arial" w:hAnsi="Arial"/>
                <w:sz w:val="16"/>
                <w:szCs w:val="16"/>
                <w:color w:val="auto"/>
              </w:rPr>
              <w:t>616,420</w:t>
            </w:r>
          </w:p>
        </w:tc>
        <w:tc>
          <w:tcPr>
            <w:tcW w:w="2360" w:type="dxa"/>
            <w:vAlign w:val="bottom"/>
          </w:tcPr>
          <w:p>
            <w:pPr>
              <w:jc w:val="right"/>
              <w:ind w:right="741"/>
              <w:spacing w:after="0"/>
              <w:rPr>
                <w:sz w:val="20"/>
                <w:szCs w:val="20"/>
                <w:color w:val="auto"/>
              </w:rPr>
            </w:pPr>
            <w:r>
              <w:rPr>
                <w:rFonts w:ascii="Arial" w:cs="Arial" w:eastAsia="Arial" w:hAnsi="Arial"/>
                <w:sz w:val="16"/>
                <w:szCs w:val="16"/>
                <w:color w:val="auto"/>
              </w:rPr>
              <w:t>616,420</w:t>
            </w:r>
          </w:p>
        </w:tc>
        <w:tc>
          <w:tcPr>
            <w:tcW w:w="2400" w:type="dxa"/>
            <w:vAlign w:val="bottom"/>
          </w:tcPr>
          <w:p>
            <w:pPr>
              <w:jc w:val="right"/>
              <w:ind w:right="641"/>
              <w:spacing w:after="0"/>
              <w:rPr>
                <w:sz w:val="20"/>
                <w:szCs w:val="20"/>
                <w:color w:val="auto"/>
              </w:rPr>
            </w:pPr>
            <w:r>
              <w:rPr>
                <w:rFonts w:ascii="Arial" w:cs="Arial" w:eastAsia="Arial" w:hAnsi="Arial"/>
                <w:sz w:val="16"/>
                <w:szCs w:val="16"/>
                <w:color w:val="auto"/>
              </w:rPr>
              <w:t>616,420</w:t>
            </w:r>
          </w:p>
        </w:tc>
      </w:tr>
      <w:tr>
        <w:trPr>
          <w:trHeight w:val="186"/>
        </w:trPr>
        <w:tc>
          <w:tcPr>
            <w:tcW w:w="1080" w:type="dxa"/>
            <w:vAlign w:val="bottom"/>
          </w:tcPr>
          <w:p>
            <w:pPr>
              <w:spacing w:after="0"/>
              <w:rPr>
                <w:sz w:val="16"/>
                <w:szCs w:val="16"/>
                <w:color w:val="auto"/>
              </w:rPr>
            </w:pPr>
          </w:p>
        </w:tc>
        <w:tc>
          <w:tcPr>
            <w:tcW w:w="1500" w:type="dxa"/>
            <w:vAlign w:val="bottom"/>
          </w:tcPr>
          <w:p>
            <w:pPr>
              <w:ind w:left="140"/>
              <w:spacing w:after="0"/>
              <w:rPr>
                <w:sz w:val="20"/>
                <w:szCs w:val="20"/>
                <w:color w:val="auto"/>
              </w:rPr>
            </w:pPr>
            <w:r>
              <w:rPr>
                <w:rFonts w:ascii="Arial" w:cs="Arial" w:eastAsia="Arial" w:hAnsi="Arial"/>
                <w:sz w:val="16"/>
                <w:szCs w:val="16"/>
                <w:color w:val="auto"/>
              </w:rPr>
              <w:t>Equity</w:t>
            </w:r>
          </w:p>
        </w:tc>
        <w:tc>
          <w:tcPr>
            <w:tcW w:w="13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400" w:type="dxa"/>
            <w:vAlign w:val="bottom"/>
          </w:tcPr>
          <w:p>
            <w:pPr>
              <w:spacing w:after="0"/>
              <w:rPr>
                <w:sz w:val="16"/>
                <w:szCs w:val="16"/>
                <w:color w:val="auto"/>
              </w:rPr>
            </w:pPr>
          </w:p>
        </w:tc>
      </w:tr>
      <w:tr>
        <w:trPr>
          <w:trHeight w:val="186"/>
        </w:trPr>
        <w:tc>
          <w:tcPr>
            <w:tcW w:w="1080" w:type="dxa"/>
            <w:vAlign w:val="bottom"/>
          </w:tcPr>
          <w:p>
            <w:pPr>
              <w:spacing w:after="0"/>
              <w:rPr>
                <w:sz w:val="16"/>
                <w:szCs w:val="16"/>
                <w:color w:val="auto"/>
              </w:rPr>
            </w:pPr>
          </w:p>
        </w:tc>
        <w:tc>
          <w:tcPr>
            <w:tcW w:w="1500" w:type="dxa"/>
            <w:vAlign w:val="bottom"/>
          </w:tcPr>
          <w:p>
            <w:pPr>
              <w:ind w:left="140"/>
              <w:spacing w:after="0"/>
              <w:rPr>
                <w:sz w:val="20"/>
                <w:szCs w:val="20"/>
                <w:color w:val="auto"/>
              </w:rPr>
            </w:pPr>
            <w:r>
              <w:rPr>
                <w:rFonts w:ascii="Arial" w:cs="Arial" w:eastAsia="Arial" w:hAnsi="Arial"/>
                <w:sz w:val="16"/>
                <w:szCs w:val="16"/>
                <w:color w:val="auto"/>
              </w:rPr>
              <w:t>acceleration (3)</w:t>
            </w:r>
          </w:p>
        </w:tc>
        <w:tc>
          <w:tcPr>
            <w:tcW w:w="1360" w:type="dxa"/>
            <w:vAlign w:val="bottom"/>
          </w:tcPr>
          <w:p>
            <w:pPr>
              <w:ind w:left="620"/>
              <w:spacing w:after="0"/>
              <w:rPr>
                <w:sz w:val="20"/>
                <w:szCs w:val="20"/>
                <w:color w:val="auto"/>
              </w:rPr>
            </w:pPr>
            <w:r>
              <w:rPr>
                <w:rFonts w:ascii="Arial" w:cs="Arial" w:eastAsia="Arial" w:hAnsi="Arial"/>
                <w:sz w:val="16"/>
                <w:szCs w:val="16"/>
                <w:color w:val="auto"/>
              </w:rPr>
              <w:t>—</w:t>
            </w:r>
          </w:p>
        </w:tc>
        <w:tc>
          <w:tcPr>
            <w:tcW w:w="2160" w:type="dxa"/>
            <w:vAlign w:val="bottom"/>
          </w:tcPr>
          <w:p>
            <w:pPr>
              <w:jc w:val="right"/>
              <w:ind w:right="701"/>
              <w:spacing w:after="0"/>
              <w:rPr>
                <w:sz w:val="20"/>
                <w:szCs w:val="20"/>
                <w:color w:val="auto"/>
              </w:rPr>
            </w:pPr>
            <w:r>
              <w:rPr>
                <w:rFonts w:ascii="Arial" w:cs="Arial" w:eastAsia="Arial" w:hAnsi="Arial"/>
                <w:sz w:val="16"/>
                <w:szCs w:val="16"/>
                <w:color w:val="auto"/>
              </w:rPr>
              <w:t>—</w:t>
            </w:r>
          </w:p>
        </w:tc>
        <w:tc>
          <w:tcPr>
            <w:tcW w:w="2360" w:type="dxa"/>
            <w:vAlign w:val="bottom"/>
          </w:tcPr>
          <w:p>
            <w:pPr>
              <w:jc w:val="right"/>
              <w:ind w:right="741"/>
              <w:spacing w:after="0"/>
              <w:rPr>
                <w:sz w:val="20"/>
                <w:szCs w:val="20"/>
                <w:color w:val="auto"/>
              </w:rPr>
            </w:pPr>
            <w:r>
              <w:rPr>
                <w:rFonts w:ascii="Arial" w:cs="Arial" w:eastAsia="Arial" w:hAnsi="Arial"/>
                <w:sz w:val="16"/>
                <w:szCs w:val="16"/>
                <w:color w:val="auto"/>
              </w:rPr>
              <w:t>1,364,066</w:t>
            </w:r>
          </w:p>
        </w:tc>
        <w:tc>
          <w:tcPr>
            <w:tcW w:w="2400" w:type="dxa"/>
            <w:vAlign w:val="bottom"/>
          </w:tcPr>
          <w:p>
            <w:pPr>
              <w:jc w:val="right"/>
              <w:ind w:right="641"/>
              <w:spacing w:after="0"/>
              <w:rPr>
                <w:sz w:val="20"/>
                <w:szCs w:val="20"/>
                <w:color w:val="auto"/>
              </w:rPr>
            </w:pPr>
            <w:r>
              <w:rPr>
                <w:rFonts w:ascii="Arial" w:cs="Arial" w:eastAsia="Arial" w:hAnsi="Arial"/>
                <w:sz w:val="16"/>
                <w:szCs w:val="16"/>
                <w:color w:val="auto"/>
              </w:rPr>
              <w:t>3,814,505</w:t>
            </w:r>
          </w:p>
        </w:tc>
      </w:tr>
      <w:tr>
        <w:trPr>
          <w:trHeight w:val="186"/>
        </w:trPr>
        <w:tc>
          <w:tcPr>
            <w:tcW w:w="1080" w:type="dxa"/>
            <w:vAlign w:val="bottom"/>
          </w:tcPr>
          <w:p>
            <w:pPr>
              <w:spacing w:after="0"/>
              <w:rPr>
                <w:sz w:val="16"/>
                <w:szCs w:val="16"/>
                <w:color w:val="auto"/>
              </w:rPr>
            </w:pPr>
          </w:p>
        </w:tc>
        <w:tc>
          <w:tcPr>
            <w:tcW w:w="1500" w:type="dxa"/>
            <w:vAlign w:val="bottom"/>
          </w:tcPr>
          <w:p>
            <w:pPr>
              <w:ind w:left="140"/>
              <w:spacing w:after="0"/>
              <w:rPr>
                <w:sz w:val="20"/>
                <w:szCs w:val="20"/>
                <w:color w:val="auto"/>
              </w:rPr>
            </w:pPr>
            <w:r>
              <w:rPr>
                <w:rFonts w:ascii="Arial" w:cs="Arial" w:eastAsia="Arial" w:hAnsi="Arial"/>
                <w:sz w:val="16"/>
                <w:szCs w:val="16"/>
                <w:color w:val="auto"/>
              </w:rPr>
              <w:t>Benefits</w:t>
            </w:r>
          </w:p>
        </w:tc>
        <w:tc>
          <w:tcPr>
            <w:tcW w:w="13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400" w:type="dxa"/>
            <w:vAlign w:val="bottom"/>
          </w:tcPr>
          <w:p>
            <w:pPr>
              <w:spacing w:after="0"/>
              <w:rPr>
                <w:sz w:val="16"/>
                <w:szCs w:val="16"/>
                <w:color w:val="auto"/>
              </w:rPr>
            </w:pPr>
          </w:p>
        </w:tc>
      </w:tr>
      <w:tr>
        <w:trPr>
          <w:trHeight w:val="186"/>
        </w:trPr>
        <w:tc>
          <w:tcPr>
            <w:tcW w:w="1080" w:type="dxa"/>
            <w:vAlign w:val="bottom"/>
          </w:tcPr>
          <w:p>
            <w:pPr>
              <w:spacing w:after="0"/>
              <w:rPr>
                <w:sz w:val="16"/>
                <w:szCs w:val="16"/>
                <w:color w:val="auto"/>
              </w:rPr>
            </w:pPr>
          </w:p>
        </w:tc>
        <w:tc>
          <w:tcPr>
            <w:tcW w:w="1500" w:type="dxa"/>
            <w:vAlign w:val="bottom"/>
          </w:tcPr>
          <w:p>
            <w:pPr>
              <w:ind w:left="140"/>
              <w:spacing w:after="0"/>
              <w:rPr>
                <w:sz w:val="20"/>
                <w:szCs w:val="20"/>
                <w:color w:val="auto"/>
              </w:rPr>
            </w:pPr>
            <w:r>
              <w:rPr>
                <w:rFonts w:ascii="Arial" w:cs="Arial" w:eastAsia="Arial" w:hAnsi="Arial"/>
                <w:sz w:val="16"/>
                <w:szCs w:val="16"/>
                <w:color w:val="auto"/>
              </w:rPr>
              <w:t>continuation</w:t>
            </w:r>
          </w:p>
        </w:tc>
        <w:tc>
          <w:tcPr>
            <w:tcW w:w="1360" w:type="dxa"/>
            <w:vAlign w:val="bottom"/>
          </w:tcPr>
          <w:p>
            <w:pPr>
              <w:ind w:left="620"/>
              <w:spacing w:after="0"/>
              <w:rPr>
                <w:sz w:val="20"/>
                <w:szCs w:val="20"/>
                <w:color w:val="auto"/>
              </w:rPr>
            </w:pPr>
            <w:r>
              <w:rPr>
                <w:rFonts w:ascii="Arial" w:cs="Arial" w:eastAsia="Arial" w:hAnsi="Arial"/>
                <w:sz w:val="16"/>
                <w:szCs w:val="16"/>
                <w:color w:val="auto"/>
              </w:rPr>
              <w:t>—</w:t>
            </w:r>
          </w:p>
        </w:tc>
        <w:tc>
          <w:tcPr>
            <w:tcW w:w="2160" w:type="dxa"/>
            <w:vAlign w:val="bottom"/>
          </w:tcPr>
          <w:p>
            <w:pPr>
              <w:jc w:val="right"/>
              <w:ind w:right="701"/>
              <w:spacing w:after="0"/>
              <w:rPr>
                <w:sz w:val="20"/>
                <w:szCs w:val="20"/>
                <w:color w:val="auto"/>
              </w:rPr>
            </w:pPr>
            <w:r>
              <w:rPr>
                <w:rFonts w:ascii="Arial" w:cs="Arial" w:eastAsia="Arial" w:hAnsi="Arial"/>
                <w:sz w:val="16"/>
                <w:szCs w:val="16"/>
                <w:color w:val="auto"/>
              </w:rPr>
              <w:t>33,818</w:t>
            </w:r>
          </w:p>
        </w:tc>
        <w:tc>
          <w:tcPr>
            <w:tcW w:w="2360" w:type="dxa"/>
            <w:vAlign w:val="bottom"/>
          </w:tcPr>
          <w:p>
            <w:pPr>
              <w:jc w:val="right"/>
              <w:ind w:right="741"/>
              <w:spacing w:after="0"/>
              <w:rPr>
                <w:sz w:val="20"/>
                <w:szCs w:val="20"/>
                <w:color w:val="auto"/>
              </w:rPr>
            </w:pPr>
            <w:r>
              <w:rPr>
                <w:rFonts w:ascii="Arial" w:cs="Arial" w:eastAsia="Arial" w:hAnsi="Arial"/>
                <w:sz w:val="16"/>
                <w:szCs w:val="16"/>
                <w:color w:val="auto"/>
              </w:rPr>
              <w:t>8,890</w:t>
            </w:r>
          </w:p>
        </w:tc>
        <w:tc>
          <w:tcPr>
            <w:tcW w:w="2400" w:type="dxa"/>
            <w:vAlign w:val="bottom"/>
          </w:tcPr>
          <w:p>
            <w:pPr>
              <w:jc w:val="right"/>
              <w:ind w:right="641"/>
              <w:spacing w:after="0"/>
              <w:rPr>
                <w:sz w:val="20"/>
                <w:szCs w:val="20"/>
                <w:color w:val="auto"/>
              </w:rPr>
            </w:pPr>
            <w:r>
              <w:rPr>
                <w:rFonts w:ascii="Arial" w:cs="Arial" w:eastAsia="Arial" w:hAnsi="Arial"/>
                <w:sz w:val="16"/>
                <w:szCs w:val="16"/>
                <w:color w:val="auto"/>
              </w:rPr>
              <w:t>42,273</w:t>
            </w:r>
          </w:p>
        </w:tc>
      </w:tr>
      <w:tr>
        <w:trPr>
          <w:trHeight w:val="184"/>
        </w:trPr>
        <w:tc>
          <w:tcPr>
            <w:tcW w:w="1080" w:type="dxa"/>
            <w:vAlign w:val="bottom"/>
            <w:tcBorders>
              <w:bottom w:val="single" w:sz="8" w:color="999999"/>
            </w:tcBorders>
          </w:tcPr>
          <w:p>
            <w:pPr>
              <w:spacing w:after="0"/>
              <w:rPr>
                <w:sz w:val="16"/>
                <w:szCs w:val="16"/>
                <w:color w:val="auto"/>
              </w:rPr>
            </w:pPr>
          </w:p>
        </w:tc>
        <w:tc>
          <w:tcPr>
            <w:tcW w:w="1500" w:type="dxa"/>
            <w:vAlign w:val="bottom"/>
            <w:tcBorders>
              <w:bottom w:val="single" w:sz="8" w:color="999999"/>
            </w:tcBorders>
          </w:tcPr>
          <w:p>
            <w:pPr>
              <w:ind w:left="140"/>
              <w:spacing w:after="0"/>
              <w:rPr>
                <w:sz w:val="20"/>
                <w:szCs w:val="20"/>
                <w:color w:val="auto"/>
              </w:rPr>
            </w:pPr>
            <w:r>
              <w:rPr>
                <w:rFonts w:ascii="Arial" w:cs="Arial" w:eastAsia="Arial" w:hAnsi="Arial"/>
                <w:sz w:val="16"/>
                <w:szCs w:val="16"/>
                <w:color w:val="auto"/>
              </w:rPr>
              <w:t>Cutback (4)</w:t>
            </w:r>
          </w:p>
        </w:tc>
        <w:tc>
          <w:tcPr>
            <w:tcW w:w="1360" w:type="dxa"/>
            <w:vAlign w:val="bottom"/>
            <w:tcBorders>
              <w:bottom w:val="single" w:sz="8" w:color="999999"/>
            </w:tcBorders>
          </w:tcPr>
          <w:p>
            <w:pPr>
              <w:ind w:left="620"/>
              <w:spacing w:after="0"/>
              <w:rPr>
                <w:sz w:val="20"/>
                <w:szCs w:val="20"/>
                <w:color w:val="auto"/>
              </w:rPr>
            </w:pPr>
            <w:r>
              <w:rPr>
                <w:rFonts w:ascii="Arial" w:cs="Arial" w:eastAsia="Arial" w:hAnsi="Arial"/>
                <w:sz w:val="16"/>
                <w:szCs w:val="16"/>
                <w:color w:val="auto"/>
              </w:rPr>
              <w:t>—</w:t>
            </w:r>
          </w:p>
        </w:tc>
        <w:tc>
          <w:tcPr>
            <w:tcW w:w="2160" w:type="dxa"/>
            <w:vAlign w:val="bottom"/>
            <w:tcBorders>
              <w:bottom w:val="single" w:sz="8" w:color="999999"/>
            </w:tcBorders>
          </w:tcPr>
          <w:p>
            <w:pPr>
              <w:jc w:val="right"/>
              <w:ind w:right="701"/>
              <w:spacing w:after="0"/>
              <w:rPr>
                <w:sz w:val="20"/>
                <w:szCs w:val="20"/>
                <w:color w:val="auto"/>
              </w:rPr>
            </w:pPr>
            <w:r>
              <w:rPr>
                <w:rFonts w:ascii="Arial" w:cs="Arial" w:eastAsia="Arial" w:hAnsi="Arial"/>
                <w:sz w:val="16"/>
                <w:szCs w:val="16"/>
                <w:color w:val="auto"/>
              </w:rPr>
              <w:t>—</w:t>
            </w:r>
          </w:p>
        </w:tc>
        <w:tc>
          <w:tcPr>
            <w:tcW w:w="2360" w:type="dxa"/>
            <w:vAlign w:val="bottom"/>
            <w:tcBorders>
              <w:bottom w:val="single" w:sz="8" w:color="999999"/>
            </w:tcBorders>
          </w:tcPr>
          <w:p>
            <w:pPr>
              <w:jc w:val="right"/>
              <w:ind w:right="741"/>
              <w:spacing w:after="0"/>
              <w:rPr>
                <w:sz w:val="20"/>
                <w:szCs w:val="20"/>
                <w:color w:val="auto"/>
              </w:rPr>
            </w:pPr>
            <w:r>
              <w:rPr>
                <w:rFonts w:ascii="Arial" w:cs="Arial" w:eastAsia="Arial" w:hAnsi="Arial"/>
                <w:sz w:val="16"/>
                <w:szCs w:val="16"/>
                <w:color w:val="auto"/>
              </w:rPr>
              <w:t>—</w:t>
            </w:r>
          </w:p>
        </w:tc>
        <w:tc>
          <w:tcPr>
            <w:tcW w:w="2400" w:type="dxa"/>
            <w:vAlign w:val="bottom"/>
            <w:tcBorders>
              <w:bottom w:val="single" w:sz="8" w:color="999999"/>
            </w:tcBorders>
          </w:tcPr>
          <w:p>
            <w:pPr>
              <w:jc w:val="right"/>
              <w:ind w:right="641"/>
              <w:spacing w:after="0"/>
              <w:rPr>
                <w:sz w:val="20"/>
                <w:szCs w:val="20"/>
                <w:color w:val="auto"/>
              </w:rPr>
            </w:pPr>
            <w:r>
              <w:rPr>
                <w:rFonts w:ascii="Arial" w:cs="Arial" w:eastAsia="Arial" w:hAnsi="Arial"/>
                <w:sz w:val="16"/>
                <w:szCs w:val="16"/>
                <w:color w:val="auto"/>
              </w:rPr>
              <w:t>—</w:t>
            </w:r>
          </w:p>
        </w:tc>
      </w:tr>
      <w:tr>
        <w:trPr>
          <w:trHeight w:val="179"/>
        </w:trPr>
        <w:tc>
          <w:tcPr>
            <w:tcW w:w="1080" w:type="dxa"/>
            <w:vAlign w:val="bottom"/>
            <w:tcBorders>
              <w:bottom w:val="single" w:sz="8" w:color="999999"/>
            </w:tcBorders>
          </w:tcPr>
          <w:p>
            <w:pPr>
              <w:spacing w:after="0"/>
              <w:rPr>
                <w:sz w:val="15"/>
                <w:szCs w:val="15"/>
                <w:color w:val="auto"/>
              </w:rPr>
            </w:pPr>
          </w:p>
        </w:tc>
        <w:tc>
          <w:tcPr>
            <w:tcW w:w="1500" w:type="dxa"/>
            <w:vAlign w:val="bottom"/>
            <w:tcBorders>
              <w:bottom w:val="single" w:sz="8" w:color="999999"/>
            </w:tcBorders>
          </w:tcPr>
          <w:p>
            <w:pPr>
              <w:ind w:left="140"/>
              <w:spacing w:after="0" w:line="180" w:lineRule="exact"/>
              <w:rPr>
                <w:sz w:val="20"/>
                <w:szCs w:val="20"/>
                <w:color w:val="auto"/>
              </w:rPr>
            </w:pPr>
            <w:r>
              <w:rPr>
                <w:rFonts w:ascii="Arial" w:cs="Arial" w:eastAsia="Arial" w:hAnsi="Arial"/>
                <w:sz w:val="16"/>
                <w:szCs w:val="16"/>
                <w:b w:val="1"/>
                <w:bCs w:val="1"/>
                <w:color w:val="auto"/>
              </w:rPr>
              <w:t>Total Value</w:t>
            </w:r>
          </w:p>
        </w:tc>
        <w:tc>
          <w:tcPr>
            <w:tcW w:w="1360" w:type="dxa"/>
            <w:vAlign w:val="bottom"/>
            <w:tcBorders>
              <w:bottom w:val="single" w:sz="8" w:color="999999"/>
            </w:tcBorders>
          </w:tcPr>
          <w:p>
            <w:pPr>
              <w:ind w:left="620"/>
              <w:spacing w:after="0" w:line="180" w:lineRule="exact"/>
              <w:rPr>
                <w:sz w:val="20"/>
                <w:szCs w:val="20"/>
                <w:color w:val="auto"/>
              </w:rPr>
            </w:pPr>
            <w:r>
              <w:rPr>
                <w:rFonts w:ascii="Arial" w:cs="Arial" w:eastAsia="Arial" w:hAnsi="Arial"/>
                <w:sz w:val="16"/>
                <w:szCs w:val="16"/>
                <w:b w:val="1"/>
                <w:bCs w:val="1"/>
                <w:color w:val="auto"/>
              </w:rPr>
              <w:t>—</w:t>
            </w:r>
          </w:p>
        </w:tc>
        <w:tc>
          <w:tcPr>
            <w:tcW w:w="2160" w:type="dxa"/>
            <w:vAlign w:val="bottom"/>
            <w:tcBorders>
              <w:bottom w:val="single" w:sz="8" w:color="999999"/>
            </w:tcBorders>
          </w:tcPr>
          <w:p>
            <w:pPr>
              <w:jc w:val="right"/>
              <w:ind w:right="701"/>
              <w:spacing w:after="0" w:line="180" w:lineRule="exact"/>
              <w:rPr>
                <w:sz w:val="20"/>
                <w:szCs w:val="20"/>
                <w:color w:val="auto"/>
              </w:rPr>
            </w:pPr>
            <w:r>
              <w:rPr>
                <w:rFonts w:ascii="Arial" w:cs="Arial" w:eastAsia="Arial" w:hAnsi="Arial"/>
                <w:sz w:val="16"/>
                <w:szCs w:val="16"/>
                <w:b w:val="1"/>
                <w:bCs w:val="1"/>
                <w:color w:val="auto"/>
              </w:rPr>
              <w:t>5,210,238</w:t>
            </w:r>
          </w:p>
        </w:tc>
        <w:tc>
          <w:tcPr>
            <w:tcW w:w="2360" w:type="dxa"/>
            <w:vAlign w:val="bottom"/>
            <w:tcBorders>
              <w:bottom w:val="single" w:sz="8" w:color="999999"/>
            </w:tcBorders>
          </w:tcPr>
          <w:p>
            <w:pPr>
              <w:jc w:val="right"/>
              <w:ind w:right="741"/>
              <w:spacing w:after="0" w:line="180" w:lineRule="exact"/>
              <w:rPr>
                <w:sz w:val="20"/>
                <w:szCs w:val="20"/>
                <w:color w:val="auto"/>
              </w:rPr>
            </w:pPr>
            <w:r>
              <w:rPr>
                <w:rFonts w:ascii="Arial" w:cs="Arial" w:eastAsia="Arial" w:hAnsi="Arial"/>
                <w:sz w:val="16"/>
                <w:szCs w:val="16"/>
                <w:b w:val="1"/>
                <w:bCs w:val="1"/>
                <w:color w:val="auto"/>
              </w:rPr>
              <w:t>3,319,376</w:t>
            </w:r>
          </w:p>
        </w:tc>
        <w:tc>
          <w:tcPr>
            <w:tcW w:w="2400" w:type="dxa"/>
            <w:vAlign w:val="bottom"/>
            <w:tcBorders>
              <w:bottom w:val="single" w:sz="8" w:color="999999"/>
            </w:tcBorders>
          </w:tcPr>
          <w:p>
            <w:pPr>
              <w:jc w:val="right"/>
              <w:ind w:right="641"/>
              <w:spacing w:after="0" w:line="180" w:lineRule="exact"/>
              <w:rPr>
                <w:sz w:val="20"/>
                <w:szCs w:val="20"/>
                <w:color w:val="auto"/>
              </w:rPr>
            </w:pPr>
            <w:r>
              <w:rPr>
                <w:rFonts w:ascii="Arial" w:cs="Arial" w:eastAsia="Arial" w:hAnsi="Arial"/>
                <w:sz w:val="16"/>
                <w:szCs w:val="16"/>
                <w:b w:val="1"/>
                <w:bCs w:val="1"/>
                <w:color w:val="auto"/>
              </w:rPr>
              <w:t>11,503,198</w:t>
            </w:r>
          </w:p>
        </w:tc>
      </w:tr>
      <w:tr>
        <w:trPr>
          <w:trHeight w:val="181"/>
        </w:trPr>
        <w:tc>
          <w:tcPr>
            <w:tcW w:w="1080" w:type="dxa"/>
            <w:vAlign w:val="bottom"/>
          </w:tcPr>
          <w:p>
            <w:pPr>
              <w:spacing w:after="0" w:line="181" w:lineRule="exact"/>
              <w:rPr>
                <w:sz w:val="20"/>
                <w:szCs w:val="20"/>
                <w:color w:val="auto"/>
              </w:rPr>
            </w:pPr>
            <w:r>
              <w:rPr>
                <w:rFonts w:ascii="Arial" w:cs="Arial" w:eastAsia="Arial" w:hAnsi="Arial"/>
                <w:sz w:val="16"/>
                <w:szCs w:val="16"/>
                <w:color w:val="auto"/>
              </w:rPr>
              <w:t>C. Mark</w:t>
            </w:r>
          </w:p>
        </w:tc>
        <w:tc>
          <w:tcPr>
            <w:tcW w:w="15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400" w:type="dxa"/>
            <w:vAlign w:val="bottom"/>
          </w:tcPr>
          <w:p>
            <w:pPr>
              <w:spacing w:after="0"/>
              <w:rPr>
                <w:sz w:val="15"/>
                <w:szCs w:val="15"/>
                <w:color w:val="auto"/>
              </w:rPr>
            </w:pPr>
          </w:p>
        </w:tc>
      </w:tr>
      <w:tr>
        <w:trPr>
          <w:trHeight w:val="186"/>
        </w:trPr>
        <w:tc>
          <w:tcPr>
            <w:tcW w:w="1080" w:type="dxa"/>
            <w:vAlign w:val="bottom"/>
          </w:tcPr>
          <w:p>
            <w:pPr>
              <w:ind w:left="160"/>
              <w:spacing w:after="0"/>
              <w:rPr>
                <w:sz w:val="20"/>
                <w:szCs w:val="20"/>
                <w:color w:val="auto"/>
              </w:rPr>
            </w:pPr>
            <w:r>
              <w:rPr>
                <w:rFonts w:ascii="Arial" w:cs="Arial" w:eastAsia="Arial" w:hAnsi="Arial"/>
                <w:sz w:val="16"/>
                <w:szCs w:val="16"/>
                <w:color w:val="auto"/>
              </w:rPr>
              <w:t>Hussey</w:t>
            </w:r>
          </w:p>
        </w:tc>
        <w:tc>
          <w:tcPr>
            <w:tcW w:w="1500" w:type="dxa"/>
            <w:vAlign w:val="bottom"/>
          </w:tcPr>
          <w:p>
            <w:pPr>
              <w:ind w:left="140"/>
              <w:spacing w:after="0"/>
              <w:rPr>
                <w:sz w:val="20"/>
                <w:szCs w:val="20"/>
                <w:color w:val="auto"/>
              </w:rPr>
            </w:pPr>
            <w:r>
              <w:rPr>
                <w:rFonts w:ascii="Arial" w:cs="Arial" w:eastAsia="Arial" w:hAnsi="Arial"/>
                <w:sz w:val="16"/>
                <w:szCs w:val="16"/>
                <w:color w:val="auto"/>
              </w:rPr>
              <w:t>Salary</w:t>
            </w:r>
          </w:p>
        </w:tc>
        <w:tc>
          <w:tcPr>
            <w:tcW w:w="1360" w:type="dxa"/>
            <w:vAlign w:val="bottom"/>
          </w:tcPr>
          <w:p>
            <w:pPr>
              <w:ind w:left="620"/>
              <w:spacing w:after="0"/>
              <w:rPr>
                <w:sz w:val="20"/>
                <w:szCs w:val="20"/>
                <w:color w:val="auto"/>
              </w:rPr>
            </w:pPr>
            <w:r>
              <w:rPr>
                <w:rFonts w:ascii="Arial" w:cs="Arial" w:eastAsia="Arial" w:hAnsi="Arial"/>
                <w:sz w:val="16"/>
                <w:szCs w:val="16"/>
                <w:color w:val="auto"/>
              </w:rPr>
              <w:t>—</w:t>
            </w:r>
          </w:p>
        </w:tc>
        <w:tc>
          <w:tcPr>
            <w:tcW w:w="2160" w:type="dxa"/>
            <w:vAlign w:val="bottom"/>
          </w:tcPr>
          <w:p>
            <w:pPr>
              <w:jc w:val="right"/>
              <w:ind w:right="701"/>
              <w:spacing w:after="0"/>
              <w:rPr>
                <w:sz w:val="20"/>
                <w:szCs w:val="20"/>
                <w:color w:val="auto"/>
              </w:rPr>
            </w:pPr>
            <w:r>
              <w:rPr>
                <w:rFonts w:ascii="Arial" w:cs="Arial" w:eastAsia="Arial" w:hAnsi="Arial"/>
                <w:sz w:val="16"/>
                <w:szCs w:val="16"/>
                <w:color w:val="auto"/>
              </w:rPr>
              <w:t>1,200,000</w:t>
            </w:r>
          </w:p>
        </w:tc>
        <w:tc>
          <w:tcPr>
            <w:tcW w:w="2360" w:type="dxa"/>
            <w:vAlign w:val="bottom"/>
          </w:tcPr>
          <w:p>
            <w:pPr>
              <w:jc w:val="right"/>
              <w:ind w:right="741"/>
              <w:spacing w:after="0"/>
              <w:rPr>
                <w:sz w:val="20"/>
                <w:szCs w:val="20"/>
                <w:color w:val="auto"/>
              </w:rPr>
            </w:pPr>
            <w:r>
              <w:rPr>
                <w:rFonts w:ascii="Arial" w:cs="Arial" w:eastAsia="Arial" w:hAnsi="Arial"/>
                <w:sz w:val="16"/>
                <w:szCs w:val="16"/>
                <w:color w:val="auto"/>
              </w:rPr>
              <w:t>—</w:t>
            </w:r>
          </w:p>
        </w:tc>
        <w:tc>
          <w:tcPr>
            <w:tcW w:w="2400" w:type="dxa"/>
            <w:vAlign w:val="bottom"/>
          </w:tcPr>
          <w:p>
            <w:pPr>
              <w:jc w:val="right"/>
              <w:ind w:right="641"/>
              <w:spacing w:after="0"/>
              <w:rPr>
                <w:sz w:val="20"/>
                <w:szCs w:val="20"/>
                <w:color w:val="auto"/>
              </w:rPr>
            </w:pPr>
            <w:r>
              <w:rPr>
                <w:rFonts w:ascii="Arial" w:cs="Arial" w:eastAsia="Arial" w:hAnsi="Arial"/>
                <w:sz w:val="16"/>
                <w:szCs w:val="16"/>
                <w:color w:val="auto"/>
              </w:rPr>
              <w:t>1,600,000</w:t>
            </w:r>
          </w:p>
        </w:tc>
      </w:tr>
      <w:tr>
        <w:trPr>
          <w:trHeight w:val="186"/>
        </w:trPr>
        <w:tc>
          <w:tcPr>
            <w:tcW w:w="1080" w:type="dxa"/>
            <w:vAlign w:val="bottom"/>
          </w:tcPr>
          <w:p>
            <w:pPr>
              <w:spacing w:after="0"/>
              <w:rPr>
                <w:sz w:val="16"/>
                <w:szCs w:val="16"/>
                <w:color w:val="auto"/>
              </w:rPr>
            </w:pPr>
          </w:p>
        </w:tc>
        <w:tc>
          <w:tcPr>
            <w:tcW w:w="1500" w:type="dxa"/>
            <w:vAlign w:val="bottom"/>
          </w:tcPr>
          <w:p>
            <w:pPr>
              <w:ind w:left="140"/>
              <w:spacing w:after="0"/>
              <w:rPr>
                <w:sz w:val="20"/>
                <w:szCs w:val="20"/>
                <w:color w:val="auto"/>
              </w:rPr>
            </w:pPr>
            <w:r>
              <w:rPr>
                <w:rFonts w:ascii="Arial" w:cs="Arial" w:eastAsia="Arial" w:hAnsi="Arial"/>
                <w:sz w:val="16"/>
                <w:szCs w:val="16"/>
                <w:color w:val="auto"/>
              </w:rPr>
              <w:t>Bonus</w:t>
            </w:r>
          </w:p>
        </w:tc>
        <w:tc>
          <w:tcPr>
            <w:tcW w:w="1360" w:type="dxa"/>
            <w:vAlign w:val="bottom"/>
          </w:tcPr>
          <w:p>
            <w:pPr>
              <w:ind w:left="620"/>
              <w:spacing w:after="0"/>
              <w:rPr>
                <w:sz w:val="20"/>
                <w:szCs w:val="20"/>
                <w:color w:val="auto"/>
              </w:rPr>
            </w:pPr>
            <w:r>
              <w:rPr>
                <w:rFonts w:ascii="Arial" w:cs="Arial" w:eastAsia="Arial" w:hAnsi="Arial"/>
                <w:sz w:val="16"/>
                <w:szCs w:val="16"/>
                <w:color w:val="auto"/>
              </w:rPr>
              <w:t>—</w:t>
            </w:r>
          </w:p>
        </w:tc>
        <w:tc>
          <w:tcPr>
            <w:tcW w:w="2160" w:type="dxa"/>
            <w:vAlign w:val="bottom"/>
          </w:tcPr>
          <w:p>
            <w:pPr>
              <w:jc w:val="right"/>
              <w:ind w:right="701"/>
              <w:spacing w:after="0"/>
              <w:rPr>
                <w:sz w:val="20"/>
                <w:szCs w:val="20"/>
                <w:color w:val="auto"/>
              </w:rPr>
            </w:pPr>
            <w:r>
              <w:rPr>
                <w:rFonts w:ascii="Arial" w:cs="Arial" w:eastAsia="Arial" w:hAnsi="Arial"/>
                <w:sz w:val="16"/>
                <w:szCs w:val="16"/>
                <w:color w:val="auto"/>
              </w:rPr>
              <w:t>1,200,000</w:t>
            </w:r>
          </w:p>
        </w:tc>
        <w:tc>
          <w:tcPr>
            <w:tcW w:w="2360" w:type="dxa"/>
            <w:vAlign w:val="bottom"/>
          </w:tcPr>
          <w:p>
            <w:pPr>
              <w:jc w:val="right"/>
              <w:ind w:right="741"/>
              <w:spacing w:after="0"/>
              <w:rPr>
                <w:sz w:val="20"/>
                <w:szCs w:val="20"/>
                <w:color w:val="auto"/>
              </w:rPr>
            </w:pPr>
            <w:r>
              <w:rPr>
                <w:rFonts w:ascii="Arial" w:cs="Arial" w:eastAsia="Arial" w:hAnsi="Arial"/>
                <w:sz w:val="16"/>
                <w:szCs w:val="16"/>
                <w:color w:val="auto"/>
              </w:rPr>
              <w:t>—</w:t>
            </w:r>
          </w:p>
        </w:tc>
        <w:tc>
          <w:tcPr>
            <w:tcW w:w="2400" w:type="dxa"/>
            <w:vAlign w:val="bottom"/>
          </w:tcPr>
          <w:p>
            <w:pPr>
              <w:jc w:val="right"/>
              <w:ind w:right="641"/>
              <w:spacing w:after="0"/>
              <w:rPr>
                <w:sz w:val="20"/>
                <w:szCs w:val="20"/>
                <w:color w:val="auto"/>
              </w:rPr>
            </w:pPr>
            <w:r>
              <w:rPr>
                <w:rFonts w:ascii="Arial" w:cs="Arial" w:eastAsia="Arial" w:hAnsi="Arial"/>
                <w:sz w:val="16"/>
                <w:szCs w:val="16"/>
                <w:color w:val="auto"/>
              </w:rPr>
              <w:t>1,600,000</w:t>
            </w:r>
          </w:p>
        </w:tc>
      </w:tr>
      <w:tr>
        <w:trPr>
          <w:trHeight w:val="186"/>
        </w:trPr>
        <w:tc>
          <w:tcPr>
            <w:tcW w:w="1080" w:type="dxa"/>
            <w:vAlign w:val="bottom"/>
          </w:tcPr>
          <w:p>
            <w:pPr>
              <w:spacing w:after="0"/>
              <w:rPr>
                <w:sz w:val="16"/>
                <w:szCs w:val="16"/>
                <w:color w:val="auto"/>
              </w:rPr>
            </w:pPr>
          </w:p>
        </w:tc>
        <w:tc>
          <w:tcPr>
            <w:tcW w:w="1500" w:type="dxa"/>
            <w:vAlign w:val="bottom"/>
          </w:tcPr>
          <w:p>
            <w:pPr>
              <w:ind w:left="140"/>
              <w:spacing w:after="0"/>
              <w:rPr>
                <w:sz w:val="20"/>
                <w:szCs w:val="20"/>
                <w:color w:val="auto"/>
              </w:rPr>
            </w:pPr>
            <w:r>
              <w:rPr>
                <w:rFonts w:ascii="Arial" w:cs="Arial" w:eastAsia="Arial" w:hAnsi="Arial"/>
                <w:sz w:val="16"/>
                <w:szCs w:val="16"/>
                <w:color w:val="auto"/>
              </w:rPr>
              <w:t>Pro rata bonus</w:t>
            </w:r>
          </w:p>
        </w:tc>
        <w:tc>
          <w:tcPr>
            <w:tcW w:w="13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400" w:type="dxa"/>
            <w:vAlign w:val="bottom"/>
          </w:tcPr>
          <w:p>
            <w:pPr>
              <w:spacing w:after="0"/>
              <w:rPr>
                <w:sz w:val="16"/>
                <w:szCs w:val="16"/>
                <w:color w:val="auto"/>
              </w:rPr>
            </w:pPr>
          </w:p>
        </w:tc>
      </w:tr>
      <w:tr>
        <w:trPr>
          <w:trHeight w:val="186"/>
        </w:trPr>
        <w:tc>
          <w:tcPr>
            <w:tcW w:w="1080" w:type="dxa"/>
            <w:vAlign w:val="bottom"/>
          </w:tcPr>
          <w:p>
            <w:pPr>
              <w:spacing w:after="0"/>
              <w:rPr>
                <w:sz w:val="16"/>
                <w:szCs w:val="16"/>
                <w:color w:val="auto"/>
              </w:rPr>
            </w:pPr>
          </w:p>
        </w:tc>
        <w:tc>
          <w:tcPr>
            <w:tcW w:w="1500" w:type="dxa"/>
            <w:vAlign w:val="bottom"/>
          </w:tcPr>
          <w:p>
            <w:pPr>
              <w:ind w:left="140"/>
              <w:spacing w:after="0"/>
              <w:rPr>
                <w:sz w:val="20"/>
                <w:szCs w:val="20"/>
                <w:color w:val="auto"/>
              </w:rPr>
            </w:pPr>
            <w:r>
              <w:rPr>
                <w:rFonts w:ascii="Arial" w:cs="Arial" w:eastAsia="Arial" w:hAnsi="Arial"/>
                <w:sz w:val="16"/>
                <w:szCs w:val="16"/>
                <w:color w:val="auto"/>
              </w:rPr>
              <w:t>(1)</w:t>
            </w:r>
          </w:p>
        </w:tc>
        <w:tc>
          <w:tcPr>
            <w:tcW w:w="1360" w:type="dxa"/>
            <w:vAlign w:val="bottom"/>
          </w:tcPr>
          <w:p>
            <w:pPr>
              <w:ind w:left="620"/>
              <w:spacing w:after="0"/>
              <w:rPr>
                <w:sz w:val="20"/>
                <w:szCs w:val="20"/>
                <w:color w:val="auto"/>
              </w:rPr>
            </w:pPr>
            <w:r>
              <w:rPr>
                <w:rFonts w:ascii="Arial" w:cs="Arial" w:eastAsia="Arial" w:hAnsi="Arial"/>
                <w:sz w:val="16"/>
                <w:szCs w:val="16"/>
                <w:color w:val="auto"/>
              </w:rPr>
              <w:t>—</w:t>
            </w:r>
          </w:p>
        </w:tc>
        <w:tc>
          <w:tcPr>
            <w:tcW w:w="2160" w:type="dxa"/>
            <w:vAlign w:val="bottom"/>
          </w:tcPr>
          <w:p>
            <w:pPr>
              <w:jc w:val="right"/>
              <w:ind w:right="701"/>
              <w:spacing w:after="0"/>
              <w:rPr>
                <w:sz w:val="20"/>
                <w:szCs w:val="20"/>
                <w:color w:val="auto"/>
              </w:rPr>
            </w:pPr>
            <w:r>
              <w:rPr>
                <w:rFonts w:ascii="Arial" w:cs="Arial" w:eastAsia="Arial" w:hAnsi="Arial"/>
                <w:sz w:val="16"/>
                <w:szCs w:val="16"/>
                <w:color w:val="auto"/>
              </w:rPr>
              <w:t>800,000</w:t>
            </w:r>
          </w:p>
        </w:tc>
        <w:tc>
          <w:tcPr>
            <w:tcW w:w="2360" w:type="dxa"/>
            <w:vAlign w:val="bottom"/>
          </w:tcPr>
          <w:p>
            <w:pPr>
              <w:jc w:val="right"/>
              <w:ind w:right="741"/>
              <w:spacing w:after="0"/>
              <w:rPr>
                <w:sz w:val="20"/>
                <w:szCs w:val="20"/>
                <w:color w:val="auto"/>
              </w:rPr>
            </w:pPr>
            <w:r>
              <w:rPr>
                <w:rFonts w:ascii="Arial" w:cs="Arial" w:eastAsia="Arial" w:hAnsi="Arial"/>
                <w:sz w:val="16"/>
                <w:szCs w:val="16"/>
                <w:color w:val="auto"/>
              </w:rPr>
              <w:t>800,000</w:t>
            </w:r>
          </w:p>
        </w:tc>
        <w:tc>
          <w:tcPr>
            <w:tcW w:w="2400" w:type="dxa"/>
            <w:vAlign w:val="bottom"/>
          </w:tcPr>
          <w:p>
            <w:pPr>
              <w:jc w:val="right"/>
              <w:ind w:right="641"/>
              <w:spacing w:after="0"/>
              <w:rPr>
                <w:sz w:val="20"/>
                <w:szCs w:val="20"/>
                <w:color w:val="auto"/>
              </w:rPr>
            </w:pPr>
            <w:r>
              <w:rPr>
                <w:rFonts w:ascii="Arial" w:cs="Arial" w:eastAsia="Arial" w:hAnsi="Arial"/>
                <w:sz w:val="16"/>
                <w:szCs w:val="16"/>
                <w:color w:val="auto"/>
              </w:rPr>
              <w:t>800,000</w:t>
            </w:r>
          </w:p>
        </w:tc>
      </w:tr>
      <w:tr>
        <w:trPr>
          <w:trHeight w:val="186"/>
        </w:trPr>
        <w:tc>
          <w:tcPr>
            <w:tcW w:w="1080" w:type="dxa"/>
            <w:vAlign w:val="bottom"/>
          </w:tcPr>
          <w:p>
            <w:pPr>
              <w:spacing w:after="0"/>
              <w:rPr>
                <w:sz w:val="16"/>
                <w:szCs w:val="16"/>
                <w:color w:val="auto"/>
              </w:rPr>
            </w:pPr>
          </w:p>
        </w:tc>
        <w:tc>
          <w:tcPr>
            <w:tcW w:w="1500" w:type="dxa"/>
            <w:vAlign w:val="bottom"/>
          </w:tcPr>
          <w:p>
            <w:pPr>
              <w:ind w:left="140"/>
              <w:spacing w:after="0"/>
              <w:rPr>
                <w:sz w:val="20"/>
                <w:szCs w:val="20"/>
                <w:color w:val="auto"/>
              </w:rPr>
            </w:pPr>
            <w:r>
              <w:rPr>
                <w:rFonts w:ascii="Arial" w:cs="Arial" w:eastAsia="Arial" w:hAnsi="Arial"/>
                <w:sz w:val="16"/>
                <w:szCs w:val="16"/>
                <w:color w:val="auto"/>
              </w:rPr>
              <w:t>Pro rata retention</w:t>
            </w:r>
          </w:p>
        </w:tc>
        <w:tc>
          <w:tcPr>
            <w:tcW w:w="13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400" w:type="dxa"/>
            <w:vAlign w:val="bottom"/>
          </w:tcPr>
          <w:p>
            <w:pPr>
              <w:spacing w:after="0"/>
              <w:rPr>
                <w:sz w:val="16"/>
                <w:szCs w:val="16"/>
                <w:color w:val="auto"/>
              </w:rPr>
            </w:pPr>
          </w:p>
        </w:tc>
      </w:tr>
      <w:tr>
        <w:trPr>
          <w:trHeight w:val="186"/>
        </w:trPr>
        <w:tc>
          <w:tcPr>
            <w:tcW w:w="1080" w:type="dxa"/>
            <w:vAlign w:val="bottom"/>
          </w:tcPr>
          <w:p>
            <w:pPr>
              <w:spacing w:after="0"/>
              <w:rPr>
                <w:sz w:val="16"/>
                <w:szCs w:val="16"/>
                <w:color w:val="auto"/>
              </w:rPr>
            </w:pPr>
          </w:p>
        </w:tc>
        <w:tc>
          <w:tcPr>
            <w:tcW w:w="1500" w:type="dxa"/>
            <w:vAlign w:val="bottom"/>
          </w:tcPr>
          <w:p>
            <w:pPr>
              <w:ind w:left="140"/>
              <w:spacing w:after="0"/>
              <w:rPr>
                <w:sz w:val="20"/>
                <w:szCs w:val="20"/>
                <w:color w:val="auto"/>
              </w:rPr>
            </w:pPr>
            <w:r>
              <w:rPr>
                <w:rFonts w:ascii="Arial" w:cs="Arial" w:eastAsia="Arial" w:hAnsi="Arial"/>
                <w:sz w:val="16"/>
                <w:szCs w:val="16"/>
                <w:color w:val="auto"/>
              </w:rPr>
              <w:t>bonus (2)</w:t>
            </w:r>
          </w:p>
        </w:tc>
        <w:tc>
          <w:tcPr>
            <w:tcW w:w="1360" w:type="dxa"/>
            <w:vAlign w:val="bottom"/>
          </w:tcPr>
          <w:p>
            <w:pPr>
              <w:ind w:left="620"/>
              <w:spacing w:after="0"/>
              <w:rPr>
                <w:sz w:val="20"/>
                <w:szCs w:val="20"/>
                <w:color w:val="auto"/>
              </w:rPr>
            </w:pPr>
            <w:r>
              <w:rPr>
                <w:rFonts w:ascii="Arial" w:cs="Arial" w:eastAsia="Arial" w:hAnsi="Arial"/>
                <w:sz w:val="16"/>
                <w:szCs w:val="16"/>
                <w:color w:val="auto"/>
              </w:rPr>
              <w:t>—</w:t>
            </w:r>
          </w:p>
        </w:tc>
        <w:tc>
          <w:tcPr>
            <w:tcW w:w="2160" w:type="dxa"/>
            <w:vAlign w:val="bottom"/>
          </w:tcPr>
          <w:p>
            <w:pPr>
              <w:jc w:val="right"/>
              <w:ind w:right="701"/>
              <w:spacing w:after="0"/>
              <w:rPr>
                <w:sz w:val="20"/>
                <w:szCs w:val="20"/>
                <w:color w:val="auto"/>
              </w:rPr>
            </w:pPr>
            <w:r>
              <w:rPr>
                <w:rFonts w:ascii="Arial" w:cs="Arial" w:eastAsia="Arial" w:hAnsi="Arial"/>
                <w:sz w:val="16"/>
                <w:szCs w:val="16"/>
                <w:color w:val="auto"/>
              </w:rPr>
              <w:t>358,190</w:t>
            </w:r>
          </w:p>
        </w:tc>
        <w:tc>
          <w:tcPr>
            <w:tcW w:w="2360" w:type="dxa"/>
            <w:vAlign w:val="bottom"/>
          </w:tcPr>
          <w:p>
            <w:pPr>
              <w:jc w:val="right"/>
              <w:ind w:right="741"/>
              <w:spacing w:after="0"/>
              <w:rPr>
                <w:sz w:val="20"/>
                <w:szCs w:val="20"/>
                <w:color w:val="auto"/>
              </w:rPr>
            </w:pPr>
            <w:r>
              <w:rPr>
                <w:rFonts w:ascii="Arial" w:cs="Arial" w:eastAsia="Arial" w:hAnsi="Arial"/>
                <w:sz w:val="16"/>
                <w:szCs w:val="16"/>
                <w:color w:val="auto"/>
              </w:rPr>
              <w:t>358,190</w:t>
            </w:r>
          </w:p>
        </w:tc>
        <w:tc>
          <w:tcPr>
            <w:tcW w:w="2400" w:type="dxa"/>
            <w:vAlign w:val="bottom"/>
          </w:tcPr>
          <w:p>
            <w:pPr>
              <w:jc w:val="right"/>
              <w:ind w:right="641"/>
              <w:spacing w:after="0"/>
              <w:rPr>
                <w:sz w:val="20"/>
                <w:szCs w:val="20"/>
                <w:color w:val="auto"/>
              </w:rPr>
            </w:pPr>
            <w:r>
              <w:rPr>
                <w:rFonts w:ascii="Arial" w:cs="Arial" w:eastAsia="Arial" w:hAnsi="Arial"/>
                <w:sz w:val="16"/>
                <w:szCs w:val="16"/>
                <w:color w:val="auto"/>
              </w:rPr>
              <w:t>358,190</w:t>
            </w:r>
          </w:p>
        </w:tc>
      </w:tr>
      <w:tr>
        <w:trPr>
          <w:trHeight w:val="186"/>
        </w:trPr>
        <w:tc>
          <w:tcPr>
            <w:tcW w:w="1080" w:type="dxa"/>
            <w:vAlign w:val="bottom"/>
          </w:tcPr>
          <w:p>
            <w:pPr>
              <w:spacing w:after="0"/>
              <w:rPr>
                <w:sz w:val="16"/>
                <w:szCs w:val="16"/>
                <w:color w:val="auto"/>
              </w:rPr>
            </w:pPr>
          </w:p>
        </w:tc>
        <w:tc>
          <w:tcPr>
            <w:tcW w:w="1500" w:type="dxa"/>
            <w:vAlign w:val="bottom"/>
          </w:tcPr>
          <w:p>
            <w:pPr>
              <w:ind w:left="140"/>
              <w:spacing w:after="0"/>
              <w:rPr>
                <w:sz w:val="20"/>
                <w:szCs w:val="20"/>
                <w:color w:val="auto"/>
              </w:rPr>
            </w:pPr>
            <w:r>
              <w:rPr>
                <w:rFonts w:ascii="Arial" w:cs="Arial" w:eastAsia="Arial" w:hAnsi="Arial"/>
                <w:sz w:val="16"/>
                <w:szCs w:val="16"/>
                <w:color w:val="auto"/>
              </w:rPr>
              <w:t>Equity</w:t>
            </w:r>
          </w:p>
        </w:tc>
        <w:tc>
          <w:tcPr>
            <w:tcW w:w="13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400" w:type="dxa"/>
            <w:vAlign w:val="bottom"/>
          </w:tcPr>
          <w:p>
            <w:pPr>
              <w:spacing w:after="0"/>
              <w:rPr>
                <w:sz w:val="16"/>
                <w:szCs w:val="16"/>
                <w:color w:val="auto"/>
              </w:rPr>
            </w:pPr>
          </w:p>
        </w:tc>
      </w:tr>
      <w:tr>
        <w:trPr>
          <w:trHeight w:val="186"/>
        </w:trPr>
        <w:tc>
          <w:tcPr>
            <w:tcW w:w="1080" w:type="dxa"/>
            <w:vAlign w:val="bottom"/>
          </w:tcPr>
          <w:p>
            <w:pPr>
              <w:spacing w:after="0"/>
              <w:rPr>
                <w:sz w:val="16"/>
                <w:szCs w:val="16"/>
                <w:color w:val="auto"/>
              </w:rPr>
            </w:pPr>
          </w:p>
        </w:tc>
        <w:tc>
          <w:tcPr>
            <w:tcW w:w="1500" w:type="dxa"/>
            <w:vAlign w:val="bottom"/>
          </w:tcPr>
          <w:p>
            <w:pPr>
              <w:ind w:left="140"/>
              <w:spacing w:after="0"/>
              <w:rPr>
                <w:sz w:val="20"/>
                <w:szCs w:val="20"/>
                <w:color w:val="auto"/>
              </w:rPr>
            </w:pPr>
            <w:r>
              <w:rPr>
                <w:rFonts w:ascii="Arial" w:cs="Arial" w:eastAsia="Arial" w:hAnsi="Arial"/>
                <w:sz w:val="16"/>
                <w:szCs w:val="16"/>
                <w:color w:val="auto"/>
              </w:rPr>
              <w:t>acceleration (3)</w:t>
            </w:r>
          </w:p>
        </w:tc>
        <w:tc>
          <w:tcPr>
            <w:tcW w:w="1360" w:type="dxa"/>
            <w:vAlign w:val="bottom"/>
          </w:tcPr>
          <w:p>
            <w:pPr>
              <w:ind w:left="620"/>
              <w:spacing w:after="0"/>
              <w:rPr>
                <w:sz w:val="20"/>
                <w:szCs w:val="20"/>
                <w:color w:val="auto"/>
              </w:rPr>
            </w:pPr>
            <w:r>
              <w:rPr>
                <w:rFonts w:ascii="Arial" w:cs="Arial" w:eastAsia="Arial" w:hAnsi="Arial"/>
                <w:sz w:val="16"/>
                <w:szCs w:val="16"/>
                <w:color w:val="auto"/>
              </w:rPr>
              <w:t>—</w:t>
            </w:r>
          </w:p>
        </w:tc>
        <w:tc>
          <w:tcPr>
            <w:tcW w:w="2160" w:type="dxa"/>
            <w:vAlign w:val="bottom"/>
          </w:tcPr>
          <w:p>
            <w:pPr>
              <w:jc w:val="right"/>
              <w:ind w:right="701"/>
              <w:spacing w:after="0"/>
              <w:rPr>
                <w:sz w:val="20"/>
                <w:szCs w:val="20"/>
                <w:color w:val="auto"/>
              </w:rPr>
            </w:pPr>
            <w:r>
              <w:rPr>
                <w:rFonts w:ascii="Arial" w:cs="Arial" w:eastAsia="Arial" w:hAnsi="Arial"/>
                <w:sz w:val="16"/>
                <w:szCs w:val="16"/>
                <w:color w:val="auto"/>
              </w:rPr>
              <w:t>—</w:t>
            </w:r>
          </w:p>
        </w:tc>
        <w:tc>
          <w:tcPr>
            <w:tcW w:w="2360" w:type="dxa"/>
            <w:vAlign w:val="bottom"/>
          </w:tcPr>
          <w:p>
            <w:pPr>
              <w:jc w:val="right"/>
              <w:ind w:right="741"/>
              <w:spacing w:after="0"/>
              <w:rPr>
                <w:sz w:val="20"/>
                <w:szCs w:val="20"/>
                <w:color w:val="auto"/>
              </w:rPr>
            </w:pPr>
            <w:r>
              <w:rPr>
                <w:rFonts w:ascii="Arial" w:cs="Arial" w:eastAsia="Arial" w:hAnsi="Arial"/>
                <w:sz w:val="16"/>
                <w:szCs w:val="16"/>
                <w:color w:val="auto"/>
              </w:rPr>
              <w:t>892,012</w:t>
            </w:r>
          </w:p>
        </w:tc>
        <w:tc>
          <w:tcPr>
            <w:tcW w:w="2400" w:type="dxa"/>
            <w:vAlign w:val="bottom"/>
          </w:tcPr>
          <w:p>
            <w:pPr>
              <w:jc w:val="right"/>
              <w:ind w:right="641"/>
              <w:spacing w:after="0"/>
              <w:rPr>
                <w:sz w:val="20"/>
                <w:szCs w:val="20"/>
                <w:color w:val="auto"/>
              </w:rPr>
            </w:pPr>
            <w:r>
              <w:rPr>
                <w:rFonts w:ascii="Arial" w:cs="Arial" w:eastAsia="Arial" w:hAnsi="Arial"/>
                <w:sz w:val="16"/>
                <w:szCs w:val="16"/>
                <w:color w:val="auto"/>
              </w:rPr>
              <w:t>2,494,283</w:t>
            </w:r>
          </w:p>
        </w:tc>
      </w:tr>
      <w:tr>
        <w:trPr>
          <w:trHeight w:val="186"/>
        </w:trPr>
        <w:tc>
          <w:tcPr>
            <w:tcW w:w="1080" w:type="dxa"/>
            <w:vAlign w:val="bottom"/>
          </w:tcPr>
          <w:p>
            <w:pPr>
              <w:spacing w:after="0"/>
              <w:rPr>
                <w:sz w:val="16"/>
                <w:szCs w:val="16"/>
                <w:color w:val="auto"/>
              </w:rPr>
            </w:pPr>
          </w:p>
        </w:tc>
        <w:tc>
          <w:tcPr>
            <w:tcW w:w="1500" w:type="dxa"/>
            <w:vAlign w:val="bottom"/>
          </w:tcPr>
          <w:p>
            <w:pPr>
              <w:ind w:left="140"/>
              <w:spacing w:after="0"/>
              <w:rPr>
                <w:sz w:val="20"/>
                <w:szCs w:val="20"/>
                <w:color w:val="auto"/>
              </w:rPr>
            </w:pPr>
            <w:r>
              <w:rPr>
                <w:rFonts w:ascii="Arial" w:cs="Arial" w:eastAsia="Arial" w:hAnsi="Arial"/>
                <w:sz w:val="16"/>
                <w:szCs w:val="16"/>
                <w:color w:val="auto"/>
              </w:rPr>
              <w:t>Benefits</w:t>
            </w:r>
          </w:p>
        </w:tc>
        <w:tc>
          <w:tcPr>
            <w:tcW w:w="13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400" w:type="dxa"/>
            <w:vAlign w:val="bottom"/>
          </w:tcPr>
          <w:p>
            <w:pPr>
              <w:spacing w:after="0"/>
              <w:rPr>
                <w:sz w:val="16"/>
                <w:szCs w:val="16"/>
                <w:color w:val="auto"/>
              </w:rPr>
            </w:pPr>
          </w:p>
        </w:tc>
      </w:tr>
      <w:tr>
        <w:trPr>
          <w:trHeight w:val="186"/>
        </w:trPr>
        <w:tc>
          <w:tcPr>
            <w:tcW w:w="1080" w:type="dxa"/>
            <w:vAlign w:val="bottom"/>
          </w:tcPr>
          <w:p>
            <w:pPr>
              <w:spacing w:after="0"/>
              <w:rPr>
                <w:sz w:val="16"/>
                <w:szCs w:val="16"/>
                <w:color w:val="auto"/>
              </w:rPr>
            </w:pPr>
          </w:p>
        </w:tc>
        <w:tc>
          <w:tcPr>
            <w:tcW w:w="1500" w:type="dxa"/>
            <w:vAlign w:val="bottom"/>
          </w:tcPr>
          <w:p>
            <w:pPr>
              <w:ind w:left="140"/>
              <w:spacing w:after="0"/>
              <w:rPr>
                <w:sz w:val="20"/>
                <w:szCs w:val="20"/>
                <w:color w:val="auto"/>
              </w:rPr>
            </w:pPr>
            <w:r>
              <w:rPr>
                <w:rFonts w:ascii="Arial" w:cs="Arial" w:eastAsia="Arial" w:hAnsi="Arial"/>
                <w:sz w:val="16"/>
                <w:szCs w:val="16"/>
                <w:color w:val="auto"/>
              </w:rPr>
              <w:t>continuation</w:t>
            </w:r>
          </w:p>
        </w:tc>
        <w:tc>
          <w:tcPr>
            <w:tcW w:w="1360" w:type="dxa"/>
            <w:vAlign w:val="bottom"/>
          </w:tcPr>
          <w:p>
            <w:pPr>
              <w:ind w:left="620"/>
              <w:spacing w:after="0"/>
              <w:rPr>
                <w:sz w:val="20"/>
                <w:szCs w:val="20"/>
                <w:color w:val="auto"/>
              </w:rPr>
            </w:pPr>
            <w:r>
              <w:rPr>
                <w:rFonts w:ascii="Arial" w:cs="Arial" w:eastAsia="Arial" w:hAnsi="Arial"/>
                <w:sz w:val="16"/>
                <w:szCs w:val="16"/>
                <w:color w:val="auto"/>
              </w:rPr>
              <w:t>—</w:t>
            </w:r>
          </w:p>
        </w:tc>
        <w:tc>
          <w:tcPr>
            <w:tcW w:w="2160" w:type="dxa"/>
            <w:vAlign w:val="bottom"/>
          </w:tcPr>
          <w:p>
            <w:pPr>
              <w:jc w:val="right"/>
              <w:ind w:right="701"/>
              <w:spacing w:after="0"/>
              <w:rPr>
                <w:sz w:val="20"/>
                <w:szCs w:val="20"/>
                <w:color w:val="auto"/>
              </w:rPr>
            </w:pPr>
            <w:r>
              <w:rPr>
                <w:rFonts w:ascii="Arial" w:cs="Arial" w:eastAsia="Arial" w:hAnsi="Arial"/>
                <w:sz w:val="16"/>
                <w:szCs w:val="16"/>
                <w:color w:val="auto"/>
              </w:rPr>
              <w:t>25,364</w:t>
            </w:r>
          </w:p>
        </w:tc>
        <w:tc>
          <w:tcPr>
            <w:tcW w:w="2360" w:type="dxa"/>
            <w:vAlign w:val="bottom"/>
          </w:tcPr>
          <w:p>
            <w:pPr>
              <w:jc w:val="right"/>
              <w:ind w:right="741"/>
              <w:spacing w:after="0"/>
              <w:rPr>
                <w:sz w:val="20"/>
                <w:szCs w:val="20"/>
                <w:color w:val="auto"/>
              </w:rPr>
            </w:pPr>
            <w:r>
              <w:rPr>
                <w:rFonts w:ascii="Arial" w:cs="Arial" w:eastAsia="Arial" w:hAnsi="Arial"/>
                <w:sz w:val="16"/>
                <w:szCs w:val="16"/>
                <w:color w:val="auto"/>
              </w:rPr>
              <w:t>8,890</w:t>
            </w:r>
          </w:p>
        </w:tc>
        <w:tc>
          <w:tcPr>
            <w:tcW w:w="2400" w:type="dxa"/>
            <w:vAlign w:val="bottom"/>
          </w:tcPr>
          <w:p>
            <w:pPr>
              <w:jc w:val="right"/>
              <w:ind w:right="641"/>
              <w:spacing w:after="0"/>
              <w:rPr>
                <w:sz w:val="20"/>
                <w:szCs w:val="20"/>
                <w:color w:val="auto"/>
              </w:rPr>
            </w:pPr>
            <w:r>
              <w:rPr>
                <w:rFonts w:ascii="Arial" w:cs="Arial" w:eastAsia="Arial" w:hAnsi="Arial"/>
                <w:sz w:val="16"/>
                <w:szCs w:val="16"/>
                <w:color w:val="auto"/>
              </w:rPr>
              <w:t>33,818</w:t>
            </w:r>
          </w:p>
        </w:tc>
      </w:tr>
      <w:tr>
        <w:trPr>
          <w:trHeight w:val="184"/>
        </w:trPr>
        <w:tc>
          <w:tcPr>
            <w:tcW w:w="1080" w:type="dxa"/>
            <w:vAlign w:val="bottom"/>
            <w:tcBorders>
              <w:bottom w:val="single" w:sz="8" w:color="999999"/>
            </w:tcBorders>
          </w:tcPr>
          <w:p>
            <w:pPr>
              <w:spacing w:after="0"/>
              <w:rPr>
                <w:sz w:val="16"/>
                <w:szCs w:val="16"/>
                <w:color w:val="auto"/>
              </w:rPr>
            </w:pPr>
          </w:p>
        </w:tc>
        <w:tc>
          <w:tcPr>
            <w:tcW w:w="1500" w:type="dxa"/>
            <w:vAlign w:val="bottom"/>
            <w:tcBorders>
              <w:bottom w:val="single" w:sz="8" w:color="999999"/>
            </w:tcBorders>
          </w:tcPr>
          <w:p>
            <w:pPr>
              <w:ind w:left="140"/>
              <w:spacing w:after="0"/>
              <w:rPr>
                <w:sz w:val="20"/>
                <w:szCs w:val="20"/>
                <w:color w:val="auto"/>
              </w:rPr>
            </w:pPr>
            <w:r>
              <w:rPr>
                <w:rFonts w:ascii="Arial" w:cs="Arial" w:eastAsia="Arial" w:hAnsi="Arial"/>
                <w:sz w:val="16"/>
                <w:szCs w:val="16"/>
                <w:color w:val="auto"/>
              </w:rPr>
              <w:t>Cutback (4)</w:t>
            </w:r>
          </w:p>
        </w:tc>
        <w:tc>
          <w:tcPr>
            <w:tcW w:w="1360" w:type="dxa"/>
            <w:vAlign w:val="bottom"/>
            <w:tcBorders>
              <w:bottom w:val="single" w:sz="8" w:color="999999"/>
            </w:tcBorders>
          </w:tcPr>
          <w:p>
            <w:pPr>
              <w:ind w:left="620"/>
              <w:spacing w:after="0"/>
              <w:rPr>
                <w:sz w:val="20"/>
                <w:szCs w:val="20"/>
                <w:color w:val="auto"/>
              </w:rPr>
            </w:pPr>
            <w:r>
              <w:rPr>
                <w:rFonts w:ascii="Arial" w:cs="Arial" w:eastAsia="Arial" w:hAnsi="Arial"/>
                <w:sz w:val="16"/>
                <w:szCs w:val="16"/>
                <w:color w:val="auto"/>
              </w:rPr>
              <w:t>—</w:t>
            </w:r>
          </w:p>
        </w:tc>
        <w:tc>
          <w:tcPr>
            <w:tcW w:w="2160" w:type="dxa"/>
            <w:vAlign w:val="bottom"/>
            <w:tcBorders>
              <w:bottom w:val="single" w:sz="8" w:color="999999"/>
            </w:tcBorders>
          </w:tcPr>
          <w:p>
            <w:pPr>
              <w:jc w:val="right"/>
              <w:ind w:right="701"/>
              <w:spacing w:after="0"/>
              <w:rPr>
                <w:sz w:val="20"/>
                <w:szCs w:val="20"/>
                <w:color w:val="auto"/>
              </w:rPr>
            </w:pPr>
            <w:r>
              <w:rPr>
                <w:rFonts w:ascii="Arial" w:cs="Arial" w:eastAsia="Arial" w:hAnsi="Arial"/>
                <w:sz w:val="16"/>
                <w:szCs w:val="16"/>
                <w:color w:val="auto"/>
              </w:rPr>
              <w:t>—</w:t>
            </w:r>
          </w:p>
        </w:tc>
        <w:tc>
          <w:tcPr>
            <w:tcW w:w="2360" w:type="dxa"/>
            <w:vAlign w:val="bottom"/>
            <w:tcBorders>
              <w:bottom w:val="single" w:sz="8" w:color="999999"/>
            </w:tcBorders>
          </w:tcPr>
          <w:p>
            <w:pPr>
              <w:jc w:val="right"/>
              <w:ind w:right="741"/>
              <w:spacing w:after="0"/>
              <w:rPr>
                <w:sz w:val="20"/>
                <w:szCs w:val="20"/>
                <w:color w:val="auto"/>
              </w:rPr>
            </w:pPr>
            <w:r>
              <w:rPr>
                <w:rFonts w:ascii="Arial" w:cs="Arial" w:eastAsia="Arial" w:hAnsi="Arial"/>
                <w:sz w:val="16"/>
                <w:szCs w:val="16"/>
                <w:color w:val="auto"/>
              </w:rPr>
              <w:t>—</w:t>
            </w:r>
          </w:p>
        </w:tc>
        <w:tc>
          <w:tcPr>
            <w:tcW w:w="2400" w:type="dxa"/>
            <w:vAlign w:val="bottom"/>
            <w:tcBorders>
              <w:bottom w:val="single" w:sz="8" w:color="999999"/>
            </w:tcBorders>
          </w:tcPr>
          <w:p>
            <w:pPr>
              <w:jc w:val="right"/>
              <w:ind w:right="641"/>
              <w:spacing w:after="0"/>
              <w:rPr>
                <w:sz w:val="20"/>
                <w:szCs w:val="20"/>
                <w:color w:val="auto"/>
              </w:rPr>
            </w:pPr>
            <w:r>
              <w:rPr>
                <w:rFonts w:ascii="Arial" w:cs="Arial" w:eastAsia="Arial" w:hAnsi="Arial"/>
                <w:sz w:val="16"/>
                <w:szCs w:val="16"/>
                <w:color w:val="auto"/>
              </w:rPr>
              <w:t>—</w:t>
            </w:r>
          </w:p>
        </w:tc>
      </w:tr>
      <w:tr>
        <w:trPr>
          <w:trHeight w:val="179"/>
        </w:trPr>
        <w:tc>
          <w:tcPr>
            <w:tcW w:w="1080" w:type="dxa"/>
            <w:vAlign w:val="bottom"/>
            <w:tcBorders>
              <w:bottom w:val="single" w:sz="8" w:color="999999"/>
            </w:tcBorders>
          </w:tcPr>
          <w:p>
            <w:pPr>
              <w:spacing w:after="0"/>
              <w:rPr>
                <w:sz w:val="15"/>
                <w:szCs w:val="15"/>
                <w:color w:val="auto"/>
              </w:rPr>
            </w:pPr>
          </w:p>
        </w:tc>
        <w:tc>
          <w:tcPr>
            <w:tcW w:w="1500" w:type="dxa"/>
            <w:vAlign w:val="bottom"/>
            <w:tcBorders>
              <w:bottom w:val="single" w:sz="8" w:color="999999"/>
            </w:tcBorders>
          </w:tcPr>
          <w:p>
            <w:pPr>
              <w:ind w:left="140"/>
              <w:spacing w:after="0" w:line="180" w:lineRule="exact"/>
              <w:rPr>
                <w:sz w:val="20"/>
                <w:szCs w:val="20"/>
                <w:color w:val="auto"/>
              </w:rPr>
            </w:pPr>
            <w:r>
              <w:rPr>
                <w:rFonts w:ascii="Arial" w:cs="Arial" w:eastAsia="Arial" w:hAnsi="Arial"/>
                <w:sz w:val="16"/>
                <w:szCs w:val="16"/>
                <w:b w:val="1"/>
                <w:bCs w:val="1"/>
                <w:color w:val="auto"/>
              </w:rPr>
              <w:t>Total Value</w:t>
            </w:r>
          </w:p>
        </w:tc>
        <w:tc>
          <w:tcPr>
            <w:tcW w:w="1360" w:type="dxa"/>
            <w:vAlign w:val="bottom"/>
            <w:tcBorders>
              <w:bottom w:val="single" w:sz="8" w:color="999999"/>
            </w:tcBorders>
          </w:tcPr>
          <w:p>
            <w:pPr>
              <w:ind w:left="620"/>
              <w:spacing w:after="0" w:line="180" w:lineRule="exact"/>
              <w:rPr>
                <w:sz w:val="20"/>
                <w:szCs w:val="20"/>
                <w:color w:val="auto"/>
              </w:rPr>
            </w:pPr>
            <w:r>
              <w:rPr>
                <w:rFonts w:ascii="Arial" w:cs="Arial" w:eastAsia="Arial" w:hAnsi="Arial"/>
                <w:sz w:val="16"/>
                <w:szCs w:val="16"/>
                <w:b w:val="1"/>
                <w:bCs w:val="1"/>
                <w:color w:val="auto"/>
              </w:rPr>
              <w:t>—</w:t>
            </w:r>
          </w:p>
        </w:tc>
        <w:tc>
          <w:tcPr>
            <w:tcW w:w="2160" w:type="dxa"/>
            <w:vAlign w:val="bottom"/>
            <w:tcBorders>
              <w:bottom w:val="single" w:sz="8" w:color="999999"/>
            </w:tcBorders>
          </w:tcPr>
          <w:p>
            <w:pPr>
              <w:jc w:val="right"/>
              <w:ind w:right="701"/>
              <w:spacing w:after="0" w:line="180" w:lineRule="exact"/>
              <w:rPr>
                <w:sz w:val="20"/>
                <w:szCs w:val="20"/>
                <w:color w:val="auto"/>
              </w:rPr>
            </w:pPr>
            <w:r>
              <w:rPr>
                <w:rFonts w:ascii="Arial" w:cs="Arial" w:eastAsia="Arial" w:hAnsi="Arial"/>
                <w:sz w:val="16"/>
                <w:szCs w:val="16"/>
                <w:b w:val="1"/>
                <w:bCs w:val="1"/>
                <w:color w:val="auto"/>
              </w:rPr>
              <w:t>3,583,554</w:t>
            </w:r>
          </w:p>
        </w:tc>
        <w:tc>
          <w:tcPr>
            <w:tcW w:w="2360" w:type="dxa"/>
            <w:vAlign w:val="bottom"/>
            <w:tcBorders>
              <w:bottom w:val="single" w:sz="8" w:color="999999"/>
            </w:tcBorders>
          </w:tcPr>
          <w:p>
            <w:pPr>
              <w:jc w:val="right"/>
              <w:ind w:right="741"/>
              <w:spacing w:after="0" w:line="180" w:lineRule="exact"/>
              <w:rPr>
                <w:sz w:val="20"/>
                <w:szCs w:val="20"/>
                <w:color w:val="auto"/>
              </w:rPr>
            </w:pPr>
            <w:r>
              <w:rPr>
                <w:rFonts w:ascii="Arial" w:cs="Arial" w:eastAsia="Arial" w:hAnsi="Arial"/>
                <w:sz w:val="16"/>
                <w:szCs w:val="16"/>
                <w:b w:val="1"/>
                <w:bCs w:val="1"/>
                <w:color w:val="auto"/>
              </w:rPr>
              <w:t>2,059,092</w:t>
            </w:r>
          </w:p>
        </w:tc>
        <w:tc>
          <w:tcPr>
            <w:tcW w:w="2400" w:type="dxa"/>
            <w:vAlign w:val="bottom"/>
            <w:tcBorders>
              <w:bottom w:val="single" w:sz="8" w:color="999999"/>
            </w:tcBorders>
          </w:tcPr>
          <w:p>
            <w:pPr>
              <w:jc w:val="right"/>
              <w:ind w:right="641"/>
              <w:spacing w:after="0" w:line="180" w:lineRule="exact"/>
              <w:rPr>
                <w:sz w:val="20"/>
                <w:szCs w:val="20"/>
                <w:color w:val="auto"/>
              </w:rPr>
            </w:pPr>
            <w:r>
              <w:rPr>
                <w:rFonts w:ascii="Arial" w:cs="Arial" w:eastAsia="Arial" w:hAnsi="Arial"/>
                <w:sz w:val="16"/>
                <w:szCs w:val="16"/>
                <w:b w:val="1"/>
                <w:bCs w:val="1"/>
                <w:color w:val="auto"/>
              </w:rPr>
              <w:t>6,886,291</w:t>
            </w:r>
          </w:p>
        </w:tc>
      </w:tr>
      <w:tr>
        <w:trPr>
          <w:trHeight w:val="181"/>
        </w:trPr>
        <w:tc>
          <w:tcPr>
            <w:tcW w:w="1080" w:type="dxa"/>
            <w:vAlign w:val="bottom"/>
          </w:tcPr>
          <w:p>
            <w:pPr>
              <w:spacing w:after="0" w:line="181" w:lineRule="exact"/>
              <w:rPr>
                <w:sz w:val="20"/>
                <w:szCs w:val="20"/>
                <w:color w:val="auto"/>
              </w:rPr>
            </w:pPr>
            <w:r>
              <w:rPr>
                <w:rFonts w:ascii="Arial" w:cs="Arial" w:eastAsia="Arial" w:hAnsi="Arial"/>
                <w:sz w:val="16"/>
                <w:szCs w:val="16"/>
                <w:color w:val="auto"/>
              </w:rPr>
              <w:t>John D. Kelly</w:t>
            </w:r>
          </w:p>
        </w:tc>
        <w:tc>
          <w:tcPr>
            <w:tcW w:w="1500" w:type="dxa"/>
            <w:vAlign w:val="bottom"/>
          </w:tcPr>
          <w:p>
            <w:pPr>
              <w:ind w:left="140"/>
              <w:spacing w:after="0" w:line="181" w:lineRule="exact"/>
              <w:rPr>
                <w:sz w:val="20"/>
                <w:szCs w:val="20"/>
                <w:color w:val="auto"/>
              </w:rPr>
            </w:pPr>
            <w:r>
              <w:rPr>
                <w:rFonts w:ascii="Arial" w:cs="Arial" w:eastAsia="Arial" w:hAnsi="Arial"/>
                <w:sz w:val="16"/>
                <w:szCs w:val="16"/>
                <w:color w:val="auto"/>
              </w:rPr>
              <w:t>Salary</w:t>
            </w:r>
          </w:p>
        </w:tc>
        <w:tc>
          <w:tcPr>
            <w:tcW w:w="1360" w:type="dxa"/>
            <w:vAlign w:val="bottom"/>
          </w:tcPr>
          <w:p>
            <w:pPr>
              <w:ind w:left="620"/>
              <w:spacing w:after="0" w:line="181" w:lineRule="exact"/>
              <w:rPr>
                <w:sz w:val="20"/>
                <w:szCs w:val="20"/>
                <w:color w:val="auto"/>
              </w:rPr>
            </w:pPr>
            <w:r>
              <w:rPr>
                <w:rFonts w:ascii="Arial" w:cs="Arial" w:eastAsia="Arial" w:hAnsi="Arial"/>
                <w:sz w:val="16"/>
                <w:szCs w:val="16"/>
                <w:color w:val="auto"/>
              </w:rPr>
              <w:t>—</w:t>
            </w:r>
          </w:p>
        </w:tc>
        <w:tc>
          <w:tcPr>
            <w:tcW w:w="2160" w:type="dxa"/>
            <w:vAlign w:val="bottom"/>
          </w:tcPr>
          <w:p>
            <w:pPr>
              <w:jc w:val="right"/>
              <w:ind w:right="701"/>
              <w:spacing w:after="0" w:line="181" w:lineRule="exact"/>
              <w:rPr>
                <w:sz w:val="20"/>
                <w:szCs w:val="20"/>
                <w:color w:val="auto"/>
              </w:rPr>
            </w:pPr>
            <w:r>
              <w:rPr>
                <w:rFonts w:ascii="Arial" w:cs="Arial" w:eastAsia="Arial" w:hAnsi="Arial"/>
                <w:sz w:val="16"/>
                <w:szCs w:val="16"/>
                <w:color w:val="auto"/>
              </w:rPr>
              <w:t>525,000</w:t>
            </w:r>
          </w:p>
        </w:tc>
        <w:tc>
          <w:tcPr>
            <w:tcW w:w="2360" w:type="dxa"/>
            <w:vAlign w:val="bottom"/>
          </w:tcPr>
          <w:p>
            <w:pPr>
              <w:jc w:val="right"/>
              <w:ind w:right="741"/>
              <w:spacing w:after="0" w:line="181" w:lineRule="exact"/>
              <w:rPr>
                <w:sz w:val="20"/>
                <w:szCs w:val="20"/>
                <w:color w:val="auto"/>
              </w:rPr>
            </w:pPr>
            <w:r>
              <w:rPr>
                <w:rFonts w:ascii="Arial" w:cs="Arial" w:eastAsia="Arial" w:hAnsi="Arial"/>
                <w:sz w:val="16"/>
                <w:szCs w:val="16"/>
                <w:color w:val="auto"/>
              </w:rPr>
              <w:t>—</w:t>
            </w:r>
          </w:p>
        </w:tc>
        <w:tc>
          <w:tcPr>
            <w:tcW w:w="2400" w:type="dxa"/>
            <w:vAlign w:val="bottom"/>
          </w:tcPr>
          <w:p>
            <w:pPr>
              <w:jc w:val="right"/>
              <w:ind w:right="641"/>
              <w:spacing w:after="0" w:line="181" w:lineRule="exact"/>
              <w:rPr>
                <w:sz w:val="20"/>
                <w:szCs w:val="20"/>
                <w:color w:val="auto"/>
              </w:rPr>
            </w:pPr>
            <w:r>
              <w:rPr>
                <w:rFonts w:ascii="Arial" w:cs="Arial" w:eastAsia="Arial" w:hAnsi="Arial"/>
                <w:sz w:val="16"/>
                <w:szCs w:val="16"/>
                <w:color w:val="auto"/>
              </w:rPr>
              <w:t>787,500</w:t>
            </w:r>
          </w:p>
        </w:tc>
      </w:tr>
      <w:tr>
        <w:trPr>
          <w:trHeight w:val="186"/>
        </w:trPr>
        <w:tc>
          <w:tcPr>
            <w:tcW w:w="1080" w:type="dxa"/>
            <w:vAlign w:val="bottom"/>
          </w:tcPr>
          <w:p>
            <w:pPr>
              <w:spacing w:after="0"/>
              <w:rPr>
                <w:sz w:val="16"/>
                <w:szCs w:val="16"/>
                <w:color w:val="auto"/>
              </w:rPr>
            </w:pPr>
          </w:p>
        </w:tc>
        <w:tc>
          <w:tcPr>
            <w:tcW w:w="1500" w:type="dxa"/>
            <w:vAlign w:val="bottom"/>
          </w:tcPr>
          <w:p>
            <w:pPr>
              <w:ind w:left="140"/>
              <w:spacing w:after="0"/>
              <w:rPr>
                <w:sz w:val="20"/>
                <w:szCs w:val="20"/>
                <w:color w:val="auto"/>
              </w:rPr>
            </w:pPr>
            <w:r>
              <w:rPr>
                <w:rFonts w:ascii="Arial" w:cs="Arial" w:eastAsia="Arial" w:hAnsi="Arial"/>
                <w:sz w:val="16"/>
                <w:szCs w:val="16"/>
                <w:color w:val="auto"/>
              </w:rPr>
              <w:t>Bonus</w:t>
            </w:r>
          </w:p>
        </w:tc>
        <w:tc>
          <w:tcPr>
            <w:tcW w:w="1360" w:type="dxa"/>
            <w:vAlign w:val="bottom"/>
          </w:tcPr>
          <w:p>
            <w:pPr>
              <w:ind w:left="620"/>
              <w:spacing w:after="0"/>
              <w:rPr>
                <w:sz w:val="20"/>
                <w:szCs w:val="20"/>
                <w:color w:val="auto"/>
              </w:rPr>
            </w:pPr>
            <w:r>
              <w:rPr>
                <w:rFonts w:ascii="Arial" w:cs="Arial" w:eastAsia="Arial" w:hAnsi="Arial"/>
                <w:sz w:val="16"/>
                <w:szCs w:val="16"/>
                <w:color w:val="auto"/>
              </w:rPr>
              <w:t>—</w:t>
            </w:r>
          </w:p>
        </w:tc>
        <w:tc>
          <w:tcPr>
            <w:tcW w:w="2160" w:type="dxa"/>
            <w:vAlign w:val="bottom"/>
          </w:tcPr>
          <w:p>
            <w:pPr>
              <w:jc w:val="right"/>
              <w:ind w:right="701"/>
              <w:spacing w:after="0"/>
              <w:rPr>
                <w:sz w:val="20"/>
                <w:szCs w:val="20"/>
                <w:color w:val="auto"/>
              </w:rPr>
            </w:pPr>
            <w:r>
              <w:rPr>
                <w:rFonts w:ascii="Arial" w:cs="Arial" w:eastAsia="Arial" w:hAnsi="Arial"/>
                <w:sz w:val="16"/>
                <w:szCs w:val="16"/>
                <w:color w:val="auto"/>
              </w:rPr>
              <w:t>472,500</w:t>
            </w:r>
          </w:p>
        </w:tc>
        <w:tc>
          <w:tcPr>
            <w:tcW w:w="2360" w:type="dxa"/>
            <w:vAlign w:val="bottom"/>
          </w:tcPr>
          <w:p>
            <w:pPr>
              <w:jc w:val="right"/>
              <w:ind w:right="741"/>
              <w:spacing w:after="0"/>
              <w:rPr>
                <w:sz w:val="20"/>
                <w:szCs w:val="20"/>
                <w:color w:val="auto"/>
              </w:rPr>
            </w:pPr>
            <w:r>
              <w:rPr>
                <w:rFonts w:ascii="Arial" w:cs="Arial" w:eastAsia="Arial" w:hAnsi="Arial"/>
                <w:sz w:val="16"/>
                <w:szCs w:val="16"/>
                <w:color w:val="auto"/>
              </w:rPr>
              <w:t>—</w:t>
            </w:r>
          </w:p>
        </w:tc>
        <w:tc>
          <w:tcPr>
            <w:tcW w:w="2400" w:type="dxa"/>
            <w:vAlign w:val="bottom"/>
          </w:tcPr>
          <w:p>
            <w:pPr>
              <w:jc w:val="right"/>
              <w:ind w:right="641"/>
              <w:spacing w:after="0"/>
              <w:rPr>
                <w:sz w:val="20"/>
                <w:szCs w:val="20"/>
                <w:color w:val="auto"/>
              </w:rPr>
            </w:pPr>
            <w:r>
              <w:rPr>
                <w:rFonts w:ascii="Arial" w:cs="Arial" w:eastAsia="Arial" w:hAnsi="Arial"/>
                <w:sz w:val="16"/>
                <w:szCs w:val="16"/>
                <w:color w:val="auto"/>
              </w:rPr>
              <w:t>708,750</w:t>
            </w:r>
          </w:p>
        </w:tc>
      </w:tr>
      <w:tr>
        <w:trPr>
          <w:trHeight w:val="186"/>
        </w:trPr>
        <w:tc>
          <w:tcPr>
            <w:tcW w:w="1080" w:type="dxa"/>
            <w:vAlign w:val="bottom"/>
          </w:tcPr>
          <w:p>
            <w:pPr>
              <w:spacing w:after="0"/>
              <w:rPr>
                <w:sz w:val="16"/>
                <w:szCs w:val="16"/>
                <w:color w:val="auto"/>
              </w:rPr>
            </w:pPr>
          </w:p>
        </w:tc>
        <w:tc>
          <w:tcPr>
            <w:tcW w:w="1500" w:type="dxa"/>
            <w:vAlign w:val="bottom"/>
          </w:tcPr>
          <w:p>
            <w:pPr>
              <w:ind w:left="140"/>
              <w:spacing w:after="0"/>
              <w:rPr>
                <w:sz w:val="20"/>
                <w:szCs w:val="20"/>
                <w:color w:val="auto"/>
              </w:rPr>
            </w:pPr>
            <w:r>
              <w:rPr>
                <w:rFonts w:ascii="Arial" w:cs="Arial" w:eastAsia="Arial" w:hAnsi="Arial"/>
                <w:sz w:val="16"/>
                <w:szCs w:val="16"/>
                <w:color w:val="auto"/>
              </w:rPr>
              <w:t>Pro rata bonus</w:t>
            </w:r>
          </w:p>
        </w:tc>
        <w:tc>
          <w:tcPr>
            <w:tcW w:w="13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400" w:type="dxa"/>
            <w:vAlign w:val="bottom"/>
          </w:tcPr>
          <w:p>
            <w:pPr>
              <w:spacing w:after="0"/>
              <w:rPr>
                <w:sz w:val="16"/>
                <w:szCs w:val="16"/>
                <w:color w:val="auto"/>
              </w:rPr>
            </w:pPr>
          </w:p>
        </w:tc>
      </w:tr>
      <w:tr>
        <w:trPr>
          <w:trHeight w:val="186"/>
        </w:trPr>
        <w:tc>
          <w:tcPr>
            <w:tcW w:w="1080" w:type="dxa"/>
            <w:vAlign w:val="bottom"/>
          </w:tcPr>
          <w:p>
            <w:pPr>
              <w:spacing w:after="0"/>
              <w:rPr>
                <w:sz w:val="16"/>
                <w:szCs w:val="16"/>
                <w:color w:val="auto"/>
              </w:rPr>
            </w:pPr>
          </w:p>
        </w:tc>
        <w:tc>
          <w:tcPr>
            <w:tcW w:w="1500" w:type="dxa"/>
            <w:vAlign w:val="bottom"/>
          </w:tcPr>
          <w:p>
            <w:pPr>
              <w:ind w:left="140"/>
              <w:spacing w:after="0"/>
              <w:rPr>
                <w:sz w:val="20"/>
                <w:szCs w:val="20"/>
                <w:color w:val="auto"/>
              </w:rPr>
            </w:pPr>
            <w:r>
              <w:rPr>
                <w:rFonts w:ascii="Arial" w:cs="Arial" w:eastAsia="Arial" w:hAnsi="Arial"/>
                <w:sz w:val="16"/>
                <w:szCs w:val="16"/>
                <w:color w:val="auto"/>
              </w:rPr>
              <w:t>(1)</w:t>
            </w:r>
          </w:p>
        </w:tc>
        <w:tc>
          <w:tcPr>
            <w:tcW w:w="1360" w:type="dxa"/>
            <w:vAlign w:val="bottom"/>
          </w:tcPr>
          <w:p>
            <w:pPr>
              <w:ind w:left="620"/>
              <w:spacing w:after="0"/>
              <w:rPr>
                <w:sz w:val="20"/>
                <w:szCs w:val="20"/>
                <w:color w:val="auto"/>
              </w:rPr>
            </w:pPr>
            <w:r>
              <w:rPr>
                <w:rFonts w:ascii="Arial" w:cs="Arial" w:eastAsia="Arial" w:hAnsi="Arial"/>
                <w:sz w:val="16"/>
                <w:szCs w:val="16"/>
                <w:color w:val="auto"/>
              </w:rPr>
              <w:t>—</w:t>
            </w:r>
          </w:p>
        </w:tc>
        <w:tc>
          <w:tcPr>
            <w:tcW w:w="2160" w:type="dxa"/>
            <w:vAlign w:val="bottom"/>
          </w:tcPr>
          <w:p>
            <w:pPr>
              <w:jc w:val="right"/>
              <w:ind w:right="701"/>
              <w:spacing w:after="0"/>
              <w:rPr>
                <w:sz w:val="20"/>
                <w:szCs w:val="20"/>
                <w:color w:val="auto"/>
              </w:rPr>
            </w:pPr>
            <w:r>
              <w:rPr>
                <w:rFonts w:ascii="Arial" w:cs="Arial" w:eastAsia="Arial" w:hAnsi="Arial"/>
                <w:sz w:val="16"/>
                <w:szCs w:val="16"/>
                <w:color w:val="auto"/>
              </w:rPr>
              <w:t>472,500</w:t>
            </w:r>
          </w:p>
        </w:tc>
        <w:tc>
          <w:tcPr>
            <w:tcW w:w="2360" w:type="dxa"/>
            <w:vAlign w:val="bottom"/>
          </w:tcPr>
          <w:p>
            <w:pPr>
              <w:jc w:val="right"/>
              <w:ind w:right="741"/>
              <w:spacing w:after="0"/>
              <w:rPr>
                <w:sz w:val="20"/>
                <w:szCs w:val="20"/>
                <w:color w:val="auto"/>
              </w:rPr>
            </w:pPr>
            <w:r>
              <w:rPr>
                <w:rFonts w:ascii="Arial" w:cs="Arial" w:eastAsia="Arial" w:hAnsi="Arial"/>
                <w:sz w:val="16"/>
                <w:szCs w:val="16"/>
                <w:color w:val="auto"/>
              </w:rPr>
              <w:t>472,500</w:t>
            </w:r>
          </w:p>
        </w:tc>
        <w:tc>
          <w:tcPr>
            <w:tcW w:w="2400" w:type="dxa"/>
            <w:vAlign w:val="bottom"/>
          </w:tcPr>
          <w:p>
            <w:pPr>
              <w:jc w:val="right"/>
              <w:ind w:right="641"/>
              <w:spacing w:after="0"/>
              <w:rPr>
                <w:sz w:val="20"/>
                <w:szCs w:val="20"/>
                <w:color w:val="auto"/>
              </w:rPr>
            </w:pPr>
            <w:r>
              <w:rPr>
                <w:rFonts w:ascii="Arial" w:cs="Arial" w:eastAsia="Arial" w:hAnsi="Arial"/>
                <w:sz w:val="16"/>
                <w:szCs w:val="16"/>
                <w:color w:val="auto"/>
              </w:rPr>
              <w:t>472,500</w:t>
            </w:r>
          </w:p>
        </w:tc>
      </w:tr>
      <w:tr>
        <w:trPr>
          <w:trHeight w:val="186"/>
        </w:trPr>
        <w:tc>
          <w:tcPr>
            <w:tcW w:w="1080" w:type="dxa"/>
            <w:vAlign w:val="bottom"/>
          </w:tcPr>
          <w:p>
            <w:pPr>
              <w:spacing w:after="0"/>
              <w:rPr>
                <w:sz w:val="16"/>
                <w:szCs w:val="16"/>
                <w:color w:val="auto"/>
              </w:rPr>
            </w:pPr>
          </w:p>
        </w:tc>
        <w:tc>
          <w:tcPr>
            <w:tcW w:w="1500" w:type="dxa"/>
            <w:vAlign w:val="bottom"/>
          </w:tcPr>
          <w:p>
            <w:pPr>
              <w:ind w:left="140"/>
              <w:spacing w:after="0"/>
              <w:rPr>
                <w:sz w:val="20"/>
                <w:szCs w:val="20"/>
                <w:color w:val="auto"/>
              </w:rPr>
            </w:pPr>
            <w:r>
              <w:rPr>
                <w:rFonts w:ascii="Arial" w:cs="Arial" w:eastAsia="Arial" w:hAnsi="Arial"/>
                <w:sz w:val="16"/>
                <w:szCs w:val="16"/>
                <w:color w:val="auto"/>
              </w:rPr>
              <w:t>Pro rata retention</w:t>
            </w:r>
          </w:p>
        </w:tc>
        <w:tc>
          <w:tcPr>
            <w:tcW w:w="13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400" w:type="dxa"/>
            <w:vAlign w:val="bottom"/>
          </w:tcPr>
          <w:p>
            <w:pPr>
              <w:spacing w:after="0"/>
              <w:rPr>
                <w:sz w:val="16"/>
                <w:szCs w:val="16"/>
                <w:color w:val="auto"/>
              </w:rPr>
            </w:pPr>
          </w:p>
        </w:tc>
      </w:tr>
      <w:tr>
        <w:trPr>
          <w:trHeight w:val="186"/>
        </w:trPr>
        <w:tc>
          <w:tcPr>
            <w:tcW w:w="1080" w:type="dxa"/>
            <w:vAlign w:val="bottom"/>
          </w:tcPr>
          <w:p>
            <w:pPr>
              <w:spacing w:after="0"/>
              <w:rPr>
                <w:sz w:val="16"/>
                <w:szCs w:val="16"/>
                <w:color w:val="auto"/>
              </w:rPr>
            </w:pPr>
          </w:p>
        </w:tc>
        <w:tc>
          <w:tcPr>
            <w:tcW w:w="1500" w:type="dxa"/>
            <w:vAlign w:val="bottom"/>
          </w:tcPr>
          <w:p>
            <w:pPr>
              <w:ind w:left="140"/>
              <w:spacing w:after="0"/>
              <w:rPr>
                <w:sz w:val="20"/>
                <w:szCs w:val="20"/>
                <w:color w:val="auto"/>
              </w:rPr>
            </w:pPr>
            <w:r>
              <w:rPr>
                <w:rFonts w:ascii="Arial" w:cs="Arial" w:eastAsia="Arial" w:hAnsi="Arial"/>
                <w:sz w:val="16"/>
                <w:szCs w:val="16"/>
                <w:color w:val="auto"/>
              </w:rPr>
              <w:t>bonus (2)</w:t>
            </w:r>
          </w:p>
        </w:tc>
        <w:tc>
          <w:tcPr>
            <w:tcW w:w="1360" w:type="dxa"/>
            <w:vAlign w:val="bottom"/>
          </w:tcPr>
          <w:p>
            <w:pPr>
              <w:ind w:left="620"/>
              <w:spacing w:after="0"/>
              <w:rPr>
                <w:sz w:val="20"/>
                <w:szCs w:val="20"/>
                <w:color w:val="auto"/>
              </w:rPr>
            </w:pPr>
            <w:r>
              <w:rPr>
                <w:rFonts w:ascii="Arial" w:cs="Arial" w:eastAsia="Arial" w:hAnsi="Arial"/>
                <w:sz w:val="16"/>
                <w:szCs w:val="16"/>
                <w:color w:val="auto"/>
              </w:rPr>
              <w:t>—</w:t>
            </w:r>
          </w:p>
        </w:tc>
        <w:tc>
          <w:tcPr>
            <w:tcW w:w="2160" w:type="dxa"/>
            <w:vAlign w:val="bottom"/>
          </w:tcPr>
          <w:p>
            <w:pPr>
              <w:jc w:val="right"/>
              <w:ind w:right="701"/>
              <w:spacing w:after="0"/>
              <w:rPr>
                <w:sz w:val="20"/>
                <w:szCs w:val="20"/>
                <w:color w:val="auto"/>
              </w:rPr>
            </w:pPr>
            <w:r>
              <w:rPr>
                <w:rFonts w:ascii="Arial" w:cs="Arial" w:eastAsia="Arial" w:hAnsi="Arial"/>
                <w:sz w:val="16"/>
                <w:szCs w:val="16"/>
                <w:color w:val="auto"/>
              </w:rPr>
              <w:t>170,765</w:t>
            </w:r>
          </w:p>
        </w:tc>
        <w:tc>
          <w:tcPr>
            <w:tcW w:w="2360" w:type="dxa"/>
            <w:vAlign w:val="bottom"/>
          </w:tcPr>
          <w:p>
            <w:pPr>
              <w:jc w:val="right"/>
              <w:ind w:right="741"/>
              <w:spacing w:after="0"/>
              <w:rPr>
                <w:sz w:val="20"/>
                <w:szCs w:val="20"/>
                <w:color w:val="auto"/>
              </w:rPr>
            </w:pPr>
            <w:r>
              <w:rPr>
                <w:rFonts w:ascii="Arial" w:cs="Arial" w:eastAsia="Arial" w:hAnsi="Arial"/>
                <w:sz w:val="16"/>
                <w:szCs w:val="16"/>
                <w:color w:val="auto"/>
              </w:rPr>
              <w:t>170,765</w:t>
            </w:r>
          </w:p>
        </w:tc>
        <w:tc>
          <w:tcPr>
            <w:tcW w:w="2400" w:type="dxa"/>
            <w:vAlign w:val="bottom"/>
          </w:tcPr>
          <w:p>
            <w:pPr>
              <w:jc w:val="right"/>
              <w:ind w:right="641"/>
              <w:spacing w:after="0"/>
              <w:rPr>
                <w:sz w:val="20"/>
                <w:szCs w:val="20"/>
                <w:color w:val="auto"/>
              </w:rPr>
            </w:pPr>
            <w:r>
              <w:rPr>
                <w:rFonts w:ascii="Arial" w:cs="Arial" w:eastAsia="Arial" w:hAnsi="Arial"/>
                <w:sz w:val="16"/>
                <w:szCs w:val="16"/>
                <w:color w:val="auto"/>
              </w:rPr>
              <w:t>170,765</w:t>
            </w:r>
          </w:p>
        </w:tc>
      </w:tr>
      <w:tr>
        <w:trPr>
          <w:trHeight w:val="186"/>
        </w:trPr>
        <w:tc>
          <w:tcPr>
            <w:tcW w:w="1080" w:type="dxa"/>
            <w:vAlign w:val="bottom"/>
          </w:tcPr>
          <w:p>
            <w:pPr>
              <w:spacing w:after="0"/>
              <w:rPr>
                <w:sz w:val="16"/>
                <w:szCs w:val="16"/>
                <w:color w:val="auto"/>
              </w:rPr>
            </w:pPr>
          </w:p>
        </w:tc>
        <w:tc>
          <w:tcPr>
            <w:tcW w:w="1500" w:type="dxa"/>
            <w:vAlign w:val="bottom"/>
          </w:tcPr>
          <w:p>
            <w:pPr>
              <w:ind w:left="140"/>
              <w:spacing w:after="0"/>
              <w:rPr>
                <w:sz w:val="20"/>
                <w:szCs w:val="20"/>
                <w:color w:val="auto"/>
              </w:rPr>
            </w:pPr>
            <w:r>
              <w:rPr>
                <w:rFonts w:ascii="Arial" w:cs="Arial" w:eastAsia="Arial" w:hAnsi="Arial"/>
                <w:sz w:val="16"/>
                <w:szCs w:val="16"/>
                <w:color w:val="auto"/>
              </w:rPr>
              <w:t>Equity</w:t>
            </w:r>
          </w:p>
        </w:tc>
        <w:tc>
          <w:tcPr>
            <w:tcW w:w="13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400" w:type="dxa"/>
            <w:vAlign w:val="bottom"/>
          </w:tcPr>
          <w:p>
            <w:pPr>
              <w:spacing w:after="0"/>
              <w:rPr>
                <w:sz w:val="16"/>
                <w:szCs w:val="16"/>
                <w:color w:val="auto"/>
              </w:rPr>
            </w:pPr>
          </w:p>
        </w:tc>
      </w:tr>
      <w:tr>
        <w:trPr>
          <w:trHeight w:val="186"/>
        </w:trPr>
        <w:tc>
          <w:tcPr>
            <w:tcW w:w="1080" w:type="dxa"/>
            <w:vAlign w:val="bottom"/>
          </w:tcPr>
          <w:p>
            <w:pPr>
              <w:spacing w:after="0"/>
              <w:rPr>
                <w:sz w:val="16"/>
                <w:szCs w:val="16"/>
                <w:color w:val="auto"/>
              </w:rPr>
            </w:pPr>
          </w:p>
        </w:tc>
        <w:tc>
          <w:tcPr>
            <w:tcW w:w="1500" w:type="dxa"/>
            <w:vAlign w:val="bottom"/>
          </w:tcPr>
          <w:p>
            <w:pPr>
              <w:ind w:left="140"/>
              <w:spacing w:after="0"/>
              <w:rPr>
                <w:sz w:val="20"/>
                <w:szCs w:val="20"/>
                <w:color w:val="auto"/>
              </w:rPr>
            </w:pPr>
            <w:r>
              <w:rPr>
                <w:rFonts w:ascii="Arial" w:cs="Arial" w:eastAsia="Arial" w:hAnsi="Arial"/>
                <w:sz w:val="16"/>
                <w:szCs w:val="16"/>
                <w:color w:val="auto"/>
              </w:rPr>
              <w:t>acceleration (3)</w:t>
            </w:r>
          </w:p>
        </w:tc>
        <w:tc>
          <w:tcPr>
            <w:tcW w:w="1360" w:type="dxa"/>
            <w:vAlign w:val="bottom"/>
          </w:tcPr>
          <w:p>
            <w:pPr>
              <w:ind w:left="620"/>
              <w:spacing w:after="0"/>
              <w:rPr>
                <w:sz w:val="20"/>
                <w:szCs w:val="20"/>
                <w:color w:val="auto"/>
              </w:rPr>
            </w:pPr>
            <w:r>
              <w:rPr>
                <w:rFonts w:ascii="Arial" w:cs="Arial" w:eastAsia="Arial" w:hAnsi="Arial"/>
                <w:sz w:val="16"/>
                <w:szCs w:val="16"/>
                <w:color w:val="auto"/>
              </w:rPr>
              <w:t>—</w:t>
            </w:r>
          </w:p>
        </w:tc>
        <w:tc>
          <w:tcPr>
            <w:tcW w:w="2160" w:type="dxa"/>
            <w:vAlign w:val="bottom"/>
          </w:tcPr>
          <w:p>
            <w:pPr>
              <w:jc w:val="right"/>
              <w:ind w:right="701"/>
              <w:spacing w:after="0"/>
              <w:rPr>
                <w:sz w:val="20"/>
                <w:szCs w:val="20"/>
                <w:color w:val="auto"/>
              </w:rPr>
            </w:pPr>
            <w:r>
              <w:rPr>
                <w:rFonts w:ascii="Arial" w:cs="Arial" w:eastAsia="Arial" w:hAnsi="Arial"/>
                <w:sz w:val="16"/>
                <w:szCs w:val="16"/>
                <w:color w:val="auto"/>
              </w:rPr>
              <w:t>—</w:t>
            </w:r>
          </w:p>
        </w:tc>
        <w:tc>
          <w:tcPr>
            <w:tcW w:w="2360" w:type="dxa"/>
            <w:vAlign w:val="bottom"/>
          </w:tcPr>
          <w:p>
            <w:pPr>
              <w:jc w:val="right"/>
              <w:ind w:right="741"/>
              <w:spacing w:after="0"/>
              <w:rPr>
                <w:sz w:val="20"/>
                <w:szCs w:val="20"/>
                <w:color w:val="auto"/>
              </w:rPr>
            </w:pPr>
            <w:r>
              <w:rPr>
                <w:rFonts w:ascii="Arial" w:cs="Arial" w:eastAsia="Arial" w:hAnsi="Arial"/>
                <w:sz w:val="16"/>
                <w:szCs w:val="16"/>
                <w:color w:val="auto"/>
              </w:rPr>
              <w:t>1,127,391</w:t>
            </w:r>
          </w:p>
        </w:tc>
        <w:tc>
          <w:tcPr>
            <w:tcW w:w="2400" w:type="dxa"/>
            <w:vAlign w:val="bottom"/>
          </w:tcPr>
          <w:p>
            <w:pPr>
              <w:jc w:val="right"/>
              <w:ind w:right="641"/>
              <w:spacing w:after="0"/>
              <w:rPr>
                <w:sz w:val="20"/>
                <w:szCs w:val="20"/>
                <w:color w:val="auto"/>
              </w:rPr>
            </w:pPr>
            <w:r>
              <w:rPr>
                <w:rFonts w:ascii="Arial" w:cs="Arial" w:eastAsia="Arial" w:hAnsi="Arial"/>
                <w:sz w:val="16"/>
                <w:szCs w:val="16"/>
                <w:color w:val="auto"/>
              </w:rPr>
              <w:t>2,019,193</w:t>
            </w:r>
          </w:p>
        </w:tc>
      </w:tr>
      <w:tr>
        <w:trPr>
          <w:trHeight w:val="186"/>
        </w:trPr>
        <w:tc>
          <w:tcPr>
            <w:tcW w:w="1080" w:type="dxa"/>
            <w:vAlign w:val="bottom"/>
          </w:tcPr>
          <w:p>
            <w:pPr>
              <w:spacing w:after="0"/>
              <w:rPr>
                <w:sz w:val="16"/>
                <w:szCs w:val="16"/>
                <w:color w:val="auto"/>
              </w:rPr>
            </w:pPr>
          </w:p>
        </w:tc>
        <w:tc>
          <w:tcPr>
            <w:tcW w:w="1500" w:type="dxa"/>
            <w:vAlign w:val="bottom"/>
          </w:tcPr>
          <w:p>
            <w:pPr>
              <w:ind w:left="140"/>
              <w:spacing w:after="0"/>
              <w:rPr>
                <w:sz w:val="20"/>
                <w:szCs w:val="20"/>
                <w:color w:val="auto"/>
              </w:rPr>
            </w:pPr>
            <w:r>
              <w:rPr>
                <w:rFonts w:ascii="Arial" w:cs="Arial" w:eastAsia="Arial" w:hAnsi="Arial"/>
                <w:sz w:val="16"/>
                <w:szCs w:val="16"/>
                <w:color w:val="auto"/>
              </w:rPr>
              <w:t>Benefits</w:t>
            </w:r>
          </w:p>
        </w:tc>
        <w:tc>
          <w:tcPr>
            <w:tcW w:w="13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400" w:type="dxa"/>
            <w:vAlign w:val="bottom"/>
          </w:tcPr>
          <w:p>
            <w:pPr>
              <w:spacing w:after="0"/>
              <w:rPr>
                <w:sz w:val="16"/>
                <w:szCs w:val="16"/>
                <w:color w:val="auto"/>
              </w:rPr>
            </w:pPr>
          </w:p>
        </w:tc>
      </w:tr>
      <w:tr>
        <w:trPr>
          <w:trHeight w:val="186"/>
        </w:trPr>
        <w:tc>
          <w:tcPr>
            <w:tcW w:w="1080" w:type="dxa"/>
            <w:vAlign w:val="bottom"/>
          </w:tcPr>
          <w:p>
            <w:pPr>
              <w:spacing w:after="0"/>
              <w:rPr>
                <w:sz w:val="16"/>
                <w:szCs w:val="16"/>
                <w:color w:val="auto"/>
              </w:rPr>
            </w:pPr>
          </w:p>
        </w:tc>
        <w:tc>
          <w:tcPr>
            <w:tcW w:w="1500" w:type="dxa"/>
            <w:vAlign w:val="bottom"/>
          </w:tcPr>
          <w:p>
            <w:pPr>
              <w:ind w:left="140"/>
              <w:spacing w:after="0"/>
              <w:rPr>
                <w:sz w:val="20"/>
                <w:szCs w:val="20"/>
                <w:color w:val="auto"/>
              </w:rPr>
            </w:pPr>
            <w:r>
              <w:rPr>
                <w:rFonts w:ascii="Arial" w:cs="Arial" w:eastAsia="Arial" w:hAnsi="Arial"/>
                <w:sz w:val="16"/>
                <w:szCs w:val="16"/>
                <w:color w:val="auto"/>
              </w:rPr>
              <w:t>continuation</w:t>
            </w:r>
          </w:p>
        </w:tc>
        <w:tc>
          <w:tcPr>
            <w:tcW w:w="1360" w:type="dxa"/>
            <w:vAlign w:val="bottom"/>
          </w:tcPr>
          <w:p>
            <w:pPr>
              <w:ind w:left="620"/>
              <w:spacing w:after="0"/>
              <w:rPr>
                <w:sz w:val="20"/>
                <w:szCs w:val="20"/>
                <w:color w:val="auto"/>
              </w:rPr>
            </w:pPr>
            <w:r>
              <w:rPr>
                <w:rFonts w:ascii="Arial" w:cs="Arial" w:eastAsia="Arial" w:hAnsi="Arial"/>
                <w:sz w:val="16"/>
                <w:szCs w:val="16"/>
                <w:color w:val="auto"/>
              </w:rPr>
              <w:t>—</w:t>
            </w:r>
          </w:p>
        </w:tc>
        <w:tc>
          <w:tcPr>
            <w:tcW w:w="2160" w:type="dxa"/>
            <w:vAlign w:val="bottom"/>
          </w:tcPr>
          <w:p>
            <w:pPr>
              <w:jc w:val="right"/>
              <w:ind w:right="701"/>
              <w:spacing w:after="0"/>
              <w:rPr>
                <w:sz w:val="20"/>
                <w:szCs w:val="20"/>
                <w:color w:val="auto"/>
              </w:rPr>
            </w:pPr>
            <w:r>
              <w:rPr>
                <w:rFonts w:ascii="Arial" w:cs="Arial" w:eastAsia="Arial" w:hAnsi="Arial"/>
                <w:sz w:val="16"/>
                <w:szCs w:val="16"/>
                <w:color w:val="auto"/>
              </w:rPr>
              <w:t>16,316</w:t>
            </w:r>
          </w:p>
        </w:tc>
        <w:tc>
          <w:tcPr>
            <w:tcW w:w="2360" w:type="dxa"/>
            <w:vAlign w:val="bottom"/>
          </w:tcPr>
          <w:p>
            <w:pPr>
              <w:jc w:val="right"/>
              <w:ind w:right="741"/>
              <w:spacing w:after="0"/>
              <w:rPr>
                <w:sz w:val="20"/>
                <w:szCs w:val="20"/>
                <w:color w:val="auto"/>
              </w:rPr>
            </w:pPr>
            <w:r>
              <w:rPr>
                <w:rFonts w:ascii="Arial" w:cs="Arial" w:eastAsia="Arial" w:hAnsi="Arial"/>
                <w:sz w:val="16"/>
                <w:szCs w:val="16"/>
                <w:color w:val="auto"/>
              </w:rPr>
              <w:t>8,594</w:t>
            </w:r>
          </w:p>
        </w:tc>
        <w:tc>
          <w:tcPr>
            <w:tcW w:w="2400" w:type="dxa"/>
            <w:vAlign w:val="bottom"/>
          </w:tcPr>
          <w:p>
            <w:pPr>
              <w:jc w:val="right"/>
              <w:ind w:right="641"/>
              <w:spacing w:after="0"/>
              <w:rPr>
                <w:sz w:val="20"/>
                <w:szCs w:val="20"/>
                <w:color w:val="auto"/>
              </w:rPr>
            </w:pPr>
            <w:r>
              <w:rPr>
                <w:rFonts w:ascii="Arial" w:cs="Arial" w:eastAsia="Arial" w:hAnsi="Arial"/>
                <w:sz w:val="16"/>
                <w:szCs w:val="16"/>
                <w:color w:val="auto"/>
              </w:rPr>
              <w:t>24,474</w:t>
            </w:r>
          </w:p>
        </w:tc>
      </w:tr>
      <w:tr>
        <w:trPr>
          <w:trHeight w:val="184"/>
        </w:trPr>
        <w:tc>
          <w:tcPr>
            <w:tcW w:w="1080" w:type="dxa"/>
            <w:vAlign w:val="bottom"/>
            <w:tcBorders>
              <w:bottom w:val="single" w:sz="8" w:color="999999"/>
            </w:tcBorders>
          </w:tcPr>
          <w:p>
            <w:pPr>
              <w:spacing w:after="0"/>
              <w:rPr>
                <w:sz w:val="16"/>
                <w:szCs w:val="16"/>
                <w:color w:val="auto"/>
              </w:rPr>
            </w:pPr>
          </w:p>
        </w:tc>
        <w:tc>
          <w:tcPr>
            <w:tcW w:w="1500" w:type="dxa"/>
            <w:vAlign w:val="bottom"/>
            <w:tcBorders>
              <w:bottom w:val="single" w:sz="8" w:color="999999"/>
            </w:tcBorders>
          </w:tcPr>
          <w:p>
            <w:pPr>
              <w:ind w:left="140"/>
              <w:spacing w:after="0"/>
              <w:rPr>
                <w:sz w:val="20"/>
                <w:szCs w:val="20"/>
                <w:color w:val="auto"/>
              </w:rPr>
            </w:pPr>
            <w:r>
              <w:rPr>
                <w:rFonts w:ascii="Arial" w:cs="Arial" w:eastAsia="Arial" w:hAnsi="Arial"/>
                <w:sz w:val="16"/>
                <w:szCs w:val="16"/>
                <w:color w:val="auto"/>
              </w:rPr>
              <w:t>Cutback (4)</w:t>
            </w:r>
          </w:p>
        </w:tc>
        <w:tc>
          <w:tcPr>
            <w:tcW w:w="1360" w:type="dxa"/>
            <w:vAlign w:val="bottom"/>
            <w:tcBorders>
              <w:bottom w:val="single" w:sz="8" w:color="999999"/>
            </w:tcBorders>
          </w:tcPr>
          <w:p>
            <w:pPr>
              <w:ind w:left="620"/>
              <w:spacing w:after="0"/>
              <w:rPr>
                <w:sz w:val="20"/>
                <w:szCs w:val="20"/>
                <w:color w:val="auto"/>
              </w:rPr>
            </w:pPr>
            <w:r>
              <w:rPr>
                <w:rFonts w:ascii="Arial" w:cs="Arial" w:eastAsia="Arial" w:hAnsi="Arial"/>
                <w:sz w:val="16"/>
                <w:szCs w:val="16"/>
                <w:color w:val="auto"/>
              </w:rPr>
              <w:t>—</w:t>
            </w:r>
          </w:p>
        </w:tc>
        <w:tc>
          <w:tcPr>
            <w:tcW w:w="2160" w:type="dxa"/>
            <w:vAlign w:val="bottom"/>
            <w:tcBorders>
              <w:bottom w:val="single" w:sz="8" w:color="999999"/>
            </w:tcBorders>
          </w:tcPr>
          <w:p>
            <w:pPr>
              <w:jc w:val="right"/>
              <w:ind w:right="701"/>
              <w:spacing w:after="0"/>
              <w:rPr>
                <w:sz w:val="20"/>
                <w:szCs w:val="20"/>
                <w:color w:val="auto"/>
              </w:rPr>
            </w:pPr>
            <w:r>
              <w:rPr>
                <w:rFonts w:ascii="Arial" w:cs="Arial" w:eastAsia="Arial" w:hAnsi="Arial"/>
                <w:sz w:val="16"/>
                <w:szCs w:val="16"/>
                <w:color w:val="auto"/>
              </w:rPr>
              <w:t>—</w:t>
            </w:r>
          </w:p>
        </w:tc>
        <w:tc>
          <w:tcPr>
            <w:tcW w:w="2360" w:type="dxa"/>
            <w:vAlign w:val="bottom"/>
            <w:tcBorders>
              <w:bottom w:val="single" w:sz="8" w:color="999999"/>
            </w:tcBorders>
          </w:tcPr>
          <w:p>
            <w:pPr>
              <w:jc w:val="right"/>
              <w:ind w:right="741"/>
              <w:spacing w:after="0"/>
              <w:rPr>
                <w:sz w:val="20"/>
                <w:szCs w:val="20"/>
                <w:color w:val="auto"/>
              </w:rPr>
            </w:pPr>
            <w:r>
              <w:rPr>
                <w:rFonts w:ascii="Arial" w:cs="Arial" w:eastAsia="Arial" w:hAnsi="Arial"/>
                <w:sz w:val="16"/>
                <w:szCs w:val="16"/>
                <w:color w:val="auto"/>
              </w:rPr>
              <w:t>—</w:t>
            </w:r>
          </w:p>
        </w:tc>
        <w:tc>
          <w:tcPr>
            <w:tcW w:w="2400" w:type="dxa"/>
            <w:vAlign w:val="bottom"/>
            <w:tcBorders>
              <w:bottom w:val="single" w:sz="8" w:color="999999"/>
            </w:tcBorders>
          </w:tcPr>
          <w:p>
            <w:pPr>
              <w:jc w:val="right"/>
              <w:ind w:right="601"/>
              <w:spacing w:after="0"/>
              <w:rPr>
                <w:sz w:val="20"/>
                <w:szCs w:val="20"/>
                <w:color w:val="auto"/>
              </w:rPr>
            </w:pPr>
            <w:r>
              <w:rPr>
                <w:rFonts w:ascii="Arial" w:cs="Arial" w:eastAsia="Arial" w:hAnsi="Arial"/>
                <w:sz w:val="16"/>
                <w:szCs w:val="16"/>
                <w:color w:val="auto"/>
              </w:rPr>
              <w:t>(687,048)</w:t>
            </w:r>
          </w:p>
        </w:tc>
      </w:tr>
      <w:tr>
        <w:trPr>
          <w:trHeight w:val="179"/>
        </w:trPr>
        <w:tc>
          <w:tcPr>
            <w:tcW w:w="1080" w:type="dxa"/>
            <w:vAlign w:val="bottom"/>
            <w:tcBorders>
              <w:bottom w:val="single" w:sz="8" w:color="999999"/>
            </w:tcBorders>
          </w:tcPr>
          <w:p>
            <w:pPr>
              <w:spacing w:after="0"/>
              <w:rPr>
                <w:sz w:val="15"/>
                <w:szCs w:val="15"/>
                <w:color w:val="auto"/>
              </w:rPr>
            </w:pPr>
          </w:p>
        </w:tc>
        <w:tc>
          <w:tcPr>
            <w:tcW w:w="1500" w:type="dxa"/>
            <w:vAlign w:val="bottom"/>
            <w:tcBorders>
              <w:bottom w:val="single" w:sz="8" w:color="999999"/>
            </w:tcBorders>
          </w:tcPr>
          <w:p>
            <w:pPr>
              <w:ind w:left="140"/>
              <w:spacing w:after="0" w:line="180" w:lineRule="exact"/>
              <w:rPr>
                <w:sz w:val="20"/>
                <w:szCs w:val="20"/>
                <w:color w:val="auto"/>
              </w:rPr>
            </w:pPr>
            <w:r>
              <w:rPr>
                <w:rFonts w:ascii="Arial" w:cs="Arial" w:eastAsia="Arial" w:hAnsi="Arial"/>
                <w:sz w:val="16"/>
                <w:szCs w:val="16"/>
                <w:b w:val="1"/>
                <w:bCs w:val="1"/>
                <w:color w:val="auto"/>
              </w:rPr>
              <w:t>Total Value</w:t>
            </w:r>
          </w:p>
        </w:tc>
        <w:tc>
          <w:tcPr>
            <w:tcW w:w="1360" w:type="dxa"/>
            <w:vAlign w:val="bottom"/>
            <w:tcBorders>
              <w:bottom w:val="single" w:sz="8" w:color="999999"/>
            </w:tcBorders>
          </w:tcPr>
          <w:p>
            <w:pPr>
              <w:ind w:left="620"/>
              <w:spacing w:after="0" w:line="180" w:lineRule="exact"/>
              <w:rPr>
                <w:sz w:val="20"/>
                <w:szCs w:val="20"/>
                <w:color w:val="auto"/>
              </w:rPr>
            </w:pPr>
            <w:r>
              <w:rPr>
                <w:rFonts w:ascii="Arial" w:cs="Arial" w:eastAsia="Arial" w:hAnsi="Arial"/>
                <w:sz w:val="16"/>
                <w:szCs w:val="16"/>
                <w:b w:val="1"/>
                <w:bCs w:val="1"/>
                <w:color w:val="auto"/>
              </w:rPr>
              <w:t>—</w:t>
            </w:r>
          </w:p>
        </w:tc>
        <w:tc>
          <w:tcPr>
            <w:tcW w:w="2160" w:type="dxa"/>
            <w:vAlign w:val="bottom"/>
            <w:tcBorders>
              <w:bottom w:val="single" w:sz="8" w:color="999999"/>
            </w:tcBorders>
          </w:tcPr>
          <w:p>
            <w:pPr>
              <w:jc w:val="right"/>
              <w:ind w:right="701"/>
              <w:spacing w:after="0" w:line="180" w:lineRule="exact"/>
              <w:rPr>
                <w:sz w:val="20"/>
                <w:szCs w:val="20"/>
                <w:color w:val="auto"/>
              </w:rPr>
            </w:pPr>
            <w:r>
              <w:rPr>
                <w:rFonts w:ascii="Arial" w:cs="Arial" w:eastAsia="Arial" w:hAnsi="Arial"/>
                <w:sz w:val="16"/>
                <w:szCs w:val="16"/>
                <w:b w:val="1"/>
                <w:bCs w:val="1"/>
                <w:color w:val="auto"/>
              </w:rPr>
              <w:t>1,657,081</w:t>
            </w:r>
          </w:p>
        </w:tc>
        <w:tc>
          <w:tcPr>
            <w:tcW w:w="2360" w:type="dxa"/>
            <w:vAlign w:val="bottom"/>
            <w:tcBorders>
              <w:bottom w:val="single" w:sz="8" w:color="999999"/>
            </w:tcBorders>
          </w:tcPr>
          <w:p>
            <w:pPr>
              <w:jc w:val="right"/>
              <w:ind w:right="741"/>
              <w:spacing w:after="0" w:line="180" w:lineRule="exact"/>
              <w:rPr>
                <w:sz w:val="20"/>
                <w:szCs w:val="20"/>
                <w:color w:val="auto"/>
              </w:rPr>
            </w:pPr>
            <w:r>
              <w:rPr>
                <w:rFonts w:ascii="Arial" w:cs="Arial" w:eastAsia="Arial" w:hAnsi="Arial"/>
                <w:sz w:val="16"/>
                <w:szCs w:val="16"/>
                <w:b w:val="1"/>
                <w:bCs w:val="1"/>
                <w:color w:val="auto"/>
              </w:rPr>
              <w:t>1,779,250</w:t>
            </w:r>
          </w:p>
        </w:tc>
        <w:tc>
          <w:tcPr>
            <w:tcW w:w="2400" w:type="dxa"/>
            <w:vAlign w:val="bottom"/>
            <w:tcBorders>
              <w:bottom w:val="single" w:sz="8" w:color="999999"/>
            </w:tcBorders>
          </w:tcPr>
          <w:p>
            <w:pPr>
              <w:jc w:val="right"/>
              <w:ind w:right="641"/>
              <w:spacing w:after="0" w:line="180" w:lineRule="exact"/>
              <w:rPr>
                <w:sz w:val="20"/>
                <w:szCs w:val="20"/>
                <w:color w:val="auto"/>
              </w:rPr>
            </w:pPr>
            <w:r>
              <w:rPr>
                <w:rFonts w:ascii="Arial" w:cs="Arial" w:eastAsia="Arial" w:hAnsi="Arial"/>
                <w:sz w:val="16"/>
                <w:szCs w:val="16"/>
                <w:b w:val="1"/>
                <w:bCs w:val="1"/>
                <w:color w:val="auto"/>
              </w:rPr>
              <w:t>3,496,134</w:t>
            </w:r>
          </w:p>
        </w:tc>
      </w:tr>
      <w:tr>
        <w:trPr>
          <w:trHeight w:val="181"/>
        </w:trPr>
        <w:tc>
          <w:tcPr>
            <w:tcW w:w="1080" w:type="dxa"/>
            <w:vAlign w:val="bottom"/>
          </w:tcPr>
          <w:p>
            <w:pPr>
              <w:spacing w:after="0" w:line="181" w:lineRule="exact"/>
              <w:rPr>
                <w:sz w:val="20"/>
                <w:szCs w:val="20"/>
                <w:color w:val="auto"/>
              </w:rPr>
            </w:pPr>
            <w:r>
              <w:rPr>
                <w:rFonts w:ascii="Arial" w:cs="Arial" w:eastAsia="Arial" w:hAnsi="Arial"/>
                <w:sz w:val="16"/>
                <w:szCs w:val="16"/>
                <w:color w:val="auto"/>
              </w:rPr>
              <w:t>Ernest W.</w:t>
            </w:r>
          </w:p>
        </w:tc>
        <w:tc>
          <w:tcPr>
            <w:tcW w:w="15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400" w:type="dxa"/>
            <w:vAlign w:val="bottom"/>
          </w:tcPr>
          <w:p>
            <w:pPr>
              <w:spacing w:after="0"/>
              <w:rPr>
                <w:sz w:val="15"/>
                <w:szCs w:val="15"/>
                <w:color w:val="auto"/>
              </w:rPr>
            </w:pPr>
          </w:p>
        </w:tc>
      </w:tr>
      <w:tr>
        <w:trPr>
          <w:trHeight w:val="186"/>
        </w:trPr>
        <w:tc>
          <w:tcPr>
            <w:tcW w:w="1080" w:type="dxa"/>
            <w:vAlign w:val="bottom"/>
          </w:tcPr>
          <w:p>
            <w:pPr>
              <w:ind w:left="160"/>
              <w:spacing w:after="0"/>
              <w:rPr>
                <w:sz w:val="20"/>
                <w:szCs w:val="20"/>
                <w:color w:val="auto"/>
              </w:rPr>
            </w:pPr>
            <w:r>
              <w:rPr>
                <w:rFonts w:ascii="Arial" w:cs="Arial" w:eastAsia="Arial" w:hAnsi="Arial"/>
                <w:sz w:val="16"/>
                <w:szCs w:val="16"/>
                <w:color w:val="auto"/>
              </w:rPr>
              <w:t>Torain, Jr.</w:t>
            </w:r>
          </w:p>
        </w:tc>
        <w:tc>
          <w:tcPr>
            <w:tcW w:w="1500" w:type="dxa"/>
            <w:vAlign w:val="bottom"/>
          </w:tcPr>
          <w:p>
            <w:pPr>
              <w:ind w:left="140"/>
              <w:spacing w:after="0"/>
              <w:rPr>
                <w:sz w:val="20"/>
                <w:szCs w:val="20"/>
                <w:color w:val="auto"/>
              </w:rPr>
            </w:pPr>
            <w:r>
              <w:rPr>
                <w:rFonts w:ascii="Arial" w:cs="Arial" w:eastAsia="Arial" w:hAnsi="Arial"/>
                <w:sz w:val="16"/>
                <w:szCs w:val="16"/>
                <w:color w:val="auto"/>
              </w:rPr>
              <w:t>Salary</w:t>
            </w:r>
          </w:p>
        </w:tc>
        <w:tc>
          <w:tcPr>
            <w:tcW w:w="1360" w:type="dxa"/>
            <w:vAlign w:val="bottom"/>
          </w:tcPr>
          <w:p>
            <w:pPr>
              <w:ind w:left="620"/>
              <w:spacing w:after="0"/>
              <w:rPr>
                <w:sz w:val="20"/>
                <w:szCs w:val="20"/>
                <w:color w:val="auto"/>
              </w:rPr>
            </w:pPr>
            <w:r>
              <w:rPr>
                <w:rFonts w:ascii="Arial" w:cs="Arial" w:eastAsia="Arial" w:hAnsi="Arial"/>
                <w:sz w:val="16"/>
                <w:szCs w:val="16"/>
                <w:color w:val="auto"/>
              </w:rPr>
              <w:t>—</w:t>
            </w:r>
          </w:p>
        </w:tc>
        <w:tc>
          <w:tcPr>
            <w:tcW w:w="2160" w:type="dxa"/>
            <w:vAlign w:val="bottom"/>
          </w:tcPr>
          <w:p>
            <w:pPr>
              <w:jc w:val="right"/>
              <w:ind w:right="701"/>
              <w:spacing w:after="0"/>
              <w:rPr>
                <w:sz w:val="20"/>
                <w:szCs w:val="20"/>
                <w:color w:val="auto"/>
              </w:rPr>
            </w:pPr>
            <w:r>
              <w:rPr>
                <w:rFonts w:ascii="Arial" w:cs="Arial" w:eastAsia="Arial" w:hAnsi="Arial"/>
                <w:sz w:val="16"/>
                <w:szCs w:val="16"/>
                <w:color w:val="auto"/>
              </w:rPr>
              <w:t>360,000</w:t>
            </w:r>
          </w:p>
        </w:tc>
        <w:tc>
          <w:tcPr>
            <w:tcW w:w="2360" w:type="dxa"/>
            <w:vAlign w:val="bottom"/>
          </w:tcPr>
          <w:p>
            <w:pPr>
              <w:jc w:val="right"/>
              <w:ind w:right="741"/>
              <w:spacing w:after="0"/>
              <w:rPr>
                <w:sz w:val="20"/>
                <w:szCs w:val="20"/>
                <w:color w:val="auto"/>
              </w:rPr>
            </w:pPr>
            <w:r>
              <w:rPr>
                <w:rFonts w:ascii="Arial" w:cs="Arial" w:eastAsia="Arial" w:hAnsi="Arial"/>
                <w:sz w:val="16"/>
                <w:szCs w:val="16"/>
                <w:color w:val="auto"/>
              </w:rPr>
              <w:t>—</w:t>
            </w:r>
          </w:p>
        </w:tc>
        <w:tc>
          <w:tcPr>
            <w:tcW w:w="2400" w:type="dxa"/>
            <w:vAlign w:val="bottom"/>
          </w:tcPr>
          <w:p>
            <w:pPr>
              <w:jc w:val="right"/>
              <w:ind w:right="641"/>
              <w:spacing w:after="0"/>
              <w:rPr>
                <w:sz w:val="20"/>
                <w:szCs w:val="20"/>
                <w:color w:val="auto"/>
              </w:rPr>
            </w:pPr>
            <w:r>
              <w:rPr>
                <w:rFonts w:ascii="Arial" w:cs="Arial" w:eastAsia="Arial" w:hAnsi="Arial"/>
                <w:sz w:val="16"/>
                <w:szCs w:val="16"/>
                <w:color w:val="auto"/>
              </w:rPr>
              <w:t>540,000</w:t>
            </w:r>
          </w:p>
        </w:tc>
      </w:tr>
      <w:tr>
        <w:trPr>
          <w:trHeight w:val="186"/>
        </w:trPr>
        <w:tc>
          <w:tcPr>
            <w:tcW w:w="1080" w:type="dxa"/>
            <w:vAlign w:val="bottom"/>
          </w:tcPr>
          <w:p>
            <w:pPr>
              <w:spacing w:after="0"/>
              <w:rPr>
                <w:sz w:val="16"/>
                <w:szCs w:val="16"/>
                <w:color w:val="auto"/>
              </w:rPr>
            </w:pPr>
          </w:p>
        </w:tc>
        <w:tc>
          <w:tcPr>
            <w:tcW w:w="1500" w:type="dxa"/>
            <w:vAlign w:val="bottom"/>
          </w:tcPr>
          <w:p>
            <w:pPr>
              <w:ind w:left="140"/>
              <w:spacing w:after="0"/>
              <w:rPr>
                <w:sz w:val="20"/>
                <w:szCs w:val="20"/>
                <w:color w:val="auto"/>
              </w:rPr>
            </w:pPr>
            <w:r>
              <w:rPr>
                <w:rFonts w:ascii="Arial" w:cs="Arial" w:eastAsia="Arial" w:hAnsi="Arial"/>
                <w:sz w:val="16"/>
                <w:szCs w:val="16"/>
                <w:color w:val="auto"/>
              </w:rPr>
              <w:t>Bonus</w:t>
            </w:r>
          </w:p>
        </w:tc>
        <w:tc>
          <w:tcPr>
            <w:tcW w:w="1360" w:type="dxa"/>
            <w:vAlign w:val="bottom"/>
          </w:tcPr>
          <w:p>
            <w:pPr>
              <w:ind w:left="620"/>
              <w:spacing w:after="0"/>
              <w:rPr>
                <w:sz w:val="20"/>
                <w:szCs w:val="20"/>
                <w:color w:val="auto"/>
              </w:rPr>
            </w:pPr>
            <w:r>
              <w:rPr>
                <w:rFonts w:ascii="Arial" w:cs="Arial" w:eastAsia="Arial" w:hAnsi="Arial"/>
                <w:sz w:val="16"/>
                <w:szCs w:val="16"/>
                <w:color w:val="auto"/>
              </w:rPr>
              <w:t>—</w:t>
            </w:r>
          </w:p>
        </w:tc>
        <w:tc>
          <w:tcPr>
            <w:tcW w:w="2160" w:type="dxa"/>
            <w:vAlign w:val="bottom"/>
          </w:tcPr>
          <w:p>
            <w:pPr>
              <w:jc w:val="right"/>
              <w:ind w:right="701"/>
              <w:spacing w:after="0"/>
              <w:rPr>
                <w:sz w:val="20"/>
                <w:szCs w:val="20"/>
                <w:color w:val="auto"/>
              </w:rPr>
            </w:pPr>
            <w:r>
              <w:rPr>
                <w:rFonts w:ascii="Arial" w:cs="Arial" w:eastAsia="Arial" w:hAnsi="Arial"/>
                <w:sz w:val="16"/>
                <w:szCs w:val="16"/>
                <w:color w:val="auto"/>
              </w:rPr>
              <w:t>180,000</w:t>
            </w:r>
          </w:p>
        </w:tc>
        <w:tc>
          <w:tcPr>
            <w:tcW w:w="2360" w:type="dxa"/>
            <w:vAlign w:val="bottom"/>
          </w:tcPr>
          <w:p>
            <w:pPr>
              <w:jc w:val="right"/>
              <w:ind w:right="741"/>
              <w:spacing w:after="0"/>
              <w:rPr>
                <w:sz w:val="20"/>
                <w:szCs w:val="20"/>
                <w:color w:val="auto"/>
              </w:rPr>
            </w:pPr>
            <w:r>
              <w:rPr>
                <w:rFonts w:ascii="Arial" w:cs="Arial" w:eastAsia="Arial" w:hAnsi="Arial"/>
                <w:sz w:val="16"/>
                <w:szCs w:val="16"/>
                <w:color w:val="auto"/>
              </w:rPr>
              <w:t>—</w:t>
            </w:r>
          </w:p>
        </w:tc>
        <w:tc>
          <w:tcPr>
            <w:tcW w:w="2400" w:type="dxa"/>
            <w:vAlign w:val="bottom"/>
          </w:tcPr>
          <w:p>
            <w:pPr>
              <w:jc w:val="right"/>
              <w:ind w:right="641"/>
              <w:spacing w:after="0"/>
              <w:rPr>
                <w:sz w:val="20"/>
                <w:szCs w:val="20"/>
                <w:color w:val="auto"/>
              </w:rPr>
            </w:pPr>
            <w:r>
              <w:rPr>
                <w:rFonts w:ascii="Arial" w:cs="Arial" w:eastAsia="Arial" w:hAnsi="Arial"/>
                <w:sz w:val="16"/>
                <w:szCs w:val="16"/>
                <w:color w:val="auto"/>
              </w:rPr>
              <w:t>270,000</w:t>
            </w:r>
          </w:p>
        </w:tc>
      </w:tr>
      <w:tr>
        <w:trPr>
          <w:trHeight w:val="186"/>
        </w:trPr>
        <w:tc>
          <w:tcPr>
            <w:tcW w:w="1080" w:type="dxa"/>
            <w:vAlign w:val="bottom"/>
          </w:tcPr>
          <w:p>
            <w:pPr>
              <w:spacing w:after="0"/>
              <w:rPr>
                <w:sz w:val="16"/>
                <w:szCs w:val="16"/>
                <w:color w:val="auto"/>
              </w:rPr>
            </w:pPr>
          </w:p>
        </w:tc>
        <w:tc>
          <w:tcPr>
            <w:tcW w:w="1500" w:type="dxa"/>
            <w:vAlign w:val="bottom"/>
          </w:tcPr>
          <w:p>
            <w:pPr>
              <w:ind w:left="140"/>
              <w:spacing w:after="0"/>
              <w:rPr>
                <w:sz w:val="20"/>
                <w:szCs w:val="20"/>
                <w:color w:val="auto"/>
              </w:rPr>
            </w:pPr>
            <w:r>
              <w:rPr>
                <w:rFonts w:ascii="Arial" w:cs="Arial" w:eastAsia="Arial" w:hAnsi="Arial"/>
                <w:sz w:val="16"/>
                <w:szCs w:val="16"/>
                <w:color w:val="auto"/>
              </w:rPr>
              <w:t>Pro rata bonus</w:t>
            </w:r>
          </w:p>
        </w:tc>
        <w:tc>
          <w:tcPr>
            <w:tcW w:w="13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400" w:type="dxa"/>
            <w:vAlign w:val="bottom"/>
          </w:tcPr>
          <w:p>
            <w:pPr>
              <w:spacing w:after="0"/>
              <w:rPr>
                <w:sz w:val="16"/>
                <w:szCs w:val="16"/>
                <w:color w:val="auto"/>
              </w:rPr>
            </w:pPr>
          </w:p>
        </w:tc>
      </w:tr>
      <w:tr>
        <w:trPr>
          <w:trHeight w:val="186"/>
        </w:trPr>
        <w:tc>
          <w:tcPr>
            <w:tcW w:w="1080" w:type="dxa"/>
            <w:vAlign w:val="bottom"/>
          </w:tcPr>
          <w:p>
            <w:pPr>
              <w:spacing w:after="0"/>
              <w:rPr>
                <w:sz w:val="16"/>
                <w:szCs w:val="16"/>
                <w:color w:val="auto"/>
              </w:rPr>
            </w:pPr>
          </w:p>
        </w:tc>
        <w:tc>
          <w:tcPr>
            <w:tcW w:w="1500" w:type="dxa"/>
            <w:vAlign w:val="bottom"/>
          </w:tcPr>
          <w:p>
            <w:pPr>
              <w:ind w:left="140"/>
              <w:spacing w:after="0"/>
              <w:rPr>
                <w:sz w:val="20"/>
                <w:szCs w:val="20"/>
                <w:color w:val="auto"/>
              </w:rPr>
            </w:pPr>
            <w:r>
              <w:rPr>
                <w:rFonts w:ascii="Arial" w:cs="Arial" w:eastAsia="Arial" w:hAnsi="Arial"/>
                <w:sz w:val="16"/>
                <w:szCs w:val="16"/>
                <w:color w:val="auto"/>
              </w:rPr>
              <w:t>(1)</w:t>
            </w:r>
          </w:p>
        </w:tc>
        <w:tc>
          <w:tcPr>
            <w:tcW w:w="1360" w:type="dxa"/>
            <w:vAlign w:val="bottom"/>
          </w:tcPr>
          <w:p>
            <w:pPr>
              <w:ind w:left="620"/>
              <w:spacing w:after="0"/>
              <w:rPr>
                <w:sz w:val="20"/>
                <w:szCs w:val="20"/>
                <w:color w:val="auto"/>
              </w:rPr>
            </w:pPr>
            <w:r>
              <w:rPr>
                <w:rFonts w:ascii="Arial" w:cs="Arial" w:eastAsia="Arial" w:hAnsi="Arial"/>
                <w:sz w:val="16"/>
                <w:szCs w:val="16"/>
                <w:color w:val="auto"/>
              </w:rPr>
              <w:t>—</w:t>
            </w:r>
          </w:p>
        </w:tc>
        <w:tc>
          <w:tcPr>
            <w:tcW w:w="2160" w:type="dxa"/>
            <w:vAlign w:val="bottom"/>
          </w:tcPr>
          <w:p>
            <w:pPr>
              <w:jc w:val="right"/>
              <w:ind w:right="701"/>
              <w:spacing w:after="0"/>
              <w:rPr>
                <w:sz w:val="20"/>
                <w:szCs w:val="20"/>
                <w:color w:val="auto"/>
              </w:rPr>
            </w:pPr>
            <w:r>
              <w:rPr>
                <w:rFonts w:ascii="Arial" w:cs="Arial" w:eastAsia="Arial" w:hAnsi="Arial"/>
                <w:sz w:val="16"/>
                <w:szCs w:val="16"/>
                <w:color w:val="auto"/>
              </w:rPr>
              <w:t>180,000</w:t>
            </w:r>
          </w:p>
        </w:tc>
        <w:tc>
          <w:tcPr>
            <w:tcW w:w="2360" w:type="dxa"/>
            <w:vAlign w:val="bottom"/>
          </w:tcPr>
          <w:p>
            <w:pPr>
              <w:jc w:val="right"/>
              <w:ind w:right="741"/>
              <w:spacing w:after="0"/>
              <w:rPr>
                <w:sz w:val="20"/>
                <w:szCs w:val="20"/>
                <w:color w:val="auto"/>
              </w:rPr>
            </w:pPr>
            <w:r>
              <w:rPr>
                <w:rFonts w:ascii="Arial" w:cs="Arial" w:eastAsia="Arial" w:hAnsi="Arial"/>
                <w:sz w:val="16"/>
                <w:szCs w:val="16"/>
                <w:color w:val="auto"/>
              </w:rPr>
              <w:t>180,000</w:t>
            </w:r>
          </w:p>
        </w:tc>
        <w:tc>
          <w:tcPr>
            <w:tcW w:w="2400" w:type="dxa"/>
            <w:vAlign w:val="bottom"/>
          </w:tcPr>
          <w:p>
            <w:pPr>
              <w:jc w:val="right"/>
              <w:ind w:right="641"/>
              <w:spacing w:after="0"/>
              <w:rPr>
                <w:sz w:val="20"/>
                <w:szCs w:val="20"/>
                <w:color w:val="auto"/>
              </w:rPr>
            </w:pPr>
            <w:r>
              <w:rPr>
                <w:rFonts w:ascii="Arial" w:cs="Arial" w:eastAsia="Arial" w:hAnsi="Arial"/>
                <w:sz w:val="16"/>
                <w:szCs w:val="16"/>
                <w:color w:val="auto"/>
              </w:rPr>
              <w:t>180,000</w:t>
            </w:r>
          </w:p>
        </w:tc>
      </w:tr>
      <w:tr>
        <w:trPr>
          <w:trHeight w:val="186"/>
        </w:trPr>
        <w:tc>
          <w:tcPr>
            <w:tcW w:w="1080" w:type="dxa"/>
            <w:vAlign w:val="bottom"/>
          </w:tcPr>
          <w:p>
            <w:pPr>
              <w:spacing w:after="0"/>
              <w:rPr>
                <w:sz w:val="16"/>
                <w:szCs w:val="16"/>
                <w:color w:val="auto"/>
              </w:rPr>
            </w:pPr>
          </w:p>
        </w:tc>
        <w:tc>
          <w:tcPr>
            <w:tcW w:w="1500" w:type="dxa"/>
            <w:vAlign w:val="bottom"/>
          </w:tcPr>
          <w:p>
            <w:pPr>
              <w:ind w:left="140"/>
              <w:spacing w:after="0"/>
              <w:rPr>
                <w:sz w:val="20"/>
                <w:szCs w:val="20"/>
                <w:color w:val="auto"/>
              </w:rPr>
            </w:pPr>
            <w:r>
              <w:rPr>
                <w:rFonts w:ascii="Arial" w:cs="Arial" w:eastAsia="Arial" w:hAnsi="Arial"/>
                <w:sz w:val="16"/>
                <w:szCs w:val="16"/>
                <w:color w:val="auto"/>
              </w:rPr>
              <w:t>Pro rata retention</w:t>
            </w:r>
          </w:p>
        </w:tc>
        <w:tc>
          <w:tcPr>
            <w:tcW w:w="13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400" w:type="dxa"/>
            <w:vAlign w:val="bottom"/>
          </w:tcPr>
          <w:p>
            <w:pPr>
              <w:spacing w:after="0"/>
              <w:rPr>
                <w:sz w:val="16"/>
                <w:szCs w:val="16"/>
                <w:color w:val="auto"/>
              </w:rPr>
            </w:pPr>
          </w:p>
        </w:tc>
      </w:tr>
      <w:tr>
        <w:trPr>
          <w:trHeight w:val="186"/>
        </w:trPr>
        <w:tc>
          <w:tcPr>
            <w:tcW w:w="1080" w:type="dxa"/>
            <w:vAlign w:val="bottom"/>
          </w:tcPr>
          <w:p>
            <w:pPr>
              <w:spacing w:after="0"/>
              <w:rPr>
                <w:sz w:val="16"/>
                <w:szCs w:val="16"/>
                <w:color w:val="auto"/>
              </w:rPr>
            </w:pPr>
          </w:p>
        </w:tc>
        <w:tc>
          <w:tcPr>
            <w:tcW w:w="1500" w:type="dxa"/>
            <w:vAlign w:val="bottom"/>
          </w:tcPr>
          <w:p>
            <w:pPr>
              <w:ind w:left="140"/>
              <w:spacing w:after="0"/>
              <w:rPr>
                <w:sz w:val="20"/>
                <w:szCs w:val="20"/>
                <w:color w:val="auto"/>
              </w:rPr>
            </w:pPr>
            <w:r>
              <w:rPr>
                <w:rFonts w:ascii="Arial" w:cs="Arial" w:eastAsia="Arial" w:hAnsi="Arial"/>
                <w:sz w:val="16"/>
                <w:szCs w:val="16"/>
                <w:color w:val="auto"/>
              </w:rPr>
              <w:t>bonus (2)</w:t>
            </w:r>
          </w:p>
        </w:tc>
        <w:tc>
          <w:tcPr>
            <w:tcW w:w="1360" w:type="dxa"/>
            <w:vAlign w:val="bottom"/>
          </w:tcPr>
          <w:p>
            <w:pPr>
              <w:ind w:left="620"/>
              <w:spacing w:after="0"/>
              <w:rPr>
                <w:sz w:val="20"/>
                <w:szCs w:val="20"/>
                <w:color w:val="auto"/>
              </w:rPr>
            </w:pPr>
            <w:r>
              <w:rPr>
                <w:rFonts w:ascii="Arial" w:cs="Arial" w:eastAsia="Arial" w:hAnsi="Arial"/>
                <w:sz w:val="16"/>
                <w:szCs w:val="16"/>
                <w:color w:val="auto"/>
              </w:rPr>
              <w:t>—</w:t>
            </w:r>
          </w:p>
        </w:tc>
        <w:tc>
          <w:tcPr>
            <w:tcW w:w="2160" w:type="dxa"/>
            <w:vAlign w:val="bottom"/>
          </w:tcPr>
          <w:p>
            <w:pPr>
              <w:jc w:val="right"/>
              <w:ind w:right="701"/>
              <w:spacing w:after="0"/>
              <w:rPr>
                <w:sz w:val="20"/>
                <w:szCs w:val="20"/>
                <w:color w:val="auto"/>
              </w:rPr>
            </w:pPr>
            <w:r>
              <w:rPr>
                <w:rFonts w:ascii="Arial" w:cs="Arial" w:eastAsia="Arial" w:hAnsi="Arial"/>
                <w:sz w:val="16"/>
                <w:szCs w:val="16"/>
                <w:color w:val="auto"/>
              </w:rPr>
              <w:t>66,640</w:t>
            </w:r>
          </w:p>
        </w:tc>
        <w:tc>
          <w:tcPr>
            <w:tcW w:w="2360" w:type="dxa"/>
            <w:vAlign w:val="bottom"/>
          </w:tcPr>
          <w:p>
            <w:pPr>
              <w:jc w:val="right"/>
              <w:ind w:right="741"/>
              <w:spacing w:after="0"/>
              <w:rPr>
                <w:sz w:val="20"/>
                <w:szCs w:val="20"/>
                <w:color w:val="auto"/>
              </w:rPr>
            </w:pPr>
            <w:r>
              <w:rPr>
                <w:rFonts w:ascii="Arial" w:cs="Arial" w:eastAsia="Arial" w:hAnsi="Arial"/>
                <w:sz w:val="16"/>
                <w:szCs w:val="16"/>
                <w:color w:val="auto"/>
              </w:rPr>
              <w:t>66,640</w:t>
            </w:r>
          </w:p>
        </w:tc>
        <w:tc>
          <w:tcPr>
            <w:tcW w:w="2400" w:type="dxa"/>
            <w:vAlign w:val="bottom"/>
          </w:tcPr>
          <w:p>
            <w:pPr>
              <w:jc w:val="right"/>
              <w:ind w:right="641"/>
              <w:spacing w:after="0"/>
              <w:rPr>
                <w:sz w:val="20"/>
                <w:szCs w:val="20"/>
                <w:color w:val="auto"/>
              </w:rPr>
            </w:pPr>
            <w:r>
              <w:rPr>
                <w:rFonts w:ascii="Arial" w:cs="Arial" w:eastAsia="Arial" w:hAnsi="Arial"/>
                <w:sz w:val="16"/>
                <w:szCs w:val="16"/>
                <w:color w:val="auto"/>
              </w:rPr>
              <w:t>66,640</w:t>
            </w:r>
          </w:p>
        </w:tc>
      </w:tr>
      <w:tr>
        <w:trPr>
          <w:trHeight w:val="186"/>
        </w:trPr>
        <w:tc>
          <w:tcPr>
            <w:tcW w:w="1080" w:type="dxa"/>
            <w:vAlign w:val="bottom"/>
          </w:tcPr>
          <w:p>
            <w:pPr>
              <w:spacing w:after="0"/>
              <w:rPr>
                <w:sz w:val="16"/>
                <w:szCs w:val="16"/>
                <w:color w:val="auto"/>
              </w:rPr>
            </w:pPr>
          </w:p>
        </w:tc>
        <w:tc>
          <w:tcPr>
            <w:tcW w:w="1500" w:type="dxa"/>
            <w:vAlign w:val="bottom"/>
          </w:tcPr>
          <w:p>
            <w:pPr>
              <w:ind w:left="140"/>
              <w:spacing w:after="0"/>
              <w:rPr>
                <w:sz w:val="20"/>
                <w:szCs w:val="20"/>
                <w:color w:val="auto"/>
              </w:rPr>
            </w:pPr>
            <w:r>
              <w:rPr>
                <w:rFonts w:ascii="Arial" w:cs="Arial" w:eastAsia="Arial" w:hAnsi="Arial"/>
                <w:sz w:val="16"/>
                <w:szCs w:val="16"/>
                <w:color w:val="auto"/>
              </w:rPr>
              <w:t>Equity</w:t>
            </w:r>
          </w:p>
        </w:tc>
        <w:tc>
          <w:tcPr>
            <w:tcW w:w="13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400" w:type="dxa"/>
            <w:vAlign w:val="bottom"/>
          </w:tcPr>
          <w:p>
            <w:pPr>
              <w:spacing w:after="0"/>
              <w:rPr>
                <w:sz w:val="16"/>
                <w:szCs w:val="16"/>
                <w:color w:val="auto"/>
              </w:rPr>
            </w:pPr>
          </w:p>
        </w:tc>
      </w:tr>
      <w:tr>
        <w:trPr>
          <w:trHeight w:val="186"/>
        </w:trPr>
        <w:tc>
          <w:tcPr>
            <w:tcW w:w="1080" w:type="dxa"/>
            <w:vAlign w:val="bottom"/>
          </w:tcPr>
          <w:p>
            <w:pPr>
              <w:spacing w:after="0"/>
              <w:rPr>
                <w:sz w:val="16"/>
                <w:szCs w:val="16"/>
                <w:color w:val="auto"/>
              </w:rPr>
            </w:pPr>
          </w:p>
        </w:tc>
        <w:tc>
          <w:tcPr>
            <w:tcW w:w="1500" w:type="dxa"/>
            <w:vAlign w:val="bottom"/>
          </w:tcPr>
          <w:p>
            <w:pPr>
              <w:ind w:left="140"/>
              <w:spacing w:after="0"/>
              <w:rPr>
                <w:sz w:val="20"/>
                <w:szCs w:val="20"/>
                <w:color w:val="auto"/>
              </w:rPr>
            </w:pPr>
            <w:r>
              <w:rPr>
                <w:rFonts w:ascii="Arial" w:cs="Arial" w:eastAsia="Arial" w:hAnsi="Arial"/>
                <w:sz w:val="16"/>
                <w:szCs w:val="16"/>
                <w:color w:val="auto"/>
              </w:rPr>
              <w:t>acceleration (3)</w:t>
            </w:r>
          </w:p>
        </w:tc>
        <w:tc>
          <w:tcPr>
            <w:tcW w:w="1360" w:type="dxa"/>
            <w:vAlign w:val="bottom"/>
          </w:tcPr>
          <w:p>
            <w:pPr>
              <w:ind w:left="620"/>
              <w:spacing w:after="0"/>
              <w:rPr>
                <w:sz w:val="20"/>
                <w:szCs w:val="20"/>
                <w:color w:val="auto"/>
              </w:rPr>
            </w:pPr>
            <w:r>
              <w:rPr>
                <w:rFonts w:ascii="Arial" w:cs="Arial" w:eastAsia="Arial" w:hAnsi="Arial"/>
                <w:sz w:val="16"/>
                <w:szCs w:val="16"/>
                <w:color w:val="auto"/>
              </w:rPr>
              <w:t>—</w:t>
            </w:r>
          </w:p>
        </w:tc>
        <w:tc>
          <w:tcPr>
            <w:tcW w:w="2160" w:type="dxa"/>
            <w:vAlign w:val="bottom"/>
          </w:tcPr>
          <w:p>
            <w:pPr>
              <w:jc w:val="right"/>
              <w:ind w:right="701"/>
              <w:spacing w:after="0"/>
              <w:rPr>
                <w:sz w:val="20"/>
                <w:szCs w:val="20"/>
                <w:color w:val="auto"/>
              </w:rPr>
            </w:pPr>
            <w:r>
              <w:rPr>
                <w:rFonts w:ascii="Arial" w:cs="Arial" w:eastAsia="Arial" w:hAnsi="Arial"/>
                <w:sz w:val="16"/>
                <w:szCs w:val="16"/>
                <w:color w:val="auto"/>
              </w:rPr>
              <w:t>—</w:t>
            </w:r>
          </w:p>
        </w:tc>
        <w:tc>
          <w:tcPr>
            <w:tcW w:w="2360" w:type="dxa"/>
            <w:vAlign w:val="bottom"/>
          </w:tcPr>
          <w:p>
            <w:pPr>
              <w:jc w:val="right"/>
              <w:ind w:right="741"/>
              <w:spacing w:after="0"/>
              <w:rPr>
                <w:sz w:val="20"/>
                <w:szCs w:val="20"/>
                <w:color w:val="auto"/>
              </w:rPr>
            </w:pPr>
            <w:r>
              <w:rPr>
                <w:rFonts w:ascii="Arial" w:cs="Arial" w:eastAsia="Arial" w:hAnsi="Arial"/>
                <w:sz w:val="16"/>
                <w:szCs w:val="16"/>
                <w:color w:val="auto"/>
              </w:rPr>
              <w:t>271,256</w:t>
            </w:r>
          </w:p>
        </w:tc>
        <w:tc>
          <w:tcPr>
            <w:tcW w:w="2400" w:type="dxa"/>
            <w:vAlign w:val="bottom"/>
          </w:tcPr>
          <w:p>
            <w:pPr>
              <w:jc w:val="right"/>
              <w:ind w:right="641"/>
              <w:spacing w:after="0"/>
              <w:rPr>
                <w:sz w:val="20"/>
                <w:szCs w:val="20"/>
                <w:color w:val="auto"/>
              </w:rPr>
            </w:pPr>
            <w:r>
              <w:rPr>
                <w:rFonts w:ascii="Arial" w:cs="Arial" w:eastAsia="Arial" w:hAnsi="Arial"/>
                <w:sz w:val="16"/>
                <w:szCs w:val="16"/>
                <w:color w:val="auto"/>
              </w:rPr>
              <w:t>652,043</w:t>
            </w:r>
          </w:p>
        </w:tc>
      </w:tr>
      <w:tr>
        <w:trPr>
          <w:trHeight w:val="186"/>
        </w:trPr>
        <w:tc>
          <w:tcPr>
            <w:tcW w:w="1080" w:type="dxa"/>
            <w:vAlign w:val="bottom"/>
          </w:tcPr>
          <w:p>
            <w:pPr>
              <w:spacing w:after="0"/>
              <w:rPr>
                <w:sz w:val="16"/>
                <w:szCs w:val="16"/>
                <w:color w:val="auto"/>
              </w:rPr>
            </w:pPr>
          </w:p>
        </w:tc>
        <w:tc>
          <w:tcPr>
            <w:tcW w:w="1500" w:type="dxa"/>
            <w:vAlign w:val="bottom"/>
          </w:tcPr>
          <w:p>
            <w:pPr>
              <w:ind w:left="140"/>
              <w:spacing w:after="0"/>
              <w:rPr>
                <w:sz w:val="20"/>
                <w:szCs w:val="20"/>
                <w:color w:val="auto"/>
              </w:rPr>
            </w:pPr>
            <w:r>
              <w:rPr>
                <w:rFonts w:ascii="Arial" w:cs="Arial" w:eastAsia="Arial" w:hAnsi="Arial"/>
                <w:sz w:val="16"/>
                <w:szCs w:val="16"/>
                <w:color w:val="auto"/>
              </w:rPr>
              <w:t>Benefits</w:t>
            </w:r>
          </w:p>
        </w:tc>
        <w:tc>
          <w:tcPr>
            <w:tcW w:w="13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400" w:type="dxa"/>
            <w:vAlign w:val="bottom"/>
          </w:tcPr>
          <w:p>
            <w:pPr>
              <w:spacing w:after="0"/>
              <w:rPr>
                <w:sz w:val="16"/>
                <w:szCs w:val="16"/>
                <w:color w:val="auto"/>
              </w:rPr>
            </w:pPr>
          </w:p>
        </w:tc>
      </w:tr>
      <w:tr>
        <w:trPr>
          <w:trHeight w:val="186"/>
        </w:trPr>
        <w:tc>
          <w:tcPr>
            <w:tcW w:w="1080" w:type="dxa"/>
            <w:vAlign w:val="bottom"/>
          </w:tcPr>
          <w:p>
            <w:pPr>
              <w:spacing w:after="0"/>
              <w:rPr>
                <w:sz w:val="16"/>
                <w:szCs w:val="16"/>
                <w:color w:val="auto"/>
              </w:rPr>
            </w:pPr>
          </w:p>
        </w:tc>
        <w:tc>
          <w:tcPr>
            <w:tcW w:w="1500" w:type="dxa"/>
            <w:vAlign w:val="bottom"/>
          </w:tcPr>
          <w:p>
            <w:pPr>
              <w:ind w:left="140"/>
              <w:spacing w:after="0"/>
              <w:rPr>
                <w:sz w:val="20"/>
                <w:szCs w:val="20"/>
                <w:color w:val="auto"/>
              </w:rPr>
            </w:pPr>
            <w:r>
              <w:rPr>
                <w:rFonts w:ascii="Arial" w:cs="Arial" w:eastAsia="Arial" w:hAnsi="Arial"/>
                <w:sz w:val="16"/>
                <w:szCs w:val="16"/>
                <w:color w:val="auto"/>
              </w:rPr>
              <w:t>continuation</w:t>
            </w:r>
          </w:p>
        </w:tc>
        <w:tc>
          <w:tcPr>
            <w:tcW w:w="1360" w:type="dxa"/>
            <w:vAlign w:val="bottom"/>
          </w:tcPr>
          <w:p>
            <w:pPr>
              <w:ind w:left="620"/>
              <w:spacing w:after="0"/>
              <w:rPr>
                <w:sz w:val="20"/>
                <w:szCs w:val="20"/>
                <w:color w:val="auto"/>
              </w:rPr>
            </w:pPr>
            <w:r>
              <w:rPr>
                <w:rFonts w:ascii="Arial" w:cs="Arial" w:eastAsia="Arial" w:hAnsi="Arial"/>
                <w:sz w:val="16"/>
                <w:szCs w:val="16"/>
                <w:color w:val="auto"/>
              </w:rPr>
              <w:t>—</w:t>
            </w:r>
          </w:p>
        </w:tc>
        <w:tc>
          <w:tcPr>
            <w:tcW w:w="2160" w:type="dxa"/>
            <w:vAlign w:val="bottom"/>
          </w:tcPr>
          <w:p>
            <w:pPr>
              <w:jc w:val="right"/>
              <w:ind w:right="701"/>
              <w:spacing w:after="0"/>
              <w:rPr>
                <w:sz w:val="20"/>
                <w:szCs w:val="20"/>
                <w:color w:val="auto"/>
              </w:rPr>
            </w:pPr>
            <w:r>
              <w:rPr>
                <w:rFonts w:ascii="Arial" w:cs="Arial" w:eastAsia="Arial" w:hAnsi="Arial"/>
                <w:sz w:val="16"/>
                <w:szCs w:val="16"/>
                <w:color w:val="auto"/>
              </w:rPr>
              <w:t>16,909</w:t>
            </w:r>
          </w:p>
        </w:tc>
        <w:tc>
          <w:tcPr>
            <w:tcW w:w="2360" w:type="dxa"/>
            <w:vAlign w:val="bottom"/>
          </w:tcPr>
          <w:p>
            <w:pPr>
              <w:jc w:val="right"/>
              <w:ind w:right="741"/>
              <w:spacing w:after="0"/>
              <w:rPr>
                <w:sz w:val="20"/>
                <w:szCs w:val="20"/>
                <w:color w:val="auto"/>
              </w:rPr>
            </w:pPr>
            <w:r>
              <w:rPr>
                <w:rFonts w:ascii="Arial" w:cs="Arial" w:eastAsia="Arial" w:hAnsi="Arial"/>
                <w:sz w:val="16"/>
                <w:szCs w:val="16"/>
                <w:color w:val="auto"/>
              </w:rPr>
              <w:t>8,890</w:t>
            </w:r>
          </w:p>
        </w:tc>
        <w:tc>
          <w:tcPr>
            <w:tcW w:w="2400" w:type="dxa"/>
            <w:vAlign w:val="bottom"/>
          </w:tcPr>
          <w:p>
            <w:pPr>
              <w:jc w:val="right"/>
              <w:ind w:right="641"/>
              <w:spacing w:after="0"/>
              <w:rPr>
                <w:sz w:val="20"/>
                <w:szCs w:val="20"/>
                <w:color w:val="auto"/>
              </w:rPr>
            </w:pPr>
            <w:r>
              <w:rPr>
                <w:rFonts w:ascii="Arial" w:cs="Arial" w:eastAsia="Arial" w:hAnsi="Arial"/>
                <w:sz w:val="16"/>
                <w:szCs w:val="16"/>
                <w:color w:val="auto"/>
              </w:rPr>
              <w:t>33,818</w:t>
            </w:r>
          </w:p>
        </w:tc>
      </w:tr>
      <w:tr>
        <w:trPr>
          <w:trHeight w:val="184"/>
        </w:trPr>
        <w:tc>
          <w:tcPr>
            <w:tcW w:w="1080" w:type="dxa"/>
            <w:vAlign w:val="bottom"/>
            <w:tcBorders>
              <w:bottom w:val="single" w:sz="8" w:color="999999"/>
            </w:tcBorders>
          </w:tcPr>
          <w:p>
            <w:pPr>
              <w:spacing w:after="0"/>
              <w:rPr>
                <w:sz w:val="16"/>
                <w:szCs w:val="16"/>
                <w:color w:val="auto"/>
              </w:rPr>
            </w:pPr>
          </w:p>
        </w:tc>
        <w:tc>
          <w:tcPr>
            <w:tcW w:w="1500" w:type="dxa"/>
            <w:vAlign w:val="bottom"/>
            <w:tcBorders>
              <w:bottom w:val="single" w:sz="8" w:color="999999"/>
            </w:tcBorders>
          </w:tcPr>
          <w:p>
            <w:pPr>
              <w:ind w:left="140"/>
              <w:spacing w:after="0"/>
              <w:rPr>
                <w:sz w:val="20"/>
                <w:szCs w:val="20"/>
                <w:color w:val="auto"/>
              </w:rPr>
            </w:pPr>
            <w:r>
              <w:rPr>
                <w:rFonts w:ascii="Arial" w:cs="Arial" w:eastAsia="Arial" w:hAnsi="Arial"/>
                <w:sz w:val="16"/>
                <w:szCs w:val="16"/>
                <w:color w:val="auto"/>
              </w:rPr>
              <w:t>Cutback (4)</w:t>
            </w:r>
          </w:p>
        </w:tc>
        <w:tc>
          <w:tcPr>
            <w:tcW w:w="1360" w:type="dxa"/>
            <w:vAlign w:val="bottom"/>
            <w:tcBorders>
              <w:bottom w:val="single" w:sz="8" w:color="999999"/>
            </w:tcBorders>
          </w:tcPr>
          <w:p>
            <w:pPr>
              <w:ind w:left="620"/>
              <w:spacing w:after="0"/>
              <w:rPr>
                <w:sz w:val="20"/>
                <w:szCs w:val="20"/>
                <w:color w:val="auto"/>
              </w:rPr>
            </w:pPr>
            <w:r>
              <w:rPr>
                <w:rFonts w:ascii="Arial" w:cs="Arial" w:eastAsia="Arial" w:hAnsi="Arial"/>
                <w:sz w:val="16"/>
                <w:szCs w:val="16"/>
                <w:color w:val="auto"/>
              </w:rPr>
              <w:t>—</w:t>
            </w:r>
          </w:p>
        </w:tc>
        <w:tc>
          <w:tcPr>
            <w:tcW w:w="2160" w:type="dxa"/>
            <w:vAlign w:val="bottom"/>
            <w:tcBorders>
              <w:bottom w:val="single" w:sz="8" w:color="999999"/>
            </w:tcBorders>
          </w:tcPr>
          <w:p>
            <w:pPr>
              <w:jc w:val="right"/>
              <w:ind w:right="701"/>
              <w:spacing w:after="0"/>
              <w:rPr>
                <w:sz w:val="20"/>
                <w:szCs w:val="20"/>
                <w:color w:val="auto"/>
              </w:rPr>
            </w:pPr>
            <w:r>
              <w:rPr>
                <w:rFonts w:ascii="Arial" w:cs="Arial" w:eastAsia="Arial" w:hAnsi="Arial"/>
                <w:sz w:val="16"/>
                <w:szCs w:val="16"/>
                <w:color w:val="auto"/>
              </w:rPr>
              <w:t>—</w:t>
            </w:r>
          </w:p>
        </w:tc>
        <w:tc>
          <w:tcPr>
            <w:tcW w:w="2360" w:type="dxa"/>
            <w:vAlign w:val="bottom"/>
            <w:tcBorders>
              <w:bottom w:val="single" w:sz="8" w:color="999999"/>
            </w:tcBorders>
          </w:tcPr>
          <w:p>
            <w:pPr>
              <w:jc w:val="right"/>
              <w:ind w:right="741"/>
              <w:spacing w:after="0"/>
              <w:rPr>
                <w:sz w:val="20"/>
                <w:szCs w:val="20"/>
                <w:color w:val="auto"/>
              </w:rPr>
            </w:pPr>
            <w:r>
              <w:rPr>
                <w:rFonts w:ascii="Arial" w:cs="Arial" w:eastAsia="Arial" w:hAnsi="Arial"/>
                <w:sz w:val="16"/>
                <w:szCs w:val="16"/>
                <w:color w:val="auto"/>
              </w:rPr>
              <w:t>—</w:t>
            </w:r>
          </w:p>
        </w:tc>
        <w:tc>
          <w:tcPr>
            <w:tcW w:w="2400" w:type="dxa"/>
            <w:vAlign w:val="bottom"/>
            <w:tcBorders>
              <w:bottom w:val="single" w:sz="8" w:color="999999"/>
            </w:tcBorders>
          </w:tcPr>
          <w:p>
            <w:pPr>
              <w:jc w:val="right"/>
              <w:ind w:right="641"/>
              <w:spacing w:after="0"/>
              <w:rPr>
                <w:sz w:val="20"/>
                <w:szCs w:val="20"/>
                <w:color w:val="auto"/>
              </w:rPr>
            </w:pPr>
            <w:r>
              <w:rPr>
                <w:rFonts w:ascii="Arial" w:cs="Arial" w:eastAsia="Arial" w:hAnsi="Arial"/>
                <w:sz w:val="16"/>
                <w:szCs w:val="16"/>
                <w:color w:val="auto"/>
              </w:rPr>
              <w:t>-81,379</w:t>
            </w:r>
          </w:p>
        </w:tc>
      </w:tr>
      <w:tr>
        <w:trPr>
          <w:trHeight w:val="179"/>
        </w:trPr>
        <w:tc>
          <w:tcPr>
            <w:tcW w:w="1080" w:type="dxa"/>
            <w:vAlign w:val="bottom"/>
            <w:tcBorders>
              <w:bottom w:val="single" w:sz="8" w:color="00548B"/>
            </w:tcBorders>
          </w:tcPr>
          <w:p>
            <w:pPr>
              <w:spacing w:after="0"/>
              <w:rPr>
                <w:sz w:val="15"/>
                <w:szCs w:val="15"/>
                <w:color w:val="auto"/>
              </w:rPr>
            </w:pPr>
          </w:p>
        </w:tc>
        <w:tc>
          <w:tcPr>
            <w:tcW w:w="1500" w:type="dxa"/>
            <w:vAlign w:val="bottom"/>
            <w:tcBorders>
              <w:bottom w:val="single" w:sz="8" w:color="00548B"/>
            </w:tcBorders>
          </w:tcPr>
          <w:p>
            <w:pPr>
              <w:ind w:left="140"/>
              <w:spacing w:after="0" w:line="180" w:lineRule="exact"/>
              <w:rPr>
                <w:sz w:val="20"/>
                <w:szCs w:val="20"/>
                <w:color w:val="auto"/>
              </w:rPr>
            </w:pPr>
            <w:r>
              <w:rPr>
                <w:rFonts w:ascii="Arial" w:cs="Arial" w:eastAsia="Arial" w:hAnsi="Arial"/>
                <w:sz w:val="16"/>
                <w:szCs w:val="16"/>
                <w:b w:val="1"/>
                <w:bCs w:val="1"/>
                <w:color w:val="auto"/>
              </w:rPr>
              <w:t>Total Value</w:t>
            </w:r>
          </w:p>
        </w:tc>
        <w:tc>
          <w:tcPr>
            <w:tcW w:w="1360" w:type="dxa"/>
            <w:vAlign w:val="bottom"/>
            <w:tcBorders>
              <w:bottom w:val="single" w:sz="8" w:color="00548B"/>
            </w:tcBorders>
          </w:tcPr>
          <w:p>
            <w:pPr>
              <w:ind w:left="620"/>
              <w:spacing w:after="0" w:line="180" w:lineRule="exact"/>
              <w:rPr>
                <w:sz w:val="20"/>
                <w:szCs w:val="20"/>
                <w:color w:val="auto"/>
              </w:rPr>
            </w:pPr>
            <w:r>
              <w:rPr>
                <w:rFonts w:ascii="Arial" w:cs="Arial" w:eastAsia="Arial" w:hAnsi="Arial"/>
                <w:sz w:val="16"/>
                <w:szCs w:val="16"/>
                <w:b w:val="1"/>
                <w:bCs w:val="1"/>
                <w:color w:val="auto"/>
              </w:rPr>
              <w:t>—</w:t>
            </w:r>
          </w:p>
        </w:tc>
        <w:tc>
          <w:tcPr>
            <w:tcW w:w="2160" w:type="dxa"/>
            <w:vAlign w:val="bottom"/>
            <w:tcBorders>
              <w:bottom w:val="single" w:sz="8" w:color="00548B"/>
            </w:tcBorders>
          </w:tcPr>
          <w:p>
            <w:pPr>
              <w:jc w:val="right"/>
              <w:ind w:right="701"/>
              <w:spacing w:after="0" w:line="180" w:lineRule="exact"/>
              <w:rPr>
                <w:sz w:val="20"/>
                <w:szCs w:val="20"/>
                <w:color w:val="auto"/>
              </w:rPr>
            </w:pPr>
            <w:r>
              <w:rPr>
                <w:rFonts w:ascii="Arial" w:cs="Arial" w:eastAsia="Arial" w:hAnsi="Arial"/>
                <w:sz w:val="16"/>
                <w:szCs w:val="16"/>
                <w:b w:val="1"/>
                <w:bCs w:val="1"/>
                <w:color w:val="auto"/>
              </w:rPr>
              <w:t>803,549</w:t>
            </w:r>
          </w:p>
        </w:tc>
        <w:tc>
          <w:tcPr>
            <w:tcW w:w="2360" w:type="dxa"/>
            <w:vAlign w:val="bottom"/>
            <w:tcBorders>
              <w:bottom w:val="single" w:sz="8" w:color="00548B"/>
            </w:tcBorders>
          </w:tcPr>
          <w:p>
            <w:pPr>
              <w:jc w:val="right"/>
              <w:ind w:right="741"/>
              <w:spacing w:after="0" w:line="180" w:lineRule="exact"/>
              <w:rPr>
                <w:sz w:val="20"/>
                <w:szCs w:val="20"/>
                <w:color w:val="auto"/>
              </w:rPr>
            </w:pPr>
            <w:r>
              <w:rPr>
                <w:rFonts w:ascii="Arial" w:cs="Arial" w:eastAsia="Arial" w:hAnsi="Arial"/>
                <w:sz w:val="16"/>
                <w:szCs w:val="16"/>
                <w:b w:val="1"/>
                <w:bCs w:val="1"/>
                <w:color w:val="auto"/>
              </w:rPr>
              <w:t>526,786</w:t>
            </w:r>
          </w:p>
        </w:tc>
        <w:tc>
          <w:tcPr>
            <w:tcW w:w="2400" w:type="dxa"/>
            <w:vAlign w:val="bottom"/>
            <w:tcBorders>
              <w:bottom w:val="single" w:sz="8" w:color="00548B"/>
            </w:tcBorders>
          </w:tcPr>
          <w:p>
            <w:pPr>
              <w:jc w:val="right"/>
              <w:ind w:right="641"/>
              <w:spacing w:after="0" w:line="180" w:lineRule="exact"/>
              <w:rPr>
                <w:sz w:val="20"/>
                <w:szCs w:val="20"/>
                <w:color w:val="auto"/>
              </w:rPr>
            </w:pPr>
            <w:r>
              <w:rPr>
                <w:rFonts w:ascii="Arial" w:cs="Arial" w:eastAsia="Arial" w:hAnsi="Arial"/>
                <w:sz w:val="16"/>
                <w:szCs w:val="16"/>
                <w:b w:val="1"/>
                <w:bCs w:val="1"/>
                <w:color w:val="auto"/>
              </w:rPr>
              <w:t>1,661,122</w:t>
            </w:r>
          </w:p>
        </w:tc>
      </w:tr>
    </w:tbl>
    <w:p>
      <w:pPr>
        <w:spacing w:after="0" w:line="215" w:lineRule="exact"/>
        <w:rPr>
          <w:sz w:val="20"/>
          <w:szCs w:val="20"/>
          <w:color w:val="auto"/>
        </w:rPr>
      </w:pPr>
    </w:p>
    <w:p>
      <w:pPr>
        <w:jc w:val="both"/>
        <w:ind w:left="740" w:right="20" w:hanging="541"/>
        <w:spacing w:after="0" w:line="246" w:lineRule="auto"/>
        <w:tabs>
          <w:tab w:leader="none" w:pos="7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Pro rata bonus for termination without Cause or resignation for Good Reason is based on actual performance from 2021. For retirement eligible individuals, executive would receive the full bonus earned payable at the originally scheduled payout date consistent with other executives and thus is not included in the table. (As of 12/31/21, Mr. Roth satisfied the age and service retirement criteria for these programs.) See CD&amp;A for disclosure regarding amount earned.</w:t>
      </w:r>
    </w:p>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00548B"/>
        </w:rPr>
        <w:t>49</w:t>
      </w:r>
    </w:p>
    <w:p>
      <w:pPr>
        <w:sectPr>
          <w:pgSz w:w="11900" w:h="16838" w:orient="portrait"/>
          <w:cols w:equalWidth="0" w:num="1">
            <w:col w:w="11060"/>
          </w:cols>
          <w:pgMar w:left="320" w:top="454" w:right="51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740" w:hanging="541"/>
        <w:spacing w:after="0" w:line="242" w:lineRule="auto"/>
        <w:tabs>
          <w:tab w:leader="none" w:pos="7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Reflects pro rata vesting for the 2021 Cash Retention Award. If a named executive officer’s employment is terminated due to death, disability, termination without cause or resignation with good reason, he or his estate will receive payment of a pro-rated portion of the retention award through the date of termination, based on the award agreement.</w:t>
      </w:r>
    </w:p>
    <w:p>
      <w:pPr>
        <w:spacing w:after="0" w:line="1" w:lineRule="exact"/>
        <w:rPr>
          <w:rFonts w:ascii="Arial" w:cs="Arial" w:eastAsia="Arial" w:hAnsi="Arial"/>
          <w:sz w:val="16"/>
          <w:szCs w:val="16"/>
          <w:color w:val="auto"/>
        </w:rPr>
      </w:pPr>
    </w:p>
    <w:p>
      <w:pPr>
        <w:jc w:val="both"/>
        <w:ind w:left="740" w:hanging="541"/>
        <w:spacing w:after="0" w:line="248" w:lineRule="auto"/>
        <w:tabs>
          <w:tab w:leader="none" w:pos="7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acceleration of equity varies by grant and type of termination as outlined in the preceding sections. The value shown is equal to the number of accelerated shares times the closing price on the last day of the fiscal year. These amounts do not include the value of stock that continues to vest per the original schedule post termination, including:</w:t>
      </w:r>
    </w:p>
    <w:p>
      <w:pPr>
        <w:spacing w:after="0" w:line="67" w:lineRule="exact"/>
        <w:rPr>
          <w:rFonts w:ascii="Arial" w:cs="Arial" w:eastAsia="Arial" w:hAnsi="Arial"/>
          <w:sz w:val="16"/>
          <w:szCs w:val="16"/>
          <w:color w:val="auto"/>
        </w:rPr>
      </w:pPr>
    </w:p>
    <w:p>
      <w:pPr>
        <w:jc w:val="both"/>
        <w:ind w:left="1480" w:hanging="417"/>
        <w:spacing w:after="0" w:line="242" w:lineRule="auto"/>
        <w:tabs>
          <w:tab w:leader="none" w:pos="148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 portion of the 2021 performance units would continue to vest for each of the named executive officers with the number of shares determined based on actual performance through December 31, 2021 and prorated for the number of days that the executive was employed during the performance period.</w:t>
      </w:r>
    </w:p>
    <w:p>
      <w:pPr>
        <w:spacing w:after="0" w:line="1" w:lineRule="exact"/>
        <w:rPr>
          <w:rFonts w:ascii="Arial" w:cs="Arial" w:eastAsia="Arial" w:hAnsi="Arial"/>
          <w:sz w:val="16"/>
          <w:szCs w:val="16"/>
          <w:color w:val="auto"/>
        </w:rPr>
      </w:pPr>
    </w:p>
    <w:p>
      <w:pPr>
        <w:jc w:val="both"/>
        <w:ind w:left="1480" w:hanging="417"/>
        <w:spacing w:after="0" w:line="242" w:lineRule="auto"/>
        <w:tabs>
          <w:tab w:leader="none" w:pos="1480" w:val="left"/>
        </w:tabs>
        <w:numPr>
          <w:ilvl w:val="1"/>
          <w:numId w:val="41"/>
        </w:numPr>
        <w:rPr>
          <w:rFonts w:ascii="Arial" w:cs="Arial" w:eastAsia="Arial" w:hAnsi="Arial"/>
          <w:sz w:val="16"/>
          <w:szCs w:val="16"/>
          <w:color w:val="auto"/>
        </w:rPr>
      </w:pPr>
      <w:r>
        <w:rPr>
          <w:rFonts w:ascii="Arial" w:cs="Arial" w:eastAsia="Arial" w:hAnsi="Arial"/>
          <w:sz w:val="16"/>
          <w:szCs w:val="16"/>
          <w:color w:val="auto"/>
        </w:rPr>
        <w:t>100% of the 2019 performance units would continue to vest for each of the named executive officers with the number of shares determined based on actual performance through December 31, 2021 and prorated for the number of days that the executive was employed during the performance period; note that additional COC values may be included if the actual payout is below target as executives will receive the greatest of target or actual payout if terminated post COC.</w:t>
      </w:r>
    </w:p>
    <w:p>
      <w:pPr>
        <w:spacing w:after="0" w:line="2" w:lineRule="exact"/>
        <w:rPr>
          <w:rFonts w:ascii="Arial" w:cs="Arial" w:eastAsia="Arial" w:hAnsi="Arial"/>
          <w:sz w:val="16"/>
          <w:szCs w:val="16"/>
          <w:color w:val="auto"/>
        </w:rPr>
      </w:pPr>
    </w:p>
    <w:p>
      <w:pPr>
        <w:jc w:val="both"/>
        <w:ind w:left="1480" w:hanging="417"/>
        <w:spacing w:after="0" w:line="242" w:lineRule="auto"/>
        <w:tabs>
          <w:tab w:leader="none" w:pos="148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Additionally, in the event an executive qualifies for an approved retirement, they would receive continued vesting of their stock per the schedule as outlined in the grant agreements. (As of 12/31/21 Mr. Roth satisfied the age and service retirement criteria for these programs.)</w:t>
      </w:r>
    </w:p>
    <w:p>
      <w:pPr>
        <w:spacing w:after="0" w:line="1" w:lineRule="exact"/>
        <w:rPr>
          <w:rFonts w:ascii="Arial" w:cs="Arial" w:eastAsia="Arial" w:hAnsi="Arial"/>
          <w:sz w:val="16"/>
          <w:szCs w:val="16"/>
          <w:color w:val="auto"/>
        </w:rPr>
      </w:pPr>
    </w:p>
    <w:p>
      <w:pPr>
        <w:ind w:left="1480" w:hanging="417"/>
        <w:spacing w:after="0"/>
        <w:tabs>
          <w:tab w:leader="none" w:pos="1480" w:val="left"/>
        </w:tabs>
        <w:numPr>
          <w:ilvl w:val="1"/>
          <w:numId w:val="41"/>
        </w:numPr>
        <w:rPr>
          <w:rFonts w:ascii="Arial" w:cs="Arial" w:eastAsia="Arial" w:hAnsi="Arial"/>
          <w:sz w:val="16"/>
          <w:szCs w:val="16"/>
          <w:color w:val="auto"/>
        </w:rPr>
      </w:pPr>
      <w:r>
        <w:rPr>
          <w:rFonts w:ascii="Arial" w:cs="Arial" w:eastAsia="Arial" w:hAnsi="Arial"/>
          <w:sz w:val="16"/>
          <w:szCs w:val="16"/>
          <w:color w:val="auto"/>
        </w:rPr>
        <w:t>Time-based RSAs are forfeited in the event of a Termination without Cause or Resignation for Good Reason.</w:t>
      </w:r>
    </w:p>
    <w:p>
      <w:pPr>
        <w:spacing w:after="0" w:line="81" w:lineRule="exact"/>
        <w:rPr>
          <w:rFonts w:ascii="Arial" w:cs="Arial" w:eastAsia="Arial" w:hAnsi="Arial"/>
          <w:sz w:val="16"/>
          <w:szCs w:val="16"/>
          <w:color w:val="auto"/>
        </w:rPr>
      </w:pPr>
    </w:p>
    <w:p>
      <w:pPr>
        <w:ind w:left="740" w:hanging="541"/>
        <w:spacing w:after="0" w:line="253" w:lineRule="auto"/>
        <w:tabs>
          <w:tab w:leader="none" w:pos="7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 the event the total COC severance exceeds the IRC 280G safe harbor amount, then the executive’s total severance is reduced to the maximum safe harbor threshold amount as to not trigger any excise tax.</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C</w:t>
      </w:r>
      <w:r>
        <w:rPr>
          <w:rFonts w:ascii="Arial" w:cs="Arial" w:eastAsia="Arial" w:hAnsi="Arial"/>
          <w:sz w:val="14"/>
          <w:szCs w:val="14"/>
          <w:b w:val="1"/>
          <w:bCs w:val="1"/>
          <w:color w:val="00548B"/>
        </w:rPr>
        <w:t>OMPENSATION</w:t>
      </w:r>
      <w:r>
        <w:rPr>
          <w:rFonts w:ascii="Arial" w:cs="Arial" w:eastAsia="Arial" w:hAnsi="Arial"/>
          <w:sz w:val="18"/>
          <w:szCs w:val="18"/>
          <w:b w:val="1"/>
          <w:bCs w:val="1"/>
          <w:color w:val="00548B"/>
        </w:rPr>
        <w:t xml:space="preserve"> C</w:t>
      </w:r>
      <w:r>
        <w:rPr>
          <w:rFonts w:ascii="Arial" w:cs="Arial" w:eastAsia="Arial" w:hAnsi="Arial"/>
          <w:sz w:val="14"/>
          <w:szCs w:val="14"/>
          <w:b w:val="1"/>
          <w:bCs w:val="1"/>
          <w:color w:val="00548B"/>
        </w:rPr>
        <w:t>OMMITTEE</w:t>
      </w:r>
      <w:r>
        <w:rPr>
          <w:rFonts w:ascii="Arial" w:cs="Arial" w:eastAsia="Arial" w:hAnsi="Arial"/>
          <w:sz w:val="18"/>
          <w:szCs w:val="18"/>
          <w:b w:val="1"/>
          <w:bCs w:val="1"/>
          <w:color w:val="00548B"/>
        </w:rPr>
        <w:t xml:space="preserve"> I</w:t>
      </w:r>
      <w:r>
        <w:rPr>
          <w:rFonts w:ascii="Arial" w:cs="Arial" w:eastAsia="Arial" w:hAnsi="Arial"/>
          <w:sz w:val="14"/>
          <w:szCs w:val="14"/>
          <w:b w:val="1"/>
          <w:bCs w:val="1"/>
          <w:color w:val="00548B"/>
        </w:rPr>
        <w:t>NTERLOCKS AND</w:t>
      </w:r>
      <w:r>
        <w:rPr>
          <w:rFonts w:ascii="Arial" w:cs="Arial" w:eastAsia="Arial" w:hAnsi="Arial"/>
          <w:sz w:val="18"/>
          <w:szCs w:val="18"/>
          <w:b w:val="1"/>
          <w:bCs w:val="1"/>
          <w:color w:val="00548B"/>
        </w:rPr>
        <w:t xml:space="preserve"> I</w:t>
      </w:r>
      <w:r>
        <w:rPr>
          <w:rFonts w:ascii="Arial" w:cs="Arial" w:eastAsia="Arial" w:hAnsi="Arial"/>
          <w:sz w:val="14"/>
          <w:szCs w:val="14"/>
          <w:b w:val="1"/>
          <w:bCs w:val="1"/>
          <w:color w:val="00548B"/>
        </w:rPr>
        <w:t>NSIDER</w:t>
      </w:r>
      <w:r>
        <w:rPr>
          <w:rFonts w:ascii="Arial" w:cs="Arial" w:eastAsia="Arial" w:hAnsi="Arial"/>
          <w:sz w:val="18"/>
          <w:szCs w:val="18"/>
          <w:b w:val="1"/>
          <w:bCs w:val="1"/>
          <w:color w:val="00548B"/>
        </w:rPr>
        <w:t xml:space="preserve"> P</w:t>
      </w:r>
      <w:r>
        <w:rPr>
          <w:rFonts w:ascii="Arial" w:cs="Arial" w:eastAsia="Arial" w:hAnsi="Arial"/>
          <w:sz w:val="14"/>
          <w:szCs w:val="14"/>
          <w:b w:val="1"/>
          <w:bCs w:val="1"/>
          <w:color w:val="00548B"/>
        </w:rPr>
        <w:t>ARTICIPATION</w:t>
      </w:r>
    </w:p>
    <w:p>
      <w:pPr>
        <w:spacing w:after="0" w:line="17"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color w:val="auto"/>
        </w:rPr>
        <w:t>During 2021, there were no Compensation Committee interlocks and no insider participation in Compensation Committee decisions that were required to be reported under the rules and regulations of the 1934 Act.</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C</w:t>
      </w:r>
      <w:r>
        <w:rPr>
          <w:rFonts w:ascii="Arial" w:cs="Arial" w:eastAsia="Arial" w:hAnsi="Arial"/>
          <w:sz w:val="14"/>
          <w:szCs w:val="14"/>
          <w:b w:val="1"/>
          <w:bCs w:val="1"/>
          <w:color w:val="00548B"/>
        </w:rPr>
        <w:t>ERTAIN</w:t>
      </w:r>
      <w:r>
        <w:rPr>
          <w:rFonts w:ascii="Arial" w:cs="Arial" w:eastAsia="Arial" w:hAnsi="Arial"/>
          <w:sz w:val="18"/>
          <w:szCs w:val="18"/>
          <w:b w:val="1"/>
          <w:bCs w:val="1"/>
          <w:color w:val="00548B"/>
        </w:rPr>
        <w:t xml:space="preserve"> R</w:t>
      </w:r>
      <w:r>
        <w:rPr>
          <w:rFonts w:ascii="Arial" w:cs="Arial" w:eastAsia="Arial" w:hAnsi="Arial"/>
          <w:sz w:val="14"/>
          <w:szCs w:val="14"/>
          <w:b w:val="1"/>
          <w:bCs w:val="1"/>
          <w:color w:val="00548B"/>
        </w:rPr>
        <w:t>ELATIONSHIPS AND</w:t>
      </w:r>
      <w:r>
        <w:rPr>
          <w:rFonts w:ascii="Arial" w:cs="Arial" w:eastAsia="Arial" w:hAnsi="Arial"/>
          <w:sz w:val="18"/>
          <w:szCs w:val="18"/>
          <w:b w:val="1"/>
          <w:bCs w:val="1"/>
          <w:color w:val="00548B"/>
        </w:rPr>
        <w:t xml:space="preserve"> R</w:t>
      </w:r>
      <w:r>
        <w:rPr>
          <w:rFonts w:ascii="Arial" w:cs="Arial" w:eastAsia="Arial" w:hAnsi="Arial"/>
          <w:sz w:val="14"/>
          <w:szCs w:val="14"/>
          <w:b w:val="1"/>
          <w:bCs w:val="1"/>
          <w:color w:val="00548B"/>
        </w:rPr>
        <w:t>ELATED</w:t>
      </w:r>
      <w:r>
        <w:rPr>
          <w:rFonts w:ascii="Arial" w:cs="Arial" w:eastAsia="Arial" w:hAnsi="Arial"/>
          <w:sz w:val="18"/>
          <w:szCs w:val="18"/>
          <w:b w:val="1"/>
          <w:bCs w:val="1"/>
          <w:color w:val="00548B"/>
        </w:rPr>
        <w:t xml:space="preserve"> T</w:t>
      </w:r>
      <w:r>
        <w:rPr>
          <w:rFonts w:ascii="Arial" w:cs="Arial" w:eastAsia="Arial" w:hAnsi="Arial"/>
          <w:sz w:val="14"/>
          <w:szCs w:val="14"/>
          <w:b w:val="1"/>
          <w:bCs w:val="1"/>
          <w:color w:val="00548B"/>
        </w:rPr>
        <w:t>RANSACTIONS</w:t>
      </w:r>
    </w:p>
    <w:p>
      <w:pPr>
        <w:spacing w:after="0" w:line="17" w:lineRule="exact"/>
        <w:rPr>
          <w:sz w:val="20"/>
          <w:szCs w:val="20"/>
          <w:color w:val="auto"/>
        </w:rPr>
      </w:pPr>
    </w:p>
    <w:p>
      <w:pPr>
        <w:jc w:val="both"/>
        <w:ind w:left="200"/>
        <w:spacing w:after="0" w:line="245" w:lineRule="auto"/>
        <w:rPr>
          <w:sz w:val="20"/>
          <w:szCs w:val="20"/>
          <w:color w:val="auto"/>
        </w:rPr>
      </w:pPr>
      <w:r>
        <w:rPr>
          <w:rFonts w:ascii="Arial" w:cs="Arial" w:eastAsia="Arial" w:hAnsi="Arial"/>
          <w:sz w:val="16"/>
          <w:szCs w:val="16"/>
          <w:color w:val="auto"/>
        </w:rPr>
        <w:t>It is the responsibility of the Audit Committee to review and approve, ratify or disapprove proposed transactions or courses of dealings with respect to which executive officers or directors or members of their immediate families have an interest (including all transactions required to be disclosed pursuant to the SEC’s related person disclosure requirements). In addition, it is the policy of management and board members to discuss at a meeting of the board of directors, or the appropriate board committee, those transactions requiring disclosure pursuant to the SEC’s related person disclosure requirements between Huron and a board member or a principal stockholder and members of their immediate families.</w:t>
      </w:r>
    </w:p>
    <w:p>
      <w:pPr>
        <w:spacing w:after="0" w:line="164" w:lineRule="exact"/>
        <w:rPr>
          <w:sz w:val="20"/>
          <w:szCs w:val="20"/>
          <w:color w:val="auto"/>
        </w:rPr>
      </w:pPr>
    </w:p>
    <w:p>
      <w:pPr>
        <w:jc w:val="both"/>
        <w:ind w:left="200"/>
        <w:spacing w:after="0" w:line="244" w:lineRule="auto"/>
        <w:rPr>
          <w:sz w:val="20"/>
          <w:szCs w:val="20"/>
          <w:color w:val="auto"/>
        </w:rPr>
      </w:pPr>
      <w:r>
        <w:rPr>
          <w:rFonts w:ascii="Arial" w:cs="Arial" w:eastAsia="Arial" w:hAnsi="Arial"/>
          <w:sz w:val="16"/>
          <w:szCs w:val="16"/>
          <w:color w:val="auto"/>
        </w:rPr>
        <w:t>In addition, Huron has a Code of Business Conduct and Ethics (the “Code of Conduct”), a copy of which is posted on our web site at www.huronconsultinggroup.com, that applies to directors and employees and their family members. The Code of Conduct, among other things, has a policy governing conflicts of interest generally and, in particular, prohibiting certain business arrangements with the Company and clients of the Company, entering into relationships that may be perceived as impairing the ability of the individual or Huron from performing his/her or its duties, as the case may be, in an impartial manner, and use of corporate property for improper personal gain. Any exceptions require disclosure and approval by the Chief Compliance Officer and, in the case of officers and directors, by the Audit Committee of the board of directors. The Code of Conduct also prohibits Huron from making any personal loans or guaranteeing any personal obligations of board members and executive officers.</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50</w:t>
      </w:r>
    </w:p>
    <w:p>
      <w:pPr>
        <w:sectPr>
          <w:pgSz w:w="11900" w:h="16838" w:orient="portrait"/>
          <w:cols w:equalWidth="0" w:num="1">
            <w:col w:w="11040"/>
          </w:cols>
          <w:pgMar w:left="320" w:top="454" w:right="5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00548B"/>
        </w:rPr>
        <w:t>PROPOSAL 2</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21"/>
          <w:szCs w:val="21"/>
          <w:b w:val="1"/>
          <w:bCs w:val="1"/>
          <w:color w:val="00548B"/>
        </w:rPr>
        <w:t>ADVISORY VOTE TO APPROVE THE COMPANY’S EXECUTIVE COMPENSATION</w:t>
      </w:r>
    </w:p>
    <w:p>
      <w:pPr>
        <w:spacing w:after="0" w:line="365" w:lineRule="exact"/>
        <w:rPr>
          <w:sz w:val="20"/>
          <w:szCs w:val="20"/>
          <w:color w:val="auto"/>
        </w:rPr>
      </w:pPr>
    </w:p>
    <w:p>
      <w:pPr>
        <w:jc w:val="both"/>
        <w:ind w:left="200"/>
        <w:spacing w:after="0" w:line="246" w:lineRule="auto"/>
        <w:rPr>
          <w:sz w:val="20"/>
          <w:szCs w:val="20"/>
          <w:color w:val="auto"/>
        </w:rPr>
      </w:pPr>
      <w:r>
        <w:rPr>
          <w:rFonts w:ascii="Arial" w:cs="Arial" w:eastAsia="Arial" w:hAnsi="Arial"/>
          <w:sz w:val="16"/>
          <w:szCs w:val="16"/>
          <w:color w:val="auto"/>
        </w:rPr>
        <w:t>As required by the Dodd-Frank Wall Street Reform and Consumer Protection Act of 2010 (the “Dodd-Frank Act”) and the SEC, Huron annually is asking its stockholders to indicate their support for our named executive officer compensation, which includes the compensation discussion and analysis, the compensation tables and the related narrative disclosures, all as described in the section entitled “EXECUTIVE COMPENSATION—Compensation Discussion and Analysis.”</w:t>
      </w:r>
    </w:p>
    <w:p>
      <w:pPr>
        <w:spacing w:after="0" w:line="163" w:lineRule="exact"/>
        <w:rPr>
          <w:sz w:val="20"/>
          <w:szCs w:val="20"/>
          <w:color w:val="auto"/>
        </w:rPr>
      </w:pPr>
    </w:p>
    <w:p>
      <w:pPr>
        <w:jc w:val="both"/>
        <w:ind w:left="200"/>
        <w:spacing w:after="0" w:line="246" w:lineRule="auto"/>
        <w:rPr>
          <w:sz w:val="20"/>
          <w:szCs w:val="20"/>
          <w:color w:val="auto"/>
        </w:rPr>
      </w:pPr>
      <w:r>
        <w:rPr>
          <w:rFonts w:ascii="Arial" w:cs="Arial" w:eastAsia="Arial" w:hAnsi="Arial"/>
          <w:sz w:val="16"/>
          <w:szCs w:val="16"/>
          <w:color w:val="auto"/>
        </w:rPr>
        <w:t>The vote solicited by this proposal, commonly known as “Say on Pay,” is advisory in nature and will not be binding on the board of directors, the Compensation Committee or Huron. However, the board of directors and the Compensation Committee value the opinions of our stockholders, will review the voting results and, to the extent determined appropriate, take into account the outcome of the vote during future deliberations on executive compensation arrangements.</w:t>
      </w:r>
    </w:p>
    <w:p>
      <w:pPr>
        <w:spacing w:after="0" w:line="176" w:lineRule="exact"/>
        <w:rPr>
          <w:sz w:val="20"/>
          <w:szCs w:val="20"/>
          <w:color w:val="auto"/>
        </w:rPr>
      </w:pPr>
    </w:p>
    <w:p>
      <w:pPr>
        <w:jc w:val="both"/>
        <w:ind w:left="200"/>
        <w:spacing w:after="0" w:line="248" w:lineRule="auto"/>
        <w:rPr>
          <w:sz w:val="20"/>
          <w:szCs w:val="20"/>
          <w:color w:val="auto"/>
        </w:rPr>
      </w:pPr>
      <w:r>
        <w:rPr>
          <w:rFonts w:ascii="Arial" w:cs="Arial" w:eastAsia="Arial" w:hAnsi="Arial"/>
          <w:sz w:val="16"/>
          <w:szCs w:val="16"/>
          <w:color w:val="auto"/>
        </w:rPr>
        <w:t>Huron believes that its executive compensation program is structured to support Huron and its business objectives. This vote is not intended to address any one specific item of compensation, but rather the overall compensation of our named executive officers and the philosophy, policies and practices described in this Proxy Statement.</w:t>
      </w:r>
    </w:p>
    <w:p>
      <w:pPr>
        <w:spacing w:after="0" w:line="161" w:lineRule="exact"/>
        <w:rPr>
          <w:sz w:val="20"/>
          <w:szCs w:val="20"/>
          <w:color w:val="auto"/>
        </w:rPr>
      </w:pPr>
    </w:p>
    <w:p>
      <w:pPr>
        <w:jc w:val="both"/>
        <w:ind w:left="200"/>
        <w:spacing w:after="0" w:line="265" w:lineRule="auto"/>
        <w:rPr>
          <w:sz w:val="20"/>
          <w:szCs w:val="20"/>
          <w:color w:val="auto"/>
        </w:rPr>
      </w:pPr>
      <w:r>
        <w:rPr>
          <w:rFonts w:ascii="Arial" w:cs="Arial" w:eastAsia="Arial" w:hAnsi="Arial"/>
          <w:sz w:val="15"/>
          <w:szCs w:val="15"/>
          <w:color w:val="auto"/>
        </w:rPr>
        <w:t>The affirmative vote of the holders of a majority of the total shares of common stock, present in person or represented by proxy and entitled to vote on the proposal, is required to approve the advisory vote on the compensation arrangements of our named executive officers. Abstentions will have the same effect as a vote against the proposal. Broker non-votes will not be considered shares entitled to vote with respect to the proposal and will not be counted as votes for or against the proposal and will therefore have no effect on the outcome of the proposal. Proxies submitted pursuant to this solicitation will be voted “FOR” the approval of the advisory vote on the compensation arrangements of our named executive officers, unless specified otherwise.</w:t>
      </w:r>
    </w:p>
    <w:p>
      <w:pPr>
        <w:spacing w:after="0" w:line="131" w:lineRule="exact"/>
        <w:rPr>
          <w:sz w:val="20"/>
          <w:szCs w:val="20"/>
          <w:color w:val="auto"/>
        </w:rPr>
      </w:pPr>
    </w:p>
    <w:p>
      <w:pPr>
        <w:jc w:val="both"/>
        <w:ind w:left="200"/>
        <w:spacing w:after="0" w:line="261" w:lineRule="auto"/>
        <w:rPr>
          <w:sz w:val="20"/>
          <w:szCs w:val="20"/>
          <w:color w:val="auto"/>
        </w:rPr>
      </w:pPr>
      <w:r>
        <w:rPr>
          <w:rFonts w:ascii="Arial" w:cs="Arial" w:eastAsia="Arial" w:hAnsi="Arial"/>
          <w:sz w:val="16"/>
          <w:szCs w:val="16"/>
          <w:color w:val="auto"/>
        </w:rPr>
        <w:t>THE BOARD OF DIRECTORS RECOMMENDS THAT STOCKHOLDERS VOTE “</w:t>
      </w:r>
      <w:r>
        <w:rPr>
          <w:rFonts w:ascii="Arial" w:cs="Arial" w:eastAsia="Arial" w:hAnsi="Arial"/>
          <w:sz w:val="16"/>
          <w:szCs w:val="16"/>
          <w:b w:val="1"/>
          <w:bCs w:val="1"/>
          <w:color w:val="auto"/>
        </w:rPr>
        <w:t>FOR</w:t>
      </w:r>
      <w:r>
        <w:rPr>
          <w:rFonts w:ascii="Arial" w:cs="Arial" w:eastAsia="Arial" w:hAnsi="Arial"/>
          <w:sz w:val="16"/>
          <w:szCs w:val="16"/>
          <w:color w:val="auto"/>
        </w:rPr>
        <w:t>” THE COMPENSATION OF OUR NAMED EXECUTIVE OFFICERS AS DISCLOSED IN THE COMPENSATION DISCUSSION AND ANALYSIS SECTION AND THE ACCOMPANYING COMPENSATION TABLES AND NARRATIVE DISCUSSION IN THIS PROXY STATEMENT.</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51</w:t>
      </w:r>
    </w:p>
    <w:p>
      <w:pPr>
        <w:sectPr>
          <w:pgSz w:w="11900" w:h="16838" w:orient="portrait"/>
          <w:cols w:equalWidth="0" w:num="1">
            <w:col w:w="11040"/>
          </w:cols>
          <w:pgMar w:left="320" w:top="454" w:right="5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00548B"/>
        </w:rPr>
        <w:t>PROPOSAL 3</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21"/>
          <w:szCs w:val="21"/>
          <w:b w:val="1"/>
          <w:bCs w:val="1"/>
          <w:color w:val="00548B"/>
        </w:rPr>
        <w:t>RATIFICATION OF APPOINTMENT OF INDEPENDENT REGISTERED PUBLIC ACCOUNTING FIRM</w:t>
      </w:r>
    </w:p>
    <w:p>
      <w:pPr>
        <w:spacing w:after="0" w:line="365" w:lineRule="exact"/>
        <w:rPr>
          <w:sz w:val="20"/>
          <w:szCs w:val="20"/>
          <w:color w:val="auto"/>
        </w:rPr>
      </w:pPr>
    </w:p>
    <w:p>
      <w:pPr>
        <w:jc w:val="both"/>
        <w:ind w:left="200"/>
        <w:spacing w:after="0" w:line="244" w:lineRule="auto"/>
        <w:rPr>
          <w:sz w:val="20"/>
          <w:szCs w:val="20"/>
          <w:color w:val="auto"/>
        </w:rPr>
      </w:pPr>
      <w:r>
        <w:rPr>
          <w:rFonts w:ascii="Arial" w:cs="Arial" w:eastAsia="Arial" w:hAnsi="Arial"/>
          <w:sz w:val="16"/>
          <w:szCs w:val="16"/>
          <w:color w:val="auto"/>
        </w:rPr>
        <w:t>PricewaterhouseCoopers LLP (“PwC”), which has been the independent registered public accounting firm for the Company since its inception, has been appointed by the Audit Committee as the independent registered public accounting firm for the Company and its subsidiaries for the fiscal year ending December 31, 2022. This appointment is being presented to the stockholders for ratification. The ratification of the appointment of PwC as the independent registered public accounting firm requires the affirmative vote of the holders of a majority of the total shares of common stock present in person or represented by proxy and entitled to vote on the proposal, provided that a quorum is represented at the meeting. Abstentions will have the same effect as a vote against ratification. Broker non-votes will not be considered shares entitled to vote with respect to ratification of the appointment and will not be counted as votes for or against the ratification and will therefore have no effect on the outcome of this proposal. Proxies submitted pursuant to this solicitation will be voted “FOR” the ratification of PwC as the Company’s independent registered public accounting firm for the fiscal year ending December 31, 2022, unless specified otherwise.</w:t>
      </w:r>
    </w:p>
    <w:p>
      <w:pPr>
        <w:spacing w:after="0" w:line="145" w:lineRule="exact"/>
        <w:rPr>
          <w:sz w:val="20"/>
          <w:szCs w:val="20"/>
          <w:color w:val="auto"/>
        </w:rPr>
      </w:pPr>
    </w:p>
    <w:p>
      <w:pPr>
        <w:jc w:val="both"/>
        <w:ind w:left="200"/>
        <w:spacing w:after="0" w:line="261" w:lineRule="auto"/>
        <w:rPr>
          <w:sz w:val="20"/>
          <w:szCs w:val="20"/>
          <w:color w:val="auto"/>
        </w:rPr>
      </w:pPr>
      <w:r>
        <w:rPr>
          <w:rFonts w:ascii="Arial" w:cs="Arial" w:eastAsia="Arial" w:hAnsi="Arial"/>
          <w:sz w:val="16"/>
          <w:szCs w:val="16"/>
          <w:color w:val="auto"/>
        </w:rPr>
        <w:t>THE BOARD OF DIRECTORS RECOMMENDS THAT STOCKHOLDERS VOTE “</w:t>
      </w:r>
      <w:r>
        <w:rPr>
          <w:rFonts w:ascii="Arial" w:cs="Arial" w:eastAsia="Arial" w:hAnsi="Arial"/>
          <w:sz w:val="16"/>
          <w:szCs w:val="16"/>
          <w:b w:val="1"/>
          <w:bCs w:val="1"/>
          <w:color w:val="auto"/>
        </w:rPr>
        <w:t>FOR</w:t>
      </w:r>
      <w:r>
        <w:rPr>
          <w:rFonts w:ascii="Arial" w:cs="Arial" w:eastAsia="Arial" w:hAnsi="Arial"/>
          <w:sz w:val="16"/>
          <w:szCs w:val="16"/>
          <w:color w:val="auto"/>
        </w:rPr>
        <w:t>” THE RATIFICATION OF THE APPOINTMENT OF PRICEWATERHOUSECOOPERS LLP AS THE COMPANY’S INDEPENDENT REGISTERED PUBLIC ACCOUNTING FIRM FOR THE FISCAL YEAR ENDING DECEMBER 31, 2022.</w:t>
      </w:r>
    </w:p>
    <w:p>
      <w:pPr>
        <w:spacing w:after="0" w:line="164"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color w:val="auto"/>
        </w:rPr>
        <w:t>Representatives of PwC are expected to be present at the Annual Meeting and will be provided an opportunity to make a statement and to respond to appropriate inquiries from stockholders.</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A</w:t>
      </w:r>
      <w:r>
        <w:rPr>
          <w:rFonts w:ascii="Arial" w:cs="Arial" w:eastAsia="Arial" w:hAnsi="Arial"/>
          <w:sz w:val="14"/>
          <w:szCs w:val="14"/>
          <w:b w:val="1"/>
          <w:bCs w:val="1"/>
          <w:color w:val="00548B"/>
        </w:rPr>
        <w:t>UDIT AND</w:t>
      </w:r>
      <w:r>
        <w:rPr>
          <w:rFonts w:ascii="Arial" w:cs="Arial" w:eastAsia="Arial" w:hAnsi="Arial"/>
          <w:sz w:val="18"/>
          <w:szCs w:val="18"/>
          <w:b w:val="1"/>
          <w:bCs w:val="1"/>
          <w:color w:val="00548B"/>
        </w:rPr>
        <w:t xml:space="preserve"> N</w:t>
      </w:r>
      <w:r>
        <w:rPr>
          <w:rFonts w:ascii="Arial" w:cs="Arial" w:eastAsia="Arial" w:hAnsi="Arial"/>
          <w:sz w:val="14"/>
          <w:szCs w:val="14"/>
          <w:b w:val="1"/>
          <w:bCs w:val="1"/>
          <w:color w:val="00548B"/>
        </w:rPr>
        <w:t>ON</w:t>
      </w:r>
      <w:r>
        <w:rPr>
          <w:rFonts w:ascii="Arial" w:cs="Arial" w:eastAsia="Arial" w:hAnsi="Arial"/>
          <w:sz w:val="18"/>
          <w:szCs w:val="18"/>
          <w:b w:val="1"/>
          <w:bCs w:val="1"/>
          <w:color w:val="00548B"/>
        </w:rPr>
        <w:t>-A</w:t>
      </w:r>
      <w:r>
        <w:rPr>
          <w:rFonts w:ascii="Arial" w:cs="Arial" w:eastAsia="Arial" w:hAnsi="Arial"/>
          <w:sz w:val="14"/>
          <w:szCs w:val="14"/>
          <w:b w:val="1"/>
          <w:bCs w:val="1"/>
          <w:color w:val="00548B"/>
        </w:rPr>
        <w:t>UDIT</w:t>
      </w:r>
      <w:r>
        <w:rPr>
          <w:rFonts w:ascii="Arial" w:cs="Arial" w:eastAsia="Arial" w:hAnsi="Arial"/>
          <w:sz w:val="18"/>
          <w:szCs w:val="18"/>
          <w:b w:val="1"/>
          <w:bCs w:val="1"/>
          <w:color w:val="00548B"/>
        </w:rPr>
        <w:t xml:space="preserve"> F</w:t>
      </w:r>
      <w:r>
        <w:rPr>
          <w:rFonts w:ascii="Arial" w:cs="Arial" w:eastAsia="Arial" w:hAnsi="Arial"/>
          <w:sz w:val="14"/>
          <w:szCs w:val="14"/>
          <w:b w:val="1"/>
          <w:bCs w:val="1"/>
          <w:color w:val="00548B"/>
        </w:rPr>
        <w:t>EES</w:t>
      </w:r>
    </w:p>
    <w:p>
      <w:pPr>
        <w:spacing w:after="0" w:line="17"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color w:val="auto"/>
        </w:rPr>
        <w:t>The following table presents fees for professional audit services rendered by PwC for the audit of the Company’s annual financial statements for the years ended December 31, 2021 and December 31, 2020, and fees for other services rendered by PwC during those periods:</w:t>
      </w:r>
    </w:p>
    <w:p>
      <w:pPr>
        <w:spacing w:after="0" w:line="194" w:lineRule="exact"/>
        <w:rPr>
          <w:sz w:val="20"/>
          <w:szCs w:val="20"/>
          <w:color w:val="auto"/>
        </w:rPr>
      </w:pPr>
    </w:p>
    <w:tbl>
      <w:tblPr>
        <w:tblLayout w:type="fixed"/>
        <w:tblInd w:w="640" w:type="dxa"/>
        <w:tblCellMar>
          <w:top w:w="0" w:type="dxa"/>
          <w:left w:w="0" w:type="dxa"/>
          <w:bottom w:w="0" w:type="dxa"/>
          <w:right w:w="0" w:type="dxa"/>
        </w:tblCellMar>
      </w:tblPr>
      <w:tr>
        <w:trPr>
          <w:trHeight w:val="168"/>
        </w:trPr>
        <w:tc>
          <w:tcPr>
            <w:tcW w:w="7000" w:type="dxa"/>
            <w:vAlign w:val="bottom"/>
            <w:shd w:val="clear" w:color="auto" w:fill="00548B"/>
          </w:tcPr>
          <w:p>
            <w:pPr>
              <w:spacing w:after="0"/>
              <w:rPr>
                <w:sz w:val="14"/>
                <w:szCs w:val="14"/>
                <w:color w:val="auto"/>
              </w:rPr>
            </w:pPr>
          </w:p>
        </w:tc>
        <w:tc>
          <w:tcPr>
            <w:tcW w:w="280" w:type="dxa"/>
            <w:vAlign w:val="bottom"/>
            <w:shd w:val="clear" w:color="auto" w:fill="00548B"/>
          </w:tcPr>
          <w:p>
            <w:pPr>
              <w:spacing w:after="0"/>
              <w:rPr>
                <w:sz w:val="14"/>
                <w:szCs w:val="14"/>
                <w:color w:val="auto"/>
              </w:rPr>
            </w:pPr>
          </w:p>
        </w:tc>
        <w:tc>
          <w:tcPr>
            <w:tcW w:w="720" w:type="dxa"/>
            <w:vAlign w:val="bottom"/>
            <w:shd w:val="clear" w:color="auto" w:fill="00548B"/>
          </w:tcPr>
          <w:p>
            <w:pPr>
              <w:jc w:val="right"/>
              <w:ind w:right="202"/>
              <w:spacing w:after="0"/>
              <w:rPr>
                <w:sz w:val="20"/>
                <w:szCs w:val="20"/>
                <w:color w:val="auto"/>
              </w:rPr>
            </w:pPr>
            <w:r>
              <w:rPr>
                <w:rFonts w:ascii="Arial" w:cs="Arial" w:eastAsia="Arial" w:hAnsi="Arial"/>
                <w:sz w:val="14"/>
                <w:szCs w:val="14"/>
                <w:b w:val="1"/>
                <w:bCs w:val="1"/>
                <w:color w:val="D8D8D8"/>
              </w:rPr>
              <w:t>2021</w:t>
            </w:r>
          </w:p>
        </w:tc>
        <w:tc>
          <w:tcPr>
            <w:tcW w:w="1040" w:type="dxa"/>
            <w:vAlign w:val="bottom"/>
            <w:shd w:val="clear" w:color="auto" w:fill="00548B"/>
          </w:tcPr>
          <w:p>
            <w:pPr>
              <w:spacing w:after="0"/>
              <w:rPr>
                <w:sz w:val="14"/>
                <w:szCs w:val="14"/>
                <w:color w:val="auto"/>
              </w:rPr>
            </w:pPr>
          </w:p>
        </w:tc>
        <w:tc>
          <w:tcPr>
            <w:tcW w:w="940" w:type="dxa"/>
            <w:vAlign w:val="bottom"/>
            <w:shd w:val="clear" w:color="auto" w:fill="00548B"/>
          </w:tcPr>
          <w:p>
            <w:pPr>
              <w:jc w:val="right"/>
              <w:ind w:right="422"/>
              <w:spacing w:after="0"/>
              <w:rPr>
                <w:sz w:val="20"/>
                <w:szCs w:val="20"/>
                <w:color w:val="auto"/>
              </w:rPr>
            </w:pPr>
            <w:r>
              <w:rPr>
                <w:rFonts w:ascii="Arial" w:cs="Arial" w:eastAsia="Arial" w:hAnsi="Arial"/>
                <w:sz w:val="14"/>
                <w:szCs w:val="14"/>
                <w:b w:val="1"/>
                <w:bCs w:val="1"/>
                <w:color w:val="D8D8D8"/>
              </w:rPr>
              <w:t>2020</w:t>
            </w:r>
          </w:p>
        </w:tc>
      </w:tr>
      <w:tr>
        <w:trPr>
          <w:trHeight w:val="140"/>
        </w:trPr>
        <w:tc>
          <w:tcPr>
            <w:tcW w:w="7000" w:type="dxa"/>
            <w:vAlign w:val="bottom"/>
            <w:shd w:val="clear" w:color="auto" w:fill="00548B"/>
          </w:tcPr>
          <w:p>
            <w:pPr>
              <w:spacing w:after="0"/>
              <w:rPr>
                <w:sz w:val="12"/>
                <w:szCs w:val="12"/>
                <w:color w:val="auto"/>
              </w:rPr>
            </w:pPr>
          </w:p>
        </w:tc>
        <w:tc>
          <w:tcPr>
            <w:tcW w:w="280" w:type="dxa"/>
            <w:vAlign w:val="bottom"/>
            <w:shd w:val="clear" w:color="auto" w:fill="00548B"/>
          </w:tcPr>
          <w:p>
            <w:pPr>
              <w:spacing w:after="0"/>
              <w:rPr>
                <w:sz w:val="12"/>
                <w:szCs w:val="12"/>
                <w:color w:val="auto"/>
              </w:rPr>
            </w:pPr>
          </w:p>
        </w:tc>
        <w:tc>
          <w:tcPr>
            <w:tcW w:w="720" w:type="dxa"/>
            <w:vAlign w:val="bottom"/>
            <w:shd w:val="clear" w:color="auto" w:fill="00548B"/>
          </w:tcPr>
          <w:p>
            <w:pPr>
              <w:spacing w:after="0"/>
              <w:rPr>
                <w:sz w:val="12"/>
                <w:szCs w:val="12"/>
                <w:color w:val="auto"/>
              </w:rPr>
            </w:pPr>
          </w:p>
        </w:tc>
        <w:tc>
          <w:tcPr>
            <w:tcW w:w="1040" w:type="dxa"/>
            <w:vAlign w:val="bottom"/>
            <w:shd w:val="clear" w:color="auto" w:fill="00548B"/>
          </w:tcPr>
          <w:p>
            <w:pPr>
              <w:jc w:val="right"/>
              <w:ind w:right="103"/>
              <w:spacing w:after="0"/>
              <w:rPr>
                <w:sz w:val="20"/>
                <w:szCs w:val="20"/>
                <w:color w:val="auto"/>
              </w:rPr>
            </w:pPr>
            <w:r>
              <w:rPr>
                <w:rFonts w:ascii="Arial" w:cs="Arial" w:eastAsia="Arial" w:hAnsi="Arial"/>
                <w:sz w:val="12"/>
                <w:szCs w:val="12"/>
                <w:b w:val="1"/>
                <w:bCs w:val="1"/>
                <w:color w:val="E5E5E5"/>
              </w:rPr>
              <w:t>(in thousands)</w:t>
            </w:r>
          </w:p>
        </w:tc>
        <w:tc>
          <w:tcPr>
            <w:tcW w:w="940" w:type="dxa"/>
            <w:vAlign w:val="bottom"/>
            <w:shd w:val="clear" w:color="auto" w:fill="00548B"/>
          </w:tcPr>
          <w:p>
            <w:pPr>
              <w:spacing w:after="0"/>
              <w:rPr>
                <w:sz w:val="12"/>
                <w:szCs w:val="12"/>
                <w:color w:val="auto"/>
              </w:rPr>
            </w:pPr>
          </w:p>
        </w:tc>
      </w:tr>
      <w:tr>
        <w:trPr>
          <w:trHeight w:val="186"/>
        </w:trPr>
        <w:tc>
          <w:tcPr>
            <w:tcW w:w="7000" w:type="dxa"/>
            <w:vAlign w:val="bottom"/>
            <w:tcBorders>
              <w:bottom w:val="single" w:sz="8" w:color="999999"/>
            </w:tcBorders>
          </w:tcPr>
          <w:p>
            <w:pPr>
              <w:spacing w:after="0"/>
              <w:rPr>
                <w:sz w:val="20"/>
                <w:szCs w:val="20"/>
                <w:color w:val="auto"/>
              </w:rPr>
            </w:pPr>
            <w:r>
              <w:rPr>
                <w:rFonts w:ascii="Arial" w:cs="Arial" w:eastAsia="Arial" w:hAnsi="Arial"/>
                <w:sz w:val="16"/>
                <w:szCs w:val="16"/>
                <w:color w:val="auto"/>
              </w:rPr>
              <w:t>Audit Fees</w:t>
            </w:r>
          </w:p>
        </w:tc>
        <w:tc>
          <w:tcPr>
            <w:tcW w:w="280" w:type="dxa"/>
            <w:vAlign w:val="bottom"/>
            <w:tcBorders>
              <w:bottom w:val="single" w:sz="8" w:color="999999"/>
            </w:tcBorders>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1,831</w:t>
            </w:r>
          </w:p>
        </w:tc>
        <w:tc>
          <w:tcPr>
            <w:tcW w:w="1040" w:type="dxa"/>
            <w:vAlign w:val="bottom"/>
            <w:tcBorders>
              <w:bottom w:val="single" w:sz="8" w:color="999999"/>
            </w:tcBorders>
          </w:tcPr>
          <w:p>
            <w:pPr>
              <w:jc w:val="right"/>
              <w:ind w:right="43"/>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999999"/>
            </w:tcBorders>
          </w:tcPr>
          <w:p>
            <w:pPr>
              <w:jc w:val="right"/>
              <w:ind w:right="142"/>
              <w:spacing w:after="0"/>
              <w:rPr>
                <w:sz w:val="20"/>
                <w:szCs w:val="20"/>
                <w:color w:val="auto"/>
              </w:rPr>
            </w:pPr>
            <w:r>
              <w:rPr>
                <w:rFonts w:ascii="Arial" w:cs="Arial" w:eastAsia="Arial" w:hAnsi="Arial"/>
                <w:sz w:val="16"/>
                <w:szCs w:val="16"/>
                <w:color w:val="auto"/>
              </w:rPr>
              <w:t>1,627</w:t>
            </w:r>
          </w:p>
        </w:tc>
      </w:tr>
      <w:tr>
        <w:trPr>
          <w:trHeight w:val="179"/>
        </w:trPr>
        <w:tc>
          <w:tcPr>
            <w:tcW w:w="7000" w:type="dxa"/>
            <w:vAlign w:val="bottom"/>
            <w:tcBorders>
              <w:bottom w:val="single" w:sz="8" w:color="999999"/>
            </w:tcBorders>
          </w:tcPr>
          <w:p>
            <w:pPr>
              <w:spacing w:after="0" w:line="180" w:lineRule="exact"/>
              <w:rPr>
                <w:sz w:val="20"/>
                <w:szCs w:val="20"/>
                <w:color w:val="auto"/>
              </w:rPr>
            </w:pPr>
            <w:r>
              <w:rPr>
                <w:rFonts w:ascii="Arial" w:cs="Arial" w:eastAsia="Arial" w:hAnsi="Arial"/>
                <w:sz w:val="16"/>
                <w:szCs w:val="16"/>
                <w:color w:val="auto"/>
              </w:rPr>
              <w:t>Audit-Related Fees</w:t>
            </w:r>
          </w:p>
        </w:tc>
        <w:tc>
          <w:tcPr>
            <w:tcW w:w="280" w:type="dxa"/>
            <w:vAlign w:val="bottom"/>
            <w:tcBorders>
              <w:bottom w:val="single" w:sz="8" w:color="999999"/>
            </w:tcBorders>
          </w:tcPr>
          <w:p>
            <w:pPr>
              <w:jc w:val="right"/>
              <w:ind w:right="20"/>
              <w:spacing w:after="0" w:line="180"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999999"/>
            </w:tcBorders>
          </w:tcPr>
          <w:p>
            <w:pPr>
              <w:jc w:val="right"/>
              <w:spacing w:after="0" w:line="180" w:lineRule="exact"/>
              <w:rPr>
                <w:sz w:val="20"/>
                <w:szCs w:val="20"/>
                <w:color w:val="auto"/>
              </w:rPr>
            </w:pPr>
            <w:r>
              <w:rPr>
                <w:rFonts w:ascii="Arial" w:cs="Arial" w:eastAsia="Arial" w:hAnsi="Arial"/>
                <w:sz w:val="16"/>
                <w:szCs w:val="16"/>
                <w:color w:val="auto"/>
              </w:rPr>
              <w:t>10</w:t>
            </w:r>
          </w:p>
        </w:tc>
        <w:tc>
          <w:tcPr>
            <w:tcW w:w="1040" w:type="dxa"/>
            <w:vAlign w:val="bottom"/>
            <w:tcBorders>
              <w:bottom w:val="single" w:sz="8" w:color="999999"/>
            </w:tcBorders>
          </w:tcPr>
          <w:p>
            <w:pPr>
              <w:jc w:val="right"/>
              <w:ind w:right="43"/>
              <w:spacing w:after="0" w:line="180"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999999"/>
            </w:tcBorders>
          </w:tcPr>
          <w:p>
            <w:pPr>
              <w:jc w:val="right"/>
              <w:ind w:right="142"/>
              <w:spacing w:after="0" w:line="180" w:lineRule="exact"/>
              <w:rPr>
                <w:sz w:val="20"/>
                <w:szCs w:val="20"/>
                <w:color w:val="auto"/>
              </w:rPr>
            </w:pPr>
            <w:r>
              <w:rPr>
                <w:rFonts w:ascii="Arial" w:cs="Arial" w:eastAsia="Arial" w:hAnsi="Arial"/>
                <w:sz w:val="16"/>
                <w:szCs w:val="16"/>
                <w:color w:val="auto"/>
              </w:rPr>
              <w:t>10</w:t>
            </w:r>
          </w:p>
        </w:tc>
      </w:tr>
      <w:tr>
        <w:trPr>
          <w:trHeight w:val="179"/>
        </w:trPr>
        <w:tc>
          <w:tcPr>
            <w:tcW w:w="7000" w:type="dxa"/>
            <w:vAlign w:val="bottom"/>
            <w:tcBorders>
              <w:bottom w:val="single" w:sz="8" w:color="999999"/>
            </w:tcBorders>
          </w:tcPr>
          <w:p>
            <w:pPr>
              <w:spacing w:after="0" w:line="180" w:lineRule="exact"/>
              <w:rPr>
                <w:sz w:val="20"/>
                <w:szCs w:val="20"/>
                <w:color w:val="auto"/>
              </w:rPr>
            </w:pPr>
            <w:r>
              <w:rPr>
                <w:rFonts w:ascii="Arial" w:cs="Arial" w:eastAsia="Arial" w:hAnsi="Arial"/>
                <w:sz w:val="16"/>
                <w:szCs w:val="16"/>
                <w:color w:val="auto"/>
              </w:rPr>
              <w:t>Tax Fees</w:t>
            </w:r>
          </w:p>
        </w:tc>
        <w:tc>
          <w:tcPr>
            <w:tcW w:w="280" w:type="dxa"/>
            <w:vAlign w:val="bottom"/>
            <w:tcBorders>
              <w:bottom w:val="single" w:sz="8" w:color="999999"/>
            </w:tcBorders>
          </w:tcPr>
          <w:p>
            <w:pPr>
              <w:jc w:val="right"/>
              <w:ind w:right="20"/>
              <w:spacing w:after="0" w:line="180"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999999"/>
            </w:tcBorders>
          </w:tcPr>
          <w:p>
            <w:pPr>
              <w:jc w:val="right"/>
              <w:spacing w:after="0" w:line="180" w:lineRule="exact"/>
              <w:rPr>
                <w:sz w:val="20"/>
                <w:szCs w:val="20"/>
                <w:color w:val="auto"/>
              </w:rPr>
            </w:pPr>
            <w:r>
              <w:rPr>
                <w:rFonts w:ascii="Arial" w:cs="Arial" w:eastAsia="Arial" w:hAnsi="Arial"/>
                <w:sz w:val="16"/>
                <w:szCs w:val="16"/>
                <w:color w:val="auto"/>
              </w:rPr>
              <w:t>297</w:t>
            </w:r>
          </w:p>
        </w:tc>
        <w:tc>
          <w:tcPr>
            <w:tcW w:w="1040" w:type="dxa"/>
            <w:vAlign w:val="bottom"/>
            <w:tcBorders>
              <w:bottom w:val="single" w:sz="8" w:color="999999"/>
            </w:tcBorders>
          </w:tcPr>
          <w:p>
            <w:pPr>
              <w:jc w:val="right"/>
              <w:ind w:right="43"/>
              <w:spacing w:after="0" w:line="180"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999999"/>
            </w:tcBorders>
          </w:tcPr>
          <w:p>
            <w:pPr>
              <w:jc w:val="right"/>
              <w:ind w:right="142"/>
              <w:spacing w:after="0" w:line="180" w:lineRule="exact"/>
              <w:rPr>
                <w:sz w:val="20"/>
                <w:szCs w:val="20"/>
                <w:color w:val="auto"/>
              </w:rPr>
            </w:pPr>
            <w:r>
              <w:rPr>
                <w:rFonts w:ascii="Arial" w:cs="Arial" w:eastAsia="Arial" w:hAnsi="Arial"/>
                <w:sz w:val="16"/>
                <w:szCs w:val="16"/>
                <w:color w:val="auto"/>
              </w:rPr>
              <w:t>261</w:t>
            </w:r>
          </w:p>
        </w:tc>
      </w:tr>
      <w:tr>
        <w:trPr>
          <w:trHeight w:val="179"/>
        </w:trPr>
        <w:tc>
          <w:tcPr>
            <w:tcW w:w="7000" w:type="dxa"/>
            <w:vAlign w:val="bottom"/>
            <w:tcBorders>
              <w:bottom w:val="single" w:sz="8" w:color="999999"/>
            </w:tcBorders>
          </w:tcPr>
          <w:p>
            <w:pPr>
              <w:spacing w:after="0" w:line="180" w:lineRule="exact"/>
              <w:rPr>
                <w:sz w:val="20"/>
                <w:szCs w:val="20"/>
                <w:color w:val="auto"/>
              </w:rPr>
            </w:pPr>
            <w:r>
              <w:rPr>
                <w:rFonts w:ascii="Arial" w:cs="Arial" w:eastAsia="Arial" w:hAnsi="Arial"/>
                <w:sz w:val="16"/>
                <w:szCs w:val="16"/>
                <w:color w:val="auto"/>
              </w:rPr>
              <w:t>All Other Fees</w:t>
            </w:r>
          </w:p>
        </w:tc>
        <w:tc>
          <w:tcPr>
            <w:tcW w:w="280" w:type="dxa"/>
            <w:vAlign w:val="bottom"/>
            <w:tcBorders>
              <w:bottom w:val="single" w:sz="8" w:color="999999"/>
            </w:tcBorders>
          </w:tcPr>
          <w:p>
            <w:pPr>
              <w:jc w:val="right"/>
              <w:ind w:right="20"/>
              <w:spacing w:after="0" w:line="180"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999999"/>
            </w:tcBorders>
          </w:tcPr>
          <w:p>
            <w:pPr>
              <w:jc w:val="right"/>
              <w:spacing w:after="0" w:line="180" w:lineRule="exact"/>
              <w:rPr>
                <w:sz w:val="20"/>
                <w:szCs w:val="20"/>
                <w:color w:val="auto"/>
              </w:rPr>
            </w:pPr>
            <w:r>
              <w:rPr>
                <w:rFonts w:ascii="Arial" w:cs="Arial" w:eastAsia="Arial" w:hAnsi="Arial"/>
                <w:sz w:val="16"/>
                <w:szCs w:val="16"/>
                <w:color w:val="auto"/>
              </w:rPr>
              <w:t>3</w:t>
            </w:r>
          </w:p>
        </w:tc>
        <w:tc>
          <w:tcPr>
            <w:tcW w:w="1040" w:type="dxa"/>
            <w:vAlign w:val="bottom"/>
            <w:tcBorders>
              <w:bottom w:val="single" w:sz="8" w:color="999999"/>
            </w:tcBorders>
          </w:tcPr>
          <w:p>
            <w:pPr>
              <w:jc w:val="right"/>
              <w:ind w:right="43"/>
              <w:spacing w:after="0" w:line="180"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999999"/>
            </w:tcBorders>
          </w:tcPr>
          <w:p>
            <w:pPr>
              <w:jc w:val="right"/>
              <w:ind w:right="142"/>
              <w:spacing w:after="0" w:line="180" w:lineRule="exact"/>
              <w:rPr>
                <w:sz w:val="20"/>
                <w:szCs w:val="20"/>
                <w:color w:val="auto"/>
              </w:rPr>
            </w:pPr>
            <w:r>
              <w:rPr>
                <w:rFonts w:ascii="Arial" w:cs="Arial" w:eastAsia="Arial" w:hAnsi="Arial"/>
                <w:sz w:val="16"/>
                <w:szCs w:val="16"/>
                <w:color w:val="auto"/>
              </w:rPr>
              <w:t>318</w:t>
            </w:r>
          </w:p>
        </w:tc>
      </w:tr>
      <w:tr>
        <w:trPr>
          <w:trHeight w:val="179"/>
        </w:trPr>
        <w:tc>
          <w:tcPr>
            <w:tcW w:w="7000" w:type="dxa"/>
            <w:vAlign w:val="bottom"/>
            <w:tcBorders>
              <w:bottom w:val="single" w:sz="8" w:color="00548B"/>
            </w:tcBorders>
          </w:tcPr>
          <w:p>
            <w:pPr>
              <w:spacing w:after="0" w:line="180" w:lineRule="exact"/>
              <w:rPr>
                <w:sz w:val="20"/>
                <w:szCs w:val="20"/>
                <w:color w:val="auto"/>
              </w:rPr>
            </w:pPr>
            <w:r>
              <w:rPr>
                <w:rFonts w:ascii="Arial" w:cs="Arial" w:eastAsia="Arial" w:hAnsi="Arial"/>
                <w:sz w:val="16"/>
                <w:szCs w:val="16"/>
                <w:b w:val="1"/>
                <w:bCs w:val="1"/>
                <w:color w:val="auto"/>
              </w:rPr>
              <w:t>Total</w:t>
            </w:r>
          </w:p>
        </w:tc>
        <w:tc>
          <w:tcPr>
            <w:tcW w:w="280" w:type="dxa"/>
            <w:vAlign w:val="bottom"/>
            <w:tcBorders>
              <w:bottom w:val="single" w:sz="8" w:color="00548B"/>
            </w:tcBorders>
          </w:tcPr>
          <w:p>
            <w:pPr>
              <w:jc w:val="right"/>
              <w:ind w:right="20"/>
              <w:spacing w:after="0" w:line="180" w:lineRule="exact"/>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00548B"/>
            </w:tcBorders>
          </w:tcPr>
          <w:p>
            <w:pPr>
              <w:jc w:val="right"/>
              <w:spacing w:after="0" w:line="180" w:lineRule="exact"/>
              <w:rPr>
                <w:sz w:val="20"/>
                <w:szCs w:val="20"/>
                <w:color w:val="auto"/>
              </w:rPr>
            </w:pPr>
            <w:r>
              <w:rPr>
                <w:rFonts w:ascii="Arial" w:cs="Arial" w:eastAsia="Arial" w:hAnsi="Arial"/>
                <w:sz w:val="16"/>
                <w:szCs w:val="16"/>
                <w:b w:val="1"/>
                <w:bCs w:val="1"/>
                <w:color w:val="auto"/>
              </w:rPr>
              <w:t>2,141</w:t>
            </w:r>
          </w:p>
        </w:tc>
        <w:tc>
          <w:tcPr>
            <w:tcW w:w="1040" w:type="dxa"/>
            <w:vAlign w:val="bottom"/>
            <w:tcBorders>
              <w:bottom w:val="single" w:sz="8" w:color="00548B"/>
            </w:tcBorders>
          </w:tcPr>
          <w:p>
            <w:pPr>
              <w:jc w:val="right"/>
              <w:ind w:right="43"/>
              <w:spacing w:after="0" w:line="180" w:lineRule="exact"/>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00548B"/>
            </w:tcBorders>
          </w:tcPr>
          <w:p>
            <w:pPr>
              <w:jc w:val="right"/>
              <w:ind w:right="142"/>
              <w:spacing w:after="0" w:line="180" w:lineRule="exact"/>
              <w:rPr>
                <w:sz w:val="20"/>
                <w:szCs w:val="20"/>
                <w:color w:val="auto"/>
              </w:rPr>
            </w:pPr>
            <w:r>
              <w:rPr>
                <w:rFonts w:ascii="Arial" w:cs="Arial" w:eastAsia="Arial" w:hAnsi="Arial"/>
                <w:sz w:val="16"/>
                <w:szCs w:val="16"/>
                <w:b w:val="1"/>
                <w:bCs w:val="1"/>
                <w:color w:val="auto"/>
              </w:rPr>
              <w:t>2,216</w:t>
            </w:r>
          </w:p>
        </w:tc>
      </w:tr>
    </w:tbl>
    <w:p>
      <w:pPr>
        <w:spacing w:after="0" w:line="159" w:lineRule="exact"/>
        <w:rPr>
          <w:sz w:val="20"/>
          <w:szCs w:val="20"/>
          <w:color w:val="auto"/>
        </w:rPr>
      </w:pPr>
    </w:p>
    <w:p>
      <w:pPr>
        <w:jc w:val="both"/>
        <w:ind w:left="200"/>
        <w:spacing w:after="0" w:line="258" w:lineRule="auto"/>
        <w:rPr>
          <w:sz w:val="20"/>
          <w:szCs w:val="20"/>
          <w:color w:val="auto"/>
        </w:rPr>
      </w:pPr>
      <w:r>
        <w:rPr>
          <w:rFonts w:ascii="Arial" w:cs="Arial" w:eastAsia="Arial" w:hAnsi="Arial"/>
          <w:sz w:val="16"/>
          <w:szCs w:val="16"/>
          <w:i w:val="1"/>
          <w:iCs w:val="1"/>
          <w:color w:val="auto"/>
        </w:rPr>
        <w:t>Audit Fees</w:t>
      </w:r>
      <w:r>
        <w:rPr>
          <w:rFonts w:ascii="Arial" w:cs="Arial" w:eastAsia="Arial" w:hAnsi="Arial"/>
          <w:sz w:val="16"/>
          <w:szCs w:val="16"/>
          <w:color w:val="auto"/>
        </w:rPr>
        <w:t>—all services, including tax services, necessary to perform an audit of the consolidated financial statements of Huron; services in connection</w:t>
      </w:r>
      <w:r>
        <w:rPr>
          <w:rFonts w:ascii="Arial" w:cs="Arial" w:eastAsia="Arial" w:hAnsi="Arial"/>
          <w:sz w:val="16"/>
          <w:szCs w:val="16"/>
          <w:i w:val="1"/>
          <w:iCs w:val="1"/>
          <w:color w:val="auto"/>
        </w:rPr>
        <w:t xml:space="preserve"> </w:t>
      </w:r>
      <w:r>
        <w:rPr>
          <w:rFonts w:ascii="Arial" w:cs="Arial" w:eastAsia="Arial" w:hAnsi="Arial"/>
          <w:sz w:val="16"/>
          <w:szCs w:val="16"/>
          <w:color w:val="auto"/>
        </w:rPr>
        <w:t>with statutory and regulatory filings or engagements, comfort letters, statutory audits, attest services and consents; and assistance with and review of documents filed with the SEC.</w:t>
      </w:r>
    </w:p>
    <w:p>
      <w:pPr>
        <w:spacing w:after="0" w:line="151"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Audit-Related Fees</w:t>
      </w:r>
      <w:r>
        <w:rPr>
          <w:rFonts w:ascii="Arial" w:cs="Arial" w:eastAsia="Arial" w:hAnsi="Arial"/>
          <w:sz w:val="16"/>
          <w:szCs w:val="16"/>
          <w:color w:val="auto"/>
        </w:rPr>
        <w:t>—attest services that are not required by statute or regulations.</w:t>
      </w:r>
    </w:p>
    <w:p>
      <w:pPr>
        <w:spacing w:after="0" w:line="175" w:lineRule="exact"/>
        <w:rPr>
          <w:sz w:val="20"/>
          <w:szCs w:val="20"/>
          <w:color w:val="auto"/>
        </w:rPr>
      </w:pPr>
    </w:p>
    <w:p>
      <w:pPr>
        <w:jc w:val="both"/>
        <w:ind w:left="200"/>
        <w:spacing w:after="0" w:line="258" w:lineRule="auto"/>
        <w:rPr>
          <w:sz w:val="20"/>
          <w:szCs w:val="20"/>
          <w:color w:val="auto"/>
        </w:rPr>
      </w:pPr>
      <w:r>
        <w:rPr>
          <w:rFonts w:ascii="Arial" w:cs="Arial" w:eastAsia="Arial" w:hAnsi="Arial"/>
          <w:sz w:val="16"/>
          <w:szCs w:val="16"/>
          <w:i w:val="1"/>
          <w:iCs w:val="1"/>
          <w:color w:val="auto"/>
        </w:rPr>
        <w:t>Tax Fees</w:t>
      </w:r>
      <w:r>
        <w:rPr>
          <w:rFonts w:ascii="Arial" w:cs="Arial" w:eastAsia="Arial" w:hAnsi="Arial"/>
          <w:sz w:val="16"/>
          <w:szCs w:val="16"/>
          <w:color w:val="auto"/>
        </w:rPr>
        <w:t>—tax compliance (review of original and amended tax returns, claims for refund and tax payment-planning services); tax planning; and other tax</w:t>
      </w:r>
      <w:r>
        <w:rPr>
          <w:rFonts w:ascii="Arial" w:cs="Arial" w:eastAsia="Arial" w:hAnsi="Arial"/>
          <w:sz w:val="16"/>
          <w:szCs w:val="16"/>
          <w:i w:val="1"/>
          <w:iCs w:val="1"/>
          <w:color w:val="auto"/>
        </w:rPr>
        <w:t xml:space="preserve"> </w:t>
      </w:r>
      <w:r>
        <w:rPr>
          <w:rFonts w:ascii="Arial" w:cs="Arial" w:eastAsia="Arial" w:hAnsi="Arial"/>
          <w:sz w:val="16"/>
          <w:szCs w:val="16"/>
          <w:color w:val="auto"/>
        </w:rPr>
        <w:t>advice (assistance with tax audits and appeals, tax advice related to structural matters, and requests for rulings or technical advice from taxing authorities).</w:t>
      </w:r>
    </w:p>
    <w:p>
      <w:pPr>
        <w:spacing w:after="0" w:line="138" w:lineRule="exact"/>
        <w:rPr>
          <w:sz w:val="20"/>
          <w:szCs w:val="20"/>
          <w:color w:val="auto"/>
        </w:rPr>
      </w:pPr>
    </w:p>
    <w:p>
      <w:pPr>
        <w:jc w:val="both"/>
        <w:ind w:left="200"/>
        <w:spacing w:after="0" w:line="274" w:lineRule="auto"/>
        <w:rPr>
          <w:sz w:val="20"/>
          <w:szCs w:val="20"/>
          <w:color w:val="auto"/>
        </w:rPr>
      </w:pPr>
      <w:r>
        <w:rPr>
          <w:rFonts w:ascii="Arial" w:cs="Arial" w:eastAsia="Arial" w:hAnsi="Arial"/>
          <w:sz w:val="16"/>
          <w:szCs w:val="16"/>
          <w:i w:val="1"/>
          <w:iCs w:val="1"/>
          <w:color w:val="auto"/>
        </w:rPr>
        <w:t>All Other Fees</w:t>
      </w:r>
      <w:r>
        <w:rPr>
          <w:rFonts w:ascii="Arial" w:cs="Arial" w:eastAsia="Arial" w:hAnsi="Arial"/>
          <w:sz w:val="16"/>
          <w:szCs w:val="16"/>
          <w:color w:val="auto"/>
        </w:rPr>
        <w:t>—any other work that is not audit, audit-related or a tax service. In 2020, $315,000 in fees were incurred related to the implementation of a</w:t>
      </w:r>
      <w:r>
        <w:rPr>
          <w:rFonts w:ascii="Arial" w:cs="Arial" w:eastAsia="Arial" w:hAnsi="Arial"/>
          <w:sz w:val="16"/>
          <w:szCs w:val="16"/>
          <w:i w:val="1"/>
          <w:iCs w:val="1"/>
          <w:color w:val="auto"/>
        </w:rPr>
        <w:t xml:space="preserve"> </w:t>
      </w:r>
      <w:r>
        <w:rPr>
          <w:rFonts w:ascii="Arial" w:cs="Arial" w:eastAsia="Arial" w:hAnsi="Arial"/>
          <w:sz w:val="16"/>
          <w:szCs w:val="16"/>
          <w:color w:val="auto"/>
        </w:rPr>
        <w:t>new cloud-based enterprise resource planning system.</w:t>
      </w:r>
    </w:p>
    <w:p>
      <w:pPr>
        <w:spacing w:after="0" w:line="154" w:lineRule="exact"/>
        <w:rPr>
          <w:sz w:val="20"/>
          <w:szCs w:val="20"/>
          <w:color w:val="auto"/>
        </w:rPr>
      </w:pPr>
    </w:p>
    <w:p>
      <w:pPr>
        <w:jc w:val="both"/>
        <w:ind w:left="200"/>
        <w:spacing w:after="0" w:line="253" w:lineRule="auto"/>
        <w:rPr>
          <w:sz w:val="20"/>
          <w:szCs w:val="20"/>
          <w:color w:val="auto"/>
        </w:rPr>
      </w:pPr>
      <w:r>
        <w:rPr>
          <w:rFonts w:ascii="Arial" w:cs="Arial" w:eastAsia="Arial" w:hAnsi="Arial"/>
          <w:sz w:val="16"/>
          <w:szCs w:val="16"/>
          <w:color w:val="auto"/>
        </w:rPr>
        <w:t>The Audit Committee considers whether the provision of these services is compatible with maintaining the independence of the independent registered public accounting firm and has determined such services for fiscal 2021 and 2020 were compatible.</w:t>
      </w:r>
    </w:p>
    <w:p>
      <w:pPr>
        <w:spacing w:after="0" w:line="12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52</w:t>
      </w:r>
    </w:p>
    <w:p>
      <w:pPr>
        <w:sectPr>
          <w:pgSz w:w="11900" w:h="16838" w:orient="portrait"/>
          <w:cols w:equalWidth="0" w:num="1">
            <w:col w:w="11040"/>
          </w:cols>
          <w:pgMar w:left="320" w:top="454" w:right="5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jc w:val="both"/>
        <w:ind w:left="200"/>
        <w:spacing w:after="0" w:line="245" w:lineRule="auto"/>
        <w:rPr>
          <w:sz w:val="20"/>
          <w:szCs w:val="20"/>
          <w:color w:val="auto"/>
        </w:rPr>
      </w:pPr>
      <w:r>
        <w:rPr>
          <w:rFonts w:ascii="Arial" w:cs="Arial" w:eastAsia="Arial" w:hAnsi="Arial"/>
          <w:sz w:val="18"/>
          <w:szCs w:val="18"/>
          <w:b w:val="1"/>
          <w:bCs w:val="1"/>
          <w:color w:val="00548B"/>
        </w:rPr>
        <w:t>P</w:t>
      </w:r>
      <w:r>
        <w:rPr>
          <w:rFonts w:ascii="Arial" w:cs="Arial" w:eastAsia="Arial" w:hAnsi="Arial"/>
          <w:sz w:val="14"/>
          <w:szCs w:val="14"/>
          <w:b w:val="1"/>
          <w:bCs w:val="1"/>
          <w:color w:val="00548B"/>
        </w:rPr>
        <w:t>OLICY ON</w:t>
      </w:r>
      <w:r>
        <w:rPr>
          <w:rFonts w:ascii="Arial" w:cs="Arial" w:eastAsia="Arial" w:hAnsi="Arial"/>
          <w:sz w:val="18"/>
          <w:szCs w:val="18"/>
          <w:b w:val="1"/>
          <w:bCs w:val="1"/>
          <w:color w:val="00548B"/>
        </w:rPr>
        <w:t xml:space="preserve"> A</w:t>
      </w:r>
      <w:r>
        <w:rPr>
          <w:rFonts w:ascii="Arial" w:cs="Arial" w:eastAsia="Arial" w:hAnsi="Arial"/>
          <w:sz w:val="14"/>
          <w:szCs w:val="14"/>
          <w:b w:val="1"/>
          <w:bCs w:val="1"/>
          <w:color w:val="00548B"/>
        </w:rPr>
        <w:t>UDIT</w:t>
      </w:r>
      <w:r>
        <w:rPr>
          <w:rFonts w:ascii="Arial" w:cs="Arial" w:eastAsia="Arial" w:hAnsi="Arial"/>
          <w:sz w:val="18"/>
          <w:szCs w:val="18"/>
          <w:b w:val="1"/>
          <w:bCs w:val="1"/>
          <w:color w:val="00548B"/>
        </w:rPr>
        <w:t xml:space="preserve"> C</w:t>
      </w:r>
      <w:r>
        <w:rPr>
          <w:rFonts w:ascii="Arial" w:cs="Arial" w:eastAsia="Arial" w:hAnsi="Arial"/>
          <w:sz w:val="14"/>
          <w:szCs w:val="14"/>
          <w:b w:val="1"/>
          <w:bCs w:val="1"/>
          <w:color w:val="00548B"/>
        </w:rPr>
        <w:t>OMMITTEE</w:t>
      </w:r>
      <w:r>
        <w:rPr>
          <w:rFonts w:ascii="Arial" w:cs="Arial" w:eastAsia="Arial" w:hAnsi="Arial"/>
          <w:sz w:val="18"/>
          <w:szCs w:val="18"/>
          <w:b w:val="1"/>
          <w:bCs w:val="1"/>
          <w:color w:val="00548B"/>
        </w:rPr>
        <w:t xml:space="preserve"> P</w:t>
      </w:r>
      <w:r>
        <w:rPr>
          <w:rFonts w:ascii="Arial" w:cs="Arial" w:eastAsia="Arial" w:hAnsi="Arial"/>
          <w:sz w:val="14"/>
          <w:szCs w:val="14"/>
          <w:b w:val="1"/>
          <w:bCs w:val="1"/>
          <w:color w:val="00548B"/>
        </w:rPr>
        <w:t>REAPPROVAL OF</w:t>
      </w:r>
      <w:r>
        <w:rPr>
          <w:rFonts w:ascii="Arial" w:cs="Arial" w:eastAsia="Arial" w:hAnsi="Arial"/>
          <w:sz w:val="18"/>
          <w:szCs w:val="18"/>
          <w:b w:val="1"/>
          <w:bCs w:val="1"/>
          <w:color w:val="00548B"/>
        </w:rPr>
        <w:t xml:space="preserve"> A</w:t>
      </w:r>
      <w:r>
        <w:rPr>
          <w:rFonts w:ascii="Arial" w:cs="Arial" w:eastAsia="Arial" w:hAnsi="Arial"/>
          <w:sz w:val="14"/>
          <w:szCs w:val="14"/>
          <w:b w:val="1"/>
          <w:bCs w:val="1"/>
          <w:color w:val="00548B"/>
        </w:rPr>
        <w:t>UDIT AND</w:t>
      </w:r>
      <w:r>
        <w:rPr>
          <w:rFonts w:ascii="Arial" w:cs="Arial" w:eastAsia="Arial" w:hAnsi="Arial"/>
          <w:sz w:val="18"/>
          <w:szCs w:val="18"/>
          <w:b w:val="1"/>
          <w:bCs w:val="1"/>
          <w:color w:val="00548B"/>
        </w:rPr>
        <w:t xml:space="preserve"> N</w:t>
      </w:r>
      <w:r>
        <w:rPr>
          <w:rFonts w:ascii="Arial" w:cs="Arial" w:eastAsia="Arial" w:hAnsi="Arial"/>
          <w:sz w:val="14"/>
          <w:szCs w:val="14"/>
          <w:b w:val="1"/>
          <w:bCs w:val="1"/>
          <w:color w:val="00548B"/>
        </w:rPr>
        <w:t>ON</w:t>
      </w:r>
      <w:r>
        <w:rPr>
          <w:rFonts w:ascii="Arial" w:cs="Arial" w:eastAsia="Arial" w:hAnsi="Arial"/>
          <w:sz w:val="18"/>
          <w:szCs w:val="18"/>
          <w:b w:val="1"/>
          <w:bCs w:val="1"/>
          <w:color w:val="00548B"/>
        </w:rPr>
        <w:t>-A</w:t>
      </w:r>
      <w:r>
        <w:rPr>
          <w:rFonts w:ascii="Arial" w:cs="Arial" w:eastAsia="Arial" w:hAnsi="Arial"/>
          <w:sz w:val="14"/>
          <w:szCs w:val="14"/>
          <w:b w:val="1"/>
          <w:bCs w:val="1"/>
          <w:color w:val="00548B"/>
        </w:rPr>
        <w:t>UDIT</w:t>
      </w:r>
      <w:r>
        <w:rPr>
          <w:rFonts w:ascii="Arial" w:cs="Arial" w:eastAsia="Arial" w:hAnsi="Arial"/>
          <w:sz w:val="18"/>
          <w:szCs w:val="18"/>
          <w:b w:val="1"/>
          <w:bCs w:val="1"/>
          <w:color w:val="00548B"/>
        </w:rPr>
        <w:t xml:space="preserve"> S</w:t>
      </w:r>
      <w:r>
        <w:rPr>
          <w:rFonts w:ascii="Arial" w:cs="Arial" w:eastAsia="Arial" w:hAnsi="Arial"/>
          <w:sz w:val="14"/>
          <w:szCs w:val="14"/>
          <w:b w:val="1"/>
          <w:bCs w:val="1"/>
          <w:color w:val="00548B"/>
        </w:rPr>
        <w:t>ERVICES OF</w:t>
      </w:r>
      <w:r>
        <w:rPr>
          <w:rFonts w:ascii="Arial" w:cs="Arial" w:eastAsia="Arial" w:hAnsi="Arial"/>
          <w:sz w:val="18"/>
          <w:szCs w:val="18"/>
          <w:b w:val="1"/>
          <w:bCs w:val="1"/>
          <w:color w:val="00548B"/>
        </w:rPr>
        <w:t xml:space="preserve"> I</w:t>
      </w:r>
      <w:r>
        <w:rPr>
          <w:rFonts w:ascii="Arial" w:cs="Arial" w:eastAsia="Arial" w:hAnsi="Arial"/>
          <w:sz w:val="14"/>
          <w:szCs w:val="14"/>
          <w:b w:val="1"/>
          <w:bCs w:val="1"/>
          <w:color w:val="00548B"/>
        </w:rPr>
        <w:t>NDEPENDENT</w:t>
      </w:r>
      <w:r>
        <w:rPr>
          <w:rFonts w:ascii="Arial" w:cs="Arial" w:eastAsia="Arial" w:hAnsi="Arial"/>
          <w:sz w:val="18"/>
          <w:szCs w:val="18"/>
          <w:b w:val="1"/>
          <w:bCs w:val="1"/>
          <w:color w:val="00548B"/>
        </w:rPr>
        <w:t xml:space="preserve"> R</w:t>
      </w:r>
      <w:r>
        <w:rPr>
          <w:rFonts w:ascii="Arial" w:cs="Arial" w:eastAsia="Arial" w:hAnsi="Arial"/>
          <w:sz w:val="14"/>
          <w:szCs w:val="14"/>
          <w:b w:val="1"/>
          <w:bCs w:val="1"/>
          <w:color w:val="00548B"/>
        </w:rPr>
        <w:t>EGISTERED</w:t>
      </w:r>
      <w:r>
        <w:rPr>
          <w:rFonts w:ascii="Arial" w:cs="Arial" w:eastAsia="Arial" w:hAnsi="Arial"/>
          <w:sz w:val="18"/>
          <w:szCs w:val="18"/>
          <w:b w:val="1"/>
          <w:bCs w:val="1"/>
          <w:color w:val="00548B"/>
        </w:rPr>
        <w:t xml:space="preserve"> P</w:t>
      </w:r>
      <w:r>
        <w:rPr>
          <w:rFonts w:ascii="Arial" w:cs="Arial" w:eastAsia="Arial" w:hAnsi="Arial"/>
          <w:sz w:val="14"/>
          <w:szCs w:val="14"/>
          <w:b w:val="1"/>
          <w:bCs w:val="1"/>
          <w:color w:val="00548B"/>
        </w:rPr>
        <w:t>UBLIC</w:t>
      </w:r>
      <w:r>
        <w:rPr>
          <w:rFonts w:ascii="Arial" w:cs="Arial" w:eastAsia="Arial" w:hAnsi="Arial"/>
          <w:sz w:val="18"/>
          <w:szCs w:val="18"/>
          <w:b w:val="1"/>
          <w:bCs w:val="1"/>
          <w:color w:val="00548B"/>
        </w:rPr>
        <w:t xml:space="preserve"> A</w:t>
      </w:r>
      <w:r>
        <w:rPr>
          <w:rFonts w:ascii="Arial" w:cs="Arial" w:eastAsia="Arial" w:hAnsi="Arial"/>
          <w:sz w:val="14"/>
          <w:szCs w:val="14"/>
          <w:b w:val="1"/>
          <w:bCs w:val="1"/>
          <w:color w:val="00548B"/>
        </w:rPr>
        <w:t>CCOUNTING</w:t>
      </w:r>
      <w:r>
        <w:rPr>
          <w:rFonts w:ascii="Arial" w:cs="Arial" w:eastAsia="Arial" w:hAnsi="Arial"/>
          <w:sz w:val="18"/>
          <w:szCs w:val="18"/>
          <w:b w:val="1"/>
          <w:bCs w:val="1"/>
          <w:color w:val="00548B"/>
        </w:rPr>
        <w:t xml:space="preserve"> F</w:t>
      </w:r>
      <w:r>
        <w:rPr>
          <w:rFonts w:ascii="Arial" w:cs="Arial" w:eastAsia="Arial" w:hAnsi="Arial"/>
          <w:sz w:val="14"/>
          <w:szCs w:val="14"/>
          <w:b w:val="1"/>
          <w:bCs w:val="1"/>
          <w:color w:val="00548B"/>
        </w:rPr>
        <w:t>IRM</w:t>
      </w:r>
    </w:p>
    <w:p>
      <w:pPr>
        <w:spacing w:after="0" w:line="212" w:lineRule="exact"/>
        <w:rPr>
          <w:sz w:val="20"/>
          <w:szCs w:val="20"/>
          <w:color w:val="auto"/>
        </w:rPr>
      </w:pPr>
    </w:p>
    <w:p>
      <w:pPr>
        <w:jc w:val="both"/>
        <w:ind w:left="200"/>
        <w:spacing w:after="0" w:line="248" w:lineRule="auto"/>
        <w:rPr>
          <w:sz w:val="20"/>
          <w:szCs w:val="20"/>
          <w:color w:val="auto"/>
        </w:rPr>
      </w:pPr>
      <w:r>
        <w:rPr>
          <w:rFonts w:ascii="Arial" w:cs="Arial" w:eastAsia="Arial" w:hAnsi="Arial"/>
          <w:sz w:val="16"/>
          <w:szCs w:val="16"/>
          <w:color w:val="auto"/>
        </w:rPr>
        <w:t>The Audit Committee is responsible for appointing, setting compensation and overseeing the work of the independent registered public accounting firm. The Audit Committee has established a policy regarding preapproval of all audit and non-audit services provided by the independent registered public accounting firm.</w:t>
      </w:r>
    </w:p>
    <w:p>
      <w:pPr>
        <w:spacing w:after="0" w:line="174" w:lineRule="exact"/>
        <w:rPr>
          <w:sz w:val="20"/>
          <w:szCs w:val="20"/>
          <w:color w:val="auto"/>
        </w:rPr>
      </w:pPr>
    </w:p>
    <w:p>
      <w:pPr>
        <w:jc w:val="both"/>
        <w:ind w:left="200"/>
        <w:spacing w:after="0" w:line="244" w:lineRule="auto"/>
        <w:rPr>
          <w:sz w:val="20"/>
          <w:szCs w:val="20"/>
          <w:color w:val="auto"/>
        </w:rPr>
      </w:pPr>
      <w:r>
        <w:rPr>
          <w:rFonts w:ascii="Arial" w:cs="Arial" w:eastAsia="Arial" w:hAnsi="Arial"/>
          <w:sz w:val="16"/>
          <w:szCs w:val="16"/>
          <w:color w:val="auto"/>
        </w:rPr>
        <w:t>The Audit Committee, on a periodic basis, determines certain services that have the general preapproval of the Audit Committee. The Audit Committee must separately preapprove any services not receiving such general preapproval. Requests for such approval must be submitted by both the independent registered public accounting firm and the CFO and must include a joint statement as to whether, in their view, the request is consistent with the SEC’s rules on auditor independence. As appropriate, the Audit Committee then pre-approves the services and the related estimated fees. The Audit Committee will establish preapproved fee levels for all services to be provided by the independent registered public accounting firm. On a periodic basis, the CFO and the independent registered public accounting firm report to the Audit Committee regarding the actual spending for such projects and services compared to the approved amounts.</w:t>
      </w:r>
    </w:p>
    <w:p>
      <w:pPr>
        <w:spacing w:after="0" w:line="14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548B"/>
        </w:rPr>
        <w:t>R</w:t>
      </w:r>
      <w:r>
        <w:rPr>
          <w:rFonts w:ascii="Arial" w:cs="Arial" w:eastAsia="Arial" w:hAnsi="Arial"/>
          <w:sz w:val="14"/>
          <w:szCs w:val="14"/>
          <w:b w:val="1"/>
          <w:bCs w:val="1"/>
          <w:color w:val="00548B"/>
        </w:rPr>
        <w:t>EPORT OF THE</w:t>
      </w:r>
      <w:r>
        <w:rPr>
          <w:rFonts w:ascii="Arial" w:cs="Arial" w:eastAsia="Arial" w:hAnsi="Arial"/>
          <w:sz w:val="18"/>
          <w:szCs w:val="18"/>
          <w:b w:val="1"/>
          <w:bCs w:val="1"/>
          <w:color w:val="00548B"/>
        </w:rPr>
        <w:t xml:space="preserve"> A</w:t>
      </w:r>
      <w:r>
        <w:rPr>
          <w:rFonts w:ascii="Arial" w:cs="Arial" w:eastAsia="Arial" w:hAnsi="Arial"/>
          <w:sz w:val="14"/>
          <w:szCs w:val="14"/>
          <w:b w:val="1"/>
          <w:bCs w:val="1"/>
          <w:color w:val="00548B"/>
        </w:rPr>
        <w:t>UDIT</w:t>
      </w:r>
      <w:r>
        <w:rPr>
          <w:rFonts w:ascii="Arial" w:cs="Arial" w:eastAsia="Arial" w:hAnsi="Arial"/>
          <w:sz w:val="18"/>
          <w:szCs w:val="18"/>
          <w:b w:val="1"/>
          <w:bCs w:val="1"/>
          <w:color w:val="00548B"/>
        </w:rPr>
        <w:t xml:space="preserve"> C</w:t>
      </w:r>
      <w:r>
        <w:rPr>
          <w:rFonts w:ascii="Arial" w:cs="Arial" w:eastAsia="Arial" w:hAnsi="Arial"/>
          <w:sz w:val="14"/>
          <w:szCs w:val="14"/>
          <w:b w:val="1"/>
          <w:bCs w:val="1"/>
          <w:color w:val="00548B"/>
        </w:rPr>
        <w:t>OMMITTEE</w:t>
      </w:r>
    </w:p>
    <w:p>
      <w:pPr>
        <w:spacing w:after="0" w:line="17" w:lineRule="exact"/>
        <w:rPr>
          <w:sz w:val="20"/>
          <w:szCs w:val="20"/>
          <w:color w:val="auto"/>
        </w:rPr>
      </w:pPr>
    </w:p>
    <w:p>
      <w:pPr>
        <w:jc w:val="both"/>
        <w:ind w:left="200"/>
        <w:spacing w:after="0" w:line="248" w:lineRule="auto"/>
        <w:rPr>
          <w:sz w:val="20"/>
          <w:szCs w:val="20"/>
          <w:color w:val="auto"/>
        </w:rPr>
      </w:pPr>
      <w:r>
        <w:rPr>
          <w:rFonts w:ascii="Arial" w:cs="Arial" w:eastAsia="Arial" w:hAnsi="Arial"/>
          <w:sz w:val="16"/>
          <w:szCs w:val="16"/>
          <w:color w:val="auto"/>
        </w:rPr>
        <w:t>The primary purpose of the Audit Committee is to assist the board of directors in its general oversight of the Company’s financial reporting process. The Audit Committee conducted its oversight activities for Huron Consulting Group Inc. and subsidiaries (“Huron”) in accordance with the duties and responsibilities outlined in the Audit Committee charter.</w:t>
      </w:r>
    </w:p>
    <w:p>
      <w:pPr>
        <w:spacing w:after="0" w:line="161" w:lineRule="exact"/>
        <w:rPr>
          <w:sz w:val="20"/>
          <w:szCs w:val="20"/>
          <w:color w:val="auto"/>
        </w:rPr>
      </w:pPr>
    </w:p>
    <w:p>
      <w:pPr>
        <w:jc w:val="both"/>
        <w:ind w:left="200"/>
        <w:spacing w:after="0" w:line="246" w:lineRule="auto"/>
        <w:rPr>
          <w:sz w:val="20"/>
          <w:szCs w:val="20"/>
          <w:color w:val="auto"/>
        </w:rPr>
      </w:pPr>
      <w:r>
        <w:rPr>
          <w:rFonts w:ascii="Arial" w:cs="Arial" w:eastAsia="Arial" w:hAnsi="Arial"/>
          <w:sz w:val="16"/>
          <w:szCs w:val="16"/>
          <w:color w:val="auto"/>
        </w:rPr>
        <w:t>Huron’s management is responsible for the preparation, consistency, integrity and fair presentation of the financial statements, accounting and financial reporting principles, systems of internal control and procedures designed to ensure compliance with accounting standards, applicable laws and regulations. Huron’s independent registered public accounting firm, PwC, is responsible for performing an independent audit of Huron’s financial statements and the effectiveness of internal control over financial reporting.</w:t>
      </w:r>
    </w:p>
    <w:p>
      <w:pPr>
        <w:spacing w:after="0" w:line="176" w:lineRule="exact"/>
        <w:rPr>
          <w:sz w:val="20"/>
          <w:szCs w:val="20"/>
          <w:color w:val="auto"/>
        </w:rPr>
      </w:pPr>
    </w:p>
    <w:p>
      <w:pPr>
        <w:jc w:val="both"/>
        <w:ind w:left="200"/>
        <w:spacing w:after="0" w:line="248" w:lineRule="auto"/>
        <w:rPr>
          <w:sz w:val="20"/>
          <w:szCs w:val="20"/>
          <w:color w:val="auto"/>
        </w:rPr>
      </w:pPr>
      <w:r>
        <w:rPr>
          <w:rFonts w:ascii="Arial" w:cs="Arial" w:eastAsia="Arial" w:hAnsi="Arial"/>
          <w:sz w:val="16"/>
          <w:szCs w:val="16"/>
          <w:color w:val="auto"/>
        </w:rPr>
        <w:t>The Audit Committee, with the assistance and support of Huron’s management and its finance and accounting team, has fulfilled its objectives, duties and responsibilities as stipulated in the Audit Committee charter and has provided adequate and appropriate independent oversight and monitoring of Huron’s systems of internal control for the fiscal year ended December 31, 2021.</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These activities included, but were not limited to, the following for the fiscal year ended December 31, 2021:</w:t>
      </w:r>
    </w:p>
    <w:p>
      <w:pPr>
        <w:spacing w:after="0" w:line="215" w:lineRule="exact"/>
        <w:rPr>
          <w:sz w:val="20"/>
          <w:szCs w:val="20"/>
          <w:color w:val="auto"/>
        </w:rPr>
      </w:pPr>
    </w:p>
    <w:p>
      <w:pPr>
        <w:ind w:left="1060" w:hanging="435"/>
        <w:spacing w:after="0"/>
        <w:tabs>
          <w:tab w:leader="none" w:pos="1060" w:val="left"/>
        </w:tabs>
        <w:numPr>
          <w:ilvl w:val="0"/>
          <w:numId w:val="42"/>
        </w:numPr>
        <w:rPr>
          <w:rFonts w:ascii="Arial" w:cs="Arial" w:eastAsia="Arial" w:hAnsi="Arial"/>
          <w:sz w:val="15"/>
          <w:szCs w:val="15"/>
          <w:color w:val="00548B"/>
        </w:rPr>
      </w:pPr>
      <w:r>
        <w:rPr>
          <w:rFonts w:ascii="Arial" w:cs="Arial" w:eastAsia="Arial" w:hAnsi="Arial"/>
          <w:sz w:val="15"/>
          <w:szCs w:val="15"/>
          <w:color w:val="auto"/>
        </w:rPr>
        <w:t>Discussed with Huron’s internal auditors their continuing work in support of examination of internal controls and financial compliance controls.</w:t>
      </w:r>
    </w:p>
    <w:p>
      <w:pPr>
        <w:spacing w:after="0" w:line="13" w:lineRule="exact"/>
        <w:rPr>
          <w:rFonts w:ascii="Arial" w:cs="Arial" w:eastAsia="Arial" w:hAnsi="Arial"/>
          <w:sz w:val="15"/>
          <w:szCs w:val="15"/>
          <w:color w:val="00548B"/>
        </w:rPr>
      </w:pPr>
    </w:p>
    <w:p>
      <w:pPr>
        <w:ind w:left="1060" w:hanging="435"/>
        <w:spacing w:after="0" w:line="242" w:lineRule="auto"/>
        <w:tabs>
          <w:tab w:leader="none" w:pos="1060" w:val="left"/>
        </w:tabs>
        <w:numPr>
          <w:ilvl w:val="0"/>
          <w:numId w:val="42"/>
        </w:numPr>
        <w:rPr>
          <w:rFonts w:ascii="Arial" w:cs="Arial" w:eastAsia="Arial" w:hAnsi="Arial"/>
          <w:sz w:val="16"/>
          <w:szCs w:val="16"/>
          <w:color w:val="00548B"/>
        </w:rPr>
      </w:pPr>
      <w:r>
        <w:rPr>
          <w:rFonts w:ascii="Arial" w:cs="Arial" w:eastAsia="Arial" w:hAnsi="Arial"/>
          <w:sz w:val="16"/>
          <w:szCs w:val="16"/>
          <w:color w:val="auto"/>
        </w:rPr>
        <w:t>Reviewed and discussed with management and PwC the audited financial statements and the quarterly financial statements for the year ended December 31, 2021. Management has the primary responsibility for such financial statements.</w:t>
      </w:r>
    </w:p>
    <w:p>
      <w:pPr>
        <w:spacing w:after="0" w:line="1" w:lineRule="exact"/>
        <w:rPr>
          <w:rFonts w:ascii="Arial" w:cs="Arial" w:eastAsia="Arial" w:hAnsi="Arial"/>
          <w:sz w:val="16"/>
          <w:szCs w:val="16"/>
          <w:color w:val="00548B"/>
        </w:rPr>
      </w:pPr>
    </w:p>
    <w:p>
      <w:pPr>
        <w:ind w:left="1060" w:hanging="435"/>
        <w:spacing w:after="0"/>
        <w:tabs>
          <w:tab w:leader="none" w:pos="1060" w:val="left"/>
        </w:tabs>
        <w:numPr>
          <w:ilvl w:val="0"/>
          <w:numId w:val="42"/>
        </w:numPr>
        <w:rPr>
          <w:rFonts w:ascii="Arial" w:cs="Arial" w:eastAsia="Arial" w:hAnsi="Arial"/>
          <w:sz w:val="16"/>
          <w:szCs w:val="16"/>
          <w:color w:val="00548B"/>
        </w:rPr>
      </w:pPr>
      <w:r>
        <w:rPr>
          <w:rFonts w:ascii="Arial" w:cs="Arial" w:eastAsia="Arial" w:hAnsi="Arial"/>
          <w:sz w:val="16"/>
          <w:szCs w:val="16"/>
          <w:color w:val="auto"/>
        </w:rPr>
        <w:t>Discussed with PwC the matters requiring discussion under current auditing standards.</w:t>
      </w:r>
    </w:p>
    <w:p>
      <w:pPr>
        <w:spacing w:after="0" w:line="2" w:lineRule="exact"/>
        <w:rPr>
          <w:rFonts w:ascii="Arial" w:cs="Arial" w:eastAsia="Arial" w:hAnsi="Arial"/>
          <w:sz w:val="16"/>
          <w:szCs w:val="16"/>
          <w:color w:val="00548B"/>
        </w:rPr>
      </w:pPr>
    </w:p>
    <w:p>
      <w:pPr>
        <w:ind w:left="1060" w:hanging="435"/>
        <w:spacing w:after="0" w:line="253" w:lineRule="auto"/>
        <w:tabs>
          <w:tab w:leader="none" w:pos="1060" w:val="left"/>
        </w:tabs>
        <w:numPr>
          <w:ilvl w:val="0"/>
          <w:numId w:val="42"/>
        </w:numPr>
        <w:rPr>
          <w:rFonts w:ascii="Arial" w:cs="Arial" w:eastAsia="Arial" w:hAnsi="Arial"/>
          <w:sz w:val="16"/>
          <w:szCs w:val="16"/>
          <w:color w:val="00548B"/>
        </w:rPr>
      </w:pPr>
      <w:r>
        <w:rPr>
          <w:rFonts w:ascii="Arial" w:cs="Arial" w:eastAsia="Arial" w:hAnsi="Arial"/>
          <w:sz w:val="16"/>
          <w:szCs w:val="16"/>
          <w:color w:val="auto"/>
        </w:rPr>
        <w:t>Received the written disclosures and the letter from PwC in accordance with the applicable requirements of the Public Company Accounting Oversight board regarding PwC’s communications with the Audit Committee concerning independence.</w:t>
      </w:r>
    </w:p>
    <w:p>
      <w:pPr>
        <w:spacing w:after="0" w:line="157" w:lineRule="exact"/>
        <w:rPr>
          <w:sz w:val="20"/>
          <w:szCs w:val="20"/>
          <w:color w:val="auto"/>
        </w:rPr>
      </w:pPr>
    </w:p>
    <w:p>
      <w:pPr>
        <w:jc w:val="both"/>
        <w:ind w:left="200"/>
        <w:spacing w:after="0" w:line="248" w:lineRule="auto"/>
        <w:rPr>
          <w:sz w:val="20"/>
          <w:szCs w:val="20"/>
          <w:color w:val="auto"/>
        </w:rPr>
      </w:pPr>
      <w:r>
        <w:rPr>
          <w:rFonts w:ascii="Arial" w:cs="Arial" w:eastAsia="Arial" w:hAnsi="Arial"/>
          <w:sz w:val="16"/>
          <w:szCs w:val="16"/>
          <w:color w:val="auto"/>
        </w:rPr>
        <w:t>In reliance on the Audit Committee’s review and discussions of the matters referred to above, the Audit Committee recommended to the board of directors that the audited financial statements be included in Huron’s Annual Report on Form 10-K for the fiscal year ended December 31, 2021 for filing with the Securities and Exchange Commission.</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H. Eugene Lockhart, Chairman</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John McCartney</w:t>
      </w:r>
    </w:p>
    <w:p>
      <w:pPr>
        <w:ind w:left="200"/>
        <w:spacing w:after="0"/>
        <w:rPr>
          <w:sz w:val="20"/>
          <w:szCs w:val="20"/>
          <w:color w:val="auto"/>
        </w:rPr>
      </w:pPr>
      <w:r>
        <w:rPr>
          <w:rFonts w:ascii="Arial" w:cs="Arial" w:eastAsia="Arial" w:hAnsi="Arial"/>
          <w:sz w:val="18"/>
          <w:szCs w:val="18"/>
          <w:color w:val="auto"/>
        </w:rPr>
        <w:t>Hugh E. Sawyer</w:t>
      </w:r>
    </w:p>
    <w:p>
      <w:pPr>
        <w:spacing w:after="0" w:line="13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53</w:t>
      </w:r>
    </w:p>
    <w:p>
      <w:pPr>
        <w:sectPr>
          <w:pgSz w:w="11900" w:h="16838" w:orient="portrait"/>
          <w:cols w:equalWidth="0" w:num="1">
            <w:col w:w="11040"/>
          </w:cols>
          <w:pgMar w:left="320" w:top="454" w:right="5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4" w:lineRule="exact"/>
        <w:rPr>
          <w:sz w:val="20"/>
          <w:szCs w:val="20"/>
          <w:color w:val="auto"/>
        </w:rPr>
      </w:pPr>
    </w:p>
    <w:p>
      <w:pPr>
        <w:ind w:left="200"/>
        <w:spacing w:after="0"/>
        <w:rPr>
          <w:sz w:val="20"/>
          <w:szCs w:val="20"/>
          <w:color w:val="auto"/>
        </w:rPr>
      </w:pPr>
      <w:r>
        <w:rPr>
          <w:rFonts w:ascii="Arial" w:cs="Arial" w:eastAsia="Arial" w:hAnsi="Arial"/>
          <w:sz w:val="21"/>
          <w:szCs w:val="21"/>
          <w:b w:val="1"/>
          <w:bCs w:val="1"/>
          <w:color w:val="00548B"/>
        </w:rPr>
        <w:t>SUBMISSION OF STOCKHOLDER PROPOSALS</w:t>
      </w:r>
    </w:p>
    <w:p>
      <w:pPr>
        <w:spacing w:after="0" w:line="391" w:lineRule="exact"/>
        <w:rPr>
          <w:sz w:val="20"/>
          <w:szCs w:val="20"/>
          <w:color w:val="auto"/>
        </w:rPr>
      </w:pPr>
    </w:p>
    <w:p>
      <w:pPr>
        <w:jc w:val="both"/>
        <w:ind w:left="200"/>
        <w:spacing w:after="0" w:line="245" w:lineRule="auto"/>
        <w:rPr>
          <w:sz w:val="20"/>
          <w:szCs w:val="20"/>
          <w:color w:val="auto"/>
        </w:rPr>
      </w:pPr>
      <w:r>
        <w:rPr>
          <w:rFonts w:ascii="Arial" w:cs="Arial" w:eastAsia="Arial" w:hAnsi="Arial"/>
          <w:sz w:val="16"/>
          <w:szCs w:val="16"/>
          <w:color w:val="auto"/>
        </w:rPr>
        <w:t>In order to be included in the Company’s proxy statement relating to its next annual meeting, stockholder proposals must be received no later than November 25, 2022 by the Corporate Secretary at the Company’s principal executive offices. Pursuant to the Company’s bylaws, stockholders who intend to present an item for business at the next annual meeting (other than a proposal submitted for inclusion in the Company’s proxy materials) must provide notice to the Corporate Secretary no earlier than January 6, 2023 and no later than February 5, 2023. Notice of stockholder proposals must contain the information required by the Company’s bylaws. The inclusion of any such proposal in such proxy material shall be subject to the requirements of the proxy rules adopted under the 1934 Act.</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21"/>
          <w:szCs w:val="21"/>
          <w:b w:val="1"/>
          <w:bCs w:val="1"/>
          <w:color w:val="00548B"/>
        </w:rPr>
        <w:t>OTHER MATTERS</w:t>
      </w:r>
    </w:p>
    <w:p>
      <w:pPr>
        <w:spacing w:after="0" w:line="378" w:lineRule="exact"/>
        <w:rPr>
          <w:sz w:val="20"/>
          <w:szCs w:val="20"/>
          <w:color w:val="auto"/>
        </w:rPr>
      </w:pPr>
    </w:p>
    <w:p>
      <w:pPr>
        <w:jc w:val="both"/>
        <w:ind w:left="200"/>
        <w:spacing w:after="0" w:line="246" w:lineRule="auto"/>
        <w:rPr>
          <w:sz w:val="20"/>
          <w:szCs w:val="20"/>
          <w:color w:val="auto"/>
        </w:rPr>
      </w:pPr>
      <w:r>
        <w:rPr>
          <w:rFonts w:ascii="Arial" w:cs="Arial" w:eastAsia="Arial" w:hAnsi="Arial"/>
          <w:sz w:val="16"/>
          <w:szCs w:val="16"/>
          <w:color w:val="auto"/>
        </w:rPr>
        <w:t>Management does not now intend to bring before the Annual Meeting any matters other than those disclosed in the Notice of Annual Meeting of Stockholders, and it does not know of any business that persons, other than management, intend to present at the meeting. Should any other matters requiring a vote of the stockholders arise, the persons named in the accompanying proxy intend to vote on those matters in accordance with their best judgment.</w:t>
      </w:r>
    </w:p>
    <w:p>
      <w:pPr>
        <w:spacing w:after="0" w:line="176" w:lineRule="exact"/>
        <w:rPr>
          <w:sz w:val="20"/>
          <w:szCs w:val="20"/>
          <w:color w:val="auto"/>
        </w:rPr>
      </w:pPr>
    </w:p>
    <w:p>
      <w:pPr>
        <w:jc w:val="both"/>
        <w:ind w:left="200"/>
        <w:spacing w:after="0" w:line="245" w:lineRule="auto"/>
        <w:rPr>
          <w:sz w:val="20"/>
          <w:szCs w:val="20"/>
          <w:color w:val="auto"/>
        </w:rPr>
      </w:pPr>
      <w:r>
        <w:rPr>
          <w:rFonts w:ascii="Arial" w:cs="Arial" w:eastAsia="Arial" w:hAnsi="Arial"/>
          <w:sz w:val="16"/>
          <w:szCs w:val="16"/>
          <w:color w:val="auto"/>
        </w:rPr>
        <w:t>The Company will bear the cost of soliciting proxies. In addition, to the extent necessary, proxies may be solicited by directors, officers and employees of the Company in person, by telephone or through other forms of communication, but such persons will not receive any additional compensation for such solicitation. The Company will reimburse brokerage firms, banks and other custodians, nominees and fiduciaries for reasonable expenses incurred by them in sending proxy materials to the beneficial owners of the Company’s shares. The Company will supply banks, brokers, dealers and other custodian nominees and fiduciaries with proxy materials to enable them to send a copy of such materials by mail to each beneficial owner of shares of the common stock that they hold of record and will, upon request, reimburse them for their reasonable expenses in so doing.</w:t>
      </w:r>
    </w:p>
    <w:p>
      <w:pPr>
        <w:spacing w:after="0" w:line="203"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4267835</wp:posOffset>
            </wp:positionH>
            <wp:positionV relativeFrom="paragraph">
              <wp:posOffset>50800</wp:posOffset>
            </wp:positionV>
            <wp:extent cx="1342390" cy="3041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342390" cy="304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Ernest W. Torain, Jr.</w:t>
      </w:r>
    </w:p>
    <w:p>
      <w:pPr>
        <w:spacing w:after="0" w:line="2" w:lineRule="exact"/>
        <w:rPr>
          <w:sz w:val="20"/>
          <w:szCs w:val="20"/>
          <w:color w:val="auto"/>
        </w:rPr>
      </w:pPr>
    </w:p>
    <w:p>
      <w:pPr>
        <w:ind w:left="6720"/>
        <w:spacing w:after="0"/>
        <w:rPr>
          <w:sz w:val="20"/>
          <w:szCs w:val="20"/>
          <w:color w:val="auto"/>
        </w:rPr>
      </w:pPr>
      <w:r>
        <w:rPr>
          <w:rFonts w:ascii="Arial" w:cs="Arial" w:eastAsia="Arial" w:hAnsi="Arial"/>
          <w:sz w:val="16"/>
          <w:szCs w:val="16"/>
          <w:i w:val="1"/>
          <w:iCs w:val="1"/>
          <w:color w:val="auto"/>
        </w:rPr>
        <w:t>Executive Vice President, General Counsel</w:t>
      </w:r>
    </w:p>
    <w:p>
      <w:pPr>
        <w:spacing w:after="0" w:line="2" w:lineRule="exact"/>
        <w:rPr>
          <w:sz w:val="20"/>
          <w:szCs w:val="20"/>
          <w:color w:val="auto"/>
        </w:rPr>
      </w:pPr>
    </w:p>
    <w:p>
      <w:pPr>
        <w:ind w:left="6720"/>
        <w:spacing w:after="0"/>
        <w:rPr>
          <w:sz w:val="20"/>
          <w:szCs w:val="20"/>
          <w:color w:val="auto"/>
        </w:rPr>
      </w:pPr>
      <w:r>
        <w:rPr>
          <w:rFonts w:ascii="Arial" w:cs="Arial" w:eastAsia="Arial" w:hAnsi="Arial"/>
          <w:sz w:val="16"/>
          <w:szCs w:val="16"/>
          <w:i w:val="1"/>
          <w:iCs w:val="1"/>
          <w:color w:val="auto"/>
        </w:rPr>
        <w:t>and Corporate Secretary</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Chicago, Illinois</w:t>
      </w:r>
    </w:p>
    <w:p>
      <w:pPr>
        <w:ind w:left="200"/>
        <w:spacing w:after="0"/>
        <w:rPr>
          <w:sz w:val="20"/>
          <w:szCs w:val="20"/>
          <w:color w:val="auto"/>
        </w:rPr>
      </w:pPr>
      <w:r>
        <w:rPr>
          <w:rFonts w:ascii="Arial" w:cs="Arial" w:eastAsia="Arial" w:hAnsi="Arial"/>
          <w:sz w:val="18"/>
          <w:szCs w:val="18"/>
          <w:color w:val="auto"/>
        </w:rPr>
        <w:t>March 25, 2022</w:t>
      </w:r>
    </w:p>
    <w:p>
      <w:pPr>
        <w:spacing w:after="0" w:line="13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00548B"/>
        </w:rPr>
        <w:t>54</w:t>
      </w:r>
    </w:p>
    <w:p>
      <w:pPr>
        <w:sectPr>
          <w:pgSz w:w="11900" w:h="16838" w:orient="portrait"/>
          <w:cols w:equalWidth="0" w:num="1">
            <w:col w:w="11040"/>
          </w:cols>
          <w:pgMar w:left="320" w:top="454" w:right="5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200660</wp:posOffset>
            </wp:positionV>
            <wp:extent cx="1798320" cy="4305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798320" cy="430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900"/>
        <w:spacing w:after="0"/>
        <w:rPr>
          <w:sz w:val="20"/>
          <w:szCs w:val="20"/>
          <w:color w:val="auto"/>
        </w:rPr>
      </w:pPr>
      <w:r>
        <w:rPr>
          <w:rFonts w:ascii="Arial" w:cs="Arial" w:eastAsia="Arial" w:hAnsi="Arial"/>
          <w:sz w:val="14"/>
          <w:szCs w:val="14"/>
          <w:b w:val="1"/>
          <w:bCs w:val="1"/>
          <w:i w:val="1"/>
          <w:iCs w:val="1"/>
          <w:color w:val="auto"/>
        </w:rPr>
        <w:t>HURON CONSULTING GROUP INC.</w:t>
      </w:r>
    </w:p>
    <w:p>
      <w:pPr>
        <w:ind w:left="900"/>
        <w:spacing w:after="0" w:line="218" w:lineRule="auto"/>
        <w:rPr>
          <w:sz w:val="20"/>
          <w:szCs w:val="20"/>
          <w:color w:val="auto"/>
        </w:rPr>
      </w:pPr>
      <w:r>
        <w:rPr>
          <w:rFonts w:ascii="Arial" w:cs="Arial" w:eastAsia="Arial" w:hAnsi="Arial"/>
          <w:sz w:val="14"/>
          <w:szCs w:val="14"/>
          <w:b w:val="1"/>
          <w:bCs w:val="1"/>
          <w:i w:val="1"/>
          <w:iCs w:val="1"/>
          <w:color w:val="auto"/>
        </w:rPr>
        <w:t>550 W. VAN BUREN STREET, 17th FLOOR</w:t>
      </w:r>
    </w:p>
    <w:p>
      <w:pPr>
        <w:ind w:left="900"/>
        <w:spacing w:after="0" w:line="198" w:lineRule="auto"/>
        <w:rPr>
          <w:sz w:val="20"/>
          <w:szCs w:val="20"/>
          <w:color w:val="auto"/>
        </w:rPr>
      </w:pPr>
      <w:r>
        <w:rPr>
          <w:rFonts w:ascii="Arial" w:cs="Arial" w:eastAsia="Arial" w:hAnsi="Arial"/>
          <w:sz w:val="14"/>
          <w:szCs w:val="14"/>
          <w:b w:val="1"/>
          <w:bCs w:val="1"/>
          <w:i w:val="1"/>
          <w:iCs w:val="1"/>
          <w:color w:val="auto"/>
        </w:rPr>
        <w:t>CHICAGO, IL 60607</w:t>
      </w:r>
    </w:p>
    <w:p>
      <w:pPr>
        <w:ind w:left="5740"/>
        <w:spacing w:after="0" w:line="218" w:lineRule="auto"/>
        <w:rPr>
          <w:sz w:val="20"/>
          <w:szCs w:val="20"/>
          <w:color w:val="auto"/>
        </w:rPr>
      </w:pPr>
      <w:r>
        <w:rPr>
          <w:rFonts w:ascii="Arial" w:cs="Arial" w:eastAsia="Arial" w:hAnsi="Arial"/>
          <w:sz w:val="14"/>
          <w:szCs w:val="14"/>
          <w:b w:val="1"/>
          <w:bCs w:val="1"/>
          <w:color w:val="auto"/>
        </w:rPr>
        <w:t>VOTE BY INTERNET - www.proxyvote.com or scan the QR Barcode above</w:t>
      </w:r>
    </w:p>
    <w:p>
      <w:pPr>
        <w:ind w:left="5740"/>
        <w:spacing w:after="0" w:line="218" w:lineRule="auto"/>
        <w:rPr>
          <w:sz w:val="20"/>
          <w:szCs w:val="20"/>
          <w:color w:val="auto"/>
        </w:rPr>
      </w:pPr>
      <w:r>
        <w:rPr>
          <w:rFonts w:ascii="Arial" w:cs="Arial" w:eastAsia="Arial" w:hAnsi="Arial"/>
          <w:sz w:val="14"/>
          <w:szCs w:val="14"/>
          <w:color w:val="auto"/>
        </w:rPr>
        <w:t>Use the Internet to transmit your voting instructions and for electronic delivery of</w:t>
      </w:r>
    </w:p>
    <w:p>
      <w:pPr>
        <w:ind w:left="5740"/>
        <w:spacing w:after="0" w:line="235" w:lineRule="auto"/>
        <w:rPr>
          <w:sz w:val="20"/>
          <w:szCs w:val="20"/>
          <w:color w:val="auto"/>
        </w:rPr>
      </w:pPr>
      <w:r>
        <w:rPr>
          <w:rFonts w:ascii="Arial" w:cs="Arial" w:eastAsia="Arial" w:hAnsi="Arial"/>
          <w:sz w:val="13"/>
          <w:szCs w:val="13"/>
          <w:color w:val="auto"/>
        </w:rPr>
        <w:t>information. Vote by 11:59 P.M. ET on 05/05/2022. Have your proxy card in hand when you</w:t>
      </w:r>
    </w:p>
    <w:p>
      <w:pPr>
        <w:ind w:left="5740"/>
        <w:spacing w:after="0" w:line="234" w:lineRule="auto"/>
        <w:rPr>
          <w:sz w:val="20"/>
          <w:szCs w:val="20"/>
          <w:color w:val="auto"/>
        </w:rPr>
      </w:pPr>
      <w:r>
        <w:rPr>
          <w:rFonts w:ascii="Arial" w:cs="Arial" w:eastAsia="Arial" w:hAnsi="Arial"/>
          <w:sz w:val="13"/>
          <w:szCs w:val="13"/>
          <w:color w:val="auto"/>
        </w:rPr>
        <w:t>access the web site and follow the instructions to obtain your records and to create an</w:t>
      </w:r>
    </w:p>
    <w:p>
      <w:pPr>
        <w:spacing w:after="0" w:line="1"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electronic voting instruction form.</w:t>
      </w:r>
    </w:p>
    <w:p>
      <w:pPr>
        <w:spacing w:after="0" w:line="102" w:lineRule="exact"/>
        <w:rPr>
          <w:sz w:val="20"/>
          <w:szCs w:val="20"/>
          <w:color w:val="auto"/>
        </w:rPr>
      </w:pPr>
    </w:p>
    <w:p>
      <w:pPr>
        <w:ind w:left="5740"/>
        <w:spacing w:after="0"/>
        <w:rPr>
          <w:sz w:val="20"/>
          <w:szCs w:val="20"/>
          <w:color w:val="auto"/>
        </w:rPr>
      </w:pPr>
      <w:r>
        <w:rPr>
          <w:rFonts w:ascii="Arial" w:cs="Arial" w:eastAsia="Arial" w:hAnsi="Arial"/>
          <w:sz w:val="14"/>
          <w:szCs w:val="14"/>
          <w:i w:val="1"/>
          <w:iCs w:val="1"/>
          <w:color w:val="auto"/>
        </w:rPr>
        <w:t xml:space="preserve">During The Meeting </w:t>
      </w:r>
      <w:r>
        <w:rPr>
          <w:rFonts w:ascii="Arial" w:cs="Arial" w:eastAsia="Arial" w:hAnsi="Arial"/>
          <w:sz w:val="14"/>
          <w:szCs w:val="14"/>
          <w:color w:val="auto"/>
        </w:rPr>
        <w:t>- Go to</w:t>
      </w:r>
      <w:r>
        <w:rPr>
          <w:rFonts w:ascii="Arial" w:cs="Arial" w:eastAsia="Arial" w:hAnsi="Arial"/>
          <w:sz w:val="14"/>
          <w:szCs w:val="14"/>
          <w:i w:val="1"/>
          <w:iCs w:val="1"/>
          <w:color w:val="auto"/>
        </w:rPr>
        <w:t xml:space="preserve"> </w:t>
      </w:r>
      <w:r>
        <w:rPr>
          <w:rFonts w:ascii="Arial" w:cs="Arial" w:eastAsia="Arial" w:hAnsi="Arial"/>
          <w:sz w:val="14"/>
          <w:szCs w:val="14"/>
          <w:b w:val="1"/>
          <w:bCs w:val="1"/>
          <w:color w:val="auto"/>
        </w:rPr>
        <w:t>www.virtualshareholdermeeting.com/HURN2022</w:t>
      </w:r>
    </w:p>
    <w:p>
      <w:pPr>
        <w:spacing w:after="0" w:line="119"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You may attend the meeting via the Internet and vote during the meeting. Have the</w:t>
      </w:r>
    </w:p>
    <w:p>
      <w:pPr>
        <w:ind w:left="5740"/>
        <w:spacing w:after="0" w:line="218" w:lineRule="auto"/>
        <w:rPr>
          <w:sz w:val="20"/>
          <w:szCs w:val="20"/>
          <w:color w:val="auto"/>
        </w:rPr>
      </w:pPr>
      <w:r>
        <w:rPr>
          <w:rFonts w:ascii="Arial" w:cs="Arial" w:eastAsia="Arial" w:hAnsi="Arial"/>
          <w:sz w:val="14"/>
          <w:szCs w:val="14"/>
          <w:color w:val="auto"/>
        </w:rPr>
        <w:t>information that is printed in the box marked by the arrow available and follow the</w:t>
      </w:r>
    </w:p>
    <w:p>
      <w:pPr>
        <w:ind w:left="5740"/>
        <w:spacing w:after="0"/>
        <w:rPr>
          <w:sz w:val="20"/>
          <w:szCs w:val="20"/>
          <w:color w:val="auto"/>
        </w:rPr>
      </w:pPr>
      <w:r>
        <w:rPr>
          <w:rFonts w:ascii="Arial" w:cs="Arial" w:eastAsia="Arial" w:hAnsi="Arial"/>
          <w:sz w:val="14"/>
          <w:szCs w:val="14"/>
          <w:color w:val="auto"/>
        </w:rPr>
        <w:t>instructions.</w:t>
      </w:r>
    </w:p>
    <w:p>
      <w:pPr>
        <w:spacing w:after="0" w:line="62" w:lineRule="exact"/>
        <w:rPr>
          <w:sz w:val="20"/>
          <w:szCs w:val="20"/>
          <w:color w:val="auto"/>
        </w:rPr>
      </w:pPr>
    </w:p>
    <w:p>
      <w:pPr>
        <w:ind w:left="5740"/>
        <w:spacing w:after="0"/>
        <w:rPr>
          <w:sz w:val="20"/>
          <w:szCs w:val="20"/>
          <w:color w:val="auto"/>
        </w:rPr>
      </w:pPr>
      <w:r>
        <w:rPr>
          <w:rFonts w:ascii="Arial" w:cs="Arial" w:eastAsia="Arial" w:hAnsi="Arial"/>
          <w:sz w:val="14"/>
          <w:szCs w:val="14"/>
          <w:b w:val="1"/>
          <w:bCs w:val="1"/>
          <w:color w:val="auto"/>
        </w:rPr>
        <w:t>VOTE BY PHONE - 1-800-690-6903</w:t>
      </w:r>
    </w:p>
    <w:p>
      <w:pPr>
        <w:spacing w:after="0" w:line="1" w:lineRule="exact"/>
        <w:rPr>
          <w:sz w:val="20"/>
          <w:szCs w:val="20"/>
          <w:color w:val="auto"/>
        </w:rPr>
      </w:pPr>
    </w:p>
    <w:p>
      <w:pPr>
        <w:ind w:left="5740"/>
        <w:spacing w:after="0"/>
        <w:rPr>
          <w:sz w:val="20"/>
          <w:szCs w:val="20"/>
          <w:color w:val="auto"/>
        </w:rPr>
      </w:pPr>
      <w:r>
        <w:rPr>
          <w:rFonts w:ascii="Arial" w:cs="Arial" w:eastAsia="Arial" w:hAnsi="Arial"/>
          <w:sz w:val="12"/>
          <w:szCs w:val="12"/>
          <w:color w:val="auto"/>
        </w:rPr>
        <w:t>Use any touch-tone telephone to transmit your voting instructions. Vote by 11:59 P.M. ET on</w:t>
      </w:r>
    </w:p>
    <w:p>
      <w:pPr>
        <w:spacing w:after="0" w:line="8"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05/05/2022. Have your proxy card in hand when you call and then follow the instructions.</w:t>
      </w:r>
    </w:p>
    <w:p>
      <w:pPr>
        <w:spacing w:after="0" w:line="74" w:lineRule="exact"/>
        <w:rPr>
          <w:sz w:val="20"/>
          <w:szCs w:val="20"/>
          <w:color w:val="auto"/>
        </w:rPr>
      </w:pPr>
    </w:p>
    <w:p>
      <w:pPr>
        <w:ind w:left="5740"/>
        <w:spacing w:after="0"/>
        <w:rPr>
          <w:sz w:val="20"/>
          <w:szCs w:val="20"/>
          <w:color w:val="auto"/>
        </w:rPr>
      </w:pPr>
      <w:r>
        <w:rPr>
          <w:rFonts w:ascii="Arial" w:cs="Arial" w:eastAsia="Arial" w:hAnsi="Arial"/>
          <w:sz w:val="14"/>
          <w:szCs w:val="14"/>
          <w:b w:val="1"/>
          <w:bCs w:val="1"/>
          <w:color w:val="auto"/>
        </w:rPr>
        <w:t>VOTE BY MAIL</w:t>
      </w:r>
    </w:p>
    <w:p>
      <w:pPr>
        <w:ind w:left="5740"/>
        <w:spacing w:after="0" w:line="236" w:lineRule="auto"/>
        <w:rPr>
          <w:sz w:val="20"/>
          <w:szCs w:val="20"/>
          <w:color w:val="auto"/>
        </w:rPr>
      </w:pPr>
      <w:r>
        <w:rPr>
          <w:rFonts w:ascii="Arial" w:cs="Arial" w:eastAsia="Arial" w:hAnsi="Arial"/>
          <w:sz w:val="13"/>
          <w:szCs w:val="13"/>
          <w:color w:val="auto"/>
        </w:rPr>
        <w:t>Mark, sign and date your proxy card and return it in the postage-paid envelope we have</w:t>
      </w:r>
    </w:p>
    <w:p>
      <w:pPr>
        <w:ind w:left="5740"/>
        <w:spacing w:after="0" w:line="235" w:lineRule="auto"/>
        <w:rPr>
          <w:sz w:val="20"/>
          <w:szCs w:val="20"/>
          <w:color w:val="auto"/>
        </w:rPr>
      </w:pPr>
      <w:r>
        <w:rPr>
          <w:rFonts w:ascii="Arial" w:cs="Arial" w:eastAsia="Arial" w:hAnsi="Arial"/>
          <w:sz w:val="13"/>
          <w:szCs w:val="13"/>
          <w:color w:val="auto"/>
        </w:rPr>
        <w:t>provided or return it to Vote Processing, c/o Broadridge, 51 Mercedes Way, Edgewood,</w:t>
      </w:r>
    </w:p>
    <w:p>
      <w:pPr>
        <w:ind w:left="5740"/>
        <w:spacing w:after="0"/>
        <w:rPr>
          <w:sz w:val="20"/>
          <w:szCs w:val="20"/>
          <w:color w:val="auto"/>
        </w:rPr>
      </w:pPr>
      <w:r>
        <w:rPr>
          <w:rFonts w:ascii="Arial" w:cs="Arial" w:eastAsia="Arial" w:hAnsi="Arial"/>
          <w:sz w:val="14"/>
          <w:szCs w:val="14"/>
          <w:color w:val="auto"/>
        </w:rPr>
        <w:t>NY 11717.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TO VOTE, MARK BLOCKS BELOW IN BLUE OR BLACK INK AS FOLLOWS:</w:t>
      </w:r>
    </w:p>
    <w:p>
      <w:pPr>
        <w:ind w:left="8280"/>
        <w:spacing w:after="0"/>
        <w:rPr>
          <w:sz w:val="20"/>
          <w:szCs w:val="20"/>
          <w:color w:val="auto"/>
        </w:rPr>
      </w:pPr>
      <w:r>
        <w:rPr>
          <w:rFonts w:ascii="Arial" w:cs="Arial" w:eastAsia="Arial" w:hAnsi="Arial"/>
          <w:sz w:val="13"/>
          <w:szCs w:val="13"/>
          <w:color w:val="auto"/>
        </w:rPr>
        <w:t>KEEP THIS PORTION FOR YOUR RECORDS</w:t>
      </w:r>
    </w:p>
    <w:p>
      <w:pPr>
        <w:jc w:val="center"/>
        <w:ind w:right="-239"/>
        <w:spacing w:after="0" w:line="231" w:lineRule="auto"/>
        <w:rPr>
          <w:sz w:val="20"/>
          <w:szCs w:val="20"/>
          <w:color w:val="auto"/>
        </w:rPr>
      </w:pPr>
      <w:r>
        <w:rPr>
          <w:rFonts w:ascii="Arial" w:cs="Arial" w:eastAsia="Arial" w:hAnsi="Arial"/>
          <w:sz w:val="12"/>
          <w:szCs w:val="12"/>
          <w:color w:val="auto"/>
        </w:rPr>
        <w:t>— — — — — — — — — — — — — — — — — — — — — — — — — — — — — — — — — — — — — — — — — — — — — — — — — —</w:t>
      </w:r>
    </w:p>
    <w:p>
      <w:pPr>
        <w:jc w:val="center"/>
        <w:ind w:right="-139"/>
        <w:spacing w:after="0" w:line="227" w:lineRule="auto"/>
        <w:rPr>
          <w:sz w:val="20"/>
          <w:szCs w:val="20"/>
          <w:color w:val="auto"/>
        </w:rPr>
      </w:pPr>
      <w:r>
        <w:rPr>
          <w:rFonts w:ascii="Arial" w:cs="Arial" w:eastAsia="Arial" w:hAnsi="Arial"/>
          <w:sz w:val="12"/>
          <w:szCs w:val="12"/>
          <w:color w:val="auto"/>
        </w:rPr>
        <w:t>— — — — — — — — — — — — — — — — — — — —</w:t>
      </w:r>
    </w:p>
    <w:p>
      <w:pPr>
        <w:jc w:val="right"/>
        <w:ind w:right="60"/>
        <w:spacing w:after="0" w:line="218" w:lineRule="auto"/>
        <w:rPr>
          <w:sz w:val="20"/>
          <w:szCs w:val="20"/>
          <w:color w:val="auto"/>
        </w:rPr>
      </w:pPr>
      <w:r>
        <w:rPr>
          <w:rFonts w:ascii="Arial" w:cs="Arial" w:eastAsia="Arial" w:hAnsi="Arial"/>
          <w:sz w:val="14"/>
          <w:szCs w:val="14"/>
          <w:color w:val="auto"/>
        </w:rPr>
        <w:t>DETACH AND RETURN THIS PORTION ONLY</w:t>
      </w:r>
    </w:p>
    <w:p>
      <w:pPr>
        <w:jc w:val="center"/>
        <w:ind w:right="-139"/>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28575</wp:posOffset>
            </wp:positionV>
            <wp:extent cx="6977380" cy="2197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77380" cy="219710"/>
                    </a:xfrm>
                    <a:prstGeom prst="rect">
                      <a:avLst/>
                    </a:prstGeom>
                    <a:noFill/>
                  </pic:spPr>
                </pic:pic>
              </a:graphicData>
            </a:graphic>
          </wp:anchor>
        </w:drawing>
      </w:r>
    </w:p>
    <w:p>
      <w:pPr>
        <w:sectPr>
          <w:pgSz w:w="11900" w:h="16838" w:orient="portrait"/>
          <w:cols w:equalWidth="0" w:num="1">
            <w:col w:w="11100"/>
          </w:cols>
          <w:pgMar w:left="320" w:top="454" w:right="479" w:bottom="1440" w:gutter="0" w:footer="0" w:header="0"/>
        </w:sectPr>
      </w:pPr>
    </w:p>
    <w:p>
      <w:pPr>
        <w:spacing w:after="0" w:line="44"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680" w:type="dxa"/>
            <w:vAlign w:val="bottom"/>
          </w:tcPr>
          <w:p>
            <w:pPr>
              <w:jc w:val="center"/>
              <w:ind w:left="149"/>
              <w:spacing w:after="0"/>
              <w:rPr>
                <w:sz w:val="20"/>
                <w:szCs w:val="20"/>
                <w:color w:val="auto"/>
              </w:rPr>
            </w:pPr>
            <w:r>
              <w:rPr>
                <w:rFonts w:ascii="Arial" w:cs="Arial" w:eastAsia="Arial" w:hAnsi="Arial"/>
                <w:sz w:val="14"/>
                <w:szCs w:val="14"/>
                <w:b w:val="1"/>
                <w:bCs w:val="1"/>
                <w:color w:val="auto"/>
                <w:w w:val="97"/>
              </w:rPr>
              <w:t>For</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Withhold</w:t>
            </w:r>
          </w:p>
        </w:tc>
        <w:tc>
          <w:tcPr>
            <w:tcW w:w="580" w:type="dxa"/>
            <w:vAlign w:val="bottom"/>
          </w:tcPr>
          <w:p>
            <w:pPr>
              <w:jc w:val="center"/>
              <w:ind w:left="89"/>
              <w:spacing w:after="0"/>
              <w:rPr>
                <w:sz w:val="20"/>
                <w:szCs w:val="20"/>
                <w:color w:val="auto"/>
              </w:rPr>
            </w:pPr>
            <w:r>
              <w:rPr>
                <w:rFonts w:ascii="Arial" w:cs="Arial" w:eastAsia="Arial" w:hAnsi="Arial"/>
                <w:sz w:val="14"/>
                <w:szCs w:val="14"/>
                <w:b w:val="1"/>
                <w:bCs w:val="1"/>
                <w:color w:val="auto"/>
                <w:w w:val="94"/>
              </w:rPr>
              <w:t>For All</w:t>
            </w:r>
          </w:p>
        </w:tc>
        <w:tc>
          <w:tcPr>
            <w:tcW w:w="0" w:type="dxa"/>
            <w:vAlign w:val="bottom"/>
          </w:tcPr>
          <w:p>
            <w:pPr>
              <w:spacing w:after="0"/>
              <w:rPr>
                <w:sz w:val="1"/>
                <w:szCs w:val="1"/>
                <w:color w:val="auto"/>
              </w:rPr>
            </w:pPr>
          </w:p>
        </w:tc>
      </w:tr>
      <w:tr>
        <w:trPr>
          <w:trHeight w:val="188"/>
        </w:trPr>
        <w:tc>
          <w:tcPr>
            <w:tcW w:w="2800" w:type="dxa"/>
            <w:vAlign w:val="bottom"/>
          </w:tcPr>
          <w:p>
            <w:pPr>
              <w:spacing w:after="0"/>
              <w:rPr>
                <w:sz w:val="16"/>
                <w:szCs w:val="16"/>
                <w:color w:val="auto"/>
              </w:rPr>
            </w:pPr>
          </w:p>
        </w:tc>
        <w:tc>
          <w:tcPr>
            <w:tcW w:w="680" w:type="dxa"/>
            <w:vAlign w:val="bottom"/>
          </w:tcPr>
          <w:p>
            <w:pPr>
              <w:jc w:val="center"/>
              <w:ind w:left="149"/>
              <w:spacing w:after="0"/>
              <w:rPr>
                <w:sz w:val="20"/>
                <w:szCs w:val="20"/>
                <w:color w:val="auto"/>
              </w:rPr>
            </w:pPr>
            <w:r>
              <w:rPr>
                <w:rFonts w:ascii="Arial" w:cs="Arial" w:eastAsia="Arial" w:hAnsi="Arial"/>
                <w:sz w:val="14"/>
                <w:szCs w:val="14"/>
                <w:b w:val="1"/>
                <w:bCs w:val="1"/>
                <w:color w:val="auto"/>
              </w:rPr>
              <w:t>All</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All</w:t>
            </w:r>
          </w:p>
        </w:tc>
        <w:tc>
          <w:tcPr>
            <w:tcW w:w="580" w:type="dxa"/>
            <w:vAlign w:val="bottom"/>
          </w:tcPr>
          <w:p>
            <w:pPr>
              <w:jc w:val="center"/>
              <w:ind w:left="89"/>
              <w:spacing w:after="0"/>
              <w:rPr>
                <w:sz w:val="20"/>
                <w:szCs w:val="20"/>
                <w:color w:val="auto"/>
              </w:rPr>
            </w:pPr>
            <w:r>
              <w:rPr>
                <w:rFonts w:ascii="Arial" w:cs="Arial" w:eastAsia="Arial" w:hAnsi="Arial"/>
                <w:sz w:val="14"/>
                <w:szCs w:val="14"/>
                <w:b w:val="1"/>
                <w:bCs w:val="1"/>
                <w:color w:val="auto"/>
                <w:w w:val="91"/>
              </w:rPr>
              <w:t>Except</w:t>
            </w:r>
          </w:p>
        </w:tc>
        <w:tc>
          <w:tcPr>
            <w:tcW w:w="0" w:type="dxa"/>
            <w:vAlign w:val="bottom"/>
          </w:tcPr>
          <w:p>
            <w:pPr>
              <w:spacing w:after="0"/>
              <w:rPr>
                <w:sz w:val="1"/>
                <w:szCs w:val="1"/>
                <w:color w:val="auto"/>
              </w:rPr>
            </w:pPr>
          </w:p>
        </w:tc>
      </w:tr>
      <w:tr>
        <w:trPr>
          <w:trHeight w:val="188"/>
        </w:trPr>
        <w:tc>
          <w:tcPr>
            <w:tcW w:w="2800" w:type="dxa"/>
            <w:vAlign w:val="bottom"/>
          </w:tcPr>
          <w:p>
            <w:pPr>
              <w:spacing w:after="0"/>
              <w:rPr>
                <w:sz w:val="20"/>
                <w:szCs w:val="20"/>
                <w:color w:val="auto"/>
              </w:rPr>
            </w:pPr>
            <w:r>
              <w:rPr>
                <w:rFonts w:ascii="Arial" w:cs="Arial" w:eastAsia="Arial" w:hAnsi="Arial"/>
                <w:sz w:val="14"/>
                <w:szCs w:val="14"/>
                <w:b w:val="1"/>
                <w:bCs w:val="1"/>
                <w:color w:val="auto"/>
              </w:rPr>
              <w:t>The Board of Directors recommends you</w:t>
            </w:r>
          </w:p>
        </w:tc>
        <w:tc>
          <w:tcPr>
            <w:tcW w:w="680" w:type="dxa"/>
            <w:vAlign w:val="bottom"/>
            <w:vMerge w:val="restart"/>
          </w:tcPr>
          <w:p>
            <w:pPr>
              <w:jc w:val="center"/>
              <w:ind w:left="129"/>
              <w:spacing w:after="0" w:line="141" w:lineRule="exact"/>
              <w:rPr>
                <w:sz w:val="20"/>
                <w:szCs w:val="20"/>
                <w:color w:val="auto"/>
              </w:rPr>
            </w:pPr>
            <w:r>
              <w:rPr>
                <w:rFonts w:ascii="MS PGothic" w:cs="MS PGothic" w:eastAsia="MS PGothic" w:hAnsi="MS PGothic"/>
                <w:sz w:val="14"/>
                <w:szCs w:val="14"/>
                <w:color w:val="auto"/>
                <w:w w:val="85"/>
              </w:rPr>
              <w:t>☐</w:t>
            </w:r>
          </w:p>
        </w:tc>
        <w:tc>
          <w:tcPr>
            <w:tcW w:w="82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vMerge w:val="restart"/>
          </w:tcPr>
          <w:p>
            <w:pPr>
              <w:jc w:val="center"/>
              <w:ind w:left="69"/>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87"/>
        </w:trPr>
        <w:tc>
          <w:tcPr>
            <w:tcW w:w="2800" w:type="dxa"/>
            <w:vAlign w:val="bottom"/>
          </w:tcPr>
          <w:p>
            <w:pPr>
              <w:spacing w:after="0"/>
              <w:rPr>
                <w:sz w:val="20"/>
                <w:szCs w:val="20"/>
                <w:color w:val="auto"/>
              </w:rPr>
            </w:pPr>
            <w:r>
              <w:rPr>
                <w:rFonts w:ascii="Arial" w:cs="Arial" w:eastAsia="Arial" w:hAnsi="Arial"/>
                <w:sz w:val="14"/>
                <w:szCs w:val="14"/>
                <w:b w:val="1"/>
                <w:bCs w:val="1"/>
                <w:color w:val="auto"/>
              </w:rPr>
              <w:t>vote FOR the following:</w:t>
            </w:r>
          </w:p>
        </w:tc>
        <w:tc>
          <w:tcPr>
            <w:tcW w:w="68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-238760</wp:posOffset>
            </wp:positionV>
            <wp:extent cx="25400" cy="31997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5400" cy="31997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ind w:right="2440"/>
        <w:spacing w:after="0" w:line="230" w:lineRule="auto"/>
        <w:rPr>
          <w:sz w:val="20"/>
          <w:szCs w:val="20"/>
          <w:color w:val="auto"/>
        </w:rPr>
      </w:pPr>
      <w:r>
        <w:rPr>
          <w:rFonts w:ascii="Arial" w:cs="Arial" w:eastAsia="Arial" w:hAnsi="Arial"/>
          <w:sz w:val="14"/>
          <w:szCs w:val="14"/>
          <w:color w:val="auto"/>
        </w:rPr>
        <w:t>To withhold authority to vote for any individual nominee(s), mark “For All Except” and write the number(s) of the nominee(s) on the line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2661285</wp:posOffset>
            </wp:positionH>
            <wp:positionV relativeFrom="paragraph">
              <wp:posOffset>-176530</wp:posOffset>
            </wp:positionV>
            <wp:extent cx="481330" cy="3206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81330" cy="3206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135255</wp:posOffset>
            </wp:positionV>
            <wp:extent cx="164211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642110" cy="8255"/>
                    </a:xfrm>
                    <a:prstGeom prst="rect">
                      <a:avLst/>
                    </a:prstGeom>
                    <a:noFill/>
                  </pic:spPr>
                </pic:pic>
              </a:graphicData>
            </a:graphic>
          </wp:anchor>
        </w:drawing>
      </w:r>
    </w:p>
    <w:p>
      <w:pPr>
        <w:spacing w:after="0" w:line="297" w:lineRule="exact"/>
        <w:rPr>
          <w:sz w:val="20"/>
          <w:szCs w:val="20"/>
          <w:color w:val="auto"/>
        </w:rPr>
      </w:pPr>
    </w:p>
    <w:p>
      <w:pPr>
        <w:sectPr>
          <w:pgSz w:w="11900" w:h="16838" w:orient="portrait"/>
          <w:cols w:equalWidth="0" w:num="2">
            <w:col w:w="5680" w:space="280"/>
            <w:col w:w="5140"/>
          </w:cols>
          <w:pgMar w:left="320" w:top="454" w:right="479" w:bottom="1440" w:gutter="0" w:footer="0" w:header="0"/>
          <w:type w:val="continuous"/>
        </w:sectPr>
      </w:pPr>
    </w:p>
    <w:p>
      <w:pPr>
        <w:spacing w:after="0" w:line="16" w:lineRule="exact"/>
        <w:rPr>
          <w:sz w:val="20"/>
          <w:szCs w:val="20"/>
          <w:color w:val="auto"/>
        </w:rPr>
      </w:pPr>
    </w:p>
    <w:p>
      <w:pPr>
        <w:ind w:left="1060" w:right="5140" w:hanging="263"/>
        <w:spacing w:after="0" w:line="234" w:lineRule="auto"/>
        <w:tabs>
          <w:tab w:leader="none" w:pos="1060" w:val="left"/>
        </w:tabs>
        <w:numPr>
          <w:ilvl w:val="0"/>
          <w:numId w:val="43"/>
        </w:numPr>
        <w:rPr>
          <w:rFonts w:ascii="Arial" w:cs="Arial" w:eastAsia="Arial" w:hAnsi="Arial"/>
          <w:sz w:val="14"/>
          <w:szCs w:val="14"/>
          <w:b w:val="1"/>
          <w:bCs w:val="1"/>
          <w:color w:val="auto"/>
        </w:rPr>
      </w:pPr>
      <w:r>
        <w:rPr>
          <w:rFonts w:ascii="Arial" w:cs="Arial" w:eastAsia="Arial" w:hAnsi="Arial"/>
          <w:sz w:val="14"/>
          <w:szCs w:val="14"/>
          <w:color w:val="auto"/>
        </w:rPr>
        <w:t>To elect to the board of directors the three persons nominated by the board of directors to serve as Class III Directors.</w:t>
      </w:r>
    </w:p>
    <w:p>
      <w:pPr>
        <w:spacing w:after="0" w:line="84" w:lineRule="exact"/>
        <w:rPr>
          <w:sz w:val="20"/>
          <w:szCs w:val="20"/>
          <w:color w:val="auto"/>
        </w:rPr>
      </w:pPr>
    </w:p>
    <w:p>
      <w:pPr>
        <w:ind w:left="1060"/>
        <w:spacing w:after="0"/>
        <w:rPr>
          <w:sz w:val="20"/>
          <w:szCs w:val="20"/>
          <w:color w:val="auto"/>
        </w:rPr>
      </w:pPr>
      <w:r>
        <w:rPr>
          <w:rFonts w:ascii="Arial" w:cs="Arial" w:eastAsia="Arial" w:hAnsi="Arial"/>
          <w:sz w:val="14"/>
          <w:szCs w:val="14"/>
          <w:b w:val="1"/>
          <w:bCs w:val="1"/>
          <w:color w:val="auto"/>
        </w:rPr>
        <w:t>Nominees</w:t>
      </w:r>
    </w:p>
    <w:p>
      <w:pPr>
        <w:spacing w:after="0" w:line="82" w:lineRule="exact"/>
        <w:rPr>
          <w:sz w:val="20"/>
          <w:szCs w:val="20"/>
          <w:color w:val="auto"/>
        </w:rPr>
      </w:pPr>
    </w:p>
    <w:p>
      <w:pPr>
        <w:ind w:left="800"/>
        <w:spacing w:after="0"/>
        <w:tabs>
          <w:tab w:leader="none" w:pos="2600" w:val="left"/>
          <w:tab w:leader="none" w:pos="4520" w:val="left"/>
        </w:tabs>
        <w:rPr>
          <w:sz w:val="20"/>
          <w:szCs w:val="20"/>
          <w:color w:val="auto"/>
        </w:rPr>
      </w:pPr>
      <w:r>
        <w:rPr>
          <w:rFonts w:ascii="Arial" w:cs="Arial" w:eastAsia="Arial" w:hAnsi="Arial"/>
          <w:sz w:val="14"/>
          <w:szCs w:val="14"/>
          <w:color w:val="auto"/>
        </w:rPr>
        <w:t>01.  John McCartney</w:t>
      </w:r>
      <w:r>
        <w:rPr>
          <w:sz w:val="20"/>
          <w:szCs w:val="20"/>
          <w:color w:val="auto"/>
        </w:rPr>
        <w:tab/>
      </w:r>
      <w:r>
        <w:rPr>
          <w:rFonts w:ascii="Arial" w:cs="Arial" w:eastAsia="Arial" w:hAnsi="Arial"/>
          <w:sz w:val="14"/>
          <w:szCs w:val="14"/>
          <w:color w:val="auto"/>
        </w:rPr>
        <w:t>02. Ekta Singh-Bushell</w:t>
      </w:r>
      <w:r>
        <w:rPr>
          <w:sz w:val="20"/>
          <w:szCs w:val="20"/>
          <w:color w:val="auto"/>
        </w:rPr>
        <w:tab/>
      </w:r>
      <w:r>
        <w:rPr>
          <w:rFonts w:ascii="Arial" w:cs="Arial" w:eastAsia="Arial" w:hAnsi="Arial"/>
          <w:sz w:val="13"/>
          <w:szCs w:val="13"/>
          <w:color w:val="auto"/>
        </w:rPr>
        <w:t>03. Peter K. Markell</w:t>
      </w:r>
    </w:p>
    <w:p>
      <w:pPr>
        <w:spacing w:after="0" w:line="101"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The Board of Directors recommends you vote FOR proposals 2 and 3.</w:t>
      </w:r>
    </w:p>
    <w:p>
      <w:pPr>
        <w:spacing w:after="0" w:line="109" w:lineRule="exact"/>
        <w:rPr>
          <w:sz w:val="20"/>
          <w:szCs w:val="20"/>
          <w:color w:val="auto"/>
        </w:rPr>
      </w:pPr>
    </w:p>
    <w:p>
      <w:pPr>
        <w:ind w:left="1060" w:hanging="263"/>
        <w:spacing w:after="0"/>
        <w:tabs>
          <w:tab w:leader="none" w:pos="1060" w:val="left"/>
        </w:tabs>
        <w:numPr>
          <w:ilvl w:val="0"/>
          <w:numId w:val="44"/>
        </w:numPr>
        <w:rPr>
          <w:rFonts w:ascii="Arial" w:cs="Arial" w:eastAsia="Arial" w:hAnsi="Arial"/>
          <w:sz w:val="14"/>
          <w:szCs w:val="14"/>
          <w:b w:val="1"/>
          <w:bCs w:val="1"/>
          <w:color w:val="auto"/>
        </w:rPr>
      </w:pPr>
      <w:r>
        <w:rPr>
          <w:rFonts w:ascii="Arial" w:cs="Arial" w:eastAsia="Arial" w:hAnsi="Arial"/>
          <w:sz w:val="14"/>
          <w:szCs w:val="14"/>
          <w:color w:val="auto"/>
        </w:rPr>
        <w:t>An advisory vote to approve the Company’s executive compensation.</w:t>
      </w:r>
    </w:p>
    <w:p>
      <w:pPr>
        <w:spacing w:after="0" w:line="118" w:lineRule="exact"/>
        <w:rPr>
          <w:rFonts w:ascii="Arial" w:cs="Arial" w:eastAsia="Arial" w:hAnsi="Arial"/>
          <w:sz w:val="14"/>
          <w:szCs w:val="14"/>
          <w:b w:val="1"/>
          <w:bCs w:val="1"/>
          <w:color w:val="auto"/>
        </w:rPr>
      </w:pPr>
    </w:p>
    <w:p>
      <w:pPr>
        <w:ind w:left="1060" w:right="340" w:hanging="263"/>
        <w:spacing w:after="0" w:line="246" w:lineRule="auto"/>
        <w:tabs>
          <w:tab w:leader="none" w:pos="1060" w:val="left"/>
        </w:tabs>
        <w:numPr>
          <w:ilvl w:val="0"/>
          <w:numId w:val="44"/>
        </w:numPr>
        <w:rPr>
          <w:rFonts w:ascii="Arial" w:cs="Arial" w:eastAsia="Arial" w:hAnsi="Arial"/>
          <w:sz w:val="14"/>
          <w:szCs w:val="14"/>
          <w:b w:val="1"/>
          <w:bCs w:val="1"/>
          <w:color w:val="auto"/>
        </w:rPr>
      </w:pPr>
      <w:r>
        <w:rPr>
          <w:rFonts w:ascii="Arial" w:cs="Arial" w:eastAsia="Arial" w:hAnsi="Arial"/>
          <w:sz w:val="14"/>
          <w:szCs w:val="14"/>
          <w:color w:val="auto"/>
        </w:rPr>
        <w:t>To ratify the appointment of PricewaterhouseCoopers LLP as the Company’s independent registered public accounting firm for the fiscal year ending December 31, 2022.</w:t>
      </w:r>
    </w:p>
    <w:p>
      <w:pPr>
        <w:spacing w:after="0" w:line="91" w:lineRule="exact"/>
        <w:rPr>
          <w:sz w:val="20"/>
          <w:szCs w:val="20"/>
          <w:color w:val="auto"/>
        </w:rPr>
      </w:pPr>
    </w:p>
    <w:p>
      <w:pPr>
        <w:ind w:left="800"/>
        <w:spacing w:after="0"/>
        <w:rPr>
          <w:sz w:val="20"/>
          <w:szCs w:val="20"/>
          <w:color w:val="auto"/>
        </w:rPr>
      </w:pPr>
      <w:r>
        <w:rPr>
          <w:rFonts w:ascii="Arial" w:cs="Arial" w:eastAsia="Arial" w:hAnsi="Arial"/>
          <w:sz w:val="13"/>
          <w:szCs w:val="13"/>
          <w:b w:val="1"/>
          <w:bCs w:val="1"/>
          <w:color w:val="auto"/>
        </w:rPr>
        <w:t xml:space="preserve">NOTE:  </w:t>
      </w:r>
      <w:r>
        <w:rPr>
          <w:rFonts w:ascii="Arial" w:cs="Arial" w:eastAsia="Arial" w:hAnsi="Arial"/>
          <w:sz w:val="13"/>
          <w:szCs w:val="13"/>
          <w:color w:val="auto"/>
        </w:rPr>
        <w:t>To transact such other business as may properly come before the meeting or any postponement or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299085</wp:posOffset>
            </wp:positionV>
            <wp:extent cx="84455" cy="9455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4455" cy="9455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tabs>
          <w:tab w:leader="none" w:pos="360" w:val="left"/>
          <w:tab w:leader="none" w:pos="1040" w:val="left"/>
        </w:tabs>
        <w:rPr>
          <w:sz w:val="20"/>
          <w:szCs w:val="20"/>
          <w:color w:val="auto"/>
        </w:rPr>
      </w:pPr>
      <w:r>
        <w:rPr>
          <w:rFonts w:ascii="Arial" w:cs="Arial" w:eastAsia="Arial" w:hAnsi="Arial"/>
          <w:sz w:val="14"/>
          <w:szCs w:val="14"/>
          <w:b w:val="1"/>
          <w:bCs w:val="1"/>
          <w:color w:val="auto"/>
        </w:rPr>
        <w:t>For</w:t>
        <w:tab/>
        <w:t>Against</w:t>
      </w:r>
      <w:r>
        <w:rPr>
          <w:sz w:val="20"/>
          <w:szCs w:val="20"/>
          <w:color w:val="auto"/>
        </w:rPr>
        <w:tab/>
      </w:r>
      <w:r>
        <w:rPr>
          <w:rFonts w:ascii="Arial" w:cs="Arial" w:eastAsia="Arial" w:hAnsi="Arial"/>
          <w:sz w:val="13"/>
          <w:szCs w:val="13"/>
          <w:b w:val="1"/>
          <w:bCs w:val="1"/>
          <w:color w:val="auto"/>
        </w:rPr>
        <w:t>Abstain</w:t>
      </w:r>
    </w:p>
    <w:p>
      <w:pPr>
        <w:spacing w:after="0" w:line="97" w:lineRule="exact"/>
        <w:rPr>
          <w:sz w:val="20"/>
          <w:szCs w:val="20"/>
          <w:color w:val="auto"/>
        </w:rPr>
      </w:pPr>
    </w:p>
    <w:p>
      <w:pPr>
        <w:ind w:left="40"/>
        <w:spacing w:after="0" w:line="141" w:lineRule="exact"/>
        <w:tabs>
          <w:tab w:leader="none" w:pos="520" w:val="left"/>
          <w:tab w:leader="none" w:pos="118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p>
    <w:p>
      <w:pPr>
        <w:spacing w:after="0" w:line="139" w:lineRule="exact"/>
        <w:rPr>
          <w:sz w:val="20"/>
          <w:szCs w:val="20"/>
          <w:color w:val="auto"/>
        </w:rPr>
      </w:pPr>
    </w:p>
    <w:p>
      <w:pPr>
        <w:ind w:left="40"/>
        <w:spacing w:after="0" w:line="141" w:lineRule="exact"/>
        <w:tabs>
          <w:tab w:leader="none" w:pos="520" w:val="left"/>
          <w:tab w:leader="none" w:pos="118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p>
    <w:p>
      <w:pPr>
        <w:spacing w:after="0" w:line="642" w:lineRule="exact"/>
        <w:rPr>
          <w:sz w:val="20"/>
          <w:szCs w:val="20"/>
          <w:color w:val="auto"/>
        </w:rPr>
      </w:pPr>
    </w:p>
    <w:p>
      <w:pPr>
        <w:sectPr>
          <w:pgSz w:w="11900" w:h="16838" w:orient="portrait"/>
          <w:cols w:equalWidth="0" w:num="2">
            <w:col w:w="8840" w:space="720"/>
            <w:col w:w="1540"/>
          </w:cols>
          <w:pgMar w:left="320" w:top="454"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800" w:right="2660"/>
        <w:spacing w:after="0" w:line="234" w:lineRule="auto"/>
        <w:rPr>
          <w:sz w:val="20"/>
          <w:szCs w:val="20"/>
          <w:color w:val="auto"/>
        </w:rPr>
      </w:pPr>
      <w:r>
        <w:rPr>
          <w:rFonts w:ascii="Arial" w:cs="Arial" w:eastAsia="Arial" w:hAnsi="Arial"/>
          <w:sz w:val="14"/>
          <w:szCs w:val="14"/>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92710</wp:posOffset>
            </wp:positionV>
            <wp:extent cx="5563870" cy="2451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563870" cy="24511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800"/>
        <w:spacing w:after="0"/>
        <w:tabs>
          <w:tab w:leader="none" w:pos="3820" w:val="left"/>
          <w:tab w:leader="none" w:pos="5940" w:val="left"/>
          <w:tab w:leader="none" w:pos="886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2"/>
          <w:szCs w:val="1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-89535</wp:posOffset>
            </wp:positionV>
            <wp:extent cx="6977380" cy="168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77380" cy="168910"/>
                    </a:xfrm>
                    <a:prstGeom prst="rect">
                      <a:avLst/>
                    </a:prstGeom>
                    <a:noFill/>
                  </pic:spPr>
                </pic:pic>
              </a:graphicData>
            </a:graphic>
          </wp:anchor>
        </w:drawing>
      </w:r>
    </w:p>
    <w:p>
      <w:pPr>
        <w:sectPr>
          <w:pgSz w:w="11900" w:h="16838" w:orient="portrait"/>
          <w:cols w:equalWidth="0" w:num="1">
            <w:col w:w="11100"/>
          </w:cols>
          <w:pgMar w:left="320" w:top="454" w:right="479" w:bottom="1440" w:gutter="0" w:footer="0" w:header="0"/>
          <w:type w:val="continuous"/>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459"/>
        <w:spacing w:after="0"/>
        <w:rPr>
          <w:sz w:val="20"/>
          <w:szCs w:val="20"/>
          <w:color w:val="auto"/>
        </w:rPr>
      </w:pPr>
      <w:r>
        <w:rPr>
          <w:rFonts w:ascii="Arial" w:cs="Arial" w:eastAsia="Arial" w:hAnsi="Arial"/>
          <w:sz w:val="19"/>
          <w:szCs w:val="19"/>
          <w:b w:val="1"/>
          <w:bCs w:val="1"/>
          <w:color w:val="auto"/>
        </w:rPr>
        <w:t>Important Notice Regarding the Availability of Proxy Materials for the Annual Meeting:</w:t>
      </w:r>
    </w:p>
    <w:p>
      <w:pPr>
        <w:spacing w:after="0" w:line="30" w:lineRule="exact"/>
        <w:rPr>
          <w:sz w:val="20"/>
          <w:szCs w:val="20"/>
          <w:color w:val="auto"/>
        </w:rPr>
      </w:pPr>
    </w:p>
    <w:p>
      <w:pPr>
        <w:ind w:left="2140"/>
        <w:spacing w:after="0"/>
        <w:rPr>
          <w:sz w:val="20"/>
          <w:szCs w:val="20"/>
          <w:color w:val="auto"/>
        </w:rPr>
      </w:pPr>
      <w:r>
        <w:rPr>
          <w:rFonts w:ascii="Arial" w:cs="Arial" w:eastAsia="Arial" w:hAnsi="Arial"/>
          <w:sz w:val="19"/>
          <w:szCs w:val="19"/>
          <w:color w:val="auto"/>
        </w:rPr>
        <w:t xml:space="preserve">The Annual Report and Notice and Proxy Statement are available at </w:t>
      </w:r>
      <w:r>
        <w:rPr>
          <w:rFonts w:ascii="Arial" w:cs="Arial" w:eastAsia="Arial" w:hAnsi="Arial"/>
          <w:sz w:val="19"/>
          <w:szCs w:val="19"/>
          <w:u w:val="single" w:color="auto"/>
          <w:color w:val="0000FF"/>
        </w:rPr>
        <w:t>www.proxyvote.com</w:t>
      </w:r>
    </w:p>
    <w:p>
      <w:pPr>
        <w:spacing w:after="0" w:line="76" w:lineRule="exact"/>
        <w:rPr>
          <w:sz w:val="20"/>
          <w:szCs w:val="20"/>
          <w:color w:val="auto"/>
        </w:rPr>
      </w:pPr>
    </w:p>
    <w:p>
      <w:pPr>
        <w:jc w:val="center"/>
        <w:ind w:right="-639"/>
        <w:spacing w:after="0"/>
        <w:rPr>
          <w:sz w:val="20"/>
          <w:szCs w:val="20"/>
          <w:color w:val="auto"/>
        </w:rPr>
      </w:pPr>
      <w:r>
        <w:rPr>
          <w:rFonts w:ascii="Arial" w:cs="Arial" w:eastAsia="Arial" w:hAnsi="Arial"/>
          <w:sz w:val="18"/>
          <w:szCs w:val="18"/>
          <w:color w:val="auto"/>
        </w:rPr>
        <w:t>— — — — — — — — — — — — — — — — — — — — — — — — — — — — — —</w:t>
      </w:r>
    </w:p>
    <w:p>
      <w:pPr>
        <w:spacing w:after="0" w:line="17" w:lineRule="exact"/>
        <w:rPr>
          <w:sz w:val="20"/>
          <w:szCs w:val="20"/>
          <w:color w:val="auto"/>
        </w:rPr>
      </w:pPr>
    </w:p>
    <w:p>
      <w:pPr>
        <w:jc w:val="center"/>
        <w:ind w:right="-679"/>
        <w:spacing w:after="0"/>
        <w:rPr>
          <w:sz w:val="20"/>
          <w:szCs w:val="20"/>
          <w:color w:val="auto"/>
        </w:rPr>
      </w:pPr>
      <w:r>
        <w:rPr>
          <w:rFonts w:ascii="Arial" w:cs="Arial" w:eastAsia="Arial" w:hAnsi="Arial"/>
          <w:sz w:val="18"/>
          <w:szCs w:val="18"/>
          <w:color w:val="auto"/>
        </w:rPr>
        <w:t>—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173355</wp:posOffset>
            </wp:positionV>
            <wp:extent cx="6762750" cy="42551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762750" cy="4255135"/>
                    </a:xfrm>
                    <a:prstGeom prst="rect">
                      <a:avLst/>
                    </a:prstGeom>
                    <a:noFill/>
                  </pic:spPr>
                </pic:pic>
              </a:graphicData>
            </a:graphic>
          </wp:anchor>
        </w:drawing>
      </w:r>
    </w:p>
    <w:p>
      <w:pPr>
        <w:spacing w:after="0" w:line="332" w:lineRule="exact"/>
        <w:rPr>
          <w:sz w:val="20"/>
          <w:szCs w:val="20"/>
          <w:color w:val="auto"/>
        </w:rPr>
      </w:pPr>
    </w:p>
    <w:p>
      <w:pPr>
        <w:jc w:val="center"/>
        <w:ind w:right="-739"/>
        <w:spacing w:after="0"/>
        <w:rPr>
          <w:sz w:val="20"/>
          <w:szCs w:val="20"/>
          <w:color w:val="auto"/>
        </w:rPr>
      </w:pPr>
      <w:r>
        <w:rPr>
          <w:rFonts w:ascii="Arial" w:cs="Arial" w:eastAsia="Arial" w:hAnsi="Arial"/>
          <w:sz w:val="21"/>
          <w:szCs w:val="21"/>
          <w:b w:val="1"/>
          <w:bCs w:val="1"/>
          <w:color w:val="auto"/>
        </w:rPr>
        <w:t>HURON CONSULTING GROUP INC.</w:t>
      </w:r>
    </w:p>
    <w:p>
      <w:pPr>
        <w:spacing w:after="0" w:line="20" w:lineRule="exact"/>
        <w:rPr>
          <w:sz w:val="20"/>
          <w:szCs w:val="20"/>
          <w:color w:val="auto"/>
        </w:rPr>
      </w:pPr>
    </w:p>
    <w:p>
      <w:pPr>
        <w:jc w:val="center"/>
        <w:ind w:right="-739"/>
        <w:spacing w:after="0"/>
        <w:rPr>
          <w:sz w:val="20"/>
          <w:szCs w:val="20"/>
          <w:color w:val="auto"/>
        </w:rPr>
      </w:pPr>
      <w:r>
        <w:rPr>
          <w:rFonts w:ascii="Arial" w:cs="Arial" w:eastAsia="Arial" w:hAnsi="Arial"/>
          <w:sz w:val="21"/>
          <w:szCs w:val="21"/>
          <w:b w:val="1"/>
          <w:bCs w:val="1"/>
          <w:color w:val="auto"/>
        </w:rPr>
        <w:t>Annual Meeting of Stockholders</w:t>
      </w:r>
    </w:p>
    <w:p>
      <w:pPr>
        <w:jc w:val="center"/>
        <w:ind w:right="-739"/>
        <w:spacing w:after="0" w:line="237" w:lineRule="auto"/>
        <w:rPr>
          <w:sz w:val="20"/>
          <w:szCs w:val="20"/>
          <w:color w:val="auto"/>
        </w:rPr>
      </w:pPr>
      <w:r>
        <w:rPr>
          <w:rFonts w:ascii="Arial" w:cs="Arial" w:eastAsia="Arial" w:hAnsi="Arial"/>
          <w:sz w:val="21"/>
          <w:szCs w:val="21"/>
          <w:b w:val="1"/>
          <w:bCs w:val="1"/>
          <w:color w:val="auto"/>
        </w:rPr>
        <w:t>May 6, 2022 11:00 AM CT</w:t>
      </w:r>
    </w:p>
    <w:p>
      <w:pPr>
        <w:spacing w:after="0" w:line="1" w:lineRule="exact"/>
        <w:rPr>
          <w:sz w:val="20"/>
          <w:szCs w:val="20"/>
          <w:color w:val="auto"/>
        </w:rPr>
      </w:pPr>
    </w:p>
    <w:p>
      <w:pPr>
        <w:jc w:val="center"/>
        <w:ind w:right="-739"/>
        <w:spacing w:after="0"/>
        <w:rPr>
          <w:sz w:val="20"/>
          <w:szCs w:val="20"/>
          <w:color w:val="auto"/>
        </w:rPr>
      </w:pPr>
      <w:r>
        <w:rPr>
          <w:rFonts w:ascii="Arial" w:cs="Arial" w:eastAsia="Arial" w:hAnsi="Arial"/>
          <w:sz w:val="21"/>
          <w:szCs w:val="21"/>
          <w:b w:val="1"/>
          <w:bCs w:val="1"/>
          <w:color w:val="auto"/>
        </w:rPr>
        <w:t>This proxy is solicited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20" w:right="100"/>
        <w:spacing w:after="0" w:line="269" w:lineRule="auto"/>
        <w:rPr>
          <w:sz w:val="20"/>
          <w:szCs w:val="20"/>
          <w:color w:val="auto"/>
        </w:rPr>
      </w:pPr>
      <w:r>
        <w:rPr>
          <w:rFonts w:ascii="Arial" w:cs="Arial" w:eastAsia="Arial" w:hAnsi="Arial"/>
          <w:sz w:val="17"/>
          <w:szCs w:val="17"/>
          <w:color w:val="auto"/>
        </w:rPr>
        <w:t>The stockholder(s) hereby appoint(s) James H. Roth and Ernest W. Torain, Jr., or either of them, as proxies, each with the power to appoint his substitute, and hereby authorize(s) them to represent and to vote, as designated on the reverse side of this ballot, all of the shares of (Common/Preferred) stock of HURON CONSULTING GROUP INC. that the stockholder(s) is/are entitled to vote at the Annual Meeting of Stockholders to be held at 11:00 AM, CT on May 6, 2022, in a virtual meeting format via live audio webcast at www.virtualshareholdermeeting.com/HURN2022, and any adjournment or postponement thereof.</w:t>
      </w:r>
    </w:p>
    <w:p>
      <w:pPr>
        <w:spacing w:after="0" w:line="202" w:lineRule="exact"/>
        <w:rPr>
          <w:sz w:val="20"/>
          <w:szCs w:val="20"/>
          <w:color w:val="auto"/>
        </w:rPr>
      </w:pPr>
    </w:p>
    <w:p>
      <w:pPr>
        <w:ind w:left="720"/>
        <w:spacing w:after="0" w:line="273" w:lineRule="auto"/>
        <w:rPr>
          <w:sz w:val="20"/>
          <w:szCs w:val="20"/>
          <w:color w:val="auto"/>
        </w:rPr>
      </w:pPr>
      <w:r>
        <w:rPr>
          <w:rFonts w:ascii="Arial" w:cs="Arial" w:eastAsia="Arial" w:hAnsi="Arial"/>
          <w:sz w:val="18"/>
          <w:szCs w:val="18"/>
          <w:b w:val="1"/>
          <w:bCs w:val="1"/>
          <w:color w:val="auto"/>
        </w:rPr>
        <w:t>This proxy, when properly executed, will be voted in the manner directed herein. If no such direction is made, this proxy will be voted in accordance with the Board of Directors’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852170</wp:posOffset>
            </wp:positionV>
            <wp:extent cx="92710" cy="9537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92710" cy="953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0780"/>
      </w:cols>
      <w:pgMar w:left="320" w:top="454"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1)"/>
      <w:numFmt w:val="decimal"/>
      <w:start w:val="1"/>
    </w:lvl>
  </w:abstractNum>
  <w:abstractNum w:abstractNumId="6">
    <w:nsid w:val="4353D0CD"/>
    <w:multiLevelType w:val="hybridMultilevel"/>
    <w:lvl w:ilvl="0">
      <w:lvlJc w:val="left"/>
      <w:lvlText w:val="(%1)"/>
      <w:numFmt w:val="decimal"/>
      <w:start w:val="2"/>
    </w:lvl>
    <w:lvl w:ilvl="1">
      <w:lvlJc w:val="left"/>
      <w:lvlText w:val="•"/>
      <w:numFmt w:val="bullet"/>
      <w:start w:val="1"/>
    </w:lvl>
  </w:abstractNum>
  <w:abstractNum w:abstractNumId="7">
    <w:nsid w:val="B03E0C6"/>
    <w:multiLevelType w:val="hybridMultilevel"/>
    <w:lvl w:ilvl="0">
      <w:lvlJc w:val="left"/>
      <w:lvlText w:val="(%1)"/>
      <w:numFmt w:val="decimal"/>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1)"/>
      <w:numFmt w:val="decimal"/>
      <w:start w:val="1"/>
    </w:lvl>
  </w:abstractNum>
  <w:abstractNum w:abstractNumId="10">
    <w:nsid w:val="71F32454"/>
    <w:multiLevelType w:val="hybridMultilevel"/>
    <w:lvl w:ilvl="0">
      <w:lvlJc w:val="left"/>
      <w:lvlText w:val="(%1)"/>
      <w:numFmt w:val="decimal"/>
      <w:start w:val="6"/>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1"/>
      <w:numFmt w:val="bullet"/>
      <w:start w:val="1"/>
    </w:lvl>
  </w:abstractNum>
  <w:abstractNum w:abstractNumId="14">
    <w:nsid w:val="3A95F874"/>
    <w:multiLevelType w:val="hybridMultilevel"/>
    <w:lvl w:ilvl="0">
      <w:lvlJc w:val="left"/>
      <w:lvlText w:val="(%1)"/>
      <w:numFmt w:val="decimal"/>
      <w:start w:val="1"/>
    </w:lvl>
  </w:abstractNum>
  <w:abstractNum w:abstractNumId="15">
    <w:nsid w:val="8138641"/>
    <w:multiLevelType w:val="hybridMultilevel"/>
    <w:lvl w:ilvl="0">
      <w:lvlJc w:val="left"/>
      <w:lvlText w:val="(%1)"/>
      <w:numFmt w:val="decimal"/>
      <w:start w:val="1"/>
    </w:lvl>
    <w:lvl w:ilvl="1">
      <w:lvlJc w:val="left"/>
      <w:lvlText w:val="(%2)"/>
      <w:numFmt w:val="lowerLetter"/>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1)"/>
      <w:numFmt w:val="decimal"/>
      <w:start w:val="1"/>
    </w:lvl>
  </w:abstractNum>
  <w:abstractNum w:abstractNumId="18">
    <w:nsid w:val="737B8DDC"/>
    <w:multiLevelType w:val="hybridMultilevel"/>
    <w:lvl w:ilvl="0">
      <w:lvlJc w:val="left"/>
      <w:lvlText w:val="2"/>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1)"/>
      <w:numFmt w:val="decimal"/>
      <w:start w:val="1"/>
    </w:lvl>
  </w:abstractNum>
  <w:abstractNum w:abstractNumId="21">
    <w:nsid w:val="4516DDE9"/>
    <w:multiLevelType w:val="hybridMultilevel"/>
    <w:lvl w:ilvl="0">
      <w:lvlJc w:val="left"/>
      <w:lvlText w:val="3"/>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1)"/>
      <w:numFmt w:val="decimal"/>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1."/>
      <w:numFmt w:val="decimal"/>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1)"/>
      <w:numFmt w:val="decimal"/>
      <w:start w:val="1"/>
    </w:lvl>
  </w:abstractNum>
  <w:abstractNum w:abstractNumId="30">
    <w:nsid w:val="7724C67E"/>
    <w:multiLevelType w:val="hybridMultilevel"/>
    <w:lvl w:ilvl="0">
      <w:lvlJc w:val="left"/>
      <w:lvlText w:val="(%1)"/>
      <w:numFmt w:val="decimal"/>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1)"/>
      <w:numFmt w:val="decimal"/>
      <w:start w:val="1"/>
    </w:lvl>
  </w:abstractNum>
  <w:abstractNum w:abstractNumId="33">
    <w:nsid w:val="5E884ADC"/>
    <w:multiLevelType w:val="hybridMultilevel"/>
    <w:lvl w:ilvl="0">
      <w:lvlJc w:val="left"/>
      <w:lvlText w:val="(%1)"/>
      <w:numFmt w:val="decimal"/>
      <w:start w:val="1"/>
    </w:lvl>
  </w:abstractNum>
  <w:abstractNum w:abstractNumId="34">
    <w:nsid w:val="51EAD36B"/>
    <w:multiLevelType w:val="hybridMultilevel"/>
    <w:lvl w:ilvl="0">
      <w:lvlJc w:val="left"/>
      <w:lvlText w:val="(%1)"/>
      <w:numFmt w:val="decimal"/>
      <w:start w:val="1"/>
    </w:lvl>
  </w:abstractNum>
  <w:abstractNum w:abstractNumId="35">
    <w:nsid w:val="2D517796"/>
    <w:multiLevelType w:val="hybridMultilevel"/>
    <w:lvl w:ilvl="0">
      <w:lvlJc w:val="left"/>
      <w:lvlText w:val="(%1)"/>
      <w:numFmt w:val="decimal"/>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1)"/>
      <w:numFmt w:val="lowerLetter"/>
      <w:start w:val="1"/>
    </w:lvl>
  </w:abstractNum>
  <w:abstractNum w:abstractNumId="38">
    <w:nsid w:val="3855585C"/>
    <w:multiLevelType w:val="hybridMultilevel"/>
    <w:lvl w:ilvl="0">
      <w:lvlJc w:val="left"/>
      <w:lvlText w:val="(%1)"/>
      <w:numFmt w:val="lowerLetter"/>
      <w:start w:val="5"/>
    </w:lvl>
  </w:abstractNum>
  <w:abstractNum w:abstractNumId="39">
    <w:nsid w:val="70A64E2A"/>
    <w:multiLevelType w:val="hybridMultilevel"/>
    <w:lvl w:ilvl="0">
      <w:lvlJc w:val="left"/>
      <w:lvlText w:val="(%1)"/>
      <w:numFmt w:val="decimal"/>
      <w:start w:val="1"/>
    </w:lvl>
  </w:abstractNum>
  <w:abstractNum w:abstractNumId="40">
    <w:nsid w:val="6A2342EC"/>
    <w:multiLevelType w:val="hybridMultilevel"/>
    <w:lvl w:ilvl="0">
      <w:lvlJc w:val="left"/>
      <w:lvlText w:val="(%1)"/>
      <w:numFmt w:val="decimal"/>
      <w:start w:val="2"/>
    </w:lvl>
    <w:lvl w:ilvl="1">
      <w:lvlJc w:val="left"/>
      <w:lvlText w:val="(%2)"/>
      <w:numFmt w:val="lowerLetter"/>
      <w:start w:val="1"/>
    </w:lvl>
  </w:abstractNum>
  <w:abstractNum w:abstractNumId="41">
    <w:nsid w:val="2A487CB0"/>
    <w:multiLevelType w:val="hybridMultilevel"/>
    <w:lvl w:ilvl="0">
      <w:lvlJc w:val="left"/>
      <w:lvlText w:val="•"/>
      <w:numFmt w:val="bullet"/>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2022-03-25T12:53:39Z</dcterms:created>
  <dcterms:modified xsi:type="dcterms:W3CDTF">2022-03-25T12:53:39Z</dcterms:modified>
</cp:coreProperties>
</file>