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5"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35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137160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760" w:right="700" w:hanging="2757"/>
        <w:spacing w:after="0" w:line="38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34290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2" w:lineRule="exact"/>
        <w:rPr>
          <w:sz w:val="24"/>
          <w:szCs w:val="24"/>
          <w:color w:val="auto"/>
        </w:rPr>
      </w:pPr>
    </w:p>
    <w:p>
      <w:pPr>
        <w:sectPr>
          <w:pgSz w:w="11900" w:h="16838" w:orient="portrait"/>
          <w:cols w:equalWidth="0" w:num="2">
            <w:col w:w="940" w:space="380"/>
            <w:col w:w="992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20" w:type="dxa"/>
            <w:vAlign w:val="bottom"/>
          </w:tcPr>
          <w:p>
            <w:pPr>
              <w:jc w:val="center"/>
              <w:ind w:left="1378"/>
              <w:spacing w:after="0"/>
              <w:rPr>
                <w:sz w:val="20"/>
                <w:szCs w:val="20"/>
                <w:color w:val="auto"/>
              </w:rPr>
            </w:pPr>
            <w:r>
              <w:rPr>
                <w:rFonts w:ascii="Arial" w:cs="Arial" w:eastAsia="Arial" w:hAnsi="Arial"/>
                <w:sz w:val="18"/>
                <w:szCs w:val="18"/>
                <w:b w:val="1"/>
                <w:bCs w:val="1"/>
                <w:color w:val="auto"/>
                <w:w w:val="98"/>
              </w:rPr>
              <w:t>Delaware</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b w:val="1"/>
                <w:bCs w:val="1"/>
                <w:color w:val="auto"/>
              </w:rPr>
              <w:t>01-0666114</w:t>
            </w:r>
          </w:p>
        </w:tc>
      </w:tr>
      <w:tr>
        <w:trPr>
          <w:trHeight w:val="148"/>
        </w:trPr>
        <w:tc>
          <w:tcPr>
            <w:tcW w:w="3720" w:type="dxa"/>
            <w:vAlign w:val="bottom"/>
          </w:tcPr>
          <w:p>
            <w:pPr>
              <w:jc w:val="center"/>
              <w:ind w:left="137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20" w:type="dxa"/>
            <w:vAlign w:val="bottom"/>
          </w:tcPr>
          <w:p>
            <w:pPr>
              <w:jc w:val="center"/>
              <w:ind w:left="1378"/>
              <w:spacing w:after="0"/>
              <w:rPr>
                <w:sz w:val="20"/>
                <w:szCs w:val="20"/>
                <w:color w:val="auto"/>
              </w:rPr>
            </w:pPr>
            <w:r>
              <w:rPr>
                <w:rFonts w:ascii="Arial" w:cs="Arial" w:eastAsia="Arial" w:hAnsi="Arial"/>
                <w:sz w:val="14"/>
                <w:szCs w:val="14"/>
                <w:b w:val="1"/>
                <w:bCs w:val="1"/>
                <w:color w:val="auto"/>
              </w:rPr>
              <w:t>incorporation or organization)</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Pr>
          <w:p>
            <w:pPr>
              <w:ind w:left="420"/>
              <w:spacing w:after="0"/>
              <w:rPr>
                <w:sz w:val="20"/>
                <w:szCs w:val="20"/>
                <w:color w:val="auto"/>
              </w:rPr>
            </w:pPr>
            <w:r>
              <w:rPr>
                <w:rFonts w:ascii="Arial" w:cs="Arial" w:eastAsia="Arial" w:hAnsi="Arial"/>
                <w:sz w:val="14"/>
                <w:szCs w:val="14"/>
                <w:b w:val="1"/>
                <w:bCs w:val="1"/>
                <w:color w:val="auto"/>
              </w:rPr>
              <w:t>Identification Number)</w:t>
            </w:r>
          </w:p>
        </w:tc>
      </w:tr>
      <w:tr>
        <w:trPr>
          <w:trHeight w:val="259"/>
        </w:trPr>
        <w:tc>
          <w:tcPr>
            <w:tcW w:w="3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5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9"/>
              </w:rPr>
              <w:t>550 West Van Buren Street</w:t>
            </w:r>
          </w:p>
        </w:tc>
        <w:tc>
          <w:tcPr>
            <w:tcW w:w="4120" w:type="dxa"/>
            <w:vAlign w:val="bottom"/>
          </w:tcPr>
          <w:p>
            <w:pPr>
              <w:spacing w:after="0"/>
              <w:rPr>
                <w:sz w:val="22"/>
                <w:szCs w:val="22"/>
                <w:color w:val="auto"/>
              </w:rPr>
            </w:pPr>
          </w:p>
        </w:tc>
      </w:tr>
      <w:tr>
        <w:trPr>
          <w:trHeight w:val="216"/>
        </w:trPr>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Chicago, Illinois</w:t>
            </w:r>
          </w:p>
        </w:tc>
        <w:tc>
          <w:tcPr>
            <w:tcW w:w="412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292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2"/>
        </w:trPr>
        <w:tc>
          <w:tcPr>
            <w:tcW w:w="3720" w:type="dxa"/>
            <w:vAlign w:val="bottom"/>
          </w:tcPr>
          <w:p>
            <w:pPr>
              <w:spacing w:after="0"/>
              <w:rPr>
                <w:sz w:val="14"/>
                <w:szCs w:val="14"/>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(Address of principal executive offices)</w:t>
            </w:r>
          </w:p>
        </w:tc>
      </w:tr>
      <w:tr>
        <w:trPr>
          <w:trHeight w:val="190"/>
        </w:trPr>
        <w:tc>
          <w:tcPr>
            <w:tcW w:w="3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(Zip Code)</w:t>
            </w:r>
          </w:p>
        </w:tc>
        <w:tc>
          <w:tcPr>
            <w:tcW w:w="4120" w:type="dxa"/>
            <w:vAlign w:val="bottom"/>
          </w:tcPr>
          <w:p>
            <w:pPr>
              <w:spacing w:after="0"/>
              <w:rPr>
                <w:sz w:val="16"/>
                <w:szCs w:val="16"/>
                <w:color w:val="auto"/>
              </w:rPr>
            </w:pPr>
          </w:p>
        </w:tc>
      </w:tr>
      <w:tr>
        <w:trPr>
          <w:trHeight w:val="296"/>
        </w:trPr>
        <w:tc>
          <w:tcPr>
            <w:tcW w:w="3720" w:type="dxa"/>
            <w:vAlign w:val="bottom"/>
          </w:tcPr>
          <w:p>
            <w:pPr>
              <w:spacing w:after="0"/>
              <w:rPr>
                <w:sz w:val="24"/>
                <w:szCs w:val="24"/>
                <w:color w:val="auto"/>
              </w:rPr>
            </w:pPr>
          </w:p>
        </w:tc>
        <w:tc>
          <w:tcPr>
            <w:tcW w:w="292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0"/>
        </w:trPr>
        <w:tc>
          <w:tcPr>
            <w:tcW w:w="3720" w:type="dxa"/>
            <w:vAlign w:val="bottom"/>
          </w:tcPr>
          <w:p>
            <w:pPr>
              <w:spacing w:after="0"/>
              <w:rPr>
                <w:sz w:val="16"/>
                <w:szCs w:val="16"/>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273"/>
        </w:trPr>
        <w:tc>
          <w:tcPr>
            <w:tcW w:w="682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120" w:type="dxa"/>
            <w:vAlign w:val="bottom"/>
          </w:tcPr>
          <w:p>
            <w:pPr>
              <w:spacing w:after="0"/>
              <w:rPr>
                <w:sz w:val="23"/>
                <w:szCs w:val="23"/>
                <w:color w:val="auto"/>
              </w:rPr>
            </w:pPr>
          </w:p>
        </w:tc>
      </w:tr>
      <w:tr>
        <w:trPr>
          <w:trHeight w:val="125"/>
        </w:trPr>
        <w:tc>
          <w:tcPr>
            <w:tcW w:w="3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10"/>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b w:val="1"/>
                <w:bCs w:val="1"/>
                <w:color w:val="auto"/>
              </w:rPr>
              <w:t>Title of each class</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b w:val="1"/>
                <w:bCs w:val="1"/>
                <w:color w:val="auto"/>
              </w:rPr>
              <w:t>Trading Symbol(s)</w:t>
            </w:r>
          </w:p>
        </w:tc>
        <w:tc>
          <w:tcPr>
            <w:tcW w:w="4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8"/>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color w:val="auto"/>
              </w:rPr>
              <w:t>Common Stock, par value $0.01 per share</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color w:val="auto"/>
              </w:rPr>
              <w:t>HURN</w:t>
            </w:r>
          </w:p>
        </w:tc>
        <w:tc>
          <w:tcPr>
            <w:tcW w:w="4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NASDAQ Global Select Market</w:t>
            </w:r>
          </w:p>
        </w:tc>
      </w:tr>
    </w:tbl>
    <w:p>
      <w:pPr>
        <w:spacing w:after="0" w:line="88" w:lineRule="exact"/>
        <w:rPr>
          <w:sz w:val="24"/>
          <w:szCs w:val="24"/>
          <w:color w:val="auto"/>
        </w:rPr>
      </w:pPr>
    </w:p>
    <w:p>
      <w:pPr>
        <w:jc w:val="both"/>
        <w:ind w:right="300"/>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8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As of July 21, 2022, 20,784,210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9820" w:type="dxa"/>
            <w:vAlign w:val="bottom"/>
            <w:gridSpan w:val="2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 (Unaudited)</w:t>
              </w:r>
            </w:hyperlink>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Balance Sheets</w:t>
              </w:r>
            </w:hyperlink>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Statements of Operations and Other Comprehensive Income</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Cash Flows</w:t>
              </w:r>
            </w:hyperlink>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Consolidated Financial Statements</w:t>
              </w:r>
            </w:hyperlink>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Management’s Discussion and Analysis of Financial Condition and Results of Operations</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rFonts w:ascii="Arial" w:cs="Arial" w:eastAsia="Arial" w:hAnsi="Arial"/>
                <w:sz w:val="18"/>
                <w:szCs w:val="18"/>
                <w:b w:val="1"/>
                <w:bCs w:val="1"/>
                <w:color w:val="0000FF"/>
                <w:w w:val="99"/>
              </w:rPr>
            </w:pPr>
            <w:hyperlink w:anchor="page44">
              <w:r>
                <w:rPr>
                  <w:rFonts w:ascii="Arial" w:cs="Arial" w:eastAsia="Arial" w:hAnsi="Arial"/>
                  <w:sz w:val="18"/>
                  <w:szCs w:val="18"/>
                  <w:b w:val="1"/>
                  <w:bCs w:val="1"/>
                  <w:color w:val="0000FF"/>
                  <w:w w:val="99"/>
                </w:rPr>
                <w:t>Part II – Other Information</w:t>
              </w:r>
            </w:hyperlink>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Risk Factors</w:t>
              </w:r>
            </w:hyperlink>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Other Information</w:t>
              </w:r>
            </w:hyperlink>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40" w:type="dxa"/>
            <w:vAlign w:val="bottom"/>
            <w:gridSpan w:val="2"/>
            <w:vMerge w:val="restart"/>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Signature</w:t>
              </w:r>
            </w:hyperlink>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1400" w:type="dxa"/>
            <w:vAlign w:val="bottom"/>
          </w:tcPr>
          <w:p>
            <w:pPr>
              <w:spacing w:after="0"/>
              <w:rPr>
                <w:sz w:val="24"/>
                <w:szCs w:val="24"/>
                <w:color w:val="auto"/>
              </w:rPr>
            </w:pPr>
          </w:p>
        </w:tc>
        <w:tc>
          <w:tcPr>
            <w:tcW w:w="6820" w:type="dxa"/>
            <w:vAlign w:val="bottom"/>
          </w:tcPr>
          <w:p>
            <w:pPr>
              <w:ind w:left="3040"/>
              <w:spacing w:after="0"/>
              <w:rPr>
                <w:sz w:val="20"/>
                <w:szCs w:val="20"/>
                <w:color w:val="auto"/>
              </w:rPr>
            </w:pPr>
            <w:r>
              <w:rPr>
                <w:rFonts w:ascii="Arial" w:cs="Arial" w:eastAsia="Arial" w:hAnsi="Arial"/>
                <w:sz w:val="18"/>
                <w:szCs w:val="18"/>
                <w:b w:val="1"/>
                <w:bCs w:val="1"/>
                <w:color w:val="auto"/>
              </w:rPr>
              <w:t>HURON CONSULTING GROUP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9"/>
        </w:trPr>
        <w:tc>
          <w:tcPr>
            <w:tcW w:w="140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$8,115 and $8,827, respectively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122,316</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$3,493 and $2,637,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91,285</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8,071</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257,682</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35,311</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68,191</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31,894</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620,879</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22,519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19,212</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205,184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232,221</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54,313</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342,265</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88"/>
        </w:trPr>
        <w:tc>
          <w:tcPr>
            <w:tcW w:w="8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23,492,632 and 24,364,814 shares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2,681,730 and 2,495,172 shares,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(135,969)</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413,794</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276,996</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571,900</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0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273,325</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230,126</w:t>
            </w:r>
          </w:p>
        </w:tc>
        <w:tc>
          <w:tcPr>
            <w:tcW w:w="10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533,374</w:t>
            </w:r>
          </w:p>
        </w:tc>
        <w:tc>
          <w:tcPr>
            <w:tcW w:w="12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433,339</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5,186</w:t>
            </w:r>
          </w:p>
        </w:tc>
        <w:tc>
          <w:tcPr>
            <w:tcW w:w="0" w:type="dxa"/>
            <w:vAlign w:val="bottom"/>
          </w:tcPr>
          <w:p>
            <w:pPr>
              <w:spacing w:after="0"/>
              <w:rPr>
                <w:sz w:val="1"/>
                <w:szCs w:val="1"/>
                <w:color w:val="auto"/>
              </w:rPr>
            </w:pPr>
          </w:p>
        </w:tc>
      </w:tr>
      <w:tr>
        <w:trPr>
          <w:trHeight w:val="208"/>
        </w:trPr>
        <w:tc>
          <w:tcPr>
            <w:tcW w:w="5820" w:type="dxa"/>
            <w:vAlign w:val="bottom"/>
          </w:tcPr>
          <w:p>
            <w:pPr>
              <w:ind w:left="360"/>
              <w:spacing w:after="0" w:line="192" w:lineRule="exact"/>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280,817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233,378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545,592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438,525</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189,233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376,480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309,641</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5,319</w:t>
            </w: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46,033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94,428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84,998</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12,709</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500,630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414,156</w:t>
            </w:r>
          </w:p>
        </w:tc>
        <w:tc>
          <w:tcPr>
            <w:tcW w:w="0" w:type="dxa"/>
            <w:vAlign w:val="bottom"/>
          </w:tcPr>
          <w:p>
            <w:pPr>
              <w:spacing w:after="0"/>
              <w:rPr>
                <w:sz w:val="1"/>
                <w:szCs w:val="1"/>
                <w:color w:val="auto"/>
              </w:rPr>
            </w:pPr>
          </w:p>
        </w:tc>
      </w:tr>
      <w:tr>
        <w:trPr>
          <w:trHeight w:val="208"/>
        </w:trPr>
        <w:tc>
          <w:tcPr>
            <w:tcW w:w="5820" w:type="dxa"/>
            <w:vAlign w:val="bottom"/>
          </w:tcPr>
          <w:p>
            <w:pPr>
              <w:ind w:left="20"/>
              <w:spacing w:after="0" w:line="192" w:lineRule="exact"/>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29,004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44,962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24,369</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tcPr>
          <w:p>
            <w:pPr>
              <w:ind w:left="360"/>
              <w:spacing w:after="0" w:line="192" w:lineRule="exact"/>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Income before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23,192</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4,990</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shd w:val="clear" w:color="auto" w:fill="CCEEFF"/>
          </w:tcPr>
          <w:p>
            <w:pPr>
              <w:jc w:val="right"/>
              <w:ind w:right="95"/>
              <w:spacing w:after="0" w:line="185"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13,875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75"/>
              <w:spacing w:after="0" w:line="185"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12,797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5"/>
              <w:spacing w:after="0" w:line="185"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40,727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55"/>
              <w:spacing w:after="0" w:line="185"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18,202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basic share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Net income per diluted share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0.66</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36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21,743</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18,202</w:t>
            </w: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on cash flow hedging instruments, net of tax</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17,105</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7"/>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vMerge w:val="restart"/>
          </w:tcPr>
          <w:p>
            <w:pPr>
              <w:spacing w:after="0"/>
              <w:rPr>
                <w:sz w:val="12"/>
                <w:szCs w:val="12"/>
                <w:color w:val="auto"/>
              </w:rPr>
            </w:pPr>
          </w:p>
        </w:tc>
        <w:tc>
          <w:tcPr>
            <w:tcW w:w="198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tcBorders>
              <w:bottom w:val="single" w:sz="8" w:color="auto"/>
            </w:tcBorders>
            <w:gridSpan w:val="7"/>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980" w:type="dxa"/>
            <w:vAlign w:val="bottom"/>
            <w:tcBorders>
              <w:bottom w:val="single" w:sz="8" w:color="auto"/>
            </w:tcBorders>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line="20" w:lineRule="exact"/>
              <w:rPr>
                <w:sz w:val="1"/>
                <w:szCs w:val="1"/>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23,639,953</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(2,918,100)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(135,367)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395,103</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303,848</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18,461</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582,282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27,309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(15,115)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6,049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(2,584)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(497,547)</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(28,341)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(28,346)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23,183,446</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(2,935,799)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(136,425)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374,280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317,723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24,698,499</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(2,887,999)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(134,611)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445,711</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219,414</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21,820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(9,091)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(2,843)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(405,363)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(22,055)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(22,059)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24,321,728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(2,899,933)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(135,364)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429,084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232,211</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538,138</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940" w:type="dxa"/>
            <w:vAlign w:val="bottom"/>
            <w:gridSpan w:val="6"/>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gridSpan w:val="6"/>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194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right"/>
              <w:ind w:right="280"/>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spacing w:after="0" w:line="135"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jc w:val="right"/>
              <w:ind w:right="120"/>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23,868,918</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(135,969)</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413,794</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276,996</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16,840</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571,900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40,727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2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304,938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115,125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6,555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(142,075)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(1,020,946)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23,183,446</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(2,935,799)</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(136,425)</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374,280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317,723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24,560,855</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(2,812,896)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(129,886)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454,512</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214,009</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loss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2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398,551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81,009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(168,046)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(651,081)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24,321,728</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(2,899,933)</w:t>
            </w:r>
          </w:p>
        </w:tc>
        <w:tc>
          <w:tcPr>
            <w:tcW w:w="4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(135,364)</w:t>
            </w:r>
          </w:p>
        </w:tc>
        <w:tc>
          <w:tcPr>
            <w:tcW w:w="4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429,084</w:t>
            </w:r>
          </w:p>
        </w:tc>
        <w:tc>
          <w:tcPr>
            <w:tcW w:w="4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232,211</w:t>
            </w:r>
          </w:p>
        </w:tc>
        <w:tc>
          <w:tcPr>
            <w:tcW w:w="40" w:type="dxa"/>
            <w:vAlign w:val="bottom"/>
          </w:tcPr>
          <w:p>
            <w:pPr>
              <w:spacing w:after="0"/>
              <w:rPr>
                <w:sz w:val="15"/>
                <w:szCs w:val="15"/>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11,964</w:t>
            </w:r>
          </w:p>
        </w:tc>
        <w:tc>
          <w:tcPr>
            <w:tcW w:w="40" w:type="dxa"/>
            <w:vAlign w:val="bottom"/>
          </w:tcPr>
          <w:p>
            <w:pPr>
              <w:spacing w:after="0"/>
              <w:rPr>
                <w:sz w:val="15"/>
                <w:szCs w:val="15"/>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538,138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40,727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18,202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12,923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11,566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Gain on sale of property and equipment, excluding transaction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(27,749)</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(36,088)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(42,487)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(61,970)</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Purchases of business, net of cash acquired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Divestiture of business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(13,752)</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(35,243)</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139,000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payments on business acquisitions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21,258</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220" w:type="dxa"/>
            <w:vAlign w:val="bottom"/>
          </w:tcPr>
          <w:p>
            <w:pPr>
              <w:ind w:left="36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20" w:type="dxa"/>
            <w:vAlign w:val="bottom"/>
          </w:tcPr>
          <w:p>
            <w:pPr>
              <w:ind w:left="360"/>
              <w:spacing w:after="0"/>
              <w:rPr>
                <w:sz w:val="20"/>
                <w:szCs w:val="20"/>
                <w:color w:val="auto"/>
              </w:rPr>
            </w:pPr>
            <w:r>
              <w:rPr>
                <w:rFonts w:ascii="Arial" w:cs="Arial" w:eastAsia="Arial" w:hAnsi="Arial"/>
                <w:sz w:val="16"/>
                <w:szCs w:val="16"/>
                <w:color w:val="auto"/>
              </w:rPr>
              <w:t>Contingent consideration related to purchase of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Huron is a global professional services firm that creates innovative strategies, optimizes operations and accelerates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provide our services and manage our business under three operating segments: Healthcare, Education and Commercial. See Note 14 “Segment Information” for a discussion of our three segments.</w:t>
      </w:r>
    </w:p>
    <w:p>
      <w:pPr>
        <w:spacing w:after="0" w:line="14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six months ended June 30, 2022 and 2021.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2021 and our Quarterly Report on Form 10-Q for the period ended March 31, 2022. Our results for any interim period are not necessarily indicative of results for a full year or any other interim period.</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order to better align with industry standards, in the first quarter of 2022, we revised the presentation of our consolidated statement of operations and other comprehensive income (loss) to present depreciation and amortization expense inclusive of amortization of intangible assets and software development costs previously presented within total direct costs and reimbursable expenses. We also aggregated immaterial line items within selling, general and administrative expenses. The change in presentation has no effect on our consolidated results, and our historical consolidated statements of operations and other comprehensive income (loss) were revised for consistent presentation.</w:t>
      </w:r>
    </w:p>
    <w:p>
      <w:pPr>
        <w:spacing w:after="0" w:line="15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2020-04, </w:t>
      </w:r>
      <w:r>
        <w:rPr>
          <w:rFonts w:ascii="Arial" w:cs="Arial" w:eastAsia="Arial" w:hAnsi="Arial"/>
          <w:sz w:val="18"/>
          <w:szCs w:val="18"/>
          <w:i w:val="1"/>
          <w:iCs w:val="1"/>
          <w:color w:val="auto"/>
        </w:rPr>
        <w:t>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(Topic 848): Facilitation of the Effects of Reference Rate Reform on Financial Reporting</w:t>
      </w:r>
      <w:r>
        <w:rPr>
          <w:rFonts w:ascii="Arial" w:cs="Arial" w:eastAsia="Arial" w:hAnsi="Arial"/>
          <w:sz w:val="18"/>
          <w:szCs w:val="18"/>
          <w:color w:val="auto"/>
        </w:rPr>
        <w:t>. In January 2021, the FASB clarified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scope of that guidance with the issuance of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Together, these ASUs provide optional expedients and exceptions for a limited period of time to ease the potential burden in accounting for, or recognizing the effects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reference rate reform on financial reporting under GAAP. This standard is optional and may be applied by entities after March 12, 2020, but no later than December 31, 2022. Our senior secured credit facility and related interest rate swaps are indexed to LIBOR; as such, we are currently evaluating the potential impact this guidance will have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r>
              <w:rPr>
                <w:rFonts w:ascii="Arial" w:cs="Arial" w:eastAsia="Arial" w:hAnsi="Arial"/>
                <w:sz w:val="23"/>
                <w:szCs w:val="23"/>
                <w:b w:val="1"/>
                <w:bCs w:val="1"/>
                <w:color w:val="auto"/>
                <w:vertAlign w:val="superscript"/>
              </w:rPr>
              <w:t>(1)</w:t>
            </w:r>
          </w:p>
        </w:tc>
        <w:tc>
          <w:tcPr>
            <w:tcW w:w="34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642,951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1,076,771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December 31, 2021</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434,870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620,879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reallocation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Goodwill recorded in connection with business acquisitions </w:t>
            </w:r>
            <w:r>
              <w:rPr>
                <w:rFonts w:ascii="Arial" w:cs="Arial" w:eastAsia="Arial" w:hAnsi="Arial"/>
                <w:sz w:val="20"/>
                <w:szCs w:val="20"/>
                <w:color w:val="auto"/>
                <w:vertAlign w:val="superscript"/>
              </w:rPr>
              <w:t>(2)</w:t>
            </w: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54"/>
        </w:trPr>
        <w:tc>
          <w:tcPr>
            <w:tcW w:w="5020" w:type="dxa"/>
            <w:vAlign w:val="bottom"/>
            <w:vMerge w:val="restart"/>
          </w:tcPr>
          <w:p>
            <w:pPr>
              <w:ind w:left="20"/>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50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June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right="30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goodwill balance as of December 31, 2021 shown within the Commercial segment related to our Business Advisory segment prior to the modification of our operating model. Effective January 1, 2022, we reallocated a portion of the goodwill within our Business Advisory segment to our Healthcare and Education segments. The remaining goodwill was allocated to our new Commercial segment.</w:t>
      </w:r>
    </w:p>
    <w:p>
      <w:pPr>
        <w:spacing w:after="0" w:line="55" w:lineRule="exact"/>
        <w:rPr>
          <w:rFonts w:ascii="Arial" w:cs="Arial" w:eastAsia="Arial" w:hAnsi="Arial"/>
          <w:sz w:val="18"/>
          <w:szCs w:val="18"/>
          <w:color w:val="auto"/>
        </w:rPr>
      </w:pPr>
    </w:p>
    <w:p>
      <w:pPr>
        <w:ind w:left="660" w:right="40" w:hanging="652"/>
        <w:spacing w:after="0" w:line="253"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 The acquisition of AIMDATA is not significant to our consolidated financial statements.</w:t>
      </w:r>
    </w:p>
    <w:p>
      <w:pPr>
        <w:spacing w:after="0" w:line="70" w:lineRule="exact"/>
        <w:rPr>
          <w:rFonts w:ascii="Arial" w:cs="Arial" w:eastAsia="Arial" w:hAnsi="Arial"/>
          <w:sz w:val="18"/>
          <w:szCs w:val="18"/>
          <w:color w:val="auto"/>
        </w:rPr>
      </w:pPr>
    </w:p>
    <w:p>
      <w:pPr>
        <w:ind w:left="660" w:hanging="652"/>
        <w:spacing w:after="0" w:line="253"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first quarter of 2022, we finalized the measurement of assets acquired, including goodwill, and liabilities assumed in the acquisition of Whiteboard Communications Ltd. ("Whiteboard"), a student enrollment advisory firm that helps colleges and universities with recruitment initiatives and financial aid strategies that we acquired in December 2021. The results of operations of Whiteboard are included in our consolidated financial statements and results of operations of our Education segment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Goodwill Reallocation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5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2022 and December 31, 2021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June 30, 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rPr>
              <w:t>3 to 13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20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7"/>
              </w:rPr>
              <w:t>2 to 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000" w:type="dxa"/>
            <w:vAlign w:val="bottom"/>
          </w:tcPr>
          <w:p>
            <w:pPr>
              <w:jc w:val="center"/>
              <w:ind w:left="55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Intangible asset amortization expense was $2.8 million and $2.3 million for the three months ended June 30, 2022 and 2021, respectively; and $5.7 million and $4.7 million for the six months ended June 30, 2022 and 2021. The table below sets forth the estimated annual amortization expense for the intangible assets recorded as of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three months ended June 30, 2022 and 2021, we recognized revenues of $273.3 million and $230.1 million, respectively. Of the $273.3 million recognized in the second quarter of 2022, we recognized revenues of $ 5.1 million from obligations satisfied, or partially satisfied, in prior periods, of which $3.7 million was due to changes in the estimates of our variable consideration under performance-based billing arrangements, and $1.4 million was primarily due to the release of allowances on receivables from clients and unbilled services. Of the $230.1 million recognized in the second quarter of 2021, we recognized revenues of $15.7 million from obligations satisfied, or partially satisfied, in prior periods, of which $13.5 million was due to changes in the estimates of our variable consideration under performance-based billing arrangements, and $2.2 million was primarily due to the release of allowances on receivables from clients and unbilled services.</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the six months ended June 30, 2022 and 2021, we recognized revenues of $533.4 million and $433.3 million, respectively. Of the $533.4 million recognized in the first six months of 2022, we recognized revenues of $ 3.4 million from obligations satisfied, or partially satisfied, in prior periods, of which $2.1 million was due to changes in the estimates of our variable consideration under performance-based billing arrangements, and $1.3 million was primarily due to the release of allowances on receivables from clients and unbilled services. Of</w:t>
      </w:r>
    </w:p>
    <w:p>
      <w:pPr>
        <w:spacing w:after="0" w:line="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$433.3 million recognized in the first six months of 2021, we recognized revenues of $20.8 million from obligations satisfied, or partially satisfied, in prior periods, of which $13.9 million was due to changes in the estimates of our variable consideration under performance-based billing arrangements, and $6.9 million was primarily due to the release of allowances on receivables from clients and unbilled services.</w:t>
      </w:r>
    </w:p>
    <w:p>
      <w:pPr>
        <w:spacing w:after="0" w:line="1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of June 30, 2022, we had $124.5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$124.5 million of performance obligations, we expect to recognize approximately $39.7 million as revenue in 2022, $45.1 million in 2023, and the remaining $39.7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June 30, 2022 and December 31, 2021 was $26.8 million and $23.7 million, respectively. The $3.1 million increase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June 30, 2022 and December 31, 2021, was $19.0 million and $19.2 million, respectively. The $0.2 million decrease primarily reflects timing differences between client payments in accordance with their contract terms and the completion of our performance obligations. For the three and six months ended June 30, 2022, $3.4 million and $16.5 million of revenues recognized were included in the deferred revenues balance as of December 31, 2021.</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8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0.82</w:t>
            </w:r>
          </w:p>
        </w:tc>
      </w:tr>
    </w:tbl>
    <w:p>
      <w:pPr>
        <w:spacing w:after="0" w:line="16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for the three and six months ended June 30, 2022 and 2021 were less than 0.1 million shares, and related to unvested restricted stock and outstanding common stock options.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to $100 million. During the first quarter of 2022, our board of directors authorized a further extension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2022, we repurchased and retired 497,547 and 1,020,946 shares for $28.3 million and</w:t>
      </w:r>
    </w:p>
    <w:p>
      <w:pPr>
        <w:spacing w:after="0" w:line="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$52.2 million, respectively. Additionally, in the first quarter of 2022, we settled the repurchase of 3,820 shares for $0.2 million that were accrued as of December 31, 2021. In the three and six months ended June 30, 2021, we repurchased and retired 405,363 and 651,081 shares for $22.1 million and $35.2 million, respectively. As of June 30, 2022, $77.9 million remained available for share repurchases under our share repurchase program.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78"/>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2"/>
        </w:trPr>
        <w:tc>
          <w:tcPr>
            <w:tcW w:w="65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65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Promissory note due 2024</w:t>
            </w:r>
          </w:p>
        </w:tc>
        <w:tc>
          <w:tcPr>
            <w:tcW w:w="1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5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6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40" w:type="dxa"/>
            <w:vAlign w:val="bottom"/>
            <w:tcBorders>
              <w:top w:val="single" w:sz="8" w:color="auto"/>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2022, we were in compliance with these financial covenants with a Consolidated Leverage Ratio of 2.20 to 1.00 and a Consolidated Interest Coverage Ratio of 19.03 to 1.00.</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Borrowings outstanding under the Amended Credit Agreement at June 30, 2022 totaled $342.0 million. These borrowings carried a weighted average interest rate of 2.6%, including the effect of the interest rate swaps described in Note 9 “Derivative Instruments and Hedging Activity.” Borrowings outstanding under the Amended Credit Agreement at December 31, 2021 were $230.0 million and carried a weighted average interest rate of 2.7%, including the effect of the interest rate swaps. The borrowing capacity under the revolving credit facility is reduced by any outstanding borrowings under the revolving credit facility and outstanding letters of credit. At June 30, 2022, we had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outstanding letters of credit totaling $0.7 million, which are used as security deposits for our office facilities. As of June 30, 2022, the unused borrowing capacity under the revolving credit facility was $257.3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In the first quarter of 2022, we completed the sale of the aircraft to a third-party and used a portion of the sale proceeds to pay the remaining principal and unpaid interest on the promissory note. Prior to the repayment of the promissory note, the principal balance of the promissory note was subject to scheduled monthly principal payments until the maturity date of March 1, 2024. Under the terms of the promissory note, we paid interest on the outstanding principal amount at a rate of one month LIBOR plus 1.97% per annum. At December 31, 2021, the outstanding principal amount of the promissory note was $2.8 million, and the aircraft had a carrying amount of $3.7 million. As a result of the sale, we recognized a gain of $1.0 million in the first quarter of 2022 and we no longer own any aircraft.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Restructuring charges for the three and six months ended June 30, 2022 were $2.1 million and $3.6 million. The $2.1 million of restructuring charges recognized in the second quarter of 2022 included $1.1 million of employee-related expenses, $0.4 million of rent and related expenses, net of sublease income, for previously vacated office spaces, $0.5 million for third-party transaction expenses related to the modification of our operating model, and $0.1 million related to the divestiture of our Life Sciences business in the fourth quarter of 2021. The $3.6 million of restructuring charges incurred in the first six months of 2022 included $1.6 million of employee-related expenses, $ 1.0 million of rent and related expenses, net of sublease income, for previously vacated office spaces, $ 0.6 million for third-party transaction expenses related to the modification of our operating model, $0.3 million of accelerated amortization of capitalized software implementation costs for a cloud-computing arrangement that is no longer in use, and $0.1 million related to the divestiture of our Life Sciences business in the fourth quarter of 2021.</w:t>
      </w:r>
    </w:p>
    <w:p>
      <w:pPr>
        <w:spacing w:after="0" w:line="158"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Restructuring charges for the three and six months ended June 30, 2021 were $0.9 million and $1.5 million, respectively, and primarily related to rent and related expenses, net of sublease income, and accelerated depreciation on furniture and fixtures for vacated office spaces.</w:t>
      </w:r>
    </w:p>
    <w:p>
      <w:pPr>
        <w:spacing w:after="0" w:line="14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2022.</w:t>
      </w: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Employee Costs</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All of the $1.2 million restructuring charge liability related to employee costs at June 30, 2022 is expected to be paid in the next 12 months and is included as a component of accrued payroll and related benefits in our consolidated balance sheet. All of the $0.3 million other restructuring charge liability at June 30, 2022 is expected to be paid over the next 12 months and is included as a component of accrued expenses and other current liabilities in our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in the consolidated balance sheet. We have designated these derivative instruments as cash flow hedges. Therefore, changes in the fair value of the derivative instruments are recorded to other comprehensive income (“OCI”) to the extent effective and reclassified into interest expense, net of interest income upon settlement. As of June 30, 2022, it was anticipated that $2.2 million of the gains, net of tax, currently recorded in accumulated other comprehensive income will be reclassified into earnings within the next 12 months.</w:t>
      </w:r>
    </w:p>
    <w:p>
      <w:pPr>
        <w:spacing w:after="0" w:line="15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June 30, 2022 and December 31, 2021.</w:t>
      </w: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40"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36" w:lineRule="exact"/>
        <w:rPr>
          <w:sz w:val="20"/>
          <w:szCs w:val="20"/>
          <w:color w:val="auto"/>
        </w:rPr>
      </w:pPr>
    </w:p>
    <w:p>
      <w:pPr>
        <w:sectPr>
          <w:pgSz w:w="11900" w:h="16838" w:orient="portrait"/>
          <w:cols w:equalWidth="0" w:num="2">
            <w:col w:w="1820" w:space="720"/>
            <w:col w:w="870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Level 3 Inputs</w:t>
            </w:r>
          </w:p>
        </w:tc>
        <w:tc>
          <w:tcPr>
            <w:tcW w:w="9400" w:type="dxa"/>
            <w:vAlign w:val="bottom"/>
          </w:tcPr>
          <w:p>
            <w:pPr>
              <w:ind w:left="700"/>
              <w:spacing w:after="0"/>
              <w:rPr>
                <w:sz w:val="20"/>
                <w:szCs w:val="20"/>
                <w:color w:val="auto"/>
              </w:rPr>
            </w:pPr>
            <w:r>
              <w:rPr>
                <w:rFonts w:ascii="Arial" w:cs="Arial" w:eastAsia="Arial" w:hAnsi="Arial"/>
                <w:sz w:val="18"/>
                <w:szCs w:val="18"/>
                <w:color w:val="auto"/>
              </w:rPr>
              <w:t>Unobservable inputs for the asset or liability, and include situations in which there is little, if any, market</w:t>
            </w:r>
          </w:p>
        </w:tc>
      </w:tr>
      <w:tr>
        <w:trPr>
          <w:trHeight w:val="217"/>
        </w:trPr>
        <w:tc>
          <w:tcPr>
            <w:tcW w:w="1840" w:type="dxa"/>
            <w:vAlign w:val="bottom"/>
          </w:tcPr>
          <w:p>
            <w:pPr>
              <w:spacing w:after="0"/>
              <w:rPr>
                <w:sz w:val="18"/>
                <w:szCs w:val="18"/>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activity for the asset or liability.</w:t>
            </w:r>
          </w:p>
        </w:tc>
      </w:tr>
      <w:tr>
        <w:trPr>
          <w:trHeight w:val="931"/>
        </w:trPr>
        <w:tc>
          <w:tcPr>
            <w:tcW w:w="1840" w:type="dxa"/>
            <w:vAlign w:val="bottom"/>
          </w:tcPr>
          <w:p>
            <w:pPr>
              <w:spacing w:after="0"/>
              <w:rPr>
                <w:sz w:val="24"/>
                <w:szCs w:val="24"/>
                <w:color w:val="auto"/>
              </w:rPr>
            </w:pPr>
          </w:p>
        </w:tc>
        <w:tc>
          <w:tcPr>
            <w:tcW w:w="9400" w:type="dxa"/>
            <w:vAlign w:val="bottom"/>
          </w:tcPr>
          <w:p>
            <w:pPr>
              <w:jc w:val="right"/>
              <w:ind w:right="5430"/>
              <w:spacing w:after="0"/>
              <w:rPr>
                <w:sz w:val="20"/>
                <w:szCs w:val="20"/>
                <w:color w:val="auto"/>
              </w:rPr>
            </w:pPr>
            <w:r>
              <w:rPr>
                <w:rFonts w:ascii="Arial" w:cs="Arial" w:eastAsia="Arial" w:hAnsi="Arial"/>
                <w:sz w:val="18"/>
                <w:szCs w:val="18"/>
                <w:color w:val="auto"/>
              </w:rPr>
              <w:t>12</w:t>
            </w:r>
          </w:p>
        </w:tc>
      </w:tr>
      <w:tr>
        <w:trPr>
          <w:trHeight w:val="115"/>
        </w:trPr>
        <w:tc>
          <w:tcPr>
            <w:tcW w:w="184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2022 and December 31, 2021.</w:t>
      </w: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63,352</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31,911</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38,569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63,352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101,921</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39,430</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105,975</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r>
    </w:tbl>
    <w:p>
      <w:pPr>
        <w:spacing w:after="0" w:line="23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2024, unless converted earlier.</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23.0% and 22.5% as of June 30, 2022 and December 31, 2021, respectively; and the concluded equity volatility of 37.5% and 45.0% as of June 30, 2022 and December 31, 2021,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in our consolidated balance sheets.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3.5% as of June 30, 2022. As of December 31, 2021, the discount rate used in the fair value measurements of our contingent consideration was in a range of 2.4% to 5.1% with a weighted average of 3.7%. The weighted average discount rate was calculated using the relative fair values of the contingent consideration liabilities as of December 31, 2021.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six months ended June 30,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2021</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288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Contingent Consideration for</w:t>
            </w:r>
          </w:p>
        </w:tc>
      </w:tr>
      <w:tr>
        <w:trPr>
          <w:trHeight w:val="230"/>
        </w:trPr>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29"/>
        </w:trPr>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-779145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-479425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Medically Home Preferred Stock Investment</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in our consolidated statement of operations.</w:t>
      </w:r>
    </w:p>
    <w:p>
      <w:pPr>
        <w:spacing w:after="0" w:line="15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of December 31, 2021, the carrying amount of our preferred stock investment was $6.7 million. During the first quarter of 2022, we recognized an unrealized gain of $27.0 million to increase the carrying amount of our preferred stock investment to $33.6 million, based on an observable price change of preferred stock issued by Medically Home with similar rights and preferences to our preferred stock investment. This observable price change is a Level 2 input. The $27.0 million unrealized gain was recorded to other income (expense), net in our consolidated statement of operations. There were no observable price changes in the second quarter of 2022. Since our initial investment, we have recognized cumulative unrealized gains of $28.6 million, and we have not identified any impairments of 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2022, we completed the sale of our aircraft to a third-party and used a portion of the sale proceeds to pay the remaining principal and unpaid interest on our promissory note due 2024. The carrying value of our promissory note due 2024 was stated at cost. The carrying value approximated fair value, using Level 2 inputs, as the promissory note bore interest at rates based on then-current market rates as set forth in the terms of the promissory note. Refer to Note 7 “Financing Arrangements” for additional information on our promissory note due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six months ended June 30, 2022 and 2021.</w:t>
      </w: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center"/>
              <w:ind w:left="51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jc w:val="center"/>
              <w:ind w:left="53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6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i w:val="1"/>
                <w:iCs w:val="1"/>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9"/>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6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i w:val="1"/>
                <w:iCs w:val="1"/>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8"/>
                <w:szCs w:val="18"/>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8"/>
                <w:szCs w:val="18"/>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three months ended June 30, 2022, our effective tax rate was 36.0% as we recognized income tax expense of $7.8 million on income of $21.7 million. The effective tax rate of 36.0%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three months ended June 30, 2021, our effective tax rate was 21.3% as we recognized income tax expense of $3.5 million on income of $16.3 million. The effective tax rate of 21.3% was more favorable than the statutory rate, inclusive of state income taxes, of 26.6%,</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primarily due to a discrete tax benefit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This favorable item was partially offset by certain nondeductible expense items.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six months ended June 30, 2022, our effective tax rate was 31.9% as we recognized income tax expense of $19.1 million on income of $59.8 million. The effective tax rate of 31.9%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six months ended June 30, 2021, our effective tax rate was 21.5% as we recognized income tax expense of $5.0 million on income of $23.2 million. The effective tax rate of 21.5% was more favorable than the statutory rate, inclusive of state income taxes, of 26.6% primarily due to the discrete tax benefit related to electing the GILTI high-tax exclusion retroactively for the 2018 tax year and a discrete tax benefit for share-based compensation awards that vested during the first quarter. These favorable items were partially offset by certain nondeductible expense items.</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June 30, 2022, we had $0.7 million of unrecognized tax benefits which would affect the effective tax rate of continuing operations if recognized. It is reasonably possible that approximately $0.1 million of the liability for unrecognized tax benefits could decrease in the next twelve months due to the expiration of statutes of limitations.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lease office space, data centers and certain equipment under non-cancelable operating lease arrangements in the normal course of business. In the second quarter of 2022, we entered into a lease agreement for office space in Washington, D.C. that will commence in July 2022 with a term through June 2028. Among other items, this agreement provides a renewal option to extend the term of the lease for an additional 5 year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 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On December 7, 2021, the Trustee filed an amended version of the Complaint (the “Amended Complaint”), generally alleging the same claims asserted in the initial Complaint but (i) removing the claim for a violation of the South Carolina Unfair Trade Practices Act and (ii) adding a claim for breach of contract.</w:t>
      </w:r>
    </w:p>
    <w:p>
      <w:pPr>
        <w:spacing w:after="0" w:line="15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the Amended Complaint, the Trustee asserted that Huron and the CRO, among others, did not develop and implement a Chapter 11 restructuring plan on a timely basis and that their failure to do so led to significant damages. The Trustee sought an unspecified amount of monetary damages in the Amended Complaint. We believe the Trustee’s allegations with respect to Huron and the CRO are without merit. On December 21, 2021, we filed a motion to dismiss all of the claims in the Amended Complaint. On April 19, 2022, the bankruptcy court</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entered an order staying all of the Trustee’s claims against Huron and the CRO after (i) finding that the state law claims were subject to arbitration and (ii) exercising its discretion to stay the non-state-law claims pending the arbitration proceeding. The Trustee did not appeal the court’s order prior to the deadline of May 3, 2022. Based on the available information to date, we estimate that the potential comprehensive resolution of this matter will not result in a material loss.</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including the matter discussed above.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Guarantees in the form of letters of credit totaling $0.7 million were outstanding at both June 30, 2022 and December 31, 2021 to support certain office lease obligations.</w:t>
      </w:r>
    </w:p>
    <w:p>
      <w:pPr>
        <w:spacing w:after="0" w:line="14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2022 and December 31, 2021, the total estimated fair value of our outstanding contingent consideration liability was $3.3 million and $3.7 million, respectively.</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Most healthcare organizations are focused on establishing a sustainable long-term strategy and business model centered around optimal cost structures, reimbursement models,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3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a portfolio of software products;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93" w:lineRule="exact"/>
        <w:rPr>
          <w:rFonts w:ascii="Arial" w:cs="Arial" w:eastAsia="Arial" w:hAnsi="Arial"/>
          <w:sz w:val="18"/>
          <w:szCs w:val="18"/>
          <w:b w:val="1"/>
          <w:bCs w:val="1"/>
          <w:color w:val="auto"/>
        </w:rPr>
      </w:pPr>
    </w:p>
    <w:p>
      <w:pPr>
        <w:ind w:left="66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services and software products, and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into the needs of tomorrow’s customers in order to evolve their enterprise and business unit strategies, bringing new products to market, managing through stressed and distressed situations to create a viable path forward for stakeholders and executing mergers and acquisitions, finance offerings and risk mitigation strategies.</w:t>
      </w:r>
    </w:p>
    <w:p>
      <w:pPr>
        <w:spacing w:after="0" w:line="15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2022 and 2021, along with the items necessary to reconcile the segment information to the totals reported in the accompanying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128,474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114,750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250,350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210,725</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30,364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54,354</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88,225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60,475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168,887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111,817</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22,679</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56,626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54,901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114,137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110,797</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20,890</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273,325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230,126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533,374</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433,339</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5,186</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280,817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233,378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545,592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438,525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63,970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118,522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97,923</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29,912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63,460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63,134</w:t>
            </w: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10,420</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29,004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44,962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24,369</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(7,327)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14,842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(1,177)</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21,677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16,251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59,804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23,192</w:t>
            </w:r>
          </w:p>
        </w:tc>
      </w:tr>
      <w:tr>
        <w:trPr>
          <w:trHeight w:val="21"/>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5"/>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illustrates the disaggregation of revenues by capability, including a reconciliation of the disaggregated revenues to revenues from our three operating segments for the three and six months ended June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Capability</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83,955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85,655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167,714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152,584</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58,141</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128,474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114,750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250,350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210,725</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49,279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33,476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93,460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61,509</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50,308</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88,225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60,475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168,887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111,817</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14,637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25,873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37,281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53,462</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57,335</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56,626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54,901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114,137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110,797</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147,871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145,004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298,455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267,555</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165,784</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230,126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433,339</w:t>
            </w:r>
          </w:p>
        </w:tc>
      </w:tr>
      <w:tr>
        <w:trPr>
          <w:trHeight w:val="21"/>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three and six months ended June 30, 2022 and 2021, substantially all of our revenues were recognized over time. At June 30, 2022 and December 31, 2021, no single client accounted for greater than 10% of our combined balance of receivables from clients, net and unbilled services, net. During the three and six months ended June 30, 2022 and 2021, no single client generated greater than 10% of our consolidated revenues.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2021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Huron is a global professional services firm that creates innovative strategies, optimizes operations and accelerates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 See below for additional information on our principal capabilities and operating industries.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Within each of our reportable segments, we provide services under two principal capabilities: i) Consulting and Managed Services and ii) Digital.</w:t>
      </w:r>
    </w:p>
    <w:p>
      <w:pPr>
        <w:spacing w:after="0" w:line="1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93" w:lineRule="exact"/>
        <w:rPr>
          <w:rFonts w:ascii="Arial" w:cs="Arial" w:eastAsia="Arial" w:hAnsi="Arial"/>
          <w:sz w:val="18"/>
          <w:szCs w:val="18"/>
          <w:color w:val="auto"/>
        </w:rPr>
      </w:pPr>
    </w:p>
    <w:p>
      <w:pPr>
        <w:ind w:left="660" w:right="120"/>
        <w:spacing w:after="0" w:line="252" w:lineRule="auto"/>
        <w:rPr>
          <w:rFonts w:ascii="Arial" w:cs="Arial" w:eastAsia="Arial" w:hAnsi="Arial"/>
          <w:sz w:val="18"/>
          <w:szCs w:val="18"/>
          <w:color w:val="auto"/>
        </w:rPr>
      </w:pPr>
      <w:r>
        <w:rPr>
          <w:rFonts w:ascii="Arial" w:cs="Arial" w:eastAsia="Arial" w:hAnsi="Arial"/>
          <w:sz w:val="18"/>
          <w:szCs w:val="18"/>
          <w:color w:val="auto"/>
        </w:rPr>
        <w:t>Our Consulting and Managed Services capabilities represent all of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projects are often coupled with our digital services and products offerings.</w:t>
      </w:r>
    </w:p>
    <w:p>
      <w:pPr>
        <w:sectPr>
          <w:pgSz w:w="11900" w:h="16838" w:orient="portrait"/>
          <w:cols w:equalWidth="0" w:num="1">
            <w:col w:w="11220"/>
          </w:cols>
          <w:pgMar w:left="320" w:top="140" w:right="359" w:bottom="72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725"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93" w:lineRule="exact"/>
        <w:rPr>
          <w:rFonts w:ascii="Arial" w:cs="Arial" w:eastAsia="Arial" w:hAnsi="Arial"/>
          <w:sz w:val="18"/>
          <w:szCs w:val="18"/>
          <w:b w:val="1"/>
          <w:bCs w:val="1"/>
          <w:i w:val="1"/>
          <w:iCs w:val="1"/>
          <w:color w:val="auto"/>
        </w:rPr>
      </w:pPr>
    </w:p>
    <w:p>
      <w:pPr>
        <w:ind w:left="660" w:right="18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all of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spacing w:after="0" w:line="15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We have expanded our ecosystem to work with more than 25 technology partners. We are an Oracle partner, a Gold -level consulting partner with Salesforce.com and a Premium Partner with Salesforce.org, a Workday Services and Software Partner, an Amazon Web Services consulting partner, a Silver-level system integrator with Informatica and an SAP Concur implementation partner. We have also grown our proprietary software product portfolio to address our clients' challenges with solutions that expand our base of recurring revenue and further differentiate our consulting, digital and managed services offerings.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provide our services and manage our business under three operating industries, which are also our operating segments: Healthcare, Education and Commercial.</w:t>
      </w:r>
    </w:p>
    <w:p>
      <w:pPr>
        <w:spacing w:after="0" w:line="12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Most healthcare organizations are focused on establishing a sustainable long-term strategy and business model centered around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33"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a portfolio of software products;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w:t>
      </w:r>
    </w:p>
    <w:p>
      <w:pPr>
        <w:spacing w:after="0" w:line="193"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services and software products, and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into the needs of tomorrow’s customers in order to evolve their enterprise and business unit strategies, bringing new</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640"/>
        <w:spacing w:after="0" w:line="261" w:lineRule="auto"/>
        <w:rPr>
          <w:sz w:val="20"/>
          <w:szCs w:val="20"/>
          <w:color w:val="auto"/>
        </w:rPr>
      </w:pPr>
      <w:r>
        <w:rPr>
          <w:rFonts w:ascii="Arial" w:cs="Arial" w:eastAsia="Arial" w:hAnsi="Arial"/>
          <w:sz w:val="18"/>
          <w:szCs w:val="18"/>
          <w:color w:val="auto"/>
        </w:rPr>
        <w:t>products to market, managing through stressed and distressed situations to create a viable path forward for stakeholders and executing mergers and acquisitions, finance offerings and risk mitigation strategies.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primary strategy is to be the premier transformation partner to our clients, meeting their needs by providing a balanced portfolio of service and digital product offerings so that we can adapt quickly and effectively to emerging opportunities in the marketplace. To achieve our strategic and financial objectives, we remain focused on accelerating growth in healthcare and education, growing our presence in the commercial industries, advancing our integrated, global digital platform, building a more sustainable base of revenue to drive more consistent growth, strategically deploying capital to accelerate our strategy and return capital to shareholders, and investing in and growing our talented team, including attracting and retaining our managing directors, our senior most practitioners that lead our revenue generation efforts. We regularly evaluate the performance of our businesses to ensure our investments meet these objectives.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fixed-fee (including software license revenue); time-and-expense; performance-based; and software support, maintenance and subscriptions.</w:t>
      </w:r>
    </w:p>
    <w:p>
      <w:pPr>
        <w:spacing w:after="0" w:line="153" w:lineRule="exact"/>
        <w:rPr>
          <w:sz w:val="20"/>
          <w:szCs w:val="20"/>
          <w:color w:val="auto"/>
        </w:rPr>
      </w:pPr>
    </w:p>
    <w:p>
      <w:pPr>
        <w:ind w:left="660" w:right="4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w:t>
      </w:r>
    </w:p>
    <w:p>
      <w:pPr>
        <w:spacing w:after="0" w:line="125" w:lineRule="exact"/>
        <w:rPr>
          <w:rFonts w:ascii="Arial" w:cs="Arial" w:eastAsia="Arial" w:hAnsi="Arial"/>
          <w:sz w:val="18"/>
          <w:szCs w:val="18"/>
          <w:color w:val="auto"/>
        </w:rPr>
      </w:pPr>
    </w:p>
    <w:p>
      <w:pPr>
        <w:ind w:left="660" w:right="500" w:hanging="328"/>
        <w:spacing w:after="0" w:line="26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require the client to pay based on the number of hours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by our revenue-generating professionals at agreed upon rates. Time-and-expense arrangements also include speaking engagements, conferences and publications purchased by our clients.</w:t>
      </w:r>
    </w:p>
    <w:p>
      <w:pPr>
        <w:spacing w:after="0" w:line="121"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fee billing arrangements, fees are tied to the attainment of contractually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spacing w:after="0" w:line="133"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payroll costs which includes salaries, performance bonuses, share-based compensation, signing and retention bonuses, payroll taxes, and benefits for our revenue-generating professionals.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5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Selling, general and administrative expenses consist primarily of salaries, performance bonuses, payroll taxes, benefits, and share-based compensation for our support personnel. Selling, general and administrative expenses also include third-party professional fees, software licenses and hosting expenses, rent and other office related expenses, sales and marketing related expenses, recruiting and training expenses, and practice administration and meetings expenses.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operating expenses include restructuring charges, depreciation expense, and amortization expense related to internally developed software costs and intangible assets acquired in business combinations. In the first quarter of 2022, we began presenting depreciation and amortization expense inclusive of amortization of intangible assets and software development costs previously presented within total direct costs and reimbursable expenses. We have recast our historical presentation of our consolidated statement of operations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are not impacted by these items.</w:t>
      </w:r>
    </w:p>
    <w:p>
      <w:pPr>
        <w:spacing w:after="0" w:line="12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Other losses (gains): </w:t>
      </w:r>
      <w:r>
        <w:rPr>
          <w:rFonts w:ascii="Arial" w:cs="Arial" w:eastAsia="Arial" w:hAnsi="Arial"/>
          <w:sz w:val="18"/>
          <w:szCs w:val="18"/>
          <w:color w:val="auto"/>
        </w:rPr>
        <w:t>We exclude the effect of other losses (gains), which primarily relate to changes in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contingent consideration related to business acquisitions, to permit comparability with periods that are not impacted by these items.</w:t>
      </w:r>
    </w:p>
    <w:p>
      <w:pPr>
        <w:spacing w:after="0" w:line="12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related to business acquisitions.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exclude the effect of unrealized gains related to changes in the fair value of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and Depreciation and amortization: </w:t>
      </w:r>
      <w:r>
        <w:rPr>
          <w:rFonts w:ascii="Arial" w:cs="Arial" w:eastAsia="Arial" w:hAnsi="Arial"/>
          <w:sz w:val="18"/>
          <w:szCs w:val="18"/>
          <w:color w:val="auto"/>
        </w:rPr>
        <w:t>We exclude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Within the depreciation and amortization adjustment, we include the amortization of capitalized implementation costs of our ERP and other related software, which is included within selling, general and administrative expenses on our consolidated statement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93"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2022 include:</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Revenues increased 18.8% to $273.3 million for the second quarter of 2022 from $230.1 million for the second quarter of 2021</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within our Digital capability increased 47.4% in the second quarter of 2022, compared to the second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Operating margin increased to 10.6% for the second quarter of 2022, compared to 7.0% for the second quarter of 2021</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increased 11.9% to $0.66 for the second quarter of 2022, compared to $0.59 for the second quarter of 2021</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Adjusted diluted EPS increased 20.3% to $0.83 for the second quarter of 2022, compared to $0.69 for the second quarter of 2021</w:t>
      </w:r>
    </w:p>
    <w:p>
      <w:pPr>
        <w:spacing w:after="0" w:line="171" w:lineRule="exact"/>
        <w:rPr>
          <w:rFonts w:ascii="Arial" w:cs="Arial" w:eastAsia="Arial" w:hAnsi="Arial"/>
          <w:sz w:val="18"/>
          <w:szCs w:val="18"/>
          <w:b w:val="1"/>
          <w:bCs w:val="1"/>
          <w:i w:val="1"/>
          <w:iCs w:val="1"/>
          <w:color w:val="auto"/>
        </w:rPr>
      </w:pPr>
    </w:p>
    <w:p>
      <w:pPr>
        <w:ind w:left="660" w:right="300" w:hanging="328"/>
        <w:spacing w:after="0" w:line="261" w:lineRule="auto"/>
        <w:tabs>
          <w:tab w:leader="none" w:pos="669"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Returned $28.3 million to shareholders by repurchasing 497,547 shares of our common stock in the second quarter of 2022; for a total of $52.2 million, or 1,020,946 shares, repurchased in the first six months of 2022</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Revenues increased $43.2 million, or 18.8%, to $273.3 million for the second quarter of 2022 from $230.1 million for the second quarter of 2021. The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segment, partially the result of a favorable comparison against this segment's results in the second quarter of 2021 which was more significantly impacted by the COVID-19 pandemic this time last year. Beginning in the second quarter of 2021, we saw strengthened demand for our services in the Healthcare segment and an increase in our pipeline that continued through 2021 and into 2022. Revenues for the second quarter of 2022 increased 4.9% compared to the first quarter of 2022.</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Consulting and Managed Services capability, revenues for the second quarter of 2022 increased 2.0% compared to the second quarter of 2021, and reflected strengthened demand in our Education segment. The utilization rate within our Consulting capability decreased to 73.2% in the second quarter of 2022, compared to 74.6% in the second quarter of 2021.</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Revenues within our Digital capability increased 47.4% in the second quarter of 2022 compared to the second quarter of 2021, and reflected strengthened demand in all of our segments. The utilization rate within our Digital capability increased to 74.3% in the second quarter of 2022, compared to 73.2% in the second quarter of 2021.</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total number of revenue-generating professionals increased to 4,243 as of June 30, 2022, compared to 3,459 as of June 30, 2021, as a result of the overall increase in demand for our services within all of our segments, as well as headcount increases in connection with business acquisitions. We proactively plan and manage the size and composition of our workforce and take actions as needed to address changes in the anticipated demand for our services as payroll costs are the most significant portion of our operating expenses.</w:t>
      </w:r>
    </w:p>
    <w:p>
      <w:pPr>
        <w:spacing w:after="0" w:line="1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Operating margin, which is defined as operating income expressed as a percentage of revenues, increased to 10.6% for the three months ended June 30, 2022 compared to 7.0% for the three months ended June 30, 2021, driven by strong revenue growth that outpaced increases in operating expenses.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income increased $1.1 million to $13.9 million for the three months ended June 30, 2022 from $12.8 million for the same period last year. As a result of the increase in net income, diluted earnings per share for the second quarter of 2022 was $0.66 compared to $0.59 for the second quarter of 2021. Adjusted diluted earnings per share was $0.83 for the second quarter of 2022, compared to $0.69 for the second quarter of 2021.</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second quarter of 2022, we repurchased 497,547 shares of our common stock for $28.3 million. In the first six months of 2022, we repurchased 1,020,946 shares of our common stock for $52.2 million, representing 4.7% of our common stock outstanding as of December 31, 2021.</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5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w:t>
      </w:r>
    </w:p>
    <w:p>
      <w:pPr>
        <w:sectPr>
          <w:pgSz w:w="11900" w:h="16838" w:orient="portrait"/>
          <w:cols w:equalWidth="0" w:num="1">
            <w:col w:w="11240"/>
          </w:cols>
          <w:pgMar w:left="320" w:top="140" w:right="339" w:bottom="387" w:gutter="0" w:footer="0" w:header="0"/>
        </w:sectPr>
      </w:pPr>
    </w:p>
    <w:p>
      <w:pPr>
        <w:spacing w:after="0" w:line="270" w:lineRule="exact"/>
        <w:rPr>
          <w:sz w:val="20"/>
          <w:szCs w:val="20"/>
          <w:color w:val="auto"/>
        </w:rPr>
      </w:pPr>
    </w:p>
    <w:p>
      <w:pPr>
        <w:ind w:left="20" w:right="540"/>
        <w:spacing w:after="0" w:line="256"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1020" w:type="dxa"/>
            <w:vAlign w:val="bottom"/>
          </w:tcPr>
          <w:p>
            <w:pPr>
              <w:spacing w:after="0"/>
              <w:rPr>
                <w:sz w:val="19"/>
                <w:szCs w:val="19"/>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Pr>
          <w:p>
            <w:pPr>
              <w:spacing w:after="0"/>
              <w:rPr>
                <w:sz w:val="19"/>
                <w:szCs w:val="19"/>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480" w:space="720"/>
            <w:col w:w="6040"/>
          </w:cols>
          <w:pgMar w:left="320" w:top="140" w:right="339" w:bottom="387"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128,474</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114,750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250,350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210,725</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30,364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54,354</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88,225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60,475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168,887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111,817</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22,679</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56,626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54,901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114,137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110,797</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20,890</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273,325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230,126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533,374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433,339</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5,186</w:t>
            </w:r>
          </w:p>
        </w:tc>
      </w:tr>
      <w:tr>
        <w:trPr>
          <w:trHeight w:val="223"/>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280,817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233,378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545,592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438,525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63,970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118,522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97,923</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63,134</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10,420</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44,962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24,369</w:t>
            </w:r>
          </w:p>
        </w:tc>
      </w:tr>
      <w:tr>
        <w:trPr>
          <w:trHeight w:val="229"/>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(1,177)</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59,804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23,192</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19,077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4,990</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13,875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40,727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18,202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0.84</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0.82</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69"/>
        </w:trPr>
        <w:tc>
          <w:tcPr>
            <w:tcW w:w="5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520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23"/>
                <w:szCs w:val="23"/>
                <w:b w:val="1"/>
                <w:bCs w:val="1"/>
                <w:color w:val="auto"/>
                <w:vertAlign w:val="superscript"/>
              </w:rPr>
              <w:t>(5)</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1,443</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885</w:t>
            </w: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1,131</w:t>
            </w: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3,459</w:t>
            </w:r>
          </w:p>
        </w:tc>
      </w:tr>
    </w:tbl>
    <w:p>
      <w:pPr>
        <w:spacing w:after="0" w:line="200" w:lineRule="exact"/>
        <w:rPr>
          <w:sz w:val="20"/>
          <w:szCs w:val="20"/>
          <w:color w:val="auto"/>
        </w:rPr>
      </w:pPr>
    </w:p>
    <w:p>
      <w:pPr>
        <w:sectPr>
          <w:pgSz w:w="11900" w:h="16838" w:orient="portrait"/>
          <w:cols w:equalWidth="0" w:num="1">
            <w:col w:w="11240"/>
          </w:cols>
          <w:pgMar w:left="320" w:top="140" w:right="339" w:bottom="387"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387"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540"/>
        <w:spacing w:after="0" w:line="268"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by capability: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1020" w:type="dxa"/>
            <w:vAlign w:val="bottom"/>
          </w:tcPr>
          <w:p>
            <w:pPr>
              <w:spacing w:after="0"/>
              <w:rPr>
                <w:sz w:val="19"/>
                <w:szCs w:val="19"/>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Pr>
          <w:p>
            <w:pPr>
              <w:spacing w:after="0"/>
              <w:rPr>
                <w:sz w:val="19"/>
                <w:szCs w:val="19"/>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4480" w:space="720"/>
            <w:col w:w="6040"/>
          </w:cols>
          <w:pgMar w:left="320" w:top="140" w:right="339" w:bottom="1440" w:gutter="0" w:footer="0" w:header="0"/>
        </w:sectPr>
      </w:pPr>
    </w:p>
    <w:tbl>
      <w:tblPr>
        <w:tblLayout w:type="fixed"/>
        <w:tblInd w:w="0" w:type="dxa"/>
        <w:tblCellMar>
          <w:top w:w="0" w:type="dxa"/>
          <w:left w:w="0" w:type="dxa"/>
          <w:bottom w:w="0" w:type="dxa"/>
          <w:right w:w="0" w:type="dxa"/>
        </w:tblCellMar>
      </w:tblPr>
      <w:tr>
        <w:trPr>
          <w:trHeight w:val="261"/>
        </w:trPr>
        <w:tc>
          <w:tcPr>
            <w:tcW w:w="520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147,871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145,004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298,455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267,555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125,454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85,122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234,919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165,784</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533,374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433,339</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Number of revenue-generating professionals by capability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period end):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1,723</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3,459</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Utilization rate by capability</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2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73.2 %</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74.6 %</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72.4 %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Digital</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74.3 %</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73.2 %</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73.6 %</w:t>
            </w:r>
          </w:p>
        </w:tc>
        <w:tc>
          <w:tcPr>
            <w:tcW w:w="1080" w:type="dxa"/>
            <w:vAlign w:val="bottom"/>
          </w:tcPr>
          <w:p>
            <w:pPr>
              <w:jc w:val="right"/>
              <w:spacing w:after="0"/>
              <w:rPr>
                <w:sz w:val="20"/>
                <w:szCs w:val="20"/>
                <w:color w:val="auto"/>
              </w:rPr>
            </w:pPr>
            <w:r>
              <w:rPr>
                <w:rFonts w:ascii="Arial" w:cs="Arial" w:eastAsia="Arial" w:hAnsi="Arial"/>
                <w:sz w:val="18"/>
                <w:szCs w:val="18"/>
                <w:color w:val="auto"/>
              </w:rPr>
              <w:t>72.3 %</w:t>
            </w:r>
          </w:p>
        </w:tc>
      </w:tr>
    </w:tbl>
    <w:p>
      <w:pPr>
        <w:spacing w:after="0" w:line="148" w:lineRule="exact"/>
        <w:rPr>
          <w:sz w:val="20"/>
          <w:szCs w:val="20"/>
          <w:color w:val="auto"/>
        </w:rPr>
      </w:pPr>
    </w:p>
    <w:p>
      <w:pPr>
        <w:ind w:left="580" w:right="84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w:t>
      </w:r>
    </w:p>
    <w:p>
      <w:pPr>
        <w:spacing w:after="0" w:line="35" w:lineRule="exact"/>
        <w:rPr>
          <w:rFonts w:ascii="Arial" w:cs="Arial" w:eastAsia="Arial" w:hAnsi="Arial"/>
          <w:sz w:val="18"/>
          <w:szCs w:val="18"/>
          <w:color w:val="auto"/>
        </w:rPr>
      </w:pPr>
    </w:p>
    <w:p>
      <w:pPr>
        <w:ind w:left="580" w:right="12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Managed Services capability revenue within our Healthcare segment was $16.1 million and $14.0 million for the three months ended June 30, 2022 and 2021, respectively; and $29.9 million and $21.6 million for the six months ended June 30, 2022 and 2021, respectively.</w:t>
      </w:r>
    </w:p>
    <w:p>
      <w:pPr>
        <w:spacing w:after="0" w:line="40" w:lineRule="exact"/>
        <w:rPr>
          <w:sz w:val="20"/>
          <w:szCs w:val="20"/>
          <w:color w:val="auto"/>
        </w:rPr>
      </w:pPr>
    </w:p>
    <w:p>
      <w:pPr>
        <w:ind w:left="580" w:right="420"/>
        <w:spacing w:after="0" w:line="256" w:lineRule="auto"/>
        <w:rPr>
          <w:sz w:val="20"/>
          <w:szCs w:val="20"/>
          <w:color w:val="auto"/>
        </w:rPr>
      </w:pPr>
      <w:r>
        <w:rPr>
          <w:rFonts w:ascii="Arial" w:cs="Arial" w:eastAsia="Arial" w:hAnsi="Arial"/>
          <w:sz w:val="18"/>
          <w:szCs w:val="18"/>
          <w:color w:val="auto"/>
        </w:rPr>
        <w:t>Managed Services capability revenue within our Education segment was $3.9 million and $2.3 million for the three months ended June 30, 2022 and 2021, respectively; and $7.3 million and $4.5 million for the six months ended June 30, 2022 and 2021, respectively.</w:t>
      </w:r>
    </w:p>
    <w:p>
      <w:pPr>
        <w:spacing w:after="0" w:line="40" w:lineRule="exact"/>
        <w:rPr>
          <w:sz w:val="20"/>
          <w:szCs w:val="20"/>
          <w:color w:val="auto"/>
        </w:rPr>
      </w:pPr>
    </w:p>
    <w:p>
      <w:pPr>
        <w:ind w:left="580" w:right="300" w:hanging="572"/>
        <w:spacing w:after="0" w:line="261"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as of June 30, 2022 and 2021 was 504 and 448, respectively.</w:t>
      </w:r>
    </w:p>
    <w:p>
      <w:pPr>
        <w:spacing w:after="0" w:line="36" w:lineRule="exact"/>
        <w:rPr>
          <w:sz w:val="20"/>
          <w:szCs w:val="20"/>
          <w:color w:val="auto"/>
        </w:rPr>
      </w:pPr>
    </w:p>
    <w:p>
      <w:pPr>
        <w:ind w:left="580" w:right="20"/>
        <w:spacing w:after="0" w:line="261" w:lineRule="auto"/>
        <w:rPr>
          <w:sz w:val="20"/>
          <w:szCs w:val="20"/>
          <w:color w:val="auto"/>
        </w:rPr>
      </w:pPr>
      <w:r>
        <w:rPr>
          <w:rFonts w:ascii="Arial" w:cs="Arial" w:eastAsia="Arial" w:hAnsi="Arial"/>
          <w:sz w:val="18"/>
          <w:szCs w:val="18"/>
          <w:color w:val="auto"/>
        </w:rPr>
        <w:t>The number of Managed Services revenue-generating professionals within our Education segment as of June 30, 2022 and 2021 was 96 and 51, respectively.</w:t>
      </w:r>
    </w:p>
    <w:p>
      <w:pPr>
        <w:spacing w:after="0" w:line="36" w:lineRule="exact"/>
        <w:rPr>
          <w:sz w:val="20"/>
          <w:szCs w:val="20"/>
          <w:color w:val="auto"/>
        </w:rPr>
      </w:pPr>
    </w:p>
    <w:p>
      <w:pPr>
        <w:ind w:left="580" w:right="180" w:hanging="572"/>
        <w:spacing w:after="0" w:line="256" w:lineRule="auto"/>
        <w:tabs>
          <w:tab w:leader="none" w:pos="6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39" w:lineRule="exact"/>
        <w:rPr>
          <w:rFonts w:ascii="Arial" w:cs="Arial" w:eastAsia="Arial" w:hAnsi="Arial"/>
          <w:sz w:val="18"/>
          <w:szCs w:val="18"/>
          <w:color w:val="auto"/>
        </w:rPr>
      </w:pPr>
    </w:p>
    <w:p>
      <w:pPr>
        <w:ind w:left="580" w:right="120" w:hanging="572"/>
        <w:spacing w:after="0" w:line="254" w:lineRule="auto"/>
        <w:tabs>
          <w:tab w:leader="none" w:pos="6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quarter of 2022, we reclassified certain Digital revenue-generating professionals within our Healthcare and Education segments to our Commercial segment as these professionals can provide services across all of our industries. This reclassification did not impact the total headcount within our Digital capability for any period. The prior period headcount has been revised for consistent presentation.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Non-GAAP Measures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8"/>
          </w:tcPr>
          <w:p>
            <w:pPr>
              <w:ind w:left="1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venues</w:t>
            </w:r>
          </w:p>
        </w:tc>
        <w:tc>
          <w:tcPr>
            <w:tcW w:w="5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230,126$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533,374$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4"/>
            <w:vMerge w:val="restart"/>
          </w:tcPr>
          <w:p>
            <w:pPr>
              <w:ind w:left="20"/>
              <w:spacing w:after="0"/>
              <w:rPr>
                <w:sz w:val="20"/>
                <w:szCs w:val="20"/>
                <w:color w:val="auto"/>
              </w:rPr>
            </w:pPr>
            <w:r>
              <w:rPr>
                <w:rFonts w:ascii="Arial" w:cs="Arial" w:eastAsia="Arial" w:hAnsi="Arial"/>
                <w:sz w:val="18"/>
                <w:szCs w:val="18"/>
                <w:color w:val="auto"/>
              </w:rPr>
              <w:t>t income</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4"/>
            <w:vMerge w:val="continue"/>
          </w:tcPr>
          <w:p>
            <w:pPr>
              <w:spacing w:after="0"/>
              <w:rPr>
                <w:sz w:val="17"/>
                <w:szCs w:val="17"/>
                <w:color w:val="auto"/>
              </w:rPr>
            </w:pPr>
          </w:p>
        </w:tc>
        <w:tc>
          <w:tcPr>
            <w:tcW w:w="540" w:type="dxa"/>
            <w:vAlign w:val="bottom"/>
          </w:tcPr>
          <w:p>
            <w:pPr>
              <w:jc w:val="center"/>
              <w:ind w:left="11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13,875$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12,797$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40,727$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18,202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back:</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8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Interest expense, net of interest income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rnings before interest, taxes, depreciation and amortization</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78,665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320" w:type="dxa"/>
            <w:vAlign w:val="bottom"/>
            <w:gridSpan w:val="3"/>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40" w:type="dxa"/>
            <w:vAlign w:val="bottom"/>
            <w:gridSpan w:val="4"/>
          </w:tcPr>
          <w:p>
            <w:pPr>
              <w:spacing w:after="0"/>
              <w:rPr>
                <w:sz w:val="20"/>
                <w:szCs w:val="20"/>
                <w:color w:val="auto"/>
              </w:rPr>
            </w:pPr>
            <w:r>
              <w:rPr>
                <w:rFonts w:ascii="Arial" w:cs="Arial" w:eastAsia="Arial" w:hAnsi="Arial"/>
                <w:sz w:val="18"/>
                <w:szCs w:val="18"/>
                <w:color w:val="auto"/>
              </w:rPr>
              <w:t>d back:</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80"/>
              <w:spacing w:after="0"/>
              <w:rPr>
                <w:sz w:val="20"/>
                <w:szCs w:val="20"/>
                <w:color w:val="auto"/>
              </w:rPr>
            </w:pPr>
            <w:r>
              <w:rPr>
                <w:rFonts w:ascii="Arial" w:cs="Arial" w:eastAsia="Arial" w:hAnsi="Arial"/>
                <w:sz w:val="18"/>
                <w:szCs w:val="18"/>
                <w:color w:val="auto"/>
              </w:rPr>
              <w:t>Other losses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Transaction-related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80"/>
              <w:spacing w:after="0"/>
              <w:rPr>
                <w:sz w:val="20"/>
                <w:szCs w:val="20"/>
                <w:color w:val="auto"/>
              </w:rPr>
            </w:pPr>
            <w:r>
              <w:rPr>
                <w:rFonts w:ascii="Arial" w:cs="Arial" w:eastAsia="Arial" w:hAnsi="Arial"/>
                <w:sz w:val="18"/>
                <w:szCs w:val="18"/>
                <w:color w:val="auto"/>
              </w:rPr>
              <w:t>Unrealized gain on preferred stock investment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transaction losses (gains), net</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justed EBITDA</w:t>
            </w:r>
          </w:p>
        </w:tc>
        <w:tc>
          <w:tcPr>
            <w:tcW w:w="54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justed EBITDA as a percentage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12,797</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40,727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20,967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21,871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21,047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22,105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Add back:</w:t>
            </w: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losses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Transaction-related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preferred stock investment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adjustments</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4,658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adjustments, net of tax</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17,482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15,091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27,806</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weighted average shares - diluted</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30</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to Three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three months ended June 30, 2022 and 2021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81"/>
        </w:trPr>
        <w:tc>
          <w:tcPr>
            <w:tcW w:w="7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rPr>
              <w:t>Increase</w:t>
            </w:r>
          </w:p>
        </w:tc>
        <w:tc>
          <w:tcPr>
            <w:tcW w:w="0" w:type="dxa"/>
            <w:vAlign w:val="bottom"/>
          </w:tcPr>
          <w:p>
            <w:pPr>
              <w:spacing w:after="0"/>
              <w:rPr>
                <w:sz w:val="1"/>
                <w:szCs w:val="1"/>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23"/>
        </w:trPr>
        <w:tc>
          <w:tcPr>
            <w:tcW w:w="7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128,474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114,750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54,901</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230,126</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147,871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145,004</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273,325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230,126</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increased $43.2 million, or 18.8%, to $273.3 million for the second quarter of 2022 from $230.1 million for the second quarter of 2021. The overall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segment, partially the result of a favorable comparison against this segment's results in the second quarter of 2021 which was more significantly impacted by the COVID-19 pandemic this time last year. During 2020 and 2021, some clients reprioritized and delayed certain projects as a result of the uncertainties surrounding the pandemic, particularly within our Healthcare and Education segments. Additional information on our revenues by segment follows.</w:t>
      </w:r>
    </w:p>
    <w:p>
      <w:pPr>
        <w:spacing w:after="0" w:line="131" w:lineRule="exact"/>
        <w:rPr>
          <w:sz w:val="20"/>
          <w:szCs w:val="20"/>
          <w:color w:val="auto"/>
        </w:rPr>
      </w:pPr>
    </w:p>
    <w:p>
      <w:pPr>
        <w:ind w:left="660" w:right="60" w:hanging="328"/>
        <w:spacing w:after="0" w:line="259" w:lineRule="auto"/>
        <w:tabs>
          <w:tab w:leader="none" w:pos="66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$13.7 million, or 12.0%,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as well as strengthened demand for our revenue cycle managed services solutions within our Consulting and Managed Services capability. These increases were partially offset by a decrease in demand for our performance improvement solution within our Consulting and Managed Services capability. Revenues in the second quarter of 2022 included $1.2 million of incremental revenues from our acquisition of Perception Health, Inc., which was completed in December 2021.</w:t>
      </w:r>
    </w:p>
    <w:p>
      <w:pPr>
        <w:spacing w:after="0" w:line="147" w:lineRule="exact"/>
        <w:rPr>
          <w:rFonts w:ascii="Arial" w:cs="Arial" w:eastAsia="Arial" w:hAnsi="Arial"/>
          <w:sz w:val="18"/>
          <w:szCs w:val="18"/>
          <w:b w:val="1"/>
          <w:bCs w:val="1"/>
          <w:color w:val="auto"/>
        </w:rPr>
      </w:pPr>
    </w:p>
    <w:p>
      <w:pPr>
        <w:ind w:left="660" w:right="8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12.2% to 1,619 as of June 30, 2022, compared to 1,443 as of June 30, 2021.</w:t>
      </w:r>
    </w:p>
    <w:p>
      <w:pPr>
        <w:spacing w:after="0" w:line="121" w:lineRule="exact"/>
        <w:rPr>
          <w:rFonts w:ascii="Arial" w:cs="Arial" w:eastAsia="Arial" w:hAnsi="Arial"/>
          <w:sz w:val="18"/>
          <w:szCs w:val="18"/>
          <w:b w:val="1"/>
          <w:bCs w:val="1"/>
          <w:color w:val="auto"/>
        </w:rPr>
      </w:pPr>
    </w:p>
    <w:p>
      <w:pPr>
        <w:ind w:left="660" w:right="100" w:hanging="328"/>
        <w:spacing w:after="0" w:line="262" w:lineRule="auto"/>
        <w:tabs>
          <w:tab w:leader="none" w:pos="66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$27.8 million, or 45.9%,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and strengthened demand for our research, strategy and operations, and student solutions within our Consulting and Managed Services capability. Revenues in the second quarter of 2022 included $1.9 million of incremental revenues from our acquisition of Whiteboard Communications Ltd., which was completed in December 2021.</w:t>
      </w:r>
    </w:p>
    <w:p>
      <w:pPr>
        <w:spacing w:after="0" w:line="144" w:lineRule="exact"/>
        <w:rPr>
          <w:rFonts w:ascii="Arial" w:cs="Arial" w:eastAsia="Arial" w:hAnsi="Arial"/>
          <w:sz w:val="18"/>
          <w:szCs w:val="18"/>
          <w:b w:val="1"/>
          <w:bCs w:val="1"/>
          <w:color w:val="auto"/>
        </w:rPr>
      </w:pPr>
    </w:p>
    <w:p>
      <w:pPr>
        <w:ind w:left="66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grew 59.0% to 1,407 as of June 30, 2022, compared to 885 as of June 30, 2021.</w:t>
      </w:r>
    </w:p>
    <w:p>
      <w:pPr>
        <w:spacing w:after="0" w:line="121" w:lineRule="exact"/>
        <w:rPr>
          <w:rFonts w:ascii="Arial" w:cs="Arial" w:eastAsia="Arial" w:hAnsi="Arial"/>
          <w:sz w:val="18"/>
          <w:szCs w:val="18"/>
          <w:b w:val="1"/>
          <w:bCs w:val="1"/>
          <w:color w:val="auto"/>
        </w:rPr>
      </w:pPr>
    </w:p>
    <w:p>
      <w:pPr>
        <w:ind w:left="660" w:right="260" w:hanging="328"/>
        <w:spacing w:after="0" w:line="259" w:lineRule="auto"/>
        <w:tabs>
          <w:tab w:leader="none" w:pos="66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$1.7 million, or 3.1%,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largely offset by a decrease in demand for our financial advisory solutions within our Consulting and Managed Services capability and the divestiture of our Life Sciences business in the fourth quarter of 2021. The Life Sciences business generated $5.0 million of revenues in the second quarter of 2021. Revenues in the second quarter of 2022 included $0.9 million of incremental revenues from our acquisition of AIMDATA, LLC, which was completed in January 2022.</w:t>
      </w:r>
    </w:p>
    <w:p>
      <w:pPr>
        <w:spacing w:after="0" w:line="147" w:lineRule="exact"/>
        <w:rPr>
          <w:rFonts w:ascii="Arial" w:cs="Arial" w:eastAsia="Arial" w:hAnsi="Arial"/>
          <w:sz w:val="18"/>
          <w:szCs w:val="18"/>
          <w:b w:val="1"/>
          <w:bCs w:val="1"/>
          <w:color w:val="auto"/>
        </w:rPr>
      </w:pPr>
    </w:p>
    <w:p>
      <w:pPr>
        <w:ind w:left="660" w:right="6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The number of revenue-generating professionals within our Commercial segment grew 7.6% to 1,217 as of June 30, 2022, compared to 1,131 as of June 30, 2021. This increase includes the impact of the divestiture of our Life Sciences business completed in the fourth quarter of 2021. The Life Sciences business employed 66 revenue-generating professionals as of June 30, 2021.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second quarter of 2022 increased $34.6 million, or 15.9%, over the second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69.2%</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70.2%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27,707</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7"/>
              </w:rPr>
              <w:t>2.8%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7"/>
              </w:rPr>
              <w:t>0.8%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2.5%</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251,813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92.1%</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217,249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w w:val="97"/>
              </w:rPr>
              <w:t>94.4%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34,564</w:t>
            </w: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Direct costs increased $ 27.7 million, or 17.2%, to $189.2 million for the three months ended June 30, 2022 from $161.5 million for the three months ended June 30, 2021. The $27.7 million increase primarily related to a $19.8 million increase in payroll costs for our revenue-generating professionals, driven by increased headcount and annual salary increases that went into effect in the first quarter of 2022, partially offset by a decrease in performance bonus expense. Additional increases in direct costs include a $ 5.8 million increase in contractor expense, and a $1.6 million increase in technology costs. As a percentage of revenues, direct costs decreased to 69.2% during the second quarter of 2022, compared to 70.2% during the second quarter of 2021, primarily due to revenue growth that outpaced the increase in payroll costs for our revenue-generating professionals; partially offset by the increase in contractor expense,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Selling, general and administrative expenses increased by $0.8 million, or 1.9%, to $ 46.0 million in the second quarter of 2022 from $45.2 million in the second quarter of 2021. The $0.8 million increase primarily related to a $5.2 million increase in non-payroll costs which includes a $2.3 million increase in promotion and marketing expenses, a $1.4 million increase in practice administration and meetings expenses, and a $0.8 million increase in software and data hosting expenses, largely offset by a $4.4 million decrease in payroll costs for our support personnel. The $4.4 million decrease in payroll costs includes a $ 7.1 million decrease in deferred compensation expense attributable to the change in the market value of our deferred compensation liability, partially offset by a $2.5 million increase in salaries and related expenses for our support personnel. The decrease in deferred compensation expense is fully offset by a decrease in the gain recognized for the change in the market value of investments that are used to fund our deferred compensation liability and recognized in other income (expense), net. As a percentage of revenues, selling, general and administrative expenses decreased to 16.8% during the second quarter of 2022, compared to 19.6% during the second quarter of 2021. This decrease was primarily attributable to the decrease in deferred compensation expense in the second quarter of 2022 compared to the second quarter of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Restructuring charges for the second quarter of 2022 were $2.1 million, compared to $0.9 million for the second quarter of 2021. The $ 2.1 million of restructuring charges incurred in the second quarter of 2022 included $1.1 million of employee-related expenses, $0.4 million for rent and related expenses, net of sublease income, for previously vacated office spaces, $0.5 million for third-party transaction expenses related to the modification of our operating model, and $0.1 million related to the divestiture of our Life Sciences business in the fourth quarter of 2021. The $0.9 million of restructuring charges incurred in the second quarter of 2021 primarily related to rent and related expenses, net of sublease income, for vacated office spaces.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$0.5 million, or 8.6%, to $6.9 million for the three months ended June 30, 2022, compared to $6.4 million for the three months ended June 30, 2021. The $0.5 million increase in depreciation and amortization expense was primarily attributable to an increase in amortization of intangible assets acquired in business acquisitions completed subsequent to the second quarter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Operating income increased $12.9 million to $29.0 million in the second quarter of 2022 from $16.1 million in the second quarter of 2021. Operating margin, which is defined as operating income expressed as a percentage of revenues, increased to 10.6% for the three months ended June 30, 2022, compared to 7.0% for the three months ended June 30, 2021.</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30,364</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21,691</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14,142</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7,549</w:t>
            </w: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63,970</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55,709</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8,261</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328"/>
        <w:spacing w:after="0" w:line="259" w:lineRule="auto"/>
        <w:tabs>
          <w:tab w:leader="none" w:pos="669"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decreased primarily due to increases in payroll costs for our revenue-generating professionals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expenses, largely offset by the increase in revenues. The increase in payroll costs was driven by an increase in headcount and annual salary increases that went into effect in the first quarter of 2022, partially offset by a decrease in performance bonus expense. Healthcare operating margin decreased primarily due to the increases in contractor expenses and payroll costs for our revenue-generating professionals, as percentages of revenues.</w:t>
      </w:r>
    </w:p>
    <w:p>
      <w:pPr>
        <w:spacing w:after="0" w:line="125" w:lineRule="exact"/>
        <w:rPr>
          <w:rFonts w:ascii="Arial" w:cs="Arial" w:eastAsia="Arial" w:hAnsi="Arial"/>
          <w:sz w:val="18"/>
          <w:szCs w:val="18"/>
          <w:b w:val="1"/>
          <w:bCs w:val="1"/>
          <w:i w:val="1"/>
          <w:iCs w:val="1"/>
          <w:color w:val="auto"/>
        </w:rPr>
      </w:pPr>
    </w:p>
    <w:p>
      <w:pPr>
        <w:ind w:left="660" w:right="140" w:hanging="328"/>
        <w:spacing w:after="0" w:line="278"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operating income increased primarily due to the increase in revenues, partially offset by an increase in payroll costs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revenue-generating professionals and increases in contractor expense, technology expenses, and promotion and marketing expenses. The increase in payroll costs was driven by an increase in headcount, annual salary increases that went into effect in the first quarter of 2022, and an increase in performance bonus expense. Education operating margin increased due to revenue growth that outpaced the increase in payroll costs; partially offset by the increases in non-payroll costs, as percentages of revenues.</w:t>
      </w:r>
    </w:p>
    <w:p>
      <w:pPr>
        <w:spacing w:after="0" w:line="109" w:lineRule="exact"/>
        <w:rPr>
          <w:rFonts w:ascii="Arial" w:cs="Arial" w:eastAsia="Arial" w:hAnsi="Arial"/>
          <w:sz w:val="17"/>
          <w:szCs w:val="17"/>
          <w:color w:val="auto"/>
        </w:rPr>
      </w:pPr>
    </w:p>
    <w:p>
      <w:pPr>
        <w:ind w:left="660" w:right="20" w:hanging="328"/>
        <w:spacing w:after="0" w:line="275"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operating income increased primarily due to a decrease in payroll costs for our revenue-generating professionals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increase in revenues, partially offset by increases in restructuring charges, payroll costs for our support personnel, and promotion and marketing expenses. The decrease in payroll costs for our revenue-generating professionals was primarily driven by the divestiture of our Life Sciences business in the fourth quarter of 2021, partially offset by an increase in performance bonus expense. Commercial operating margin increased due to the decrease in payroll costs for our revenue-generating professionals, partially offset by the increases in non-payroll costs and the increase in payroll costs for our support personnel, as percentages of revenues.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 expense, net of interest income increased $0.4 million to $2.4 million in the second quarter of 2022 from $2.0 million in the second quarter of 2021 primarily attributable to higher levels of borrowing under our credit facility during the second quarter of 2022 compared to the second quarter of 2021. See “Liquidity and Capital Resources” below and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Other income (expense), net decreased $7.0 million to expense of $4.9 million in the second quarter of 2022 from income of $2.2 million in the second quarter of 2021. The decrease in other income, net was primarily attributable to the $ 7.1 million decrease in the gain recognized for the market value of our investments that are used to fund our deferred compensation liability. During the second quarter of 2022, we recognized a $5.0 million loss for the market value of our deferred compensation investments compared to a $2.1 million gain recognized in the second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three months ended June 30, 2022, our effective tax rate was 36.0% as we recognized income tax expense of $7.8 million on income of $21.7 million. The effective tax rate of 36.0% was less favorable than the statutory rate, inclusive of state income taxes, of 26.4%, primarily due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tax expense related to nondeductible losses on our investments used to fund our deferred compensation liability and certain nondeductible expense items.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three months ended June 30, 2021, our effective tax rate was 21.3% as we recognized income tax expense of $3.5 million on income of $16.3 million. The effective tax rate of 21.3% was more favorable than the statutory rate, inclusive of state income taxes, of 26.6%, primarily due to a discrete tax benefit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This favorable item was partially offset by certain nondeductible expense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income increased $1.1 million to $13.9 million for the three months ended June 30, 2022 from $12.8 million for the same period last year. As a result of the increase in net income, diluted earnings per share for the second quarter of 2022 was $0.66 compared to $0.59 for the second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EBITDA increased $6.4 million to $31.2 million for the three months ended June 30, 2022 from $24.8 million for the three months ended June 30, 2021. The increase in EBITDA was primarily attributable to the increase in segment operating income; partially offset by an increase in corporate expenses, excluding the impact of the change in the market value of our deferred compensation liability on corporate expenses.</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Adjusted EBITDA increased $7.6 million to $33.2 million in the second quarter of 2022 from $25.6 million in the second quarter of 2021. The increase in adjusted EBITDA was primarily attributable to the increase in segment operating income; partially offset by an increase in corporate expenses, excluding the impact of the change in the market value of our deferred compensation liability and restructuring charges on these items.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Adjusted net income increased $ 2.4 million to $17.5 million in the second quarter of 2022 compared to $15.1 million in the second quarter of 2021. As a result of the increase in adjusted net income, adjusted diluted earnings per share was $0.83 for the second quarter of 2022, compared to $0.69 for the second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to Six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six months ended June 30, 2022 and 2021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81"/>
        </w:trPr>
        <w:tc>
          <w:tcPr>
            <w:tcW w:w="7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rPr>
              <w:t>Increase</w:t>
            </w:r>
          </w:p>
        </w:tc>
        <w:tc>
          <w:tcPr>
            <w:tcW w:w="0" w:type="dxa"/>
            <w:vAlign w:val="bottom"/>
          </w:tcPr>
          <w:p>
            <w:pPr>
              <w:spacing w:after="0"/>
              <w:rPr>
                <w:sz w:val="1"/>
                <w:szCs w:val="1"/>
                <w:color w:val="auto"/>
              </w:rPr>
            </w:pPr>
          </w:p>
        </w:tc>
      </w:tr>
      <w:tr>
        <w:trPr>
          <w:trHeight w:val="236"/>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6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23"/>
        </w:trPr>
        <w:tc>
          <w:tcPr>
            <w:tcW w:w="7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250,350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210,725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168,887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114,137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110,797</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533,374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433,339</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298,455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267,555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234,919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165,784</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533,374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433,339</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Revenues increased $100.0 million, or 23.1%, to $533.4 million for the first six months of 2022 from $433.3 million for the first six months of 2021. The overall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and Healthcare segments partially the result of a favorable comparison against these segments' results in the first six months of 2021 which were more significantly impacted by the COVID-19 pandemic. During 2020 and 2021, some clients reprioritized and delayed certain projects as a result of the uncertainties surrounding the pandemic, particularly within our Healthcare and Education segments. Additional information on our revenues by segment follows.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40" w:hanging="328"/>
        <w:spacing w:after="0" w:line="257" w:lineRule="auto"/>
        <w:tabs>
          <w:tab w:leader="none" w:pos="66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$39.6 million, or 18.8%,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as well as strengthened demand for our revenue cycle managed services and performance improvement solutions within our Consulting and Managed Services capability. These increases in revenues were partially offset by a decrease in demand for our strategy and innovation solution within this segment's Consulting and Managed Services capability. Revenues in the first six months of 2022 included $1.8 million of incremental revenues from our acquisition of Perception Health, Inc., which was completed in December 2021.</w:t>
      </w:r>
    </w:p>
    <w:p>
      <w:pPr>
        <w:spacing w:after="0" w:line="150" w:lineRule="exact"/>
        <w:rPr>
          <w:rFonts w:ascii="Arial" w:cs="Arial" w:eastAsia="Arial" w:hAnsi="Arial"/>
          <w:sz w:val="18"/>
          <w:szCs w:val="18"/>
          <w:b w:val="1"/>
          <w:bCs w:val="1"/>
          <w:color w:val="auto"/>
        </w:rPr>
      </w:pPr>
    </w:p>
    <w:p>
      <w:pPr>
        <w:ind w:left="660" w:right="8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12.2% to 1,619 as of June 30, 2022, compared to 1,443 as of June 30, 2021.</w:t>
      </w:r>
    </w:p>
    <w:p>
      <w:pPr>
        <w:spacing w:after="0" w:line="121" w:lineRule="exact"/>
        <w:rPr>
          <w:rFonts w:ascii="Arial" w:cs="Arial" w:eastAsia="Arial" w:hAnsi="Arial"/>
          <w:sz w:val="18"/>
          <w:szCs w:val="18"/>
          <w:b w:val="1"/>
          <w:bCs w:val="1"/>
          <w:color w:val="auto"/>
        </w:rPr>
      </w:pPr>
    </w:p>
    <w:p>
      <w:pPr>
        <w:ind w:left="660" w:right="200" w:hanging="328"/>
        <w:spacing w:after="0" w:line="282" w:lineRule="auto"/>
        <w:tabs>
          <w:tab w:leader="none" w:pos="66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revenues increased $57.1 million, or 51.0%, driven by strengthened demand for our technology and analytics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software products within our Digital capability, as well as strengthened demand for our research, strategy and operations, and student solutions within our Consulting and Managed Services capability. Revenues in the first six months of 2022 included $4.2 million of incremental revenues from our acquisition of Whiteboard Communications Ltd., which was completed in December 2021.</w:t>
      </w:r>
    </w:p>
    <w:p>
      <w:pPr>
        <w:spacing w:after="0" w:line="129" w:lineRule="exact"/>
        <w:rPr>
          <w:rFonts w:ascii="Arial" w:cs="Arial" w:eastAsia="Arial" w:hAnsi="Arial"/>
          <w:sz w:val="17"/>
          <w:szCs w:val="17"/>
          <w:b w:val="1"/>
          <w:bCs w:val="1"/>
          <w:color w:val="auto"/>
        </w:rPr>
      </w:pPr>
    </w:p>
    <w:p>
      <w:pPr>
        <w:ind w:left="660" w:right="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The number of revenue-generating professionals within our Education segment grew 59.0% to 1,407 as of June 30, 2022, compared to 885 as of June 30, 2021.</w:t>
      </w:r>
    </w:p>
    <w:p>
      <w:pPr>
        <w:spacing w:after="0" w:line="121" w:lineRule="exact"/>
        <w:rPr>
          <w:rFonts w:ascii="Arial" w:cs="Arial" w:eastAsia="Arial" w:hAnsi="Arial"/>
          <w:sz w:val="17"/>
          <w:szCs w:val="17"/>
          <w:b w:val="1"/>
          <w:bCs w:val="1"/>
          <w:color w:val="auto"/>
        </w:rPr>
      </w:pPr>
    </w:p>
    <w:p>
      <w:pPr>
        <w:ind w:left="660" w:right="20" w:hanging="328"/>
        <w:spacing w:after="0" w:line="257" w:lineRule="auto"/>
        <w:tabs>
          <w:tab w:leader="none" w:pos="66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$3.3 million, or 3.0%,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largely offset by a decrease in revenues due to the divestiture of our Life Sciences business in the fourth quarter of 2021 and a decrease in demand for our financial advisory solutions within the Consulting and Managed Services capability. The Life Sciences business generated $9.7 million of revenues in the first six months of 2021. Revenues in the first six months of 2022 included $1.9 million of incremental revenues from our acquisitions of Unico Solution, Inc. and AIMDATA, LLC, which were completed in February 2021 and January 2022, respectively.</w:t>
      </w:r>
    </w:p>
    <w:p>
      <w:pPr>
        <w:spacing w:after="0" w:line="150" w:lineRule="exact"/>
        <w:rPr>
          <w:sz w:val="20"/>
          <w:szCs w:val="20"/>
          <w:color w:val="auto"/>
        </w:rPr>
      </w:pPr>
    </w:p>
    <w:p>
      <w:pPr>
        <w:ind w:left="660" w:right="60"/>
        <w:spacing w:after="0" w:line="278" w:lineRule="auto"/>
        <w:rPr>
          <w:sz w:val="20"/>
          <w:szCs w:val="20"/>
          <w:color w:val="auto"/>
        </w:rPr>
      </w:pPr>
      <w:r>
        <w:rPr>
          <w:rFonts w:ascii="Arial" w:cs="Arial" w:eastAsia="Arial" w:hAnsi="Arial"/>
          <w:sz w:val="17"/>
          <w:szCs w:val="17"/>
          <w:color w:val="auto"/>
        </w:rPr>
        <w:t>The number of revenue-generating professionals within our Commercial segment grew 7.6% to 1,217 as of June 30, 2022, compared to 1,131 as of June 30, 2021. This increase includes the impact of the divestiture of our Life Sciences business completed in the fourth quarter of 2021. The Life Sciences business employed 66 revenue-generating professionals as of June 30,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six months of 2022 increased $86.5 million, or 20.9%, over the first six months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70.6%</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71.5%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66,839</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7"/>
              </w:rPr>
              <w:t>2.3%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7"/>
              </w:rPr>
              <w:t>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2.6%</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500,630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93.9%</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414,156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w w:val="97"/>
              </w:rPr>
              <w:t>95.5%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86,474</w:t>
            </w: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Direct costs increased $ 66.8 million, or 21.6%, to $376.5 million for the first six months of 2022 from $309.6 million for the first six months of 2021. The $66.8 million increase primarily related to a $52.7 million increase in payroll costs for our revenue-generating professionals, driven by increased headcount, annual salary increases that went into effect in the first quarter of 2022, and an increase in performance bonus expense; as well as a $10.4 million increase in contractor expense, a $3.0 million increase in technology costs, and a $1.2 million increase in product and event costs. As a percentage of revenues, direct costs decreased to 70.6% during the first six months of 2022, compared to 71.5% during the first six months of 2021, primarily due to revenue growth that outpaced the increase in payroll costs for our revenue-generating professionals, partially offset by the increase in contractor expense,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Selling, general and administrative expenses increased by $9.4 million, or 11.1%, to $ 94.4 million in the first six months of 2022 from $85.0 million in the first six months of 2021. The $9.4 million increase primarily related to an $8.7 million increase in non-payroll costs including a $3.1 million increase in promotion and marketing expenses, a $2.0 million increase in practice administration and meetings expense, a $1.7 million increase in software and data hosting expenses, and a $1.0 million increase in third-party professional fees. Additionally, selling, general and administrative expenses increased by $0.6 million related to payroll costs for our support personnel, which includes a $6.6 million increase in salaries and related expenses, a $2.1 million increase in performance bonus expense and a $1.8 million increase in share-based compensation expense; largely offset by a $10.5 million decrease in deferred compensation expense attributable to the change in the market value of our deferred compensation liability. The decrease in deferred compensation expense is fully offset by a decrease in the gain recognized for the change in the market value of investments that are used to fund our deferred compensation liability and recognized in other income (expense), net. As a percentage of revenues, selling, general and administrative expenses decreased to 17.7% during the first six months of 2022, compared to 19.6% during the first six months of 2021. This decrease was primarily attributable to the decrease in deferred compensation expense in the first six months of 2022 compared to the first six months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Restructuring charges for the first six months of 2022 were $3.6 million, compared to $1.5 million for the first six months of 2021. The $ 3.6 million of restructuring charges incurred in the first six months of 2022 included $1.6 million of employee-related expenses, $1.0 million for rent and related expenses, net of sublease income, for previously vacated office spaces, $ 0.6 million for third-party transaction expenses related to the modification of our operating model, $0.3 million of accelerated amortization of capitalized software implementation costs for a cloud-computing arrangement that is no longer in use, and $0.1 million related to the divestiture of our Life Sciences business in the fourth quarter of 2021. The $1.5 million of restructuring charges incurred in the first six months of 2021 primarily related to rent and related expenses, net of sublease income, and accelerated depreciation on furniture and fixtures for vacated office spaces.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$1.1 million, or 8.3%, to $13.8 million for the first six months of 2022, compared to $12.7 million for first six months of 2021. The $1.1 million increase in depreciation and amortization expense was primarily attributable to an increase in amortization of intangible assets acquired in business acquisitions completed subsequent to the second quarter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income increased $20.6 million to $45.0 million in the first six months of 2022 from $24.4 million in the first six months of 2021. Operating margin, which is defined as operating income expressed as a percentage of revenues, increased to 8.4% for the first six months of 2022, compared to 5.6% for the first six months of 2021.</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35,997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22,679</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13,318</w:t>
            </w: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118,522</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97,923</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20,599</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right="20" w:hanging="328"/>
        <w:spacing w:after="0" w:line="259" w:lineRule="auto"/>
        <w:tabs>
          <w:tab w:leader="none" w:pos="669"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primarily due to the increase in revenues, partially offset by increases in payroll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revenue-generating professionals, contractor expense, amortization of intangible assets and technology expenses. The increase in payroll costs was driven by an increase in headcount and annual salary increases that went into effect in the first quarter of 2022, partially offset by a decrease in performance bonus expense. Healthcare operating margin decreased primarily due to the increases in contractor expense and payroll costs for our revenue-generating professionals, as percentages of revenues.</w:t>
      </w:r>
    </w:p>
    <w:p>
      <w:pPr>
        <w:spacing w:after="0" w:line="125" w:lineRule="exact"/>
        <w:rPr>
          <w:rFonts w:ascii="Arial" w:cs="Arial" w:eastAsia="Arial" w:hAnsi="Arial"/>
          <w:sz w:val="18"/>
          <w:szCs w:val="18"/>
          <w:b w:val="1"/>
          <w:bCs w:val="1"/>
          <w:i w:val="1"/>
          <w:iCs w:val="1"/>
          <w:color w:val="auto"/>
        </w:rPr>
      </w:pPr>
    </w:p>
    <w:p>
      <w:pPr>
        <w:ind w:left="660" w:right="80" w:hanging="328"/>
        <w:spacing w:after="0" w:line="259"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partially offset by increases in payroll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revenue-generating professionals, contractor expense, technology expenses, promotion and marketing expenses, and product and event costs. The increase in payroll costs was driven by an increase in headcount and annual salary increases that went into effect in the first quarter of 2022, as well as increases in performance bonus expense, share-based compensation expense, and signing, retention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other bonus expense. Education operating margin increased due to revenue growth that outpaced the increase in payroll costs; partially offset by the increases in non-payroll costs, as percentages of revenues.</w:t>
      </w:r>
    </w:p>
    <w:p>
      <w:pPr>
        <w:spacing w:after="0" w:line="122" w:lineRule="exact"/>
        <w:rPr>
          <w:sz w:val="20"/>
          <w:szCs w:val="20"/>
          <w:color w:val="auto"/>
        </w:rPr>
      </w:pPr>
    </w:p>
    <w:p>
      <w:pPr>
        <w:ind w:left="660" w:right="140" w:hanging="328"/>
        <w:spacing w:after="0" w:line="25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primarily due to a decrease in payroll costs for our revenue-generating professionals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revenues, partially offset by an increase in payroll costs for our support personnel, restructuring charges, and promotion and marketing expenses. The decrease in payroll costs for our revenue-generating professionals was primarily driven by the divestiture of our Life Sciences business in the fourth quarter of 2021, partially offset by an increase in performance bonus expense. Commercial operating margin increased due to the decrease in payroll costs for our revenue-generating professionals; partially offset by the increases in payroll costs for our support personnel and non-payroll costs, as percentages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expense, net of interest income increased $0.9 million to $4.6 million in the first six months of 2022 from $3.7 million in the first six months of 2021 primarily attributable to higher levels of borrowing under our credit facility during the first quarter of 2022 compared to the first quarter of 2021. See “Liquidity and Capital Resources” below and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 income, net increased $16.9 million to $19.5 million in the first six months of 2022 from $2.6 million in the first six months of 2021. The increase in other income, net was primarily attributable to a $27.0 million unrealized gain related to the increase in the fair value of our preferred stock investment in Medically Home. See Note 10 “Fair Value of Financial Instruments” within the notes to our consolidated financial statements for additional information on our preferred stock investment in Medically Home. This increase was partially offset by the $10.5 million decrease in the gain recognized for the market value of our investments that are used to fund our deferred compensation liability. During the first six months of 2022, we recognized a $7.6 million loss for the market value of our deferred compensation investments compared to a $2.9 million gain recognized in the first six months of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six months ended June 30, 2022, our effective tax rate was 31.9% as we recognized income tax expense of $19.1 million on income of $59.8 million. The effective tax rate of 31.9%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six months ended June 30, 2021, our effective tax rate was 21.5% as we recognized income tax expense of $5.0 million on income of $23.2 million. The effective tax rate of 21.5% was more favorable than the statutory rate, inclusive of state income taxes, of 26.6%, primarily due to a discrete tax benefit related to electing the Global Intangible Low-Taxed Income ("GILTI") high-tax exclusion retroactively for the 2018 tax year and a discrete tax benefit for share-based compensation awards that vested during the first quarter.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expense items.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income increased $22.5 million to $40.7 million for the six months ended June 30, 2022 from $18.2 million for the same period last year. The increase in net income was primarily attributable to a $19.8 million unrealized gain, net of tax, related to the increase in the fair value of our preferred stock investment in Medically Home. As a result of the increase in net income, diluted earnings per share for the six months ended June 30, 2022 was $1.94 compared to $0.82 for the six months ended June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EBITDA increased $38.6 million to $78.7 million for the six months ended June 30, 2022 from $40.0 million for the six months ended</w:t>
      </w:r>
    </w:p>
    <w:p>
      <w:pPr>
        <w:spacing w:after="0" w:line="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June 30, 2021. The increase in EBITDA was primarily attributable to the $27.0 million unrealized gain related to the increase in the fair value of our preferred stock investment as well as the increase in segment operating income; partially offset by an increase in corporate expenses, excluding the impact of the change in the market value of our deferred compensation liability on corporate expenses.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Adjusted EBITDA increased $13.3 million to $55.3 million in the first six months of 2022 from $42.1 million in the first six months of 2021. The increase in adjusted EBITDA was primarily attributable to the increase in segment operating income; partially offset by an increase in corporate expenses, excluding the impact of the change in the market value of our deferred compensation liability and restructuring charges on these items.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Adjusted net income increased $ 4.9 million to $27.8 million in the first six months of 2022 compared to $22.9 million in the first six months of 2021. As a result of the increase in adjusted net income, adjusted diluted earnings per share was $1.32 for the six months ended June 30, 2022, compared to $1.03 for the six months ended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Cash and cash equivalents were $12.0 million and $20.8 million at June 30, 2022 and December 31, 2021. As of June 30, 2022, our primary sources of liquidity are cash on hand, cash flows from our U.S. operations, and borrowing capacity available under our credit facility.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(61,970)</w:t>
            </w:r>
          </w:p>
        </w:tc>
      </w:tr>
      <w:tr>
        <w:trPr>
          <w:trHeight w:val="229"/>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(13,752)</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5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Net cash used in operating activities decreased $11.8 million to $50.2 million for the six months ended June 30, 2022 from $62.0 million for the six months ended June 30, 2021. The decrease in net cash used in operating activities was primarily related to an increase in cash collections in the first six months of 2022 compared to the same prior year period; partially offset by an increase in salaries and related expenses for our revenue-generating professionals; an increase in the amount paid for annual performance bonuses in the first quarter of 2022 compared to the first quarter of 2021; and increases in contractor expenses and selling, general and administrative expenses for the first six months of 2022 compared to the same prior 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for office spaces; payments related to internally developed cloud-based software sold to our clients; and investments. Our investments include a convertible note investment in Shorelight Holdings, LLC, a preferred stock investment in Medically Home, and investments in life insurance policies that are used to fund our deferred compensation liability.</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use of cash in the first six months of 2022 primarily consisted of $6.8 million for purchases of property and equipment, primarily related to purchases of computers and related equipment and leasehold improvements and furniture for certain office spaces; $4.0 million for payments related to internally developed software; and $1.9 million for the purchase of a business. These uses of cash for investing activities were partially offset by $4.8 million of cash received for the sale of our aircraft in the first quarter of 2022.</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use of cash in the first six months of 2021 primarily consisted of $5.9 million for the purchase of a business; $5.4 million for purchases of property and equipment, primarily related to purchases of leasehold improvements for certain office spaces and computers and related equipment; and $2.5 million for payments related to internally developed software.</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2022 will total approximately $20 million to $25 million; primarily consisting of software development costs, information technology related equipment to support our corporate infrastructure, and leasehold improvements and furniture and fixtures for certain office locations.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Net cash provided by financing activities increased by $27.8 million to $49.1 million for the six months ended June 30, 2022 from $21.3 million for the six months ended June 30, 2021.</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six months ended June 30, 2022, we borrowed $224.0 million under our credit facility primarily to fund our operations, including our annual performance bonus payment in the first quarter of 2022, and made repayments on our borrowings of $114.8 million. The repayments on our borrowings included the repayment of the outstanding principal of our promissory note due 2024 of $2.7 million from the proceeds received for the sale of our aircraft. Additionally, during the first six months of 2022, we repurchased and retired $52.2 million of our common stock under our share repurchase program discussed below, and settled $ 0.2 million of share repurchases that were accrued as of December 31, 2021. In the first half of 2022, we reacquired $7.0 million of common stock as a result of tax withholdings upon vesting of share-based compensation. We also made deferred acquisition payments of $1.9 million to the sellers of certain businesses we acquired. These payments were primarily the result of achieving specified financial performance targets in accordance with the related purchase agreements.</w:t>
      </w:r>
    </w:p>
    <w:p>
      <w:pPr>
        <w:spacing w:after="0" w:line="158"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During the six months ended June 30, 2021, we borrowed $139.0 million primarily to fund our annual performance bonus payment, and made repayments on our borrowings of $74.3 million. Additionally, during the first six months of 2021, we repurchased and retired</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$35.2 million of our common stock under our share repurchase program. We also reacquired $8.7 million of common stock as a result of tax withholdings upon vesting of share-based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to $100 million. During the first quarter of 2022, our board of directors authorized a further extension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June 30, 2022, $77.9 million remained available for share repurchases under our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we had $342.0 million outstanding under our senior secured credit facility, as discussed below.</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 Fees and interest on borrowings is paid on a monthly basis.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60" w:firstLine="8"/>
        <w:spacing w:after="0" w:line="251"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2022 and December 31, 2021, we were in compliance with these financial covenants. Our Consolidated Leverage Ratio as of June 30, 2022 was 2.20 to 1.00, compared to 1.73 to 1.00 as of December 31, 2021. Our Consolidated Interest Coverage Ratio as of June 30, 2022 was 19.03 to 1.00, compared to 18.43 to 1.00 as of December 31, 2021.</w:t>
      </w:r>
    </w:p>
    <w:p>
      <w:pPr>
        <w:sectPr>
          <w:pgSz w:w="11900" w:h="16838" w:orient="portrait"/>
          <w:cols w:equalWidth="0" w:num="1">
            <w:col w:w="11240"/>
          </w:cols>
          <w:pgMar w:left="320" w:top="140" w:right="339" w:bottom="927"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27"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Principal borrowings outstanding under the Amended Credit Agreement at June 30, 2022 and December 31, 2021 totaled $ 342.0 million and $230.0 million, respectively. These borrowings carried a weighted average interest rate of 2.6% at June 30, 2022 and 2.7% at December 31, 2021,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June 30, 2022, we had outstanding letters of credit totaling $0.7 million, which are used as security deposits for our office facilities. As of June 30, 2022, the unused borrowing capacity under the revolving credit facility was $257.3 million.</w:t>
      </w:r>
    </w:p>
    <w:p>
      <w:pPr>
        <w:spacing w:after="0" w:line="153"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Throughout 2021, our primary financing need was to support our operations and maintain our liquidity during the COVID-19 pandemic. As such, we took proactive measures to increase available cash on hand, including, but not limited to, borrowing under our senior secured credit facility, reducing discretionary operating and capital expenses, and electing to defer the deposit of our employer portion of social security taxes as provided for under the CARES Act.</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Given improved visibility to our project backlog and access to capital resources, our primary financing need has returned to funding our long-term growth. Our growth strategy is to expand our service offerings, which may require investments in new hires, acquisitions of complementary businesses, possible expansion into other geographic areas, and related capital expenditures.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2021. Below is an update to our critical accounting policy related to the carrying values of goodwill and other intangible assets. There have been no material changes to our other critical accounting policies during the first six months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2022 Goodwill Reallocation</w:t>
      </w:r>
    </w:p>
    <w:p>
      <w:pPr>
        <w:spacing w:after="0" w:line="18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ectPr>
          <w:pgSz w:w="11900" w:h="16838" w:orient="portrait"/>
          <w:cols w:equalWidth="0" w:num="1">
            <w:col w:w="11220"/>
          </w:cols>
          <w:pgMar w:left="320" w:top="140" w:right="359" w:bottom="1089"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089"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June 30, 2022, we had borrowings outstanding under the credit facility totaling $342.0 million that carried a weighted average interest rate of 2.6%, including the impact of the interest rate swaps described below. A hypothetical 100 basis point change in the interest rate would have a $ 1.4 million effect on our pretax income on an annualized basis, including the effect of the interest rate swaps. At December 31, 2021, we had borrowings outstanding under the credit facility totaling $230.0 million that carried a weighted average interest rate of 2.7% including the impact of the interest rate swaps. A hypothetical 100 basis point change in the interest rate would have had a $0.3 million effect on our pretax income on an annualized basis, including the effect of the interest rate swaps.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2017, the Financial Conduct Authority (FCA) in the U.K. announced that it would phase out LIBOR as a benchmark rate by the end of 2021. In March 2021, the ICE Benchmark Administration Limited, the administrator of LIBOR, extended the transition dates of certain LIBOR tenors (including all U.S. Dollar LIBOR tenors other than one-week and two-month U.S. Dollar LIBOR tenors) to June 30, 2023, after which LIBOR reference rates will cease to be provided. Our Amended Credit Agreement and interest rate swap agreements provide for any transitions away from LIBOR to a successor rate to be based on prevailing or equivalent standards.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4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w:t>
      </w:r>
    </w:p>
    <w:p>
      <w:pPr>
        <w:sectPr>
          <w:pgSz w:w="11900" w:h="16838" w:orient="portrait"/>
          <w:cols w:equalWidth="0" w:num="1">
            <w:col w:w="11220"/>
          </w:cols>
          <w:pgMar w:left="320" w:top="140" w:right="359" w:bottom="833"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833"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comprehensive income. As of June 30, 2022, the fair value of the investment was $63.4 million, with a total cost basis of $40.9 million. At December 31, 2021, the fair value of the investment was $65.9 million, with a total cost basis of $40.9 million.</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June 30, 2022, the carrying value of the investment was $33.6 million, with a total cost basis of $5.0 million. As of December 31, 2021, the carrying value of the investment was $ 6.7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w:t>
      </w:r>
    </w:p>
    <w:p>
      <w:pPr>
        <w:spacing w:after="0" w:line="17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2022. Based on this evaluation, our Chief Executive Officer and Chief Financial Officer have concluded that, as of June 30, 2022,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2022 that has materially affected, or is reasonably likely to materially affect, our internal control over financial reporting.</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8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Form 10-Q.</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2021, which was filed with the Securities and Exchange Commission on February 24, 2022, for a complete description of the material risks we face.</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2022, we reacquired 2,584 shares of common stock with a weighted average fair market value of $49.22 as a result of such tax withholdings.</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from $50 million to $100 million. During the first quarter of 2022, our board of directors authorized a further extension of the share repurchase program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ectPr>
          <w:pgSz w:w="11900" w:h="16838" w:orient="portrait"/>
          <w:cols w:equalWidth="0" w:num="1">
            <w:col w:w="11240"/>
          </w:cols>
          <w:pgMar w:left="320" w:top="140" w:right="339" w:bottom="113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13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2022 - April 30, 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103,667,584</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May 1, 2022 - May 31, 2022</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239,650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239,650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90,015,176</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2022 - June 30, 2022</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203,265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77,919,714</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500,131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56.90</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80" w:right="280" w:hanging="972"/>
        <w:spacing w:after="0" w:line="261" w:lineRule="auto"/>
        <w:tabs>
          <w:tab w:leader="none" w:pos="10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repurchased included 2,327 shares in April 2022 and 257 shares in June 2022 to satisfy employee tax withholding requirements. These shares do not reduce the repurchase authority under the share repurchase program.</w:t>
      </w:r>
    </w:p>
    <w:p>
      <w:pPr>
        <w:spacing w:after="0" w:line="35" w:lineRule="exact"/>
        <w:rPr>
          <w:rFonts w:ascii="Arial" w:cs="Arial" w:eastAsia="Arial" w:hAnsi="Arial"/>
          <w:sz w:val="18"/>
          <w:szCs w:val="18"/>
          <w:color w:val="auto"/>
        </w:rPr>
      </w:pPr>
    </w:p>
    <w:p>
      <w:pPr>
        <w:ind w:left="1020" w:hanging="101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700" w:type="dxa"/>
            <w:vAlign w:val="bottom"/>
            <w:gridSpan w:val="8"/>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Filed</w:t>
            </w: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Period</w:t>
            </w: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4700" w:type="dxa"/>
            <w:vAlign w:val="bottom"/>
            <w:gridSpan w:val="8"/>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42" w:lineRule="exact"/>
              <w:rPr>
                <w:sz w:val="20"/>
                <w:szCs w:val="20"/>
                <w:color w:val="auto"/>
              </w:rPr>
            </w:pPr>
            <w:r>
              <w:rPr>
                <w:rFonts w:ascii="Arial" w:cs="Arial" w:eastAsia="Arial" w:hAnsi="Arial"/>
                <w:sz w:val="16"/>
                <w:szCs w:val="16"/>
                <w:color w:val="auto"/>
              </w:rPr>
              <w:t>31.1</w:t>
            </w:r>
          </w:p>
        </w:tc>
        <w:tc>
          <w:tcPr>
            <w:tcW w:w="120" w:type="dxa"/>
            <w:vAlign w:val="bottom"/>
          </w:tcPr>
          <w:p>
            <w:pPr>
              <w:spacing w:after="0"/>
              <w:rPr>
                <w:sz w:val="13"/>
                <w:szCs w:val="13"/>
                <w:color w:val="auto"/>
              </w:rPr>
            </w:pPr>
          </w:p>
        </w:tc>
        <w:tc>
          <w:tcPr>
            <w:tcW w:w="4700" w:type="dxa"/>
            <w:vAlign w:val="bottom"/>
            <w:gridSpan w:val="8"/>
          </w:tcPr>
          <w:p>
            <w:pPr>
              <w:spacing w:after="0" w:line="136" w:lineRule="exact"/>
              <w:rPr>
                <w:rFonts w:ascii="Arial" w:cs="Arial" w:eastAsia="Arial" w:hAnsi="Arial"/>
                <w:sz w:val="15"/>
                <w:szCs w:val="15"/>
                <w:color w:val="0000FF"/>
              </w:rPr>
            </w:pPr>
            <w:hyperlink w:anchor="page48">
              <w:r>
                <w:rPr>
                  <w:rFonts w:ascii="Arial" w:cs="Arial" w:eastAsia="Arial" w:hAnsi="Arial"/>
                  <w:sz w:val="15"/>
                  <w:szCs w:val="15"/>
                  <w:color w:val="0000FF"/>
                </w:rPr>
                <w:t>Certification of the Chief Executive Officer, pursuant to Rule</w:t>
              </w:r>
            </w:hyperlink>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13a-14(a)/15d-14(a), as adopted pursuant to Section 302 of</w:t>
              </w:r>
            </w:hyperlink>
          </w:p>
        </w:tc>
        <w:tc>
          <w:tcPr>
            <w:tcW w:w="440" w:type="dxa"/>
            <w:vAlign w:val="bottom"/>
            <w:gridSpan w:val="3"/>
          </w:tcPr>
          <w:p>
            <w:pPr>
              <w:ind w:left="60"/>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Sarbanes-Oxley Act of 2002.</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4700" w:type="dxa"/>
            <w:vAlign w:val="bottom"/>
            <w:gridSpan w:val="8"/>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Certification of the Chief Financial Officer, pursuant to Rule</w:t>
              </w:r>
            </w:hyperlink>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gridSpan w:val="8"/>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13a-14(a)/15d-14(a), as adopted pursuant to Section 302 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Sarbanes-Oxley Act of 2002.</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4700" w:type="dxa"/>
            <w:vAlign w:val="bottom"/>
            <w:gridSpan w:val="8"/>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Certification of the Chief Executive Officer, pursuant to 18</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U.S.C. Section 1350, as adopted pursuant to Section 906</w:t>
              </w:r>
            </w:hyperlink>
          </w:p>
        </w:tc>
        <w:tc>
          <w:tcPr>
            <w:tcW w:w="600" w:type="dxa"/>
            <w:vAlign w:val="bottom"/>
            <w:gridSpan w:val="5"/>
          </w:tcPr>
          <w:p>
            <w:pPr>
              <w:ind w:left="60"/>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4700" w:type="dxa"/>
            <w:vAlign w:val="bottom"/>
            <w:gridSpan w:val="8"/>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the Chief Financial Officer, pursuant to 18</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Borders>
              <w:top w:val="single" w:sz="8" w:color="0000FF"/>
            </w:tcBorders>
            <w:gridSpan w:val="2"/>
          </w:tcPr>
          <w:p>
            <w:pPr>
              <w:spacing w:after="0" w:line="142" w:lineRule="exact"/>
              <w:rPr>
                <w:rFonts w:ascii="Arial" w:cs="Arial" w:eastAsia="Arial" w:hAnsi="Arial"/>
                <w:sz w:val="16"/>
                <w:szCs w:val="16"/>
                <w:color w:val="0000FF"/>
                <w:w w:val="99"/>
              </w:rPr>
            </w:pPr>
            <w:hyperlink w:anchor="page51">
              <w:r>
                <w:rPr>
                  <w:rFonts w:ascii="Arial" w:cs="Arial" w:eastAsia="Arial" w:hAnsi="Arial"/>
                  <w:sz w:val="16"/>
                  <w:szCs w:val="16"/>
                  <w:color w:val="0000FF"/>
                  <w:w w:val="99"/>
                </w:rPr>
                <w:t>U.S.C. Section 1350, as adopted pursuant to Section 906</w:t>
              </w:r>
            </w:hyperlink>
          </w:p>
        </w:tc>
        <w:tc>
          <w:tcPr>
            <w:tcW w:w="640" w:type="dxa"/>
            <w:vAlign w:val="bottom"/>
            <w:gridSpan w:val="6"/>
          </w:tcPr>
          <w:p>
            <w:pPr>
              <w:ind w:left="100"/>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17"/>
                <w:szCs w:val="17"/>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gridSpan w:val="8"/>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18"/>
                <w:szCs w:val="18"/>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15"/>
                <w:szCs w:val="15"/>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18"/>
                <w:szCs w:val="18"/>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15"/>
                <w:szCs w:val="15"/>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15"/>
                <w:szCs w:val="15"/>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5"/>
                <w:szCs w:val="15"/>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July 28, 2022</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1560"/>
              <w:spacing w:after="0" w:line="189" w:lineRule="exact"/>
              <w:rPr>
                <w:sz w:val="20"/>
                <w:szCs w:val="20"/>
                <w:color w:val="auto"/>
              </w:rPr>
            </w:pPr>
            <w:r>
              <w:rPr>
                <w:rFonts w:ascii="Arial" w:cs="Arial" w:eastAsia="Arial" w:hAnsi="Arial"/>
                <w:sz w:val="18"/>
                <w:szCs w:val="18"/>
                <w:color w:val="auto"/>
              </w:rPr>
              <w:t>Executive Vice President,</w:t>
            </w:r>
          </w:p>
        </w:tc>
      </w:t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0"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28,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28,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2022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28, 2022</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30"/>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2022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28, 2022</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17"/>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Roman"/>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2022-07-28T16:27:35Z</dcterms:created>
  <dcterms:modified xsi:type="dcterms:W3CDTF">2022-07-28T16:27:35Z</dcterms:modified>
</cp:coreProperties>
</file>