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 )</w:t>
      </w:r>
    </w:p>
    <w:p>
      <w:pPr>
        <w:spacing w:after="0" w:line="61"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6" w:lineRule="exact"/>
        <w:rPr>
          <w:sz w:val="24"/>
          <w:szCs w:val="24"/>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57" w:lineRule="exact"/>
        <w:rPr>
          <w:sz w:val="24"/>
          <w:szCs w:val="24"/>
          <w:color w:val="auto"/>
        </w:rPr>
      </w:pPr>
    </w:p>
    <w:p>
      <w:pPr>
        <w:ind w:left="460" w:hanging="452"/>
        <w:spacing w:after="0"/>
        <w:tabs>
          <w:tab w:leader="none" w:pos="4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680" w:hanging="452"/>
        <w:spacing w:after="0" w:line="325" w:lineRule="auto"/>
        <w:tabs>
          <w:tab w:leader="none" w:pos="460"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205740</wp:posOffset>
            </wp:positionV>
            <wp:extent cx="2084070" cy="43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8407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550 West Van Buren Street</w:t>
      </w:r>
    </w:p>
    <w:p>
      <w:pPr>
        <w:spacing w:after="0" w:line="5"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Chicago, IL 60607</w:t>
      </w:r>
    </w:p>
    <w:p>
      <w:pPr>
        <w:spacing w:after="0" w:line="16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00548B"/>
        </w:rPr>
        <w:t>NOTICE OF ANNUAL MEETING OF STOCKHOLDERS</w:t>
      </w:r>
    </w:p>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0548B"/>
        </w:rPr>
        <w:t>May 3, 2019</w:t>
      </w:r>
    </w:p>
    <w:p>
      <w:pPr>
        <w:spacing w:after="0" w:line="196"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The Annual Meeting of Stockholders of Huron Consulting Group Inc. (the “Company”) will be held at the Company’s corporate headquarters located at 550 West Van Buren Street, Chicago, Illinois 60607 on May 3, 2019, at 11:00 a.m. Central Time, for the following purposes:</w:t>
      </w:r>
    </w:p>
    <w:p>
      <w:pPr>
        <w:sectPr>
          <w:pgSz w:w="11900" w:h="16838" w:orient="portrait"/>
          <w:cols w:equalWidth="0" w:num="1">
            <w:col w:w="11220"/>
          </w:cols>
          <w:pgMar w:left="240" w:top="459" w:right="439" w:bottom="1440" w:gutter="0" w:footer="0" w:header="0"/>
        </w:sectPr>
      </w:pPr>
    </w:p>
    <w:p>
      <w:pPr>
        <w:spacing w:after="0" w:line="192" w:lineRule="exact"/>
        <w:rPr>
          <w:sz w:val="20"/>
          <w:szCs w:val="20"/>
          <w:color w:val="auto"/>
        </w:rPr>
      </w:pPr>
    </w:p>
    <w:p>
      <w:pPr>
        <w:ind w:left="480"/>
        <w:spacing w:after="0"/>
        <w:rPr>
          <w:sz w:val="20"/>
          <w:szCs w:val="20"/>
          <w:color w:val="auto"/>
        </w:rPr>
      </w:pPr>
      <w:r>
        <w:rPr>
          <w:rFonts w:ascii="Arial" w:cs="Arial" w:eastAsia="Arial" w:hAnsi="Arial"/>
          <w:sz w:val="43"/>
          <w:szCs w:val="43"/>
          <w:color w:val="00548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-312420</wp:posOffset>
            </wp:positionV>
            <wp:extent cx="497205" cy="1620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 cy="1620520"/>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Arial" w:cs="Arial" w:eastAsia="Arial" w:hAnsi="Arial"/>
          <w:sz w:val="43"/>
          <w:szCs w:val="43"/>
          <w:color w:val="00548B"/>
        </w:rPr>
        <w:t>2</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43"/>
          <w:szCs w:val="43"/>
          <w:color w:val="00548B"/>
        </w:rPr>
        <w:t>3</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43"/>
          <w:szCs w:val="43"/>
          <w:color w:val="00548B"/>
        </w:rPr>
        <w:t>4</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43"/>
          <w:szCs w:val="43"/>
          <w:color w:val="00548B"/>
        </w:rPr>
        <w:t>5</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To elect to the board of directors the three persons nominated by the board of directors to serve as Class III Directors;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To approve an amendment to the Company’s Amended and Restated 2012 Omnibus Incentive Plan;</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An advisory vote to approve the Company’s executive compensation;</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 ratify the appointment of PricewaterhouseCoopers LLP as the Company’s independent registered public accounting firm for the fiscal year ending December 31, 2019; and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To transact such other business as may properly come before the meeting or any postponement or adjournment thereof.</w:t>
      </w:r>
    </w:p>
    <w:p>
      <w:pPr>
        <w:spacing w:after="0" w:line="356" w:lineRule="exact"/>
        <w:rPr>
          <w:sz w:val="20"/>
          <w:szCs w:val="20"/>
          <w:color w:val="auto"/>
        </w:rPr>
      </w:pPr>
    </w:p>
    <w:p>
      <w:pPr>
        <w:sectPr>
          <w:pgSz w:w="11900" w:h="16838" w:orient="portrait"/>
          <w:cols w:equalWidth="0" w:num="2">
            <w:col w:w="720" w:space="480"/>
            <w:col w:w="100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Only stockholders of record at the close of business on March 6, 2019 will be entitled to notice of and to vote at the meeting.</w:t>
      </w:r>
    </w:p>
    <w:p>
      <w:pPr>
        <w:spacing w:after="0" w:line="181"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161"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139065</wp:posOffset>
            </wp:positionV>
            <wp:extent cx="164655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Diane E. Ratekin</w:t>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6"/>
          <w:szCs w:val="16"/>
          <w:i w:val="1"/>
          <w:iCs w:val="1"/>
          <w:color w:val="auto"/>
        </w:rPr>
        <w:t>Executive Vice President, General</w:t>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6"/>
          <w:szCs w:val="16"/>
          <w:i w:val="1"/>
          <w:iCs w:val="1"/>
          <w:color w:val="auto"/>
        </w:rPr>
        <w:t>Counsel and Corporate Secretary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Chicago, Illinois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March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6997700" cy="866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548B"/>
        </w:rPr>
        <w:t>Important Notice Regarding the Availability of</w:t>
      </w:r>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548B"/>
        </w:rPr>
        <w:t>Proxy Materials for the Stockholder Meeting to be</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548B"/>
        </w:rPr>
        <w:t>Held on May 3, 2019</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548B"/>
        </w:rPr>
        <w:t>The Proxy Statement and Annual Report to Stockholders are</w:t>
      </w:r>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548B"/>
        </w:rPr>
        <w:t xml:space="preserve">available at </w:t>
      </w:r>
      <w:r>
        <w:rPr>
          <w:rFonts w:ascii="Arial" w:cs="Arial" w:eastAsia="Arial" w:hAnsi="Arial"/>
          <w:sz w:val="16"/>
          <w:szCs w:val="16"/>
          <w:b w:val="1"/>
          <w:bCs w:val="1"/>
          <w:i w:val="1"/>
          <w:iCs w:val="1"/>
          <w:color w:val="00548B"/>
        </w:rPr>
        <w:t>www.edocumentview.com/HURN</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0548B"/>
        </w:rPr>
        <w:t>Letter from the Independent Directors of the Board</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Dear Fellow Shareholders:</w:t>
      </w:r>
    </w:p>
    <w:p>
      <w:pPr>
        <w:spacing w:after="0" w:line="194"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We are writing to you as the independent members of the Huron board of directors. As fellow shareholders, we are committed to working to ensure that Huron’s management compensation programs align with the long-term interests of the Company and our shareholders. At last year’s annual meeting, you made your feelings known to us through the Say on Pay approval vote and we want you to know we heard your feedback and have taken action. Last year’s Say on Pay vote received 40% support, after an average of 98.5% support since 2011. In response, last fall our chairs of the board and of the Compensation Committee, along with Huron’s CFO, solicited feedback from holders of over 70% of the Company’s outstanding shares and met in person or on the telephone with holders of 41% of the Company’s shares. This shareholder engagement took place after the annual meeting and the primary focus areas were the NEO compensation program and corporate governance. We sincerely thank those of you who provided your feedback.</w:t>
      </w:r>
    </w:p>
    <w:p>
      <w:pPr>
        <w:spacing w:after="0" w:line="168"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As added context, in response to the significant changes in the demand for our services discussed below, the board and executives reviewed the Company strategy in 2017 and took a number of actions to improve our long-term revenue growth and EBITDA margins, while at the same time retaining and attracting the best talent. In 2018, we implemented a new multi-year strategy and have begun to see important business performance improvements. Additionally in 2018, we carefully considered the feedback we received from our shareholders and made certain modifications to compensation programs to more clearly align long-term compensation for NEOs with our strategic plan and the interests of our shareholders. Given the transformational strategy currently underway, we believe that our revised compensation plan will be an effective way to reward management for creating long-term shareholder value.</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Outlined below is what we heard from you and how we addressed it.</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Long-Term Incentive</w:t>
      </w:r>
    </w:p>
    <w:p>
      <w:pPr>
        <w:spacing w:after="0" w:line="235"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340" w:type="dxa"/>
            <w:vAlign w:val="bottom"/>
            <w:tcBorders>
              <w:left w:val="single" w:sz="8" w:color="00548B"/>
              <w:right w:val="single" w:sz="8" w:color="00548B"/>
            </w:tcBorders>
            <w:shd w:val="clear" w:color="auto" w:fill="00548B"/>
          </w:tcPr>
          <w:p>
            <w:pPr>
              <w:spacing w:after="0"/>
              <w:rPr>
                <w:sz w:val="17"/>
                <w:szCs w:val="17"/>
                <w:color w:val="auto"/>
              </w:rPr>
            </w:pPr>
          </w:p>
        </w:tc>
        <w:tc>
          <w:tcPr>
            <w:tcW w:w="5300" w:type="dxa"/>
            <w:vAlign w:val="bottom"/>
            <w:tcBorders>
              <w:right w:val="single" w:sz="8" w:color="00548B"/>
            </w:tcBorders>
            <w:shd w:val="clear" w:color="auto" w:fill="00548B"/>
          </w:tcPr>
          <w:p>
            <w:pPr>
              <w:ind w:left="2120"/>
              <w:spacing w:after="0"/>
              <w:rPr>
                <w:sz w:val="20"/>
                <w:szCs w:val="20"/>
                <w:color w:val="auto"/>
              </w:rPr>
            </w:pPr>
            <w:r>
              <w:rPr>
                <w:rFonts w:ascii="Arial" w:cs="Arial" w:eastAsia="Arial" w:hAnsi="Arial"/>
                <w:sz w:val="16"/>
                <w:szCs w:val="16"/>
                <w:b w:val="1"/>
                <w:bCs w:val="1"/>
                <w:color w:val="E5E5E5"/>
              </w:rPr>
              <w:t>What we heard</w:t>
            </w:r>
          </w:p>
        </w:tc>
        <w:tc>
          <w:tcPr>
            <w:tcW w:w="280" w:type="dxa"/>
            <w:vAlign w:val="bottom"/>
            <w:tcBorders>
              <w:right w:val="single" w:sz="8" w:color="00548B"/>
            </w:tcBorders>
            <w:shd w:val="clear" w:color="auto" w:fill="00548B"/>
          </w:tcPr>
          <w:p>
            <w:pPr>
              <w:spacing w:after="0"/>
              <w:rPr>
                <w:sz w:val="17"/>
                <w:szCs w:val="17"/>
                <w:color w:val="auto"/>
              </w:rPr>
            </w:pPr>
          </w:p>
        </w:tc>
        <w:tc>
          <w:tcPr>
            <w:tcW w:w="5120" w:type="dxa"/>
            <w:vAlign w:val="bottom"/>
            <w:tcBorders>
              <w:right w:val="single" w:sz="8" w:color="00548B"/>
            </w:tcBorders>
            <w:shd w:val="clear" w:color="auto" w:fill="00548B"/>
          </w:tcPr>
          <w:p>
            <w:pPr>
              <w:ind w:left="2100"/>
              <w:spacing w:after="0"/>
              <w:rPr>
                <w:sz w:val="20"/>
                <w:szCs w:val="20"/>
                <w:color w:val="auto"/>
              </w:rPr>
            </w:pPr>
            <w:r>
              <w:rPr>
                <w:rFonts w:ascii="Arial" w:cs="Arial" w:eastAsia="Arial" w:hAnsi="Arial"/>
                <w:sz w:val="16"/>
                <w:szCs w:val="16"/>
                <w:b w:val="1"/>
                <w:bCs w:val="1"/>
                <w:color w:val="E5E5E5"/>
              </w:rPr>
              <w:t>What we did</w:t>
            </w:r>
          </w:p>
        </w:tc>
      </w:tr>
      <w:tr>
        <w:trPr>
          <w:trHeight w:val="191"/>
        </w:trPr>
        <w:tc>
          <w:tcPr>
            <w:tcW w:w="340" w:type="dxa"/>
            <w:vAlign w:val="bottom"/>
            <w:tcBorders>
              <w:left w:val="single" w:sz="8" w:color="00548B"/>
              <w:right w:val="single" w:sz="8" w:color="999999"/>
            </w:tcBorders>
          </w:tcPr>
          <w:p>
            <w:pPr>
              <w:ind w:left="140"/>
              <w:spacing w:after="0" w:line="111" w:lineRule="exact"/>
              <w:rPr>
                <w:sz w:val="20"/>
                <w:szCs w:val="20"/>
                <w:color w:val="auto"/>
              </w:rPr>
            </w:pPr>
            <w:r>
              <w:rPr>
                <w:rFonts w:ascii="MS PGothic" w:cs="MS PGothic" w:eastAsia="MS PGothic" w:hAnsi="MS PGothic"/>
                <w:sz w:val="11"/>
                <w:szCs w:val="11"/>
                <w:color w:val="00548B"/>
              </w:rPr>
              <w:t>◆</w:t>
            </w:r>
          </w:p>
        </w:tc>
        <w:tc>
          <w:tcPr>
            <w:tcW w:w="530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You objected to the increase in our CEO’s long-term incentive target</w:t>
            </w:r>
          </w:p>
        </w:tc>
        <w:tc>
          <w:tcPr>
            <w:tcW w:w="280" w:type="dxa"/>
            <w:vAlign w:val="bottom"/>
            <w:tcBorders>
              <w:right w:val="single" w:sz="8" w:color="999999"/>
            </w:tcBorders>
          </w:tcPr>
          <w:p>
            <w:pPr>
              <w:ind w:left="80"/>
              <w:spacing w:after="0" w:line="111" w:lineRule="exact"/>
              <w:rPr>
                <w:sz w:val="20"/>
                <w:szCs w:val="20"/>
                <w:color w:val="auto"/>
              </w:rPr>
            </w:pPr>
            <w:r>
              <w:rPr>
                <w:rFonts w:ascii="MS PGothic" w:cs="MS PGothic" w:eastAsia="MS PGothic" w:hAnsi="MS PGothic"/>
                <w:sz w:val="11"/>
                <w:szCs w:val="11"/>
                <w:color w:val="00548B"/>
              </w:rPr>
              <w:t>◆</w:t>
            </w: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In lieu of any base salary increases over the past four years, the</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from 225% of base salary to 300% of base salary for 2017.</w:t>
            </w: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Compensation Committee elected to place emphasis on long-term</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performance. In light of feedback, while still not increasing base</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salary for a fifth year, and maintaining the emphasis on long-term</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performance, aligned with the strategic actions described above, we</w:t>
            </w:r>
          </w:p>
        </w:tc>
      </w:tr>
      <w:tr>
        <w:trPr>
          <w:trHeight w:val="187"/>
        </w:trPr>
        <w:tc>
          <w:tcPr>
            <w:tcW w:w="340" w:type="dxa"/>
            <w:vAlign w:val="bottom"/>
            <w:tcBorders>
              <w:left w:val="single" w:sz="8" w:color="00548B"/>
              <w:bottom w:val="single" w:sz="8" w:color="999999"/>
              <w:right w:val="single" w:sz="8" w:color="999999"/>
            </w:tcBorders>
          </w:tcPr>
          <w:p>
            <w:pPr>
              <w:spacing w:after="0"/>
              <w:rPr>
                <w:sz w:val="16"/>
                <w:szCs w:val="16"/>
                <w:color w:val="auto"/>
              </w:rPr>
            </w:pPr>
          </w:p>
        </w:tc>
        <w:tc>
          <w:tcPr>
            <w:tcW w:w="5300" w:type="dxa"/>
            <w:vAlign w:val="bottom"/>
            <w:tcBorders>
              <w:bottom w:val="single" w:sz="8" w:color="999999"/>
              <w:right w:val="single" w:sz="8" w:color="999999"/>
            </w:tcBorders>
          </w:tcPr>
          <w:p>
            <w:pPr>
              <w:spacing w:after="0"/>
              <w:rPr>
                <w:sz w:val="16"/>
                <w:szCs w:val="16"/>
                <w:color w:val="auto"/>
              </w:rPr>
            </w:pPr>
          </w:p>
        </w:tc>
        <w:tc>
          <w:tcPr>
            <w:tcW w:w="280" w:type="dxa"/>
            <w:vAlign w:val="bottom"/>
            <w:tcBorders>
              <w:bottom w:val="single" w:sz="8" w:color="999999"/>
              <w:right w:val="single" w:sz="8" w:color="999999"/>
            </w:tcBorders>
          </w:tcPr>
          <w:p>
            <w:pPr>
              <w:spacing w:after="0"/>
              <w:rPr>
                <w:sz w:val="16"/>
                <w:szCs w:val="16"/>
                <w:color w:val="auto"/>
              </w:rPr>
            </w:pPr>
          </w:p>
        </w:tc>
        <w:tc>
          <w:tcPr>
            <w:tcW w:w="5120" w:type="dxa"/>
            <w:vAlign w:val="bottom"/>
            <w:tcBorders>
              <w:bottom w:val="single" w:sz="8" w:color="999999"/>
              <w:right w:val="single" w:sz="8" w:color="00548B"/>
            </w:tcBorders>
          </w:tcPr>
          <w:p>
            <w:pPr>
              <w:ind w:left="80"/>
              <w:spacing w:after="0"/>
              <w:rPr>
                <w:sz w:val="20"/>
                <w:szCs w:val="20"/>
                <w:color w:val="auto"/>
              </w:rPr>
            </w:pPr>
            <w:r>
              <w:rPr>
                <w:rFonts w:ascii="Arial" w:cs="Arial" w:eastAsia="Arial" w:hAnsi="Arial"/>
                <w:sz w:val="16"/>
                <w:szCs w:val="16"/>
                <w:color w:val="auto"/>
              </w:rPr>
              <w:t>have reduced the CEO LTI target back to 225% of salary for 2019.</w:t>
            </w:r>
          </w:p>
        </w:tc>
      </w:tr>
      <w:tr>
        <w:trPr>
          <w:trHeight w:val="184"/>
        </w:trPr>
        <w:tc>
          <w:tcPr>
            <w:tcW w:w="340" w:type="dxa"/>
            <w:vAlign w:val="bottom"/>
            <w:tcBorders>
              <w:left w:val="single" w:sz="8" w:color="00548B"/>
              <w:right w:val="single" w:sz="8" w:color="999999"/>
            </w:tcBorders>
          </w:tcPr>
          <w:p>
            <w:pPr>
              <w:ind w:left="140"/>
              <w:spacing w:after="0" w:line="111" w:lineRule="exact"/>
              <w:rPr>
                <w:sz w:val="20"/>
                <w:szCs w:val="20"/>
                <w:color w:val="auto"/>
              </w:rPr>
            </w:pPr>
            <w:r>
              <w:rPr>
                <w:rFonts w:ascii="MS PGothic" w:cs="MS PGothic" w:eastAsia="MS PGothic" w:hAnsi="MS PGothic"/>
                <w:sz w:val="11"/>
                <w:szCs w:val="11"/>
                <w:color w:val="00548B"/>
              </w:rPr>
              <w:t>◆</w:t>
            </w:r>
          </w:p>
        </w:tc>
        <w:tc>
          <w:tcPr>
            <w:tcW w:w="530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You did not support a portion of the long-term incentive plan being tied</w:t>
            </w:r>
          </w:p>
        </w:tc>
        <w:tc>
          <w:tcPr>
            <w:tcW w:w="280" w:type="dxa"/>
            <w:vAlign w:val="bottom"/>
            <w:tcBorders>
              <w:right w:val="single" w:sz="8" w:color="999999"/>
            </w:tcBorders>
          </w:tcPr>
          <w:p>
            <w:pPr>
              <w:ind w:left="80"/>
              <w:spacing w:after="0" w:line="111" w:lineRule="exact"/>
              <w:rPr>
                <w:sz w:val="20"/>
                <w:szCs w:val="20"/>
                <w:color w:val="auto"/>
              </w:rPr>
            </w:pPr>
            <w:r>
              <w:rPr>
                <w:rFonts w:ascii="MS PGothic" w:cs="MS PGothic" w:eastAsia="MS PGothic" w:hAnsi="MS PGothic"/>
                <w:sz w:val="11"/>
                <w:szCs w:val="11"/>
                <w:color w:val="00548B"/>
              </w:rPr>
              <w:t>◆</w:t>
            </w: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Beginning  in  2018,  the  long-term  incentive  plan  contains  only</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to one-year measurements.</w:t>
            </w: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aggregate three-year measurements. We kept this change in place</w:t>
            </w:r>
          </w:p>
        </w:tc>
      </w:tr>
      <w:tr>
        <w:trPr>
          <w:trHeight w:val="195"/>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for 2019.</w:t>
            </w:r>
          </w:p>
        </w:tc>
      </w:tr>
      <w:tr>
        <w:trPr>
          <w:trHeight w:val="400"/>
        </w:trPr>
        <w:tc>
          <w:tcPr>
            <w:tcW w:w="340" w:type="dxa"/>
            <w:vAlign w:val="bottom"/>
            <w:tcBorders>
              <w:left w:val="single" w:sz="8" w:color="00548B"/>
              <w:right w:val="single" w:sz="8" w:color="999999"/>
            </w:tcBorders>
          </w:tcPr>
          <w:p>
            <w:pPr>
              <w:spacing w:after="0"/>
              <w:rPr>
                <w:sz w:val="24"/>
                <w:szCs w:val="24"/>
                <w:color w:val="auto"/>
              </w:rPr>
            </w:pPr>
          </w:p>
        </w:tc>
        <w:tc>
          <w:tcPr>
            <w:tcW w:w="5300" w:type="dxa"/>
            <w:vAlign w:val="bottom"/>
            <w:tcBorders>
              <w:right w:val="single" w:sz="8" w:color="999999"/>
            </w:tcBorders>
          </w:tcPr>
          <w:p>
            <w:pPr>
              <w:spacing w:after="0"/>
              <w:rPr>
                <w:sz w:val="24"/>
                <w:szCs w:val="24"/>
                <w:color w:val="auto"/>
              </w:rPr>
            </w:pPr>
          </w:p>
        </w:tc>
        <w:tc>
          <w:tcPr>
            <w:tcW w:w="280" w:type="dxa"/>
            <w:vAlign w:val="bottom"/>
            <w:tcBorders>
              <w:right w:val="single" w:sz="8" w:color="999999"/>
            </w:tcBorders>
          </w:tcPr>
          <w:p>
            <w:pPr>
              <w:ind w:left="80"/>
              <w:spacing w:after="0" w:line="111" w:lineRule="exact"/>
              <w:rPr>
                <w:sz w:val="20"/>
                <w:szCs w:val="20"/>
                <w:color w:val="auto"/>
              </w:rPr>
            </w:pPr>
            <w:r>
              <w:rPr>
                <w:rFonts w:ascii="MS PGothic" w:cs="MS PGothic" w:eastAsia="MS PGothic" w:hAnsi="MS PGothic"/>
                <w:sz w:val="11"/>
                <w:szCs w:val="11"/>
                <w:color w:val="00548B"/>
              </w:rPr>
              <w:t>◆</w:t>
            </w: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In 2018, we also added a measure of Revenue Growth (30% of the</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total award opportunity) to complement the Adjusted Diluted EPS</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measure (40% of the total award opportunity) to better reflect our</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growth strategy. We believe revenue growth is a significant driver of</w:t>
            </w:r>
          </w:p>
        </w:tc>
      </w:tr>
      <w:tr>
        <w:trPr>
          <w:trHeight w:val="187"/>
        </w:trPr>
        <w:tc>
          <w:tcPr>
            <w:tcW w:w="340" w:type="dxa"/>
            <w:vAlign w:val="bottom"/>
            <w:tcBorders>
              <w:left w:val="single" w:sz="8" w:color="00548B"/>
              <w:bottom w:val="single" w:sz="8" w:color="00548B"/>
              <w:right w:val="single" w:sz="8" w:color="999999"/>
            </w:tcBorders>
          </w:tcPr>
          <w:p>
            <w:pPr>
              <w:spacing w:after="0"/>
              <w:rPr>
                <w:sz w:val="16"/>
                <w:szCs w:val="16"/>
                <w:color w:val="auto"/>
              </w:rPr>
            </w:pPr>
          </w:p>
        </w:tc>
        <w:tc>
          <w:tcPr>
            <w:tcW w:w="5300" w:type="dxa"/>
            <w:vAlign w:val="bottom"/>
            <w:tcBorders>
              <w:bottom w:val="single" w:sz="8" w:color="00548B"/>
              <w:right w:val="single" w:sz="8" w:color="999999"/>
            </w:tcBorders>
          </w:tcPr>
          <w:p>
            <w:pPr>
              <w:spacing w:after="0"/>
              <w:rPr>
                <w:sz w:val="16"/>
                <w:szCs w:val="16"/>
                <w:color w:val="auto"/>
              </w:rPr>
            </w:pPr>
          </w:p>
        </w:tc>
        <w:tc>
          <w:tcPr>
            <w:tcW w:w="280" w:type="dxa"/>
            <w:vAlign w:val="bottom"/>
            <w:tcBorders>
              <w:bottom w:val="single" w:sz="8" w:color="00548B"/>
              <w:right w:val="single" w:sz="8" w:color="999999"/>
            </w:tcBorders>
          </w:tcPr>
          <w:p>
            <w:pPr>
              <w:spacing w:after="0"/>
              <w:rPr>
                <w:sz w:val="16"/>
                <w:szCs w:val="16"/>
                <w:color w:val="auto"/>
              </w:rPr>
            </w:pPr>
          </w:p>
        </w:tc>
        <w:tc>
          <w:tcPr>
            <w:tcW w:w="5120" w:type="dxa"/>
            <w:vAlign w:val="bottom"/>
            <w:tcBorders>
              <w:bottom w:val="single" w:sz="8" w:color="00548B"/>
              <w:right w:val="single" w:sz="8" w:color="00548B"/>
            </w:tcBorders>
          </w:tcPr>
          <w:p>
            <w:pPr>
              <w:ind w:left="80"/>
              <w:spacing w:after="0"/>
              <w:rPr>
                <w:sz w:val="20"/>
                <w:szCs w:val="20"/>
                <w:color w:val="auto"/>
              </w:rPr>
            </w:pPr>
            <w:r>
              <w:rPr>
                <w:rFonts w:ascii="Arial" w:cs="Arial" w:eastAsia="Arial" w:hAnsi="Arial"/>
                <w:sz w:val="16"/>
                <w:szCs w:val="16"/>
                <w:color w:val="auto"/>
              </w:rPr>
              <w:t>our market valuation. We kept this change in place for 2019.</w:t>
            </w:r>
          </w:p>
        </w:tc>
      </w:tr>
    </w:tbl>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Annual Incentive</w:t>
      </w:r>
    </w:p>
    <w:p>
      <w:pPr>
        <w:spacing w:after="0" w:line="235" w:lineRule="exact"/>
        <w:rPr>
          <w:sz w:val="20"/>
          <w:szCs w:val="20"/>
          <w:color w:val="auto"/>
        </w:rPr>
      </w:pPr>
    </w:p>
    <w:tbl>
      <w:tblPr>
        <w:tblLayout w:type="fixed"/>
        <w:tblInd w:w="210" w:type="dxa"/>
        <w:tblCellMar>
          <w:top w:w="0" w:type="dxa"/>
          <w:left w:w="0" w:type="dxa"/>
          <w:bottom w:w="0" w:type="dxa"/>
          <w:right w:w="0" w:type="dxa"/>
        </w:tblCellMar>
      </w:tblPr>
      <w:tr>
        <w:trPr>
          <w:trHeight w:val="203"/>
        </w:trPr>
        <w:tc>
          <w:tcPr>
            <w:tcW w:w="420" w:type="dxa"/>
            <w:vAlign w:val="bottom"/>
            <w:tcBorders>
              <w:left w:val="single" w:sz="8" w:color="00548B"/>
              <w:right w:val="single" w:sz="8" w:color="00548B"/>
            </w:tcBorders>
            <w:shd w:val="clear" w:color="auto" w:fill="00548B"/>
          </w:tcPr>
          <w:p>
            <w:pPr>
              <w:spacing w:after="0"/>
              <w:rPr>
                <w:sz w:val="17"/>
                <w:szCs w:val="17"/>
                <w:color w:val="auto"/>
              </w:rPr>
            </w:pPr>
          </w:p>
        </w:tc>
        <w:tc>
          <w:tcPr>
            <w:tcW w:w="5280" w:type="dxa"/>
            <w:vAlign w:val="bottom"/>
            <w:tcBorders>
              <w:right w:val="single" w:sz="8" w:color="00548B"/>
            </w:tcBorders>
            <w:shd w:val="clear" w:color="auto" w:fill="00548B"/>
          </w:tcPr>
          <w:p>
            <w:pPr>
              <w:ind w:left="2100"/>
              <w:spacing w:after="0"/>
              <w:rPr>
                <w:sz w:val="20"/>
                <w:szCs w:val="20"/>
                <w:color w:val="auto"/>
              </w:rPr>
            </w:pPr>
            <w:r>
              <w:rPr>
                <w:rFonts w:ascii="Arial" w:cs="Arial" w:eastAsia="Arial" w:hAnsi="Arial"/>
                <w:sz w:val="16"/>
                <w:szCs w:val="16"/>
                <w:b w:val="1"/>
                <w:bCs w:val="1"/>
                <w:color w:val="E5E5E5"/>
              </w:rPr>
              <w:t>What we heard</w:t>
            </w:r>
          </w:p>
        </w:tc>
        <w:tc>
          <w:tcPr>
            <w:tcW w:w="280" w:type="dxa"/>
            <w:vAlign w:val="bottom"/>
            <w:tcBorders>
              <w:right w:val="single" w:sz="8" w:color="00548B"/>
            </w:tcBorders>
            <w:shd w:val="clear" w:color="auto" w:fill="00548B"/>
          </w:tcPr>
          <w:p>
            <w:pPr>
              <w:spacing w:after="0"/>
              <w:rPr>
                <w:sz w:val="17"/>
                <w:szCs w:val="17"/>
                <w:color w:val="auto"/>
              </w:rPr>
            </w:pPr>
          </w:p>
        </w:tc>
        <w:tc>
          <w:tcPr>
            <w:tcW w:w="5080" w:type="dxa"/>
            <w:vAlign w:val="bottom"/>
            <w:tcBorders>
              <w:right w:val="single" w:sz="8" w:color="00548B"/>
            </w:tcBorders>
            <w:shd w:val="clear" w:color="auto" w:fill="00548B"/>
          </w:tcPr>
          <w:p>
            <w:pPr>
              <w:ind w:left="2080"/>
              <w:spacing w:after="0"/>
              <w:rPr>
                <w:sz w:val="20"/>
                <w:szCs w:val="20"/>
                <w:color w:val="auto"/>
              </w:rPr>
            </w:pPr>
            <w:r>
              <w:rPr>
                <w:rFonts w:ascii="Arial" w:cs="Arial" w:eastAsia="Arial" w:hAnsi="Arial"/>
                <w:sz w:val="16"/>
                <w:szCs w:val="16"/>
                <w:b w:val="1"/>
                <w:bCs w:val="1"/>
                <w:color w:val="E5E5E5"/>
              </w:rPr>
              <w:t>What we did</w:t>
            </w:r>
          </w:p>
        </w:tc>
      </w:tr>
      <w:tr>
        <w:trPr>
          <w:trHeight w:val="191"/>
        </w:trPr>
        <w:tc>
          <w:tcPr>
            <w:tcW w:w="420" w:type="dxa"/>
            <w:vAlign w:val="bottom"/>
            <w:tcBorders>
              <w:left w:val="single" w:sz="8" w:color="00548B"/>
              <w:right w:val="single" w:sz="8" w:color="999999"/>
            </w:tcBorders>
          </w:tcPr>
          <w:p>
            <w:pPr>
              <w:ind w:left="160"/>
              <w:spacing w:after="0" w:line="184" w:lineRule="exact"/>
              <w:rPr>
                <w:sz w:val="20"/>
                <w:szCs w:val="20"/>
                <w:color w:val="auto"/>
              </w:rPr>
            </w:pPr>
            <w:r>
              <w:rPr>
                <w:rFonts w:ascii="MS PGothic" w:cs="MS PGothic" w:eastAsia="MS PGothic" w:hAnsi="MS PGothic"/>
                <w:sz w:val="10"/>
                <w:szCs w:val="10"/>
                <w:color w:val="00548B"/>
              </w:rPr>
              <w:t>◆</w:t>
            </w:r>
            <w:r>
              <w:rPr>
                <w:rFonts w:ascii="Arial" w:cs="Arial" w:eastAsia="Arial" w:hAnsi="Arial"/>
                <w:sz w:val="16"/>
                <w:szCs w:val="16"/>
                <w:color w:val="auto"/>
              </w:rPr>
              <w:t xml:space="preserve"> `</w:t>
            </w:r>
          </w:p>
        </w:tc>
        <w:tc>
          <w:tcPr>
            <w:tcW w:w="528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You wanted to see less emphasis on subjective strategic measures and</w:t>
            </w:r>
          </w:p>
        </w:tc>
        <w:tc>
          <w:tcPr>
            <w:tcW w:w="280" w:type="dxa"/>
            <w:vAlign w:val="bottom"/>
            <w:tcBorders>
              <w:right w:val="single" w:sz="8" w:color="999999"/>
            </w:tcBorders>
          </w:tcPr>
          <w:p>
            <w:pPr>
              <w:ind w:left="80"/>
              <w:spacing w:after="0" w:line="111" w:lineRule="exact"/>
              <w:rPr>
                <w:sz w:val="20"/>
                <w:szCs w:val="20"/>
                <w:color w:val="auto"/>
              </w:rPr>
            </w:pPr>
            <w:r>
              <w:rPr>
                <w:rFonts w:ascii="MS PGothic" w:cs="MS PGothic" w:eastAsia="MS PGothic" w:hAnsi="MS PGothic"/>
                <w:sz w:val="11"/>
                <w:szCs w:val="11"/>
                <w:color w:val="00548B"/>
              </w:rPr>
              <w:t>◆</w:t>
            </w:r>
          </w:p>
        </w:tc>
        <w:tc>
          <w:tcPr>
            <w:tcW w:w="50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For 2018, 30% of our NEOs’ target annual incentive opportunity was</w:t>
            </w:r>
          </w:p>
        </w:tc>
      </w:tr>
      <w:tr>
        <w:trPr>
          <w:trHeight w:val="189"/>
        </w:trPr>
        <w:tc>
          <w:tcPr>
            <w:tcW w:w="420" w:type="dxa"/>
            <w:vAlign w:val="bottom"/>
            <w:tcBorders>
              <w:left w:val="single" w:sz="8" w:color="00548B"/>
              <w:right w:val="single" w:sz="8" w:color="999999"/>
            </w:tcBorders>
          </w:tcPr>
          <w:p>
            <w:pPr>
              <w:spacing w:after="0"/>
              <w:rPr>
                <w:sz w:val="16"/>
                <w:szCs w:val="16"/>
                <w:color w:val="auto"/>
              </w:rPr>
            </w:pPr>
          </w:p>
        </w:tc>
        <w:tc>
          <w:tcPr>
            <w:tcW w:w="528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to better understand how the performance on the strategic measures</w:t>
            </w:r>
          </w:p>
        </w:tc>
        <w:tc>
          <w:tcPr>
            <w:tcW w:w="280" w:type="dxa"/>
            <w:vAlign w:val="bottom"/>
            <w:tcBorders>
              <w:right w:val="single" w:sz="8" w:color="999999"/>
            </w:tcBorders>
          </w:tcPr>
          <w:p>
            <w:pPr>
              <w:spacing w:after="0"/>
              <w:rPr>
                <w:sz w:val="16"/>
                <w:szCs w:val="16"/>
                <w:color w:val="auto"/>
              </w:rPr>
            </w:pPr>
          </w:p>
        </w:tc>
        <w:tc>
          <w:tcPr>
            <w:tcW w:w="50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tied to strategic measures. The strategic measures contain 60%</w:t>
            </w:r>
          </w:p>
        </w:tc>
      </w:tr>
      <w:tr>
        <w:trPr>
          <w:trHeight w:val="189"/>
        </w:trPr>
        <w:tc>
          <w:tcPr>
            <w:tcW w:w="420" w:type="dxa"/>
            <w:vAlign w:val="bottom"/>
            <w:tcBorders>
              <w:left w:val="single" w:sz="8" w:color="00548B"/>
              <w:right w:val="single" w:sz="8" w:color="999999"/>
            </w:tcBorders>
          </w:tcPr>
          <w:p>
            <w:pPr>
              <w:spacing w:after="0"/>
              <w:rPr>
                <w:sz w:val="16"/>
                <w:szCs w:val="16"/>
                <w:color w:val="auto"/>
              </w:rPr>
            </w:pPr>
          </w:p>
        </w:tc>
        <w:tc>
          <w:tcPr>
            <w:tcW w:w="528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was assessed.</w:t>
            </w:r>
          </w:p>
        </w:tc>
        <w:tc>
          <w:tcPr>
            <w:tcW w:w="280" w:type="dxa"/>
            <w:vAlign w:val="bottom"/>
            <w:tcBorders>
              <w:right w:val="single" w:sz="8" w:color="999999"/>
            </w:tcBorders>
          </w:tcPr>
          <w:p>
            <w:pPr>
              <w:spacing w:after="0"/>
              <w:rPr>
                <w:sz w:val="16"/>
                <w:szCs w:val="16"/>
                <w:color w:val="auto"/>
              </w:rPr>
            </w:pPr>
          </w:p>
        </w:tc>
        <w:tc>
          <w:tcPr>
            <w:tcW w:w="50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quantitative elements, resulting in only 12% of the annual incentive</w:t>
            </w:r>
          </w:p>
        </w:tc>
      </w:tr>
      <w:tr>
        <w:trPr>
          <w:trHeight w:val="189"/>
        </w:trPr>
        <w:tc>
          <w:tcPr>
            <w:tcW w:w="420" w:type="dxa"/>
            <w:vAlign w:val="bottom"/>
            <w:tcBorders>
              <w:left w:val="single" w:sz="8" w:color="00548B"/>
              <w:right w:val="single" w:sz="8" w:color="999999"/>
            </w:tcBorders>
          </w:tcPr>
          <w:p>
            <w:pPr>
              <w:spacing w:after="0"/>
              <w:rPr>
                <w:sz w:val="16"/>
                <w:szCs w:val="16"/>
                <w:color w:val="auto"/>
              </w:rPr>
            </w:pPr>
          </w:p>
        </w:tc>
        <w:tc>
          <w:tcPr>
            <w:tcW w:w="528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0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plan being determined by subjective measures. We have been more</w:t>
            </w:r>
          </w:p>
        </w:tc>
      </w:tr>
      <w:tr>
        <w:trPr>
          <w:trHeight w:val="189"/>
        </w:trPr>
        <w:tc>
          <w:tcPr>
            <w:tcW w:w="420" w:type="dxa"/>
            <w:vAlign w:val="bottom"/>
            <w:tcBorders>
              <w:left w:val="single" w:sz="8" w:color="00548B"/>
              <w:right w:val="single" w:sz="8" w:color="999999"/>
            </w:tcBorders>
          </w:tcPr>
          <w:p>
            <w:pPr>
              <w:spacing w:after="0"/>
              <w:rPr>
                <w:sz w:val="16"/>
                <w:szCs w:val="16"/>
                <w:color w:val="auto"/>
              </w:rPr>
            </w:pPr>
          </w:p>
        </w:tc>
        <w:tc>
          <w:tcPr>
            <w:tcW w:w="528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0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explicit in the CD&amp;A section of this proxy about how we assessed</w:t>
            </w:r>
          </w:p>
        </w:tc>
      </w:tr>
      <w:tr>
        <w:trPr>
          <w:trHeight w:val="195"/>
        </w:trPr>
        <w:tc>
          <w:tcPr>
            <w:tcW w:w="420" w:type="dxa"/>
            <w:vAlign w:val="bottom"/>
            <w:tcBorders>
              <w:left w:val="single" w:sz="8" w:color="00548B"/>
              <w:right w:val="single" w:sz="8" w:color="999999"/>
            </w:tcBorders>
          </w:tcPr>
          <w:p>
            <w:pPr>
              <w:spacing w:after="0"/>
              <w:rPr>
                <w:sz w:val="16"/>
                <w:szCs w:val="16"/>
                <w:color w:val="auto"/>
              </w:rPr>
            </w:pPr>
          </w:p>
        </w:tc>
        <w:tc>
          <w:tcPr>
            <w:tcW w:w="528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0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performance in 2018 against the strategic measures.</w:t>
            </w:r>
          </w:p>
        </w:tc>
      </w:tr>
      <w:tr>
        <w:trPr>
          <w:trHeight w:val="400"/>
        </w:trPr>
        <w:tc>
          <w:tcPr>
            <w:tcW w:w="420" w:type="dxa"/>
            <w:vAlign w:val="bottom"/>
            <w:tcBorders>
              <w:left w:val="single" w:sz="8" w:color="00548B"/>
              <w:right w:val="single" w:sz="8" w:color="999999"/>
            </w:tcBorders>
          </w:tcPr>
          <w:p>
            <w:pPr>
              <w:spacing w:after="0"/>
              <w:rPr>
                <w:sz w:val="24"/>
                <w:szCs w:val="24"/>
                <w:color w:val="auto"/>
              </w:rPr>
            </w:pPr>
          </w:p>
        </w:tc>
        <w:tc>
          <w:tcPr>
            <w:tcW w:w="5280" w:type="dxa"/>
            <w:vAlign w:val="bottom"/>
            <w:tcBorders>
              <w:right w:val="single" w:sz="8" w:color="999999"/>
            </w:tcBorders>
          </w:tcPr>
          <w:p>
            <w:pPr>
              <w:spacing w:after="0"/>
              <w:rPr>
                <w:sz w:val="24"/>
                <w:szCs w:val="24"/>
                <w:color w:val="auto"/>
              </w:rPr>
            </w:pPr>
          </w:p>
        </w:tc>
        <w:tc>
          <w:tcPr>
            <w:tcW w:w="280" w:type="dxa"/>
            <w:vAlign w:val="bottom"/>
            <w:tcBorders>
              <w:right w:val="single" w:sz="8" w:color="999999"/>
            </w:tcBorders>
          </w:tcPr>
          <w:p>
            <w:pPr>
              <w:ind w:left="80"/>
              <w:spacing w:after="0" w:line="111" w:lineRule="exact"/>
              <w:rPr>
                <w:sz w:val="20"/>
                <w:szCs w:val="20"/>
                <w:color w:val="auto"/>
              </w:rPr>
            </w:pPr>
            <w:r>
              <w:rPr>
                <w:rFonts w:ascii="MS PGothic" w:cs="MS PGothic" w:eastAsia="MS PGothic" w:hAnsi="MS PGothic"/>
                <w:sz w:val="11"/>
                <w:szCs w:val="11"/>
                <w:color w:val="00548B"/>
              </w:rPr>
              <w:t>◆</w:t>
            </w:r>
          </w:p>
        </w:tc>
        <w:tc>
          <w:tcPr>
            <w:tcW w:w="50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In addition, for 2019, we reduced the strategic measures portion of</w:t>
            </w:r>
          </w:p>
        </w:tc>
      </w:tr>
      <w:tr>
        <w:trPr>
          <w:trHeight w:val="189"/>
        </w:trPr>
        <w:tc>
          <w:tcPr>
            <w:tcW w:w="420" w:type="dxa"/>
            <w:vAlign w:val="bottom"/>
            <w:tcBorders>
              <w:left w:val="single" w:sz="8" w:color="00548B"/>
              <w:right w:val="single" w:sz="8" w:color="999999"/>
            </w:tcBorders>
          </w:tcPr>
          <w:p>
            <w:pPr>
              <w:spacing w:after="0"/>
              <w:rPr>
                <w:sz w:val="16"/>
                <w:szCs w:val="16"/>
                <w:color w:val="auto"/>
              </w:rPr>
            </w:pPr>
          </w:p>
        </w:tc>
        <w:tc>
          <w:tcPr>
            <w:tcW w:w="528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0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the annual incentive plan from 30% to 20%. Our strategic measures</w:t>
            </w:r>
          </w:p>
        </w:tc>
      </w:tr>
      <w:tr>
        <w:trPr>
          <w:trHeight w:val="189"/>
        </w:trPr>
        <w:tc>
          <w:tcPr>
            <w:tcW w:w="420" w:type="dxa"/>
            <w:vAlign w:val="bottom"/>
            <w:tcBorders>
              <w:left w:val="single" w:sz="8" w:color="00548B"/>
              <w:right w:val="single" w:sz="8" w:color="999999"/>
            </w:tcBorders>
          </w:tcPr>
          <w:p>
            <w:pPr>
              <w:spacing w:after="0"/>
              <w:rPr>
                <w:sz w:val="16"/>
                <w:szCs w:val="16"/>
                <w:color w:val="auto"/>
              </w:rPr>
            </w:pPr>
          </w:p>
        </w:tc>
        <w:tc>
          <w:tcPr>
            <w:tcW w:w="528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0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continue to contain 60% quantitative measures. These changes</w:t>
            </w:r>
          </w:p>
        </w:tc>
      </w:tr>
      <w:tr>
        <w:trPr>
          <w:trHeight w:val="189"/>
        </w:trPr>
        <w:tc>
          <w:tcPr>
            <w:tcW w:w="420" w:type="dxa"/>
            <w:vAlign w:val="bottom"/>
            <w:tcBorders>
              <w:left w:val="single" w:sz="8" w:color="00548B"/>
              <w:right w:val="single" w:sz="8" w:color="999999"/>
            </w:tcBorders>
          </w:tcPr>
          <w:p>
            <w:pPr>
              <w:spacing w:after="0"/>
              <w:rPr>
                <w:sz w:val="16"/>
                <w:szCs w:val="16"/>
                <w:color w:val="auto"/>
              </w:rPr>
            </w:pPr>
          </w:p>
        </w:tc>
        <w:tc>
          <w:tcPr>
            <w:tcW w:w="528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0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result in only 8% of the annual incentive plan being tied to subjective</w:t>
            </w:r>
          </w:p>
        </w:tc>
      </w:tr>
      <w:tr>
        <w:trPr>
          <w:trHeight w:val="187"/>
        </w:trPr>
        <w:tc>
          <w:tcPr>
            <w:tcW w:w="420" w:type="dxa"/>
            <w:vAlign w:val="bottom"/>
            <w:tcBorders>
              <w:left w:val="single" w:sz="8" w:color="00548B"/>
              <w:bottom w:val="single" w:sz="8" w:color="999999"/>
              <w:right w:val="single" w:sz="8" w:color="999999"/>
            </w:tcBorders>
          </w:tcPr>
          <w:p>
            <w:pPr>
              <w:spacing w:after="0"/>
              <w:rPr>
                <w:sz w:val="16"/>
                <w:szCs w:val="16"/>
                <w:color w:val="auto"/>
              </w:rPr>
            </w:pPr>
          </w:p>
        </w:tc>
        <w:tc>
          <w:tcPr>
            <w:tcW w:w="5280" w:type="dxa"/>
            <w:vAlign w:val="bottom"/>
            <w:tcBorders>
              <w:bottom w:val="single" w:sz="8" w:color="999999"/>
              <w:right w:val="single" w:sz="8" w:color="999999"/>
            </w:tcBorders>
          </w:tcPr>
          <w:p>
            <w:pPr>
              <w:spacing w:after="0"/>
              <w:rPr>
                <w:sz w:val="16"/>
                <w:szCs w:val="16"/>
                <w:color w:val="auto"/>
              </w:rPr>
            </w:pPr>
          </w:p>
        </w:tc>
        <w:tc>
          <w:tcPr>
            <w:tcW w:w="280" w:type="dxa"/>
            <w:vAlign w:val="bottom"/>
            <w:tcBorders>
              <w:bottom w:val="single" w:sz="8" w:color="999999"/>
              <w:right w:val="single" w:sz="8" w:color="999999"/>
            </w:tcBorders>
          </w:tcPr>
          <w:p>
            <w:pPr>
              <w:spacing w:after="0"/>
              <w:rPr>
                <w:sz w:val="16"/>
                <w:szCs w:val="16"/>
                <w:color w:val="auto"/>
              </w:rPr>
            </w:pPr>
          </w:p>
        </w:tc>
        <w:tc>
          <w:tcPr>
            <w:tcW w:w="5080" w:type="dxa"/>
            <w:vAlign w:val="bottom"/>
            <w:tcBorders>
              <w:bottom w:val="single" w:sz="8" w:color="999999"/>
              <w:right w:val="single" w:sz="8" w:color="00548B"/>
            </w:tcBorders>
          </w:tcPr>
          <w:p>
            <w:pPr>
              <w:ind w:left="80"/>
              <w:spacing w:after="0"/>
              <w:rPr>
                <w:sz w:val="20"/>
                <w:szCs w:val="20"/>
                <w:color w:val="auto"/>
              </w:rPr>
            </w:pPr>
            <w:r>
              <w:rPr>
                <w:rFonts w:ascii="Arial" w:cs="Arial" w:eastAsia="Arial" w:hAnsi="Arial"/>
                <w:sz w:val="16"/>
                <w:szCs w:val="16"/>
                <w:color w:val="auto"/>
              </w:rPr>
              <w:t>measures.</w:t>
            </w:r>
          </w:p>
        </w:tc>
      </w:tr>
      <w:tr>
        <w:trPr>
          <w:trHeight w:val="184"/>
        </w:trPr>
        <w:tc>
          <w:tcPr>
            <w:tcW w:w="420" w:type="dxa"/>
            <w:vAlign w:val="bottom"/>
            <w:tcBorders>
              <w:left w:val="single" w:sz="8" w:color="00548B"/>
              <w:right w:val="single" w:sz="8" w:color="999999"/>
            </w:tcBorders>
          </w:tcPr>
          <w:p>
            <w:pPr>
              <w:ind w:left="160"/>
              <w:spacing w:after="0" w:line="111" w:lineRule="exact"/>
              <w:rPr>
                <w:sz w:val="20"/>
                <w:szCs w:val="20"/>
                <w:color w:val="auto"/>
              </w:rPr>
            </w:pPr>
            <w:r>
              <w:rPr>
                <w:rFonts w:ascii="MS PGothic" w:cs="MS PGothic" w:eastAsia="MS PGothic" w:hAnsi="MS PGothic"/>
                <w:sz w:val="11"/>
                <w:szCs w:val="11"/>
                <w:color w:val="00548B"/>
              </w:rPr>
              <w:t>◆</w:t>
            </w:r>
          </w:p>
        </w:tc>
        <w:tc>
          <w:tcPr>
            <w:tcW w:w="528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You wanted to see more emphasis on organic revenue growth.</w:t>
            </w:r>
          </w:p>
        </w:tc>
        <w:tc>
          <w:tcPr>
            <w:tcW w:w="280" w:type="dxa"/>
            <w:vAlign w:val="bottom"/>
            <w:tcBorders>
              <w:right w:val="single" w:sz="8" w:color="999999"/>
            </w:tcBorders>
          </w:tcPr>
          <w:p>
            <w:pPr>
              <w:ind w:left="80"/>
              <w:spacing w:after="0" w:line="111" w:lineRule="exact"/>
              <w:rPr>
                <w:sz w:val="20"/>
                <w:szCs w:val="20"/>
                <w:color w:val="auto"/>
              </w:rPr>
            </w:pPr>
            <w:r>
              <w:rPr>
                <w:rFonts w:ascii="MS PGothic" w:cs="MS PGothic" w:eastAsia="MS PGothic" w:hAnsi="MS PGothic"/>
                <w:sz w:val="11"/>
                <w:szCs w:val="11"/>
                <w:color w:val="00548B"/>
              </w:rPr>
              <w:t>◆</w:t>
            </w:r>
          </w:p>
        </w:tc>
        <w:tc>
          <w:tcPr>
            <w:tcW w:w="50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Beginning in 2018, we replaced the revenue measure with organic</w:t>
            </w:r>
          </w:p>
        </w:tc>
      </w:tr>
      <w:tr>
        <w:trPr>
          <w:trHeight w:val="189"/>
        </w:trPr>
        <w:tc>
          <w:tcPr>
            <w:tcW w:w="420" w:type="dxa"/>
            <w:vAlign w:val="bottom"/>
            <w:tcBorders>
              <w:left w:val="single" w:sz="8" w:color="00548B"/>
              <w:right w:val="single" w:sz="8" w:color="999999"/>
            </w:tcBorders>
          </w:tcPr>
          <w:p>
            <w:pPr>
              <w:spacing w:after="0"/>
              <w:rPr>
                <w:sz w:val="16"/>
                <w:szCs w:val="16"/>
                <w:color w:val="auto"/>
              </w:rPr>
            </w:pPr>
          </w:p>
        </w:tc>
        <w:tc>
          <w:tcPr>
            <w:tcW w:w="528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0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revenue growth to appropriately emphasize our organic growth</w:t>
            </w:r>
          </w:p>
        </w:tc>
      </w:tr>
      <w:tr>
        <w:trPr>
          <w:trHeight w:val="187"/>
        </w:trPr>
        <w:tc>
          <w:tcPr>
            <w:tcW w:w="420" w:type="dxa"/>
            <w:vAlign w:val="bottom"/>
            <w:tcBorders>
              <w:left w:val="single" w:sz="8" w:color="00548B"/>
              <w:bottom w:val="single" w:sz="8" w:color="999999"/>
              <w:right w:val="single" w:sz="8" w:color="999999"/>
            </w:tcBorders>
          </w:tcPr>
          <w:p>
            <w:pPr>
              <w:spacing w:after="0"/>
              <w:rPr>
                <w:sz w:val="16"/>
                <w:szCs w:val="16"/>
                <w:color w:val="auto"/>
              </w:rPr>
            </w:pPr>
          </w:p>
        </w:tc>
        <w:tc>
          <w:tcPr>
            <w:tcW w:w="5280" w:type="dxa"/>
            <w:vAlign w:val="bottom"/>
            <w:tcBorders>
              <w:bottom w:val="single" w:sz="8" w:color="999999"/>
              <w:right w:val="single" w:sz="8" w:color="999999"/>
            </w:tcBorders>
          </w:tcPr>
          <w:p>
            <w:pPr>
              <w:spacing w:after="0"/>
              <w:rPr>
                <w:sz w:val="16"/>
                <w:szCs w:val="16"/>
                <w:color w:val="auto"/>
              </w:rPr>
            </w:pPr>
          </w:p>
        </w:tc>
        <w:tc>
          <w:tcPr>
            <w:tcW w:w="280" w:type="dxa"/>
            <w:vAlign w:val="bottom"/>
            <w:tcBorders>
              <w:bottom w:val="single" w:sz="8" w:color="999999"/>
              <w:right w:val="single" w:sz="8" w:color="999999"/>
            </w:tcBorders>
          </w:tcPr>
          <w:p>
            <w:pPr>
              <w:spacing w:after="0"/>
              <w:rPr>
                <w:sz w:val="16"/>
                <w:szCs w:val="16"/>
                <w:color w:val="auto"/>
              </w:rPr>
            </w:pPr>
          </w:p>
        </w:tc>
        <w:tc>
          <w:tcPr>
            <w:tcW w:w="5080" w:type="dxa"/>
            <w:vAlign w:val="bottom"/>
            <w:tcBorders>
              <w:bottom w:val="single" w:sz="8" w:color="999999"/>
              <w:right w:val="single" w:sz="8" w:color="00548B"/>
            </w:tcBorders>
          </w:tcPr>
          <w:p>
            <w:pPr>
              <w:ind w:left="80"/>
              <w:spacing w:after="0"/>
              <w:rPr>
                <w:sz w:val="20"/>
                <w:szCs w:val="20"/>
                <w:color w:val="auto"/>
              </w:rPr>
            </w:pPr>
            <w:r>
              <w:rPr>
                <w:rFonts w:ascii="Arial" w:cs="Arial" w:eastAsia="Arial" w:hAnsi="Arial"/>
                <w:sz w:val="16"/>
                <w:szCs w:val="16"/>
                <w:color w:val="auto"/>
              </w:rPr>
              <w:t>imperatives.</w:t>
            </w:r>
          </w:p>
        </w:tc>
      </w:tr>
      <w:tr>
        <w:trPr>
          <w:trHeight w:val="184"/>
        </w:trPr>
        <w:tc>
          <w:tcPr>
            <w:tcW w:w="420" w:type="dxa"/>
            <w:vAlign w:val="bottom"/>
            <w:tcBorders>
              <w:left w:val="single" w:sz="8" w:color="00548B"/>
              <w:right w:val="single" w:sz="8" w:color="999999"/>
            </w:tcBorders>
          </w:tcPr>
          <w:p>
            <w:pPr>
              <w:ind w:left="160"/>
              <w:spacing w:after="0" w:line="111" w:lineRule="exact"/>
              <w:rPr>
                <w:sz w:val="20"/>
                <w:szCs w:val="20"/>
                <w:color w:val="auto"/>
              </w:rPr>
            </w:pPr>
            <w:r>
              <w:rPr>
                <w:rFonts w:ascii="MS PGothic" w:cs="MS PGothic" w:eastAsia="MS PGothic" w:hAnsi="MS PGothic"/>
                <w:sz w:val="11"/>
                <w:szCs w:val="11"/>
                <w:color w:val="00548B"/>
              </w:rPr>
              <w:t>◆</w:t>
            </w:r>
          </w:p>
        </w:tc>
        <w:tc>
          <w:tcPr>
            <w:tcW w:w="528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Some of you wanted TSR to have an influence on payout.</w:t>
            </w:r>
          </w:p>
        </w:tc>
        <w:tc>
          <w:tcPr>
            <w:tcW w:w="280" w:type="dxa"/>
            <w:vAlign w:val="bottom"/>
            <w:tcBorders>
              <w:right w:val="single" w:sz="8" w:color="999999"/>
            </w:tcBorders>
          </w:tcPr>
          <w:p>
            <w:pPr>
              <w:ind w:left="80"/>
              <w:spacing w:after="0" w:line="111" w:lineRule="exact"/>
              <w:rPr>
                <w:sz w:val="20"/>
                <w:szCs w:val="20"/>
                <w:color w:val="auto"/>
              </w:rPr>
            </w:pPr>
            <w:r>
              <w:rPr>
                <w:rFonts w:ascii="MS PGothic" w:cs="MS PGothic" w:eastAsia="MS PGothic" w:hAnsi="MS PGothic"/>
                <w:sz w:val="11"/>
                <w:szCs w:val="11"/>
                <w:color w:val="00548B"/>
              </w:rPr>
              <w:t>◆</w:t>
            </w:r>
          </w:p>
        </w:tc>
        <w:tc>
          <w:tcPr>
            <w:tcW w:w="50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We capped the annual incentive award payout at target if total</w:t>
            </w:r>
          </w:p>
        </w:tc>
      </w:tr>
      <w:tr>
        <w:trPr>
          <w:trHeight w:val="187"/>
        </w:trPr>
        <w:tc>
          <w:tcPr>
            <w:tcW w:w="420" w:type="dxa"/>
            <w:vAlign w:val="bottom"/>
            <w:tcBorders>
              <w:left w:val="single" w:sz="8" w:color="00548B"/>
              <w:bottom w:val="single" w:sz="8" w:color="00548B"/>
              <w:right w:val="single" w:sz="8" w:color="999999"/>
            </w:tcBorders>
          </w:tcPr>
          <w:p>
            <w:pPr>
              <w:spacing w:after="0"/>
              <w:rPr>
                <w:sz w:val="16"/>
                <w:szCs w:val="16"/>
                <w:color w:val="auto"/>
              </w:rPr>
            </w:pPr>
          </w:p>
        </w:tc>
        <w:tc>
          <w:tcPr>
            <w:tcW w:w="5280" w:type="dxa"/>
            <w:vAlign w:val="bottom"/>
            <w:tcBorders>
              <w:bottom w:val="single" w:sz="8" w:color="00548B"/>
              <w:right w:val="single" w:sz="8" w:color="999999"/>
            </w:tcBorders>
          </w:tcPr>
          <w:p>
            <w:pPr>
              <w:spacing w:after="0"/>
              <w:rPr>
                <w:sz w:val="16"/>
                <w:szCs w:val="16"/>
                <w:color w:val="auto"/>
              </w:rPr>
            </w:pPr>
          </w:p>
        </w:tc>
        <w:tc>
          <w:tcPr>
            <w:tcW w:w="280" w:type="dxa"/>
            <w:vAlign w:val="bottom"/>
            <w:tcBorders>
              <w:bottom w:val="single" w:sz="8" w:color="00548B"/>
              <w:right w:val="single" w:sz="8" w:color="999999"/>
            </w:tcBorders>
          </w:tcPr>
          <w:p>
            <w:pPr>
              <w:spacing w:after="0"/>
              <w:rPr>
                <w:sz w:val="16"/>
                <w:szCs w:val="16"/>
                <w:color w:val="auto"/>
              </w:rPr>
            </w:pPr>
          </w:p>
        </w:tc>
        <w:tc>
          <w:tcPr>
            <w:tcW w:w="5080" w:type="dxa"/>
            <w:vAlign w:val="bottom"/>
            <w:tcBorders>
              <w:bottom w:val="single" w:sz="8" w:color="00548B"/>
              <w:right w:val="single" w:sz="8" w:color="00548B"/>
            </w:tcBorders>
          </w:tcPr>
          <w:p>
            <w:pPr>
              <w:ind w:left="80"/>
              <w:spacing w:after="0"/>
              <w:rPr>
                <w:sz w:val="20"/>
                <w:szCs w:val="20"/>
                <w:color w:val="auto"/>
              </w:rPr>
            </w:pPr>
            <w:r>
              <w:rPr>
                <w:rFonts w:ascii="Arial" w:cs="Arial" w:eastAsia="Arial" w:hAnsi="Arial"/>
                <w:sz w:val="16"/>
                <w:szCs w:val="16"/>
                <w:color w:val="auto"/>
              </w:rPr>
              <w:t>shareholder return is not positive during the year.</w:t>
            </w:r>
          </w:p>
        </w:tc>
      </w:tr>
      <w:tr>
        <w:trPr>
          <w:trHeight w:val="399"/>
        </w:trPr>
        <w:tc>
          <w:tcPr>
            <w:tcW w:w="5700" w:type="dxa"/>
            <w:vAlign w:val="bottom"/>
            <w:gridSpan w:val="2"/>
          </w:tcPr>
          <w:p>
            <w:pPr>
              <w:spacing w:after="0"/>
              <w:rPr>
                <w:sz w:val="20"/>
                <w:szCs w:val="20"/>
                <w:color w:val="auto"/>
              </w:rPr>
            </w:pPr>
            <w:r>
              <w:rPr>
                <w:rFonts w:ascii="Arial" w:cs="Arial" w:eastAsia="Arial" w:hAnsi="Arial"/>
                <w:sz w:val="18"/>
                <w:szCs w:val="18"/>
                <w:b w:val="1"/>
                <w:bCs w:val="1"/>
                <w:color w:val="00548B"/>
              </w:rPr>
              <w:t>Corporate Governance</w:t>
            </w:r>
          </w:p>
        </w:tc>
        <w:tc>
          <w:tcPr>
            <w:tcW w:w="28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203"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340" w:type="dxa"/>
            <w:vAlign w:val="bottom"/>
            <w:tcBorders>
              <w:left w:val="single" w:sz="8" w:color="00548B"/>
              <w:right w:val="single" w:sz="8" w:color="00548B"/>
            </w:tcBorders>
            <w:shd w:val="clear" w:color="auto" w:fill="00548B"/>
          </w:tcPr>
          <w:p>
            <w:pPr>
              <w:spacing w:after="0"/>
              <w:rPr>
                <w:sz w:val="17"/>
                <w:szCs w:val="17"/>
                <w:color w:val="auto"/>
              </w:rPr>
            </w:pPr>
          </w:p>
        </w:tc>
        <w:tc>
          <w:tcPr>
            <w:tcW w:w="5300" w:type="dxa"/>
            <w:vAlign w:val="bottom"/>
            <w:tcBorders>
              <w:right w:val="single" w:sz="8" w:color="00548B"/>
            </w:tcBorders>
            <w:shd w:val="clear" w:color="auto" w:fill="00548B"/>
          </w:tcPr>
          <w:p>
            <w:pPr>
              <w:ind w:left="2120"/>
              <w:spacing w:after="0"/>
              <w:rPr>
                <w:sz w:val="20"/>
                <w:szCs w:val="20"/>
                <w:color w:val="auto"/>
              </w:rPr>
            </w:pPr>
            <w:r>
              <w:rPr>
                <w:rFonts w:ascii="Arial" w:cs="Arial" w:eastAsia="Arial" w:hAnsi="Arial"/>
                <w:sz w:val="16"/>
                <w:szCs w:val="16"/>
                <w:b w:val="1"/>
                <w:bCs w:val="1"/>
                <w:color w:val="E5E5E5"/>
              </w:rPr>
              <w:t>What we heard</w:t>
            </w:r>
          </w:p>
        </w:tc>
        <w:tc>
          <w:tcPr>
            <w:tcW w:w="280" w:type="dxa"/>
            <w:vAlign w:val="bottom"/>
            <w:tcBorders>
              <w:right w:val="single" w:sz="8" w:color="00548B"/>
            </w:tcBorders>
            <w:shd w:val="clear" w:color="auto" w:fill="00548B"/>
          </w:tcPr>
          <w:p>
            <w:pPr>
              <w:spacing w:after="0"/>
              <w:rPr>
                <w:sz w:val="17"/>
                <w:szCs w:val="17"/>
                <w:color w:val="auto"/>
              </w:rPr>
            </w:pPr>
          </w:p>
        </w:tc>
        <w:tc>
          <w:tcPr>
            <w:tcW w:w="5120" w:type="dxa"/>
            <w:vAlign w:val="bottom"/>
            <w:tcBorders>
              <w:right w:val="single" w:sz="8" w:color="00548B"/>
            </w:tcBorders>
            <w:shd w:val="clear" w:color="auto" w:fill="00548B"/>
          </w:tcPr>
          <w:p>
            <w:pPr>
              <w:ind w:left="2100"/>
              <w:spacing w:after="0"/>
              <w:rPr>
                <w:sz w:val="20"/>
                <w:szCs w:val="20"/>
                <w:color w:val="auto"/>
              </w:rPr>
            </w:pPr>
            <w:r>
              <w:rPr>
                <w:rFonts w:ascii="Arial" w:cs="Arial" w:eastAsia="Arial" w:hAnsi="Arial"/>
                <w:sz w:val="16"/>
                <w:szCs w:val="16"/>
                <w:b w:val="1"/>
                <w:bCs w:val="1"/>
                <w:color w:val="E5E5E5"/>
              </w:rPr>
              <w:t>What we did</w:t>
            </w:r>
          </w:p>
        </w:tc>
      </w:tr>
      <w:tr>
        <w:trPr>
          <w:trHeight w:val="191"/>
        </w:trPr>
        <w:tc>
          <w:tcPr>
            <w:tcW w:w="340" w:type="dxa"/>
            <w:vAlign w:val="bottom"/>
            <w:tcBorders>
              <w:left w:val="single" w:sz="8" w:color="00548B"/>
              <w:right w:val="single" w:sz="8" w:color="999999"/>
            </w:tcBorders>
          </w:tcPr>
          <w:p>
            <w:pPr>
              <w:ind w:left="140"/>
              <w:spacing w:after="0" w:line="111" w:lineRule="exact"/>
              <w:rPr>
                <w:sz w:val="20"/>
                <w:szCs w:val="20"/>
                <w:color w:val="auto"/>
              </w:rPr>
            </w:pPr>
            <w:r>
              <w:rPr>
                <w:rFonts w:ascii="MS PGothic" w:cs="MS PGothic" w:eastAsia="MS PGothic" w:hAnsi="MS PGothic"/>
                <w:sz w:val="11"/>
                <w:szCs w:val="11"/>
                <w:color w:val="00548B"/>
              </w:rPr>
              <w:t>◆</w:t>
            </w:r>
          </w:p>
        </w:tc>
        <w:tc>
          <w:tcPr>
            <w:tcW w:w="530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You encouraged us to continue our refreshment process of our board of</w:t>
            </w:r>
          </w:p>
        </w:tc>
        <w:tc>
          <w:tcPr>
            <w:tcW w:w="280" w:type="dxa"/>
            <w:vAlign w:val="bottom"/>
            <w:tcBorders>
              <w:right w:val="single" w:sz="8" w:color="999999"/>
            </w:tcBorders>
          </w:tcPr>
          <w:p>
            <w:pPr>
              <w:ind w:left="80"/>
              <w:spacing w:after="0" w:line="111" w:lineRule="exact"/>
              <w:rPr>
                <w:sz w:val="20"/>
                <w:szCs w:val="20"/>
                <w:color w:val="auto"/>
              </w:rPr>
            </w:pPr>
            <w:r>
              <w:rPr>
                <w:rFonts w:ascii="MS PGothic" w:cs="MS PGothic" w:eastAsia="MS PGothic" w:hAnsi="MS PGothic"/>
                <w:sz w:val="11"/>
                <w:szCs w:val="11"/>
                <w:color w:val="00548B"/>
              </w:rPr>
              <w:t>◆</w:t>
            </w: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In February 2018, Mr. Sawyer joined our board. As the Company</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directors and, in particular, to reflect age and gender diversity.</w:t>
            </w: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announced in July 2018, Mr. Edwards notified the board of directors</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of his intention to retire from the board at the expiration of his current</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term. In March 2019, Ms. Singh-Bushell was nominated to the board</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with her election to be voted upon at the 2019 Annual Meeting. More</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information regarding Mr. Sawyer and Ms. Singh-Bushell can be</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found in the board of directors section of this Proxy Statement. We</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spacing w:after="0"/>
              <w:rPr>
                <w:sz w:val="16"/>
                <w:szCs w:val="16"/>
                <w:color w:val="auto"/>
              </w:rPr>
            </w:pP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remain  committed  to  continuing  our  structured  multi-year  board</w:t>
            </w:r>
          </w:p>
        </w:tc>
      </w:tr>
      <w:tr>
        <w:trPr>
          <w:trHeight w:val="187"/>
        </w:trPr>
        <w:tc>
          <w:tcPr>
            <w:tcW w:w="340" w:type="dxa"/>
            <w:vAlign w:val="bottom"/>
            <w:tcBorders>
              <w:left w:val="single" w:sz="8" w:color="00548B"/>
              <w:bottom w:val="single" w:sz="8" w:color="999999"/>
              <w:right w:val="single" w:sz="8" w:color="999999"/>
            </w:tcBorders>
          </w:tcPr>
          <w:p>
            <w:pPr>
              <w:spacing w:after="0"/>
              <w:rPr>
                <w:sz w:val="16"/>
                <w:szCs w:val="16"/>
                <w:color w:val="auto"/>
              </w:rPr>
            </w:pPr>
          </w:p>
        </w:tc>
        <w:tc>
          <w:tcPr>
            <w:tcW w:w="5300" w:type="dxa"/>
            <w:vAlign w:val="bottom"/>
            <w:tcBorders>
              <w:bottom w:val="single" w:sz="8" w:color="999999"/>
              <w:right w:val="single" w:sz="8" w:color="999999"/>
            </w:tcBorders>
          </w:tcPr>
          <w:p>
            <w:pPr>
              <w:spacing w:after="0"/>
              <w:rPr>
                <w:sz w:val="16"/>
                <w:szCs w:val="16"/>
                <w:color w:val="auto"/>
              </w:rPr>
            </w:pPr>
          </w:p>
        </w:tc>
        <w:tc>
          <w:tcPr>
            <w:tcW w:w="280" w:type="dxa"/>
            <w:vAlign w:val="bottom"/>
            <w:tcBorders>
              <w:bottom w:val="single" w:sz="8" w:color="999999"/>
              <w:right w:val="single" w:sz="8" w:color="999999"/>
            </w:tcBorders>
          </w:tcPr>
          <w:p>
            <w:pPr>
              <w:spacing w:after="0"/>
              <w:rPr>
                <w:sz w:val="16"/>
                <w:szCs w:val="16"/>
                <w:color w:val="auto"/>
              </w:rPr>
            </w:pPr>
          </w:p>
        </w:tc>
        <w:tc>
          <w:tcPr>
            <w:tcW w:w="5120" w:type="dxa"/>
            <w:vAlign w:val="bottom"/>
            <w:tcBorders>
              <w:bottom w:val="single" w:sz="8" w:color="999999"/>
              <w:right w:val="single" w:sz="8" w:color="00548B"/>
            </w:tcBorders>
          </w:tcPr>
          <w:p>
            <w:pPr>
              <w:ind w:left="80"/>
              <w:spacing w:after="0"/>
              <w:rPr>
                <w:sz w:val="20"/>
                <w:szCs w:val="20"/>
                <w:color w:val="auto"/>
              </w:rPr>
            </w:pPr>
            <w:r>
              <w:rPr>
                <w:rFonts w:ascii="Arial" w:cs="Arial" w:eastAsia="Arial" w:hAnsi="Arial"/>
                <w:sz w:val="16"/>
                <w:szCs w:val="16"/>
                <w:color w:val="auto"/>
              </w:rPr>
              <w:t>refreshment process.</w:t>
            </w:r>
          </w:p>
        </w:tc>
      </w:tr>
      <w:tr>
        <w:trPr>
          <w:trHeight w:val="184"/>
        </w:trPr>
        <w:tc>
          <w:tcPr>
            <w:tcW w:w="340" w:type="dxa"/>
            <w:vAlign w:val="bottom"/>
            <w:tcBorders>
              <w:left w:val="single" w:sz="8" w:color="00548B"/>
              <w:right w:val="single" w:sz="8" w:color="999999"/>
            </w:tcBorders>
          </w:tcPr>
          <w:p>
            <w:pPr>
              <w:ind w:left="140"/>
              <w:spacing w:after="0" w:line="111" w:lineRule="exact"/>
              <w:rPr>
                <w:sz w:val="20"/>
                <w:szCs w:val="20"/>
                <w:color w:val="auto"/>
              </w:rPr>
            </w:pPr>
            <w:r>
              <w:rPr>
                <w:rFonts w:ascii="MS PGothic" w:cs="MS PGothic" w:eastAsia="MS PGothic" w:hAnsi="MS PGothic"/>
                <w:sz w:val="11"/>
                <w:szCs w:val="11"/>
                <w:color w:val="00548B"/>
              </w:rPr>
              <w:t>◆</w:t>
            </w:r>
          </w:p>
        </w:tc>
        <w:tc>
          <w:tcPr>
            <w:tcW w:w="530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You would like to see the stock ownership requirements for the CEO</w:t>
            </w:r>
          </w:p>
        </w:tc>
        <w:tc>
          <w:tcPr>
            <w:tcW w:w="280" w:type="dxa"/>
            <w:vAlign w:val="bottom"/>
            <w:tcBorders>
              <w:right w:val="single" w:sz="8" w:color="999999"/>
            </w:tcBorders>
          </w:tcPr>
          <w:p>
            <w:pPr>
              <w:ind w:left="80"/>
              <w:spacing w:after="0" w:line="111" w:lineRule="exact"/>
              <w:rPr>
                <w:sz w:val="20"/>
                <w:szCs w:val="20"/>
                <w:color w:val="auto"/>
              </w:rPr>
            </w:pPr>
            <w:r>
              <w:rPr>
                <w:rFonts w:ascii="MS PGothic" w:cs="MS PGothic" w:eastAsia="MS PGothic" w:hAnsi="MS PGothic"/>
                <w:sz w:val="11"/>
                <w:szCs w:val="11"/>
                <w:color w:val="00548B"/>
              </w:rPr>
              <w:t>◆</w:t>
            </w: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We increased the stock ownership requirements for the CEO and</w:t>
            </w:r>
          </w:p>
        </w:tc>
      </w:tr>
      <w:tr>
        <w:trPr>
          <w:trHeight w:val="189"/>
        </w:trPr>
        <w:tc>
          <w:tcPr>
            <w:tcW w:w="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and non-employee directors be more in line with the Company’s peers.</w:t>
            </w:r>
          </w:p>
        </w:tc>
        <w:tc>
          <w:tcPr>
            <w:tcW w:w="280" w:type="dxa"/>
            <w:vAlign w:val="bottom"/>
            <w:tcBorders>
              <w:right w:val="single" w:sz="8" w:color="999999"/>
            </w:tcBorders>
          </w:tcPr>
          <w:p>
            <w:pPr>
              <w:spacing w:after="0"/>
              <w:rPr>
                <w:sz w:val="16"/>
                <w:szCs w:val="16"/>
                <w:color w:val="auto"/>
              </w:rPr>
            </w:pPr>
          </w:p>
        </w:tc>
        <w:tc>
          <w:tcPr>
            <w:tcW w:w="512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non-employee directors to 5X base salary or annual cash retainer,</w:t>
            </w:r>
          </w:p>
        </w:tc>
      </w:tr>
      <w:tr>
        <w:trPr>
          <w:trHeight w:val="187"/>
        </w:trPr>
        <w:tc>
          <w:tcPr>
            <w:tcW w:w="340" w:type="dxa"/>
            <w:vAlign w:val="bottom"/>
            <w:tcBorders>
              <w:left w:val="single" w:sz="8" w:color="00548B"/>
              <w:bottom w:val="single" w:sz="8" w:color="00548B"/>
              <w:right w:val="single" w:sz="8" w:color="999999"/>
            </w:tcBorders>
          </w:tcPr>
          <w:p>
            <w:pPr>
              <w:spacing w:after="0"/>
              <w:rPr>
                <w:sz w:val="16"/>
                <w:szCs w:val="16"/>
                <w:color w:val="auto"/>
              </w:rPr>
            </w:pPr>
          </w:p>
        </w:tc>
        <w:tc>
          <w:tcPr>
            <w:tcW w:w="5300" w:type="dxa"/>
            <w:vAlign w:val="bottom"/>
            <w:tcBorders>
              <w:bottom w:val="single" w:sz="8" w:color="00548B"/>
              <w:right w:val="single" w:sz="8" w:color="999999"/>
            </w:tcBorders>
          </w:tcPr>
          <w:p>
            <w:pPr>
              <w:spacing w:after="0"/>
              <w:rPr>
                <w:sz w:val="16"/>
                <w:szCs w:val="16"/>
                <w:color w:val="auto"/>
              </w:rPr>
            </w:pPr>
          </w:p>
        </w:tc>
        <w:tc>
          <w:tcPr>
            <w:tcW w:w="280" w:type="dxa"/>
            <w:vAlign w:val="bottom"/>
            <w:tcBorders>
              <w:bottom w:val="single" w:sz="8" w:color="00548B"/>
              <w:right w:val="single" w:sz="8" w:color="999999"/>
            </w:tcBorders>
          </w:tcPr>
          <w:p>
            <w:pPr>
              <w:spacing w:after="0"/>
              <w:rPr>
                <w:sz w:val="16"/>
                <w:szCs w:val="16"/>
                <w:color w:val="auto"/>
              </w:rPr>
            </w:pPr>
          </w:p>
        </w:tc>
        <w:tc>
          <w:tcPr>
            <w:tcW w:w="5120" w:type="dxa"/>
            <w:vAlign w:val="bottom"/>
            <w:tcBorders>
              <w:bottom w:val="single" w:sz="8" w:color="00548B"/>
              <w:right w:val="single" w:sz="8" w:color="00548B"/>
            </w:tcBorders>
          </w:tcPr>
          <w:p>
            <w:pPr>
              <w:ind w:left="80"/>
              <w:spacing w:after="0"/>
              <w:rPr>
                <w:sz w:val="20"/>
                <w:szCs w:val="20"/>
                <w:color w:val="auto"/>
              </w:rPr>
            </w:pPr>
            <w:r>
              <w:rPr>
                <w:rFonts w:ascii="Arial" w:cs="Arial" w:eastAsia="Arial" w:hAnsi="Arial"/>
                <w:sz w:val="16"/>
                <w:szCs w:val="16"/>
                <w:color w:val="auto"/>
              </w:rPr>
              <w:t>respectively.</w:t>
            </w:r>
          </w:p>
        </w:tc>
      </w:tr>
    </w:tbl>
    <w:p>
      <w:pPr>
        <w:spacing w:after="0" w:line="177" w:lineRule="exact"/>
        <w:rPr>
          <w:sz w:val="20"/>
          <w:szCs w:val="20"/>
          <w:color w:val="auto"/>
        </w:rPr>
      </w:pPr>
    </w:p>
    <w:p>
      <w:pPr>
        <w:jc w:val="both"/>
        <w:ind w:left="200" w:right="20"/>
        <w:spacing w:after="0" w:line="249" w:lineRule="auto"/>
        <w:rPr>
          <w:sz w:val="20"/>
          <w:szCs w:val="20"/>
          <w:color w:val="auto"/>
        </w:rPr>
      </w:pPr>
      <w:r>
        <w:rPr>
          <w:rFonts w:ascii="Arial" w:cs="Arial" w:eastAsia="Arial" w:hAnsi="Arial"/>
          <w:sz w:val="16"/>
          <w:szCs w:val="16"/>
          <w:color w:val="auto"/>
        </w:rPr>
        <w:t>More details concerning our compensation plans can be found in the CD&amp;A section of this Proxy Statement. The board and management remain focused on generating superior shareholder returns through the realization of Huron’s long-term strategy. We are collectively focused on driving Huron to sustainable organic revenue growth while increasing margins and deploying capital strategically to strengthen Huron’s competitive position and maximize shareholder value. As a consulting firm, our people are our assets. We believe that Huron’s culture, which focuses on a strong mission and vision, and the Company’s values of humility, inclusion, intellectual curiosity, integrity, impact, collaboration and excellence, create an attractive environment for our people and</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our clients, and therefore provides the Company with a strong competitive advantage. Finally, while still early, we are seeing the results of our five-year strategy taking hold as the Company returned to organic revenue growth in 2018. This is also reflected in a stock price increase in excess of 25% during 2018.</w:t>
      </w:r>
    </w:p>
    <w:p>
      <w:pPr>
        <w:spacing w:after="0" w:line="174"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Our Say on Pay Proposal is found in Proposal 3 of this Proxy Statement, and the board recommends that you vote ‘FOR’ this proposal. We also invite you to consider additional information on our compensation philosophy and decisions in the CD&amp;A. We are confident that our programs are designed to pay for performance and are aligned with shareholder interests.</w:t>
      </w:r>
    </w:p>
    <w:p>
      <w:pPr>
        <w:spacing w:after="0" w:line="161"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We are also requesting additional shares for our Long-Term Incentive Program. We annually grant a sizable portion of equity to our managing directors. An average of 76% of total equity granted in the last three years was awarded to our non-NEO managing directors. As a professional services firm, we recognize that our managing directors are critical to developing and maintaining client relationships, generating revenue and driving the overall success of Huron. We use stock as both a retention tool and an incentive to encourage behaviors that will benefit our shareholders and the Company. Approximately 50% of the annual bonus compensation of our Practice Leaders and client-facing managing directors consists of restricted stock that vests over four years and is awarded based on prior-year performance. We believe this element of our compensation aligns the interests of each of our businesses with the Company as a whole and importantly differentiates Huron’s compensation program from our competitors by aligning our managing directors with Huron’s long-term value creation. We ask that you vote in favor of Proposal 2.</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636905</wp:posOffset>
            </wp:positionV>
            <wp:extent cx="699770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80"/>
        <w:spacing w:after="0"/>
        <w:tabs>
          <w:tab w:leader="none" w:pos="4860" w:val="left"/>
          <w:tab w:leader="none" w:pos="8740" w:val="left"/>
        </w:tabs>
        <w:rPr>
          <w:sz w:val="20"/>
          <w:szCs w:val="20"/>
          <w:color w:val="auto"/>
        </w:rPr>
      </w:pPr>
      <w:r>
        <w:rPr>
          <w:rFonts w:ascii="Arial" w:cs="Arial" w:eastAsia="Arial" w:hAnsi="Arial"/>
          <w:sz w:val="16"/>
          <w:szCs w:val="16"/>
          <w:color w:val="auto"/>
        </w:rPr>
        <w:t>James D. Edwards</w:t>
      </w:r>
      <w:r>
        <w:rPr>
          <w:sz w:val="20"/>
          <w:szCs w:val="20"/>
          <w:color w:val="auto"/>
        </w:rPr>
        <w:tab/>
      </w:r>
      <w:r>
        <w:rPr>
          <w:rFonts w:ascii="Arial" w:cs="Arial" w:eastAsia="Arial" w:hAnsi="Arial"/>
          <w:sz w:val="16"/>
          <w:szCs w:val="16"/>
          <w:color w:val="auto"/>
        </w:rPr>
        <w:t>H. Eugene Lockhart</w:t>
      </w:r>
      <w:r>
        <w:rPr>
          <w:sz w:val="20"/>
          <w:szCs w:val="20"/>
          <w:color w:val="auto"/>
        </w:rPr>
        <w:tab/>
      </w:r>
      <w:r>
        <w:rPr>
          <w:rFonts w:ascii="Arial" w:cs="Arial" w:eastAsia="Arial" w:hAnsi="Arial"/>
          <w:sz w:val="16"/>
          <w:szCs w:val="16"/>
          <w:color w:val="auto"/>
        </w:rPr>
        <w:t>George E.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636905</wp:posOffset>
            </wp:positionV>
            <wp:extent cx="6997700"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spacing w:after="0"/>
        <w:tabs>
          <w:tab w:leader="none" w:pos="5040" w:val="left"/>
          <w:tab w:leader="none" w:pos="8800" w:val="left"/>
        </w:tabs>
        <w:rPr>
          <w:sz w:val="20"/>
          <w:szCs w:val="20"/>
          <w:color w:val="auto"/>
        </w:rPr>
      </w:pPr>
      <w:r>
        <w:rPr>
          <w:rFonts w:ascii="Arial" w:cs="Arial" w:eastAsia="Arial" w:hAnsi="Arial"/>
          <w:sz w:val="16"/>
          <w:szCs w:val="16"/>
          <w:color w:val="auto"/>
        </w:rPr>
        <w:t>John McCartney</w:t>
      </w:r>
      <w:r>
        <w:rPr>
          <w:sz w:val="20"/>
          <w:szCs w:val="20"/>
          <w:color w:val="auto"/>
        </w:rPr>
        <w:tab/>
      </w:r>
      <w:r>
        <w:rPr>
          <w:rFonts w:ascii="Arial" w:cs="Arial" w:eastAsia="Arial" w:hAnsi="Arial"/>
          <w:sz w:val="16"/>
          <w:szCs w:val="16"/>
          <w:color w:val="auto"/>
        </w:rPr>
        <w:t>John S. Moody</w:t>
      </w:r>
      <w:r>
        <w:rPr>
          <w:sz w:val="20"/>
          <w:szCs w:val="20"/>
          <w:color w:val="auto"/>
        </w:rPr>
        <w:tab/>
      </w:r>
      <w:r>
        <w:rPr>
          <w:rFonts w:ascii="Arial" w:cs="Arial" w:eastAsia="Arial" w:hAnsi="Arial"/>
          <w:sz w:val="16"/>
          <w:szCs w:val="16"/>
          <w:color w:val="auto"/>
        </w:rPr>
        <w:t>Debra L. Zumwalt</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548B"/>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380" w:type="dxa"/>
            <w:vAlign w:val="bottom"/>
            <w:gridSpan w:val="3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GENERAL INFORMATION ABOUT THE MEETING</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0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8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0" w:type="dxa"/>
            <w:vAlign w:val="bottom"/>
            <w:gridSpan w:val="35"/>
          </w:tcPr>
          <w:p>
            <w:pPr>
              <w:spacing w:after="0" w:line="156" w:lineRule="exact"/>
              <w:rPr>
                <w:rFonts w:ascii="Arial" w:cs="Arial" w:eastAsia="Arial" w:hAnsi="Arial"/>
                <w:sz w:val="18"/>
                <w:szCs w:val="18"/>
                <w:color w:val="0000EE"/>
              </w:rPr>
            </w:pPr>
            <w:hyperlink w:anchor="page7">
              <w:r>
                <w:rPr>
                  <w:rFonts w:ascii="Arial" w:cs="Arial" w:eastAsia="Arial" w:hAnsi="Arial"/>
                  <w:sz w:val="18"/>
                  <w:szCs w:val="18"/>
                  <w:color w:val="0000EE"/>
                </w:rPr>
                <w:t>Quorum and Voting Requirements</w:t>
              </w:r>
            </w:hyperlink>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r>
      <w:tr>
        <w:trPr>
          <w:trHeight w:val="20"/>
        </w:trPr>
        <w:tc>
          <w:tcPr>
            <w:tcW w:w="180" w:type="dxa"/>
            <w:vAlign w:val="bottom"/>
            <w:gridSpan w:val="2"/>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1"/>
        </w:trPr>
        <w:tc>
          <w:tcPr>
            <w:tcW w:w="10380" w:type="dxa"/>
            <w:vAlign w:val="bottom"/>
            <w:gridSpan w:val="3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PROPOSAL 1 — ELECTION OF DIRECTORS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0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8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Borders>
              <w:bottom w:val="single" w:sz="8" w:color="0000EE"/>
            </w:tcBorders>
            <w:gridSpan w:val="4"/>
          </w:tcPr>
          <w:p>
            <w:pPr>
              <w:spacing w:after="0" w:line="156" w:lineRule="exact"/>
              <w:rPr>
                <w:rFonts w:ascii="Arial" w:cs="Arial" w:eastAsia="Arial" w:hAnsi="Arial"/>
                <w:sz w:val="18"/>
                <w:szCs w:val="18"/>
                <w:color w:val="0000EE"/>
              </w:rPr>
            </w:pPr>
            <w:hyperlink w:anchor="page8">
              <w:r>
                <w:rPr>
                  <w:rFonts w:ascii="Arial" w:cs="Arial" w:eastAsia="Arial" w:hAnsi="Arial"/>
                  <w:sz w:val="18"/>
                  <w:szCs w:val="18"/>
                  <w:color w:val="0000EE"/>
                </w:rPr>
                <w:t>Board of Directors</w:t>
              </w:r>
            </w:hyperlink>
          </w:p>
        </w:tc>
        <w:tc>
          <w:tcPr>
            <w:tcW w:w="8720" w:type="dxa"/>
            <w:vAlign w:val="bottom"/>
            <w:gridSpan w:val="31"/>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2</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About the Board</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Nominees to Board of Directors</w:t>
              </w:r>
            </w:hyperlink>
          </w:p>
        </w:tc>
        <w:tc>
          <w:tcPr>
            <w:tcW w:w="7680" w:type="dxa"/>
            <w:vAlign w:val="bottom"/>
            <w:gridSpan w:val="24"/>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Directors Not Standing for Election</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Executive Officers</w:t>
              </w:r>
            </w:hyperlink>
          </w:p>
        </w:tc>
        <w:tc>
          <w:tcPr>
            <w:tcW w:w="1300" w:type="dxa"/>
            <w:vAlign w:val="bottom"/>
            <w:tcBorders>
              <w:top w:val="single" w:sz="8" w:color="0000EE"/>
            </w:tcBorders>
            <w:gridSpan w:val="11"/>
          </w:tcPr>
          <w:p>
            <w:pPr>
              <w:spacing w:after="0"/>
              <w:rPr>
                <w:sz w:val="15"/>
                <w:szCs w:val="15"/>
                <w:color w:val="auto"/>
              </w:rPr>
            </w:pPr>
          </w:p>
        </w:tc>
        <w:tc>
          <w:tcPr>
            <w:tcW w:w="7440" w:type="dxa"/>
            <w:vAlign w:val="bottom"/>
            <w:gridSpan w:val="21"/>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Director Independence</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8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Board Composition, Leadership Structure and Risk Oversight</w:t>
              </w:r>
            </w:hyperlink>
          </w:p>
        </w:tc>
        <w:tc>
          <w:tcPr>
            <w:tcW w:w="532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Board Meetings and Committees</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Diversity of Board Skills and Experience</w:t>
              </w:r>
            </w:hyperlink>
          </w:p>
        </w:tc>
        <w:tc>
          <w:tcPr>
            <w:tcW w:w="7000" w:type="dxa"/>
            <w:vAlign w:val="bottom"/>
            <w:gridSpan w:val="1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Director Resignation Policy</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Stockholder Communications Policy</w:t>
              </w:r>
            </w:hyperlink>
          </w:p>
        </w:tc>
        <w:tc>
          <w:tcPr>
            <w:tcW w:w="7320" w:type="dxa"/>
            <w:vAlign w:val="bottom"/>
            <w:gridSpan w:val="19"/>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Compensation of Directors</w:t>
              </w:r>
            </w:hyperlink>
          </w:p>
        </w:tc>
        <w:tc>
          <w:tcPr>
            <w:tcW w:w="8040" w:type="dxa"/>
            <w:vAlign w:val="bottom"/>
            <w:gridSpan w:val="28"/>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Director Compensation Table</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Section 16(a) Beneficial Ownership Reporting Compliance</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Stock Ownership of Certain Beneficial Owners and Management</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20"/>
        </w:trPr>
        <w:tc>
          <w:tcPr>
            <w:tcW w:w="180" w:type="dxa"/>
            <w:vAlign w:val="bottom"/>
            <w:gridSpan w:val="2"/>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1"/>
        </w:trPr>
        <w:tc>
          <w:tcPr>
            <w:tcW w:w="10380" w:type="dxa"/>
            <w:vAlign w:val="bottom"/>
            <w:gridSpan w:val="3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0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8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60" w:type="dxa"/>
            <w:vAlign w:val="bottom"/>
            <w:tcBorders>
              <w:bottom w:val="single" w:sz="8" w:color="0000EE"/>
            </w:tcBorders>
            <w:gridSpan w:val="18"/>
          </w:tcPr>
          <w:p>
            <w:pPr>
              <w:spacing w:after="0" w:line="15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Compensation Discussion and Analysis</w:t>
              </w:r>
            </w:hyperlink>
          </w:p>
        </w:tc>
        <w:tc>
          <w:tcPr>
            <w:tcW w:w="7040" w:type="dxa"/>
            <w:vAlign w:val="bottom"/>
            <w:gridSpan w:val="17"/>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21</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Borders>
              <w:bottom w:val="single" w:sz="8" w:color="0000EE"/>
            </w:tcBorders>
            <w:gridSpan w:val="13"/>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Compensation Committee Report</w:t>
              </w:r>
            </w:hyperlink>
          </w:p>
        </w:tc>
        <w:tc>
          <w:tcPr>
            <w:tcW w:w="7480" w:type="dxa"/>
            <w:vAlign w:val="bottom"/>
            <w:gridSpan w:val="22"/>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tcBorders>
              <w:bottom w:val="single" w:sz="8" w:color="0000EE"/>
            </w:tcBorders>
            <w:gridSpan w:val="17"/>
          </w:tcPr>
          <w:p>
            <w:pPr>
              <w:spacing w:after="0" w:line="182"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2018 Summary Compensation Table</w:t>
              </w:r>
            </w:hyperlink>
          </w:p>
        </w:tc>
        <w:tc>
          <w:tcPr>
            <w:tcW w:w="7280" w:type="dxa"/>
            <w:vAlign w:val="bottom"/>
            <w:gridSpan w:val="18"/>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2018 Grants of Plan-Based Awards</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4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2018 Outstanding Equity Awards at Fiscal Year-End</w:t>
              </w:r>
            </w:hyperlink>
          </w:p>
        </w:tc>
        <w:tc>
          <w:tcPr>
            <w:tcW w:w="6060" w:type="dxa"/>
            <w:vAlign w:val="bottom"/>
            <w:gridSpan w:val="9"/>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2018 Option Exercises and Stock Vested</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40" w:type="dxa"/>
            <w:vAlign w:val="bottom"/>
            <w:gridSpan w:val="10"/>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2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2018 Nonqualified Deferred Compensation</w:t>
              </w:r>
            </w:hyperlink>
          </w:p>
        </w:tc>
        <w:tc>
          <w:tcPr>
            <w:tcW w:w="6780" w:type="dxa"/>
            <w:vAlign w:val="bottom"/>
            <w:gridSpan w:val="14"/>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Potential Payments upon Termination or Change of Control</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380" w:type="dxa"/>
            <w:vAlign w:val="bottom"/>
            <w:gridSpan w:val="1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Compensation Committee Interlocks and Insider Participation</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Certain Relationships and Related Transactions</w:t>
              </w:r>
            </w:hyperlink>
          </w:p>
        </w:tc>
        <w:tc>
          <w:tcPr>
            <w:tcW w:w="532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20"/>
        </w:trPr>
        <w:tc>
          <w:tcPr>
            <w:tcW w:w="180" w:type="dxa"/>
            <w:vAlign w:val="bottom"/>
            <w:gridSpan w:val="2"/>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380" w:type="dxa"/>
            <w:vAlign w:val="bottom"/>
            <w:gridSpan w:val="1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1"/>
        </w:trPr>
        <w:tc>
          <w:tcPr>
            <w:tcW w:w="9620" w:type="dxa"/>
            <w:vAlign w:val="bottom"/>
            <w:tcBorders>
              <w:bottom w:val="single" w:sz="8" w:color="0000EE"/>
            </w:tcBorders>
            <w:gridSpan w:val="35"/>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PROPOSAL 2 — TO APPROVE AN AMENDMENT TO THE COMPANY’S AMENDED AND RESTATED 2012 OMNIBUS</w:t>
              </w:r>
            </w:hyperlink>
          </w:p>
        </w:tc>
        <w:tc>
          <w:tcPr>
            <w:tcW w:w="76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10380" w:type="dxa"/>
            <w:vAlign w:val="bottom"/>
            <w:gridSpan w:val="37"/>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INCENTIVE PLAN</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20"/>
        </w:trPr>
        <w:tc>
          <w:tcPr>
            <w:tcW w:w="2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0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8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251"/>
        </w:trPr>
        <w:tc>
          <w:tcPr>
            <w:tcW w:w="10380" w:type="dxa"/>
            <w:vAlign w:val="bottom"/>
            <w:gridSpan w:val="3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PROPOSAL 3 — ADVISORY VOTE TO APPROVE THE COMPANY’S 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2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top w:val="single" w:sz="8" w:color="0000EE"/>
              <w:bottom w:val="single" w:sz="8" w:color="00548B"/>
            </w:tcBorders>
          </w:tcPr>
          <w:p>
            <w:pPr>
              <w:spacing w:after="0" w:line="20" w:lineRule="exact"/>
              <w:rPr>
                <w:sz w:val="1"/>
                <w:szCs w:val="1"/>
                <w:color w:val="auto"/>
              </w:rPr>
            </w:pPr>
          </w:p>
        </w:tc>
        <w:tc>
          <w:tcPr>
            <w:tcW w:w="5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80" w:type="dxa"/>
            <w:vAlign w:val="bottom"/>
            <w:tcBorders>
              <w:top w:val="single" w:sz="8" w:color="0000EE"/>
              <w:bottom w:val="single" w:sz="8" w:color="00548B"/>
            </w:tcBorders>
          </w:tcPr>
          <w:p>
            <w:pPr>
              <w:spacing w:after="0" w:line="20" w:lineRule="exact"/>
              <w:rPr>
                <w:sz w:val="1"/>
                <w:szCs w:val="1"/>
                <w:color w:val="auto"/>
              </w:rPr>
            </w:pPr>
          </w:p>
        </w:tc>
        <w:tc>
          <w:tcPr>
            <w:tcW w:w="260" w:type="dxa"/>
            <w:vAlign w:val="bottom"/>
            <w:tcBorders>
              <w:top w:val="single" w:sz="8" w:color="0000EE"/>
              <w:bottom w:val="single" w:sz="8" w:color="00548B"/>
            </w:tcBorders>
          </w:tcPr>
          <w:p>
            <w:pPr>
              <w:spacing w:after="0" w:line="20" w:lineRule="exact"/>
              <w:rPr>
                <w:sz w:val="1"/>
                <w:szCs w:val="1"/>
                <w:color w:val="auto"/>
              </w:rPr>
            </w:pPr>
          </w:p>
        </w:tc>
        <w:tc>
          <w:tcPr>
            <w:tcW w:w="2880" w:type="dxa"/>
            <w:vAlign w:val="bottom"/>
            <w:tcBorders>
              <w:top w:val="single" w:sz="8" w:color="0000EE"/>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251"/>
        </w:trPr>
        <w:tc>
          <w:tcPr>
            <w:tcW w:w="10380" w:type="dxa"/>
            <w:vAlign w:val="bottom"/>
            <w:gridSpan w:val="3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PROPOSAL 4 — RATIFICATION OF APPOINTMENT OF INDEPENDENT REGISTERED PUBLIC ACCOUNTING FIRM</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top w:val="single" w:sz="8" w:color="0000EE"/>
              <w:bottom w:val="single" w:sz="8" w:color="00548B"/>
            </w:tcBorders>
          </w:tcPr>
          <w:p>
            <w:pPr>
              <w:spacing w:after="0" w:line="20" w:lineRule="exact"/>
              <w:rPr>
                <w:sz w:val="1"/>
                <w:szCs w:val="1"/>
                <w:color w:val="auto"/>
              </w:rPr>
            </w:pPr>
          </w:p>
        </w:tc>
        <w:tc>
          <w:tcPr>
            <w:tcW w:w="5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80" w:type="dxa"/>
            <w:vAlign w:val="bottom"/>
            <w:tcBorders>
              <w:top w:val="single" w:sz="8" w:color="0000EE"/>
              <w:bottom w:val="single" w:sz="8" w:color="00548B"/>
            </w:tcBorders>
          </w:tcPr>
          <w:p>
            <w:pPr>
              <w:spacing w:after="0" w:line="20" w:lineRule="exact"/>
              <w:rPr>
                <w:sz w:val="1"/>
                <w:szCs w:val="1"/>
                <w:color w:val="auto"/>
              </w:rPr>
            </w:pPr>
          </w:p>
        </w:tc>
        <w:tc>
          <w:tcPr>
            <w:tcW w:w="260" w:type="dxa"/>
            <w:vAlign w:val="bottom"/>
            <w:tcBorders>
              <w:top w:val="single" w:sz="8" w:color="0000EE"/>
              <w:bottom w:val="single" w:sz="8" w:color="00548B"/>
            </w:tcBorders>
          </w:tcPr>
          <w:p>
            <w:pPr>
              <w:spacing w:after="0" w:line="20" w:lineRule="exact"/>
              <w:rPr>
                <w:sz w:val="1"/>
                <w:szCs w:val="1"/>
                <w:color w:val="auto"/>
              </w:rPr>
            </w:pPr>
          </w:p>
        </w:tc>
        <w:tc>
          <w:tcPr>
            <w:tcW w:w="2880" w:type="dxa"/>
            <w:vAlign w:val="bottom"/>
            <w:tcBorders>
              <w:top w:val="single" w:sz="8" w:color="0000EE"/>
              <w:bottom w:val="single" w:sz="8" w:color="00548B"/>
            </w:tcBorders>
          </w:tcPr>
          <w:p>
            <w:pPr>
              <w:spacing w:after="0" w:line="20" w:lineRule="exact"/>
              <w:rPr>
                <w:sz w:val="1"/>
                <w:szCs w:val="1"/>
                <w:color w:val="auto"/>
              </w:rPr>
            </w:pPr>
          </w:p>
        </w:tc>
        <w:tc>
          <w:tcPr>
            <w:tcW w:w="14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0" w:type="dxa"/>
            <w:vAlign w:val="bottom"/>
            <w:gridSpan w:val="35"/>
          </w:tcPr>
          <w:p>
            <w:pPr>
              <w:spacing w:after="0" w:line="156" w:lineRule="exact"/>
              <w:rPr>
                <w:rFonts w:ascii="Arial" w:cs="Arial" w:eastAsia="Arial" w:hAnsi="Arial"/>
                <w:sz w:val="18"/>
                <w:szCs w:val="18"/>
                <w:color w:val="0000EE"/>
              </w:rPr>
            </w:pPr>
            <w:hyperlink w:anchor="page62">
              <w:r>
                <w:rPr>
                  <w:rFonts w:ascii="Arial" w:cs="Arial" w:eastAsia="Arial" w:hAnsi="Arial"/>
                  <w:sz w:val="18"/>
                  <w:szCs w:val="18"/>
                  <w:color w:val="0000EE"/>
                </w:rPr>
                <w:t>Audit and Non-Audit Fees</w:t>
              </w:r>
            </w:hyperlink>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56</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20" w:type="dxa"/>
            <w:vAlign w:val="bottom"/>
            <w:gridSpan w:val="14"/>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0" w:type="dxa"/>
            <w:vAlign w:val="bottom"/>
            <w:tcBorders>
              <w:bottom w:val="single" w:sz="8" w:color="0000EE"/>
            </w:tcBorders>
            <w:gridSpan w:val="34"/>
          </w:tcPr>
          <w:p>
            <w:pPr>
              <w:spacing w:after="0" w:line="182" w:lineRule="exact"/>
              <w:rPr>
                <w:rFonts w:ascii="Arial" w:cs="Arial" w:eastAsia="Arial" w:hAnsi="Arial"/>
                <w:sz w:val="18"/>
                <w:szCs w:val="18"/>
                <w:color w:val="0000EE"/>
                <w:w w:val="99"/>
              </w:rPr>
            </w:pPr>
            <w:hyperlink w:anchor="page63">
              <w:r>
                <w:rPr>
                  <w:rFonts w:ascii="Arial" w:cs="Arial" w:eastAsia="Arial" w:hAnsi="Arial"/>
                  <w:sz w:val="18"/>
                  <w:szCs w:val="18"/>
                  <w:color w:val="0000EE"/>
                  <w:w w:val="99"/>
                </w:rPr>
                <w:t>Policy on Audit Committee Preapproval of Audit and Non-Audit Services of Independent Registered Public Accounting Firm</w:t>
              </w:r>
            </w:hyperlink>
          </w:p>
        </w:tc>
        <w:tc>
          <w:tcPr>
            <w:tcW w:w="40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Report of the Audit Committee</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20"/>
        </w:trPr>
        <w:tc>
          <w:tcPr>
            <w:tcW w:w="180" w:type="dxa"/>
            <w:vAlign w:val="bottom"/>
            <w:gridSpan w:val="2"/>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1420" w:type="dxa"/>
            <w:vAlign w:val="bottom"/>
            <w:gridSpan w:val="14"/>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1"/>
        </w:trPr>
        <w:tc>
          <w:tcPr>
            <w:tcW w:w="10380" w:type="dxa"/>
            <w:vAlign w:val="bottom"/>
            <w:gridSpan w:val="3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SUBMISSION OF STOCKHOLDER PROPOSALS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0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8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251"/>
        </w:trPr>
        <w:tc>
          <w:tcPr>
            <w:tcW w:w="10380" w:type="dxa"/>
            <w:vAlign w:val="bottom"/>
            <w:gridSpan w:val="3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0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88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40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gridSpan w:val="5"/>
          </w:tcPr>
          <w:p>
            <w:pPr>
              <w:ind w:left="180"/>
              <w:spacing w:after="0"/>
              <w:rPr>
                <w:sz w:val="20"/>
                <w:szCs w:val="20"/>
                <w:color w:val="auto"/>
              </w:rPr>
            </w:pPr>
            <w:r>
              <w:rPr>
                <w:rFonts w:ascii="Arial" w:cs="Arial" w:eastAsia="Arial" w:hAnsi="Arial"/>
                <w:sz w:val="18"/>
                <w:szCs w:val="18"/>
                <w:color w:val="00548B"/>
              </w:rPr>
              <w:t>i</w:t>
            </w:r>
          </w:p>
        </w:tc>
        <w:tc>
          <w:tcPr>
            <w:tcW w:w="6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205740</wp:posOffset>
            </wp:positionV>
            <wp:extent cx="2084070" cy="43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8407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D8D8D8"/>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-139065</wp:posOffset>
            </wp:positionV>
            <wp:extent cx="6997700" cy="574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574675"/>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2"/>
          <w:szCs w:val="22"/>
          <w:b w:val="1"/>
          <w:bCs w:val="1"/>
          <w:color w:val="D8D8D8"/>
        </w:rPr>
        <w:t>FOR</w:t>
      </w:r>
    </w:p>
    <w:p>
      <w:pPr>
        <w:jc w:val="center"/>
        <w:ind w:right="-219"/>
        <w:spacing w:after="0"/>
        <w:rPr>
          <w:sz w:val="20"/>
          <w:szCs w:val="20"/>
          <w:color w:val="auto"/>
        </w:rPr>
      </w:pPr>
      <w:r>
        <w:rPr>
          <w:rFonts w:ascii="Arial" w:cs="Arial" w:eastAsia="Arial" w:hAnsi="Arial"/>
          <w:sz w:val="22"/>
          <w:szCs w:val="22"/>
          <w:b w:val="1"/>
          <w:bCs w:val="1"/>
          <w:color w:val="D8D8D8"/>
        </w:rPr>
        <w:t>ANNUAL MEETING OF STOCKHOLDERS</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D8D8D8"/>
        </w:rPr>
        <w:t>TO BE HELD MAY 3, 2019</w:t>
      </w:r>
    </w:p>
    <w:p>
      <w:pPr>
        <w:spacing w:after="0" w:line="201"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This Proxy Statement is furnished in connection with the solicitation of proxies to be voted at the 2019 Annual Meeting of Stockholders of Huron Consulting Group Inc. (the “Company,” “Huron,” “we” or “us”). The 2019 Annual Meeting of Stockholders (the “Annual Meeting”) will be held on Friday, May 3, 2019 at 11:00 a.m. Central Time, at the Company’s corporate headquarters located at 550 West Van Buren Street, Chicago, Illinois 60607. This Proxy Statement and the accompanying proxy card are first being mailed to stockholders on or about March 22, 2019.</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548B"/>
        </w:rPr>
        <w:t>GENERAL INFORMATION ABOUT THE MEETING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Q</w:t>
      </w:r>
      <w:r>
        <w:rPr>
          <w:rFonts w:ascii="Arial" w:cs="Arial" w:eastAsia="Arial" w:hAnsi="Arial"/>
          <w:sz w:val="15"/>
          <w:szCs w:val="15"/>
          <w:b w:val="1"/>
          <w:bCs w:val="1"/>
          <w:color w:val="00548B"/>
        </w:rPr>
        <w:t>UORUM AND</w:t>
      </w:r>
      <w:r>
        <w:rPr>
          <w:rFonts w:ascii="Arial" w:cs="Arial" w:eastAsia="Arial" w:hAnsi="Arial"/>
          <w:sz w:val="18"/>
          <w:szCs w:val="18"/>
          <w:b w:val="1"/>
          <w:bCs w:val="1"/>
          <w:color w:val="00548B"/>
        </w:rPr>
        <w:t xml:space="preserve"> V</w:t>
      </w:r>
      <w:r>
        <w:rPr>
          <w:rFonts w:ascii="Arial" w:cs="Arial" w:eastAsia="Arial" w:hAnsi="Arial"/>
          <w:sz w:val="15"/>
          <w:szCs w:val="15"/>
          <w:b w:val="1"/>
          <w:bCs w:val="1"/>
          <w:color w:val="00548B"/>
        </w:rPr>
        <w:t>OTING</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EQUIREMENTS</w:t>
      </w:r>
    </w:p>
    <w:p>
      <w:pPr>
        <w:spacing w:after="0" w:line="20"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6, 2019 (the “Record Date”) will be entitled to vote at the Annual Meeting. As of the Record Date, there were 22,880,993 shares of common stock issued and outstanding.</w:t>
      </w:r>
    </w:p>
    <w:p>
      <w:pPr>
        <w:spacing w:after="0" w:line="176"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The accompanying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in person.</w:t>
      </w:r>
    </w:p>
    <w:p>
      <w:pPr>
        <w:spacing w:after="0" w:line="162"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in person, you must obtain a proxy from your bank or broker. You must request the proxy from your bank or broker; it will not automatically supply one to you.</w:t>
      </w:r>
    </w:p>
    <w:p>
      <w:pPr>
        <w:spacing w:after="0" w:line="162"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w:t>
      </w:r>
    </w:p>
    <w:p>
      <w:pPr>
        <w:spacing w:after="0" w:line="174"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on some proposals but not others, will be considered present at the meeting for purposes of determining a quorum.</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548B"/>
        </w:rPr>
        <w:t>PROPOSAL 1</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548B"/>
        </w:rPr>
        <w:t>ELECTION OF DIRECTORS</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5"/>
          <w:szCs w:val="15"/>
          <w:b w:val="1"/>
          <w:bCs w:val="1"/>
          <w:color w:val="00548B"/>
        </w:rPr>
        <w:t>OARD OF</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IRECTORS</w:t>
      </w:r>
    </w:p>
    <w:p>
      <w:pPr>
        <w:spacing w:after="0" w:line="20"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The Company’s third amended and restated certificate of incorporation divides the Company’s board of directors into three classes, with each class being elected to a three-year term.</w:t>
      </w:r>
    </w:p>
    <w:p>
      <w:pPr>
        <w:spacing w:after="0" w:line="155"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The board of directors has nominated John McCartney, James H. Roth and Ekta Singh-Bushell as Class III Directors to be voted upon at the 2019 Annual Meeting. H. Eugene Lockhart and George E. Massaro are Class I Directors serving terms ending at the 2020 Annual Meeting. John S. Moody, Hugh E. Sawyer and Debra Zumwalt are Class II Directors serving terms ending at the 2021 Annual Meeting. Mr. Edwards previously notified the board of directors of his intention to retire from the board as a Class III Director at the expiration of his current term, as the Company announced on July 27, 2018.</w:t>
      </w:r>
    </w:p>
    <w:p>
      <w:pPr>
        <w:spacing w:after="0" w:line="176" w:lineRule="exact"/>
        <w:rPr>
          <w:sz w:val="20"/>
          <w:szCs w:val="20"/>
          <w:color w:val="auto"/>
        </w:rPr>
      </w:pPr>
    </w:p>
    <w:p>
      <w:pPr>
        <w:jc w:val="both"/>
        <w:ind w:left="200" w:right="20"/>
        <w:spacing w:after="0" w:line="249" w:lineRule="auto"/>
        <w:rPr>
          <w:sz w:val="20"/>
          <w:szCs w:val="20"/>
          <w:color w:val="auto"/>
        </w:rPr>
      </w:pPr>
      <w:r>
        <w:rPr>
          <w:rFonts w:ascii="Arial" w:cs="Arial" w:eastAsia="Arial" w:hAnsi="Arial"/>
          <w:sz w:val="16"/>
          <w:szCs w:val="16"/>
          <w:color w:val="auto"/>
        </w:rPr>
        <w:t>This Proxy Statement relates only to the solicitation of proxies from the stockholders with respect to the election of the three nominees as Class III Directors and the other matters described herein. The board of directors knows of no reason that Mr. McCartney, Mr. Roth and Ms. Singh-Bushell might be unavailable to serve as the Class III Directors, and each has expressed an intention to serve, if elected. If Mr. McCartney, Mr. Roth or Ms. Singh-Bushell is unable to serve, the shares represented by all valid proxies will be voted “FOR” the election of such substitute nominee as the board of directors may recommend. There are no arrangements or understandings between any of the persons nominated to be a Class III Director and any other person pursuant to which any of such nominees was selected.</w:t>
      </w:r>
    </w:p>
    <w:p>
      <w:pPr>
        <w:spacing w:after="0" w:line="165" w:lineRule="exact"/>
        <w:rPr>
          <w:sz w:val="20"/>
          <w:szCs w:val="20"/>
          <w:color w:val="auto"/>
        </w:rPr>
      </w:pPr>
    </w:p>
    <w:p>
      <w:pPr>
        <w:jc w:val="both"/>
        <w:ind w:left="200" w:right="20"/>
        <w:spacing w:after="0" w:line="250"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Annual Meeting that are voted, provided that a quorum is represented at the meeting. A “plurality” means that the individuals who receive the largest number of votes are elected as directors up to the maximum number of directors to be elected at the meeting. Therefore, abstentions and “broker non-votes” will have no impact on the election of directors. Properly executed proxies submitted pursuant to this solicitation will be voted “FOR” the election of Mr. McCartney, Mr. Roth and Ms. Singh-Bushell as Class III Directors, unless specified otherwise.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ELECTION OF MR. MCCARTNEY, MR. ROTH AND MS.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SINGH-BUSHELL AS CLASS III DIRECTORS.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A</w:t>
      </w:r>
      <w:r>
        <w:rPr>
          <w:rFonts w:ascii="Arial" w:cs="Arial" w:eastAsia="Arial" w:hAnsi="Arial"/>
          <w:sz w:val="15"/>
          <w:szCs w:val="15"/>
          <w:b w:val="1"/>
          <w:bCs w:val="1"/>
          <w:color w:val="00548B"/>
        </w:rPr>
        <w:t>BOUT THE</w:t>
      </w:r>
      <w:r>
        <w:rPr>
          <w:rFonts w:ascii="Arial" w:cs="Arial" w:eastAsia="Arial" w:hAnsi="Arial"/>
          <w:sz w:val="18"/>
          <w:szCs w:val="18"/>
          <w:b w:val="1"/>
          <w:bCs w:val="1"/>
          <w:color w:val="00548B"/>
        </w:rPr>
        <w:t xml:space="preserve"> B</w:t>
      </w:r>
      <w:r>
        <w:rPr>
          <w:rFonts w:ascii="Arial" w:cs="Arial" w:eastAsia="Arial" w:hAnsi="Arial"/>
          <w:sz w:val="15"/>
          <w:szCs w:val="15"/>
          <w:b w:val="1"/>
          <w:bCs w:val="1"/>
          <w:color w:val="00548B"/>
        </w:rPr>
        <w:t>OARD</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shd w:val="clear" w:color="auto" w:fill="00548B"/>
          </w:tcPr>
          <w:p>
            <w:pPr>
              <w:spacing w:after="0"/>
              <w:rPr>
                <w:sz w:val="14"/>
                <w:szCs w:val="14"/>
                <w:color w:val="auto"/>
              </w:rPr>
            </w:pPr>
          </w:p>
        </w:tc>
        <w:tc>
          <w:tcPr>
            <w:tcW w:w="4780" w:type="dxa"/>
            <w:vAlign w:val="bottom"/>
            <w:shd w:val="clear" w:color="auto" w:fill="00548B"/>
          </w:tcPr>
          <w:p>
            <w:pPr>
              <w:spacing w:after="0"/>
              <w:rPr>
                <w:sz w:val="14"/>
                <w:szCs w:val="14"/>
                <w:color w:val="auto"/>
              </w:rPr>
            </w:pPr>
          </w:p>
        </w:tc>
        <w:tc>
          <w:tcPr>
            <w:tcW w:w="120" w:type="dxa"/>
            <w:vAlign w:val="bottom"/>
            <w:shd w:val="clear" w:color="auto" w:fill="00548B"/>
          </w:tcPr>
          <w:p>
            <w:pPr>
              <w:spacing w:after="0"/>
              <w:rPr>
                <w:sz w:val="14"/>
                <w:szCs w:val="14"/>
                <w:color w:val="auto"/>
              </w:rPr>
            </w:pPr>
          </w:p>
        </w:tc>
        <w:tc>
          <w:tcPr>
            <w:tcW w:w="13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5"/>
              </w:rPr>
              <w:t>Class and Year in</w:t>
            </w:r>
          </w:p>
        </w:tc>
        <w:tc>
          <w:tcPr>
            <w:tcW w:w="1100" w:type="dxa"/>
            <w:vAlign w:val="bottom"/>
            <w:shd w:val="clear" w:color="auto" w:fill="00548B"/>
          </w:tcPr>
          <w:p>
            <w:pPr>
              <w:spacing w:after="0"/>
              <w:rPr>
                <w:sz w:val="14"/>
                <w:szCs w:val="14"/>
                <w:color w:val="auto"/>
              </w:rPr>
            </w:pPr>
          </w:p>
        </w:tc>
        <w:tc>
          <w:tcPr>
            <w:tcW w:w="1240" w:type="dxa"/>
            <w:vAlign w:val="bottom"/>
            <w:vMerge w:val="restart"/>
            <w:shd w:val="clear" w:color="auto" w:fill="00548B"/>
          </w:tcPr>
          <w:p>
            <w:pPr>
              <w:jc w:val="center"/>
              <w:ind w:left="32"/>
              <w:spacing w:after="0"/>
              <w:rPr>
                <w:sz w:val="20"/>
                <w:szCs w:val="20"/>
                <w:color w:val="auto"/>
              </w:rPr>
            </w:pPr>
            <w:r>
              <w:rPr>
                <w:rFonts w:ascii="Arial" w:cs="Arial" w:eastAsia="Arial" w:hAnsi="Arial"/>
                <w:sz w:val="14"/>
                <w:szCs w:val="14"/>
                <w:b w:val="1"/>
                <w:bCs w:val="1"/>
                <w:color w:val="D8D8D8"/>
                <w:w w:val="97"/>
              </w:rPr>
              <w:t>Committees</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460" w:type="dxa"/>
            <w:vAlign w:val="bottom"/>
            <w:tcBorders>
              <w:bottom w:val="single" w:sz="8" w:color="00548B"/>
            </w:tcBorders>
            <w:shd w:val="clear" w:color="auto" w:fill="00548B"/>
          </w:tcPr>
          <w:p>
            <w:pPr>
              <w:spacing w:after="0"/>
              <w:rPr>
                <w:sz w:val="7"/>
                <w:szCs w:val="7"/>
                <w:color w:val="auto"/>
              </w:rPr>
            </w:pPr>
          </w:p>
        </w:tc>
        <w:tc>
          <w:tcPr>
            <w:tcW w:w="4780" w:type="dxa"/>
            <w:vAlign w:val="bottom"/>
            <w:tcBorders>
              <w:bottom w:val="single" w:sz="8" w:color="00548B"/>
            </w:tcBorders>
            <w:shd w:val="clear" w:color="auto" w:fill="00548B"/>
          </w:tcPr>
          <w:p>
            <w:pPr>
              <w:spacing w:after="0"/>
              <w:rPr>
                <w:sz w:val="7"/>
                <w:szCs w:val="7"/>
                <w:color w:val="auto"/>
              </w:rPr>
            </w:pPr>
          </w:p>
        </w:tc>
        <w:tc>
          <w:tcPr>
            <w:tcW w:w="120" w:type="dxa"/>
            <w:vAlign w:val="bottom"/>
            <w:tcBorders>
              <w:bottom w:val="single" w:sz="8" w:color="00548B"/>
            </w:tcBorders>
            <w:shd w:val="clear" w:color="auto" w:fill="00548B"/>
          </w:tcPr>
          <w:p>
            <w:pPr>
              <w:spacing w:after="0"/>
              <w:rPr>
                <w:sz w:val="7"/>
                <w:szCs w:val="7"/>
                <w:color w:val="auto"/>
              </w:rPr>
            </w:pPr>
          </w:p>
        </w:tc>
        <w:tc>
          <w:tcPr>
            <w:tcW w:w="1320" w:type="dxa"/>
            <w:vAlign w:val="bottom"/>
            <w:tcBorders>
              <w:bottom w:val="single" w:sz="8" w:color="00548B"/>
            </w:tcBorders>
            <w:vMerge w:val="restart"/>
            <w:shd w:val="clear" w:color="auto" w:fill="00548B"/>
          </w:tcPr>
          <w:p>
            <w:pPr>
              <w:jc w:val="center"/>
              <w:spacing w:after="0" w:line="149" w:lineRule="exact"/>
              <w:rPr>
                <w:sz w:val="20"/>
                <w:szCs w:val="20"/>
                <w:color w:val="auto"/>
              </w:rPr>
            </w:pPr>
            <w:r>
              <w:rPr>
                <w:rFonts w:ascii="Arial" w:cs="Arial" w:eastAsia="Arial" w:hAnsi="Arial"/>
                <w:sz w:val="14"/>
                <w:szCs w:val="14"/>
                <w:b w:val="1"/>
                <w:bCs w:val="1"/>
                <w:color w:val="D8D8D8"/>
                <w:w w:val="95"/>
              </w:rPr>
              <w:t>Which</w:t>
            </w:r>
          </w:p>
        </w:tc>
        <w:tc>
          <w:tcPr>
            <w:tcW w:w="1100" w:type="dxa"/>
            <w:vAlign w:val="bottom"/>
            <w:tcBorders>
              <w:bottom w:val="single" w:sz="8" w:color="00548B"/>
            </w:tcBorders>
            <w:shd w:val="clear" w:color="auto" w:fill="00548B"/>
          </w:tcPr>
          <w:p>
            <w:pPr>
              <w:spacing w:after="0"/>
              <w:rPr>
                <w:sz w:val="7"/>
                <w:szCs w:val="7"/>
                <w:color w:val="auto"/>
              </w:rPr>
            </w:pPr>
          </w:p>
        </w:tc>
        <w:tc>
          <w:tcPr>
            <w:tcW w:w="1240" w:type="dxa"/>
            <w:vAlign w:val="bottom"/>
            <w:tcBorders>
              <w:bottom w:val="single" w:sz="8" w:color="D8D8D8"/>
            </w:tcBorders>
            <w:vMerge w:val="continue"/>
            <w:shd w:val="clear" w:color="auto" w:fill="00548B"/>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shd w:val="clear" w:color="auto" w:fill="00548B"/>
          </w:tcPr>
          <w:p>
            <w:pPr>
              <w:spacing w:after="0"/>
              <w:rPr>
                <w:sz w:val="3"/>
                <w:szCs w:val="3"/>
                <w:color w:val="auto"/>
              </w:rPr>
            </w:pPr>
          </w:p>
        </w:tc>
        <w:tc>
          <w:tcPr>
            <w:tcW w:w="4780" w:type="dxa"/>
            <w:vAlign w:val="bottom"/>
            <w:shd w:val="clear" w:color="auto" w:fill="00548B"/>
          </w:tcPr>
          <w:p>
            <w:pPr>
              <w:spacing w:after="0"/>
              <w:rPr>
                <w:sz w:val="3"/>
                <w:szCs w:val="3"/>
                <w:color w:val="auto"/>
              </w:rPr>
            </w:pPr>
          </w:p>
        </w:tc>
        <w:tc>
          <w:tcPr>
            <w:tcW w:w="120" w:type="dxa"/>
            <w:vAlign w:val="bottom"/>
            <w:shd w:val="clear" w:color="auto" w:fill="00548B"/>
          </w:tcPr>
          <w:p>
            <w:pPr>
              <w:spacing w:after="0"/>
              <w:rPr>
                <w:sz w:val="3"/>
                <w:szCs w:val="3"/>
                <w:color w:val="auto"/>
              </w:rPr>
            </w:pPr>
          </w:p>
        </w:tc>
        <w:tc>
          <w:tcPr>
            <w:tcW w:w="1320" w:type="dxa"/>
            <w:vAlign w:val="bottom"/>
            <w:vMerge w:val="continue"/>
            <w:shd w:val="clear" w:color="auto" w:fill="00548B"/>
          </w:tcPr>
          <w:p>
            <w:pPr>
              <w:spacing w:after="0"/>
              <w:rPr>
                <w:sz w:val="3"/>
                <w:szCs w:val="3"/>
                <w:color w:val="auto"/>
              </w:rPr>
            </w:pPr>
          </w:p>
        </w:tc>
        <w:tc>
          <w:tcPr>
            <w:tcW w:w="1100" w:type="dxa"/>
            <w:vAlign w:val="bottom"/>
            <w:shd w:val="clear" w:color="auto" w:fill="00548B"/>
          </w:tcPr>
          <w:p>
            <w:pPr>
              <w:spacing w:after="0"/>
              <w:rPr>
                <w:sz w:val="3"/>
                <w:szCs w:val="3"/>
                <w:color w:val="auto"/>
              </w:rPr>
            </w:pPr>
          </w:p>
        </w:tc>
        <w:tc>
          <w:tcPr>
            <w:tcW w:w="1240" w:type="dxa"/>
            <w:vAlign w:val="bottom"/>
            <w:shd w:val="clear" w:color="auto" w:fill="00548B"/>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4780" w:type="dxa"/>
            <w:vAlign w:val="bottom"/>
            <w:shd w:val="clear" w:color="auto" w:fill="00548B"/>
          </w:tcPr>
          <w:p>
            <w:pPr>
              <w:ind w:left="60"/>
              <w:spacing w:after="0"/>
              <w:rPr>
                <w:sz w:val="20"/>
                <w:szCs w:val="20"/>
                <w:color w:val="auto"/>
              </w:rPr>
            </w:pPr>
            <w:r>
              <w:rPr>
                <w:rFonts w:ascii="Arial" w:cs="Arial" w:eastAsia="Arial" w:hAnsi="Arial"/>
                <w:sz w:val="14"/>
                <w:szCs w:val="14"/>
                <w:b w:val="1"/>
                <w:bCs w:val="1"/>
                <w:color w:val="D8D8D8"/>
              </w:rPr>
              <w:t>Principal Occupation</w:t>
            </w:r>
          </w:p>
        </w:tc>
        <w:tc>
          <w:tcPr>
            <w:tcW w:w="120" w:type="dxa"/>
            <w:vAlign w:val="bottom"/>
            <w:shd w:val="clear" w:color="auto" w:fill="00548B"/>
          </w:tcPr>
          <w:p>
            <w:pPr>
              <w:spacing w:after="0"/>
              <w:rPr>
                <w:sz w:val="16"/>
                <w:szCs w:val="16"/>
                <w:color w:val="auto"/>
              </w:rPr>
            </w:pPr>
          </w:p>
        </w:tc>
        <w:tc>
          <w:tcPr>
            <w:tcW w:w="13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4"/>
              </w:rPr>
              <w:t>Term Expires</w:t>
            </w:r>
          </w:p>
        </w:tc>
        <w:tc>
          <w:tcPr>
            <w:tcW w:w="1100" w:type="dxa"/>
            <w:vAlign w:val="bottom"/>
            <w:shd w:val="clear" w:color="auto" w:fill="00548B"/>
          </w:tcPr>
          <w:p>
            <w:pPr>
              <w:ind w:left="200"/>
              <w:spacing w:after="0"/>
              <w:rPr>
                <w:sz w:val="20"/>
                <w:szCs w:val="20"/>
                <w:color w:val="auto"/>
              </w:rPr>
            </w:pPr>
            <w:r>
              <w:rPr>
                <w:rFonts w:ascii="Arial" w:cs="Arial" w:eastAsia="Arial" w:hAnsi="Arial"/>
                <w:sz w:val="14"/>
                <w:szCs w:val="14"/>
                <w:b w:val="1"/>
                <w:bCs w:val="1"/>
                <w:color w:val="D8D8D8"/>
              </w:rPr>
              <w:t>Independent</w:t>
            </w:r>
          </w:p>
        </w:tc>
        <w:tc>
          <w:tcPr>
            <w:tcW w:w="1240" w:type="dxa"/>
            <w:vAlign w:val="bottom"/>
            <w:shd w:val="clear" w:color="auto" w:fill="00548B"/>
          </w:tcPr>
          <w:p>
            <w:pPr>
              <w:jc w:val="center"/>
              <w:ind w:left="72"/>
              <w:spacing w:after="0"/>
              <w:rPr>
                <w:sz w:val="20"/>
                <w:szCs w:val="20"/>
                <w:color w:val="auto"/>
              </w:rPr>
            </w:pPr>
            <w:r>
              <w:rPr>
                <w:rFonts w:ascii="Arial" w:cs="Arial" w:eastAsia="Arial" w:hAnsi="Arial"/>
                <w:sz w:val="14"/>
                <w:szCs w:val="14"/>
                <w:b w:val="1"/>
                <w:bCs w:val="1"/>
                <w:color w:val="D8D8D8"/>
              </w:rPr>
              <w:t>A   C   N&amp;CG</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56"/>
        </w:trPr>
        <w:tc>
          <w:tcPr>
            <w:tcW w:w="2300" w:type="dxa"/>
            <w:vAlign w:val="bottom"/>
            <w:gridSpan w:val="2"/>
          </w:tcPr>
          <w:p>
            <w:pPr>
              <w:spacing w:after="0" w:line="156" w:lineRule="exact"/>
              <w:rPr>
                <w:sz w:val="20"/>
                <w:szCs w:val="20"/>
                <w:color w:val="auto"/>
              </w:rPr>
            </w:pPr>
            <w:r>
              <w:rPr>
                <w:rFonts w:ascii="Arial" w:cs="Arial" w:eastAsia="Arial" w:hAnsi="Arial"/>
                <w:sz w:val="14"/>
                <w:szCs w:val="14"/>
                <w:b w:val="1"/>
                <w:bCs w:val="1"/>
                <w:color w:val="00548B"/>
              </w:rPr>
              <w:t>John McCartney</w:t>
            </w:r>
          </w:p>
        </w:tc>
        <w:tc>
          <w:tcPr>
            <w:tcW w:w="5120" w:type="dxa"/>
            <w:vAlign w:val="bottom"/>
          </w:tcPr>
          <w:p>
            <w:pPr>
              <w:ind w:left="220"/>
              <w:spacing w:after="0" w:line="156" w:lineRule="exact"/>
              <w:rPr>
                <w:sz w:val="20"/>
                <w:szCs w:val="20"/>
                <w:color w:val="auto"/>
              </w:rPr>
            </w:pPr>
            <w:r>
              <w:rPr>
                <w:rFonts w:ascii="Arial" w:cs="Arial" w:eastAsia="Arial" w:hAnsi="Arial"/>
                <w:sz w:val="14"/>
                <w:szCs w:val="14"/>
                <w:color w:val="auto"/>
              </w:rPr>
              <w:t>Non-executive Chairman, Huron Consulting Group Inc.</w:t>
            </w:r>
          </w:p>
        </w:tc>
        <w:tc>
          <w:tcPr>
            <w:tcW w:w="1840" w:type="dxa"/>
            <w:vAlign w:val="bottom"/>
          </w:tcPr>
          <w:p>
            <w:pPr>
              <w:jc w:val="center"/>
              <w:ind w:right="528"/>
              <w:spacing w:after="0" w:line="156" w:lineRule="exact"/>
              <w:rPr>
                <w:sz w:val="20"/>
                <w:szCs w:val="20"/>
                <w:color w:val="auto"/>
              </w:rPr>
            </w:pPr>
            <w:r>
              <w:rPr>
                <w:rFonts w:ascii="Arial" w:cs="Arial" w:eastAsia="Arial" w:hAnsi="Arial"/>
                <w:sz w:val="14"/>
                <w:szCs w:val="14"/>
                <w:color w:val="auto"/>
              </w:rPr>
              <w:t>Class III 2019</w:t>
            </w:r>
          </w:p>
        </w:tc>
        <w:tc>
          <w:tcPr>
            <w:tcW w:w="1780" w:type="dxa"/>
            <w:vAlign w:val="bottom"/>
          </w:tcPr>
          <w:p>
            <w:pPr>
              <w:spacing w:after="0"/>
              <w:rPr>
                <w:sz w:val="13"/>
                <w:szCs w:val="13"/>
                <w:color w:val="auto"/>
              </w:rPr>
            </w:pPr>
          </w:p>
        </w:tc>
      </w:tr>
      <w:tr>
        <w:trPr>
          <w:trHeight w:val="153"/>
        </w:trPr>
        <w:tc>
          <w:tcPr>
            <w:tcW w:w="230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66, Director since 2004</w:t>
            </w:r>
          </w:p>
        </w:tc>
        <w:tc>
          <w:tcPr>
            <w:tcW w:w="512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c>
          <w:tcPr>
            <w:tcW w:w="1780" w:type="dxa"/>
            <w:vAlign w:val="bottom"/>
            <w:tcBorders>
              <w:bottom w:val="single" w:sz="8" w:color="999999"/>
            </w:tcBorders>
          </w:tcPr>
          <w:p>
            <w:pPr>
              <w:spacing w:after="0"/>
              <w:rPr>
                <w:sz w:val="13"/>
                <w:szCs w:val="13"/>
                <w:color w:val="auto"/>
              </w:rPr>
            </w:pPr>
          </w:p>
        </w:tc>
      </w:tr>
      <w:tr>
        <w:trPr>
          <w:trHeight w:val="151"/>
        </w:trPr>
        <w:tc>
          <w:tcPr>
            <w:tcW w:w="230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James H. Roth</w:t>
            </w:r>
          </w:p>
        </w:tc>
        <w:tc>
          <w:tcPr>
            <w:tcW w:w="5120" w:type="dxa"/>
            <w:vAlign w:val="bottom"/>
          </w:tcPr>
          <w:p>
            <w:pPr>
              <w:ind w:left="220"/>
              <w:spacing w:after="0" w:line="151" w:lineRule="exact"/>
              <w:rPr>
                <w:sz w:val="20"/>
                <w:szCs w:val="20"/>
                <w:color w:val="auto"/>
              </w:rPr>
            </w:pPr>
            <w:r>
              <w:rPr>
                <w:rFonts w:ascii="Arial" w:cs="Arial" w:eastAsia="Arial" w:hAnsi="Arial"/>
                <w:sz w:val="14"/>
                <w:szCs w:val="14"/>
                <w:color w:val="auto"/>
              </w:rPr>
              <w:t>Chief  Executive  Officer  of  Huron  Consulting  Group  Inc.  and  Huron</w:t>
            </w:r>
          </w:p>
        </w:tc>
        <w:tc>
          <w:tcPr>
            <w:tcW w:w="1840" w:type="dxa"/>
            <w:vAlign w:val="bottom"/>
          </w:tcPr>
          <w:p>
            <w:pPr>
              <w:jc w:val="center"/>
              <w:ind w:right="528"/>
              <w:spacing w:after="0" w:line="151" w:lineRule="exact"/>
              <w:rPr>
                <w:sz w:val="20"/>
                <w:szCs w:val="20"/>
                <w:color w:val="auto"/>
              </w:rPr>
            </w:pPr>
            <w:r>
              <w:rPr>
                <w:rFonts w:ascii="Arial" w:cs="Arial" w:eastAsia="Arial" w:hAnsi="Arial"/>
                <w:sz w:val="14"/>
                <w:szCs w:val="14"/>
                <w:color w:val="auto"/>
              </w:rPr>
              <w:t>Class III 2019</w:t>
            </w:r>
          </w:p>
        </w:tc>
        <w:tc>
          <w:tcPr>
            <w:tcW w:w="1780" w:type="dxa"/>
            <w:vAlign w:val="bottom"/>
          </w:tcPr>
          <w:p>
            <w:pPr>
              <w:spacing w:after="0"/>
              <w:rPr>
                <w:sz w:val="13"/>
                <w:szCs w:val="13"/>
                <w:color w:val="auto"/>
              </w:rPr>
            </w:pPr>
          </w:p>
        </w:tc>
      </w:tr>
      <w:tr>
        <w:trPr>
          <w:trHeight w:val="168"/>
        </w:trPr>
        <w:tc>
          <w:tcPr>
            <w:tcW w:w="230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61, Director since 2009</w:t>
            </w:r>
          </w:p>
        </w:tc>
        <w:tc>
          <w:tcPr>
            <w:tcW w:w="5120" w:type="dxa"/>
            <w:vAlign w:val="bottom"/>
            <w:tcBorders>
              <w:bottom w:val="single" w:sz="8" w:color="999999"/>
            </w:tcBorders>
          </w:tcPr>
          <w:p>
            <w:pPr>
              <w:ind w:left="220"/>
              <w:spacing w:after="0"/>
              <w:rPr>
                <w:sz w:val="20"/>
                <w:szCs w:val="20"/>
                <w:color w:val="auto"/>
              </w:rPr>
            </w:pPr>
            <w:r>
              <w:rPr>
                <w:rFonts w:ascii="Arial" w:cs="Arial" w:eastAsia="Arial" w:hAnsi="Arial"/>
                <w:sz w:val="14"/>
                <w:szCs w:val="14"/>
                <w:color w:val="auto"/>
              </w:rPr>
              <w:t>Consulting Services LLC, our principal operating subsidiary</w:t>
            </w:r>
          </w:p>
        </w:tc>
        <w:tc>
          <w:tcPr>
            <w:tcW w:w="1840" w:type="dxa"/>
            <w:vAlign w:val="bottom"/>
            <w:tcBorders>
              <w:bottom w:val="single" w:sz="8" w:color="999999"/>
            </w:tcBorders>
          </w:tcPr>
          <w:p>
            <w:pPr>
              <w:spacing w:after="0"/>
              <w:rPr>
                <w:sz w:val="14"/>
                <w:szCs w:val="14"/>
                <w:color w:val="auto"/>
              </w:rPr>
            </w:pPr>
          </w:p>
        </w:tc>
        <w:tc>
          <w:tcPr>
            <w:tcW w:w="1780" w:type="dxa"/>
            <w:vAlign w:val="bottom"/>
            <w:tcBorders>
              <w:bottom w:val="single" w:sz="8" w:color="999999"/>
            </w:tcBorders>
          </w:tcPr>
          <w:p>
            <w:pPr>
              <w:spacing w:after="0"/>
              <w:rPr>
                <w:sz w:val="14"/>
                <w:szCs w:val="14"/>
                <w:color w:val="auto"/>
              </w:rPr>
            </w:pPr>
          </w:p>
        </w:tc>
      </w:tr>
      <w:tr>
        <w:trPr>
          <w:trHeight w:val="150"/>
        </w:trPr>
        <w:tc>
          <w:tcPr>
            <w:tcW w:w="2300" w:type="dxa"/>
            <w:vAlign w:val="bottom"/>
            <w:gridSpan w:val="2"/>
          </w:tcPr>
          <w:p>
            <w:pPr>
              <w:spacing w:after="0" w:line="149" w:lineRule="exact"/>
              <w:rPr>
                <w:sz w:val="20"/>
                <w:szCs w:val="20"/>
                <w:color w:val="auto"/>
              </w:rPr>
            </w:pPr>
            <w:r>
              <w:rPr>
                <w:rFonts w:ascii="Arial" w:cs="Arial" w:eastAsia="Arial" w:hAnsi="Arial"/>
                <w:sz w:val="14"/>
                <w:szCs w:val="14"/>
                <w:b w:val="1"/>
                <w:bCs w:val="1"/>
                <w:color w:val="00548B"/>
              </w:rPr>
              <w:t>Ekta Singh-Bushell</w:t>
            </w:r>
          </w:p>
        </w:tc>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Strategic adviser to DecisionGPS, LLC</w:t>
            </w:r>
          </w:p>
        </w:tc>
        <w:tc>
          <w:tcPr>
            <w:tcW w:w="1840" w:type="dxa"/>
            <w:vAlign w:val="bottom"/>
          </w:tcPr>
          <w:p>
            <w:pPr>
              <w:jc w:val="center"/>
              <w:ind w:right="528"/>
              <w:spacing w:after="0" w:line="149" w:lineRule="exact"/>
              <w:rPr>
                <w:sz w:val="20"/>
                <w:szCs w:val="20"/>
                <w:color w:val="auto"/>
              </w:rPr>
            </w:pPr>
            <w:r>
              <w:rPr>
                <w:rFonts w:ascii="Arial" w:cs="Arial" w:eastAsia="Arial" w:hAnsi="Arial"/>
                <w:sz w:val="14"/>
                <w:szCs w:val="14"/>
                <w:color w:val="auto"/>
              </w:rPr>
              <w:t>Class III 2019</w:t>
            </w:r>
          </w:p>
        </w:tc>
        <w:tc>
          <w:tcPr>
            <w:tcW w:w="1780" w:type="dxa"/>
            <w:vAlign w:val="bottom"/>
          </w:tcPr>
          <w:p>
            <w:pPr>
              <w:spacing w:after="0"/>
              <w:rPr>
                <w:sz w:val="13"/>
                <w:szCs w:val="13"/>
                <w:color w:val="auto"/>
              </w:rPr>
            </w:pPr>
          </w:p>
        </w:tc>
      </w:tr>
      <w:tr>
        <w:trPr>
          <w:trHeight w:val="153"/>
        </w:trPr>
        <w:tc>
          <w:tcPr>
            <w:tcW w:w="2300" w:type="dxa"/>
            <w:vAlign w:val="bottom"/>
            <w:gridSpan w:val="2"/>
          </w:tcPr>
          <w:p>
            <w:pPr>
              <w:spacing w:after="0"/>
              <w:rPr>
                <w:sz w:val="20"/>
                <w:szCs w:val="20"/>
                <w:color w:val="auto"/>
              </w:rPr>
            </w:pPr>
            <w:r>
              <w:rPr>
                <w:rFonts w:ascii="Arial" w:cs="Arial" w:eastAsia="Arial" w:hAnsi="Arial"/>
                <w:sz w:val="13"/>
                <w:szCs w:val="13"/>
                <w:color w:val="auto"/>
              </w:rPr>
              <w:t>Age 47, Nominee for Director</w:t>
            </w:r>
          </w:p>
        </w:tc>
        <w:tc>
          <w:tcPr>
            <w:tcW w:w="5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22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Not Standing for Election</w:t>
            </w:r>
          </w:p>
        </w:tc>
        <w:tc>
          <w:tcPr>
            <w:tcW w:w="5120" w:type="dxa"/>
            <w:vAlign w:val="bottom"/>
            <w:shd w:val="clear" w:color="auto" w:fill="00548B"/>
          </w:tcPr>
          <w:p>
            <w:pPr>
              <w:spacing w:after="0"/>
              <w:rPr>
                <w:sz w:val="15"/>
                <w:szCs w:val="15"/>
                <w:color w:val="auto"/>
              </w:rPr>
            </w:pPr>
          </w:p>
        </w:tc>
        <w:tc>
          <w:tcPr>
            <w:tcW w:w="1840" w:type="dxa"/>
            <w:vAlign w:val="bottom"/>
            <w:shd w:val="clear" w:color="auto" w:fill="00548B"/>
          </w:tcPr>
          <w:p>
            <w:pPr>
              <w:spacing w:after="0"/>
              <w:rPr>
                <w:sz w:val="15"/>
                <w:szCs w:val="15"/>
                <w:color w:val="auto"/>
              </w:rPr>
            </w:pPr>
          </w:p>
        </w:tc>
        <w:tc>
          <w:tcPr>
            <w:tcW w:w="1780" w:type="dxa"/>
            <w:vAlign w:val="bottom"/>
            <w:shd w:val="clear" w:color="auto" w:fill="00548B"/>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56" w:lineRule="exact"/>
              <w:rPr>
                <w:sz w:val="20"/>
                <w:szCs w:val="20"/>
                <w:color w:val="auto"/>
              </w:rPr>
            </w:pPr>
            <w:r>
              <w:rPr>
                <w:rFonts w:ascii="Arial" w:cs="Arial" w:eastAsia="Arial" w:hAnsi="Arial"/>
                <w:sz w:val="14"/>
                <w:szCs w:val="14"/>
                <w:b w:val="1"/>
                <w:bCs w:val="1"/>
                <w:color w:val="00548B"/>
              </w:rPr>
              <w:t>H. Eugene Lockhart</w:t>
            </w:r>
          </w:p>
        </w:tc>
        <w:tc>
          <w:tcPr>
            <w:tcW w:w="5120" w:type="dxa"/>
            <w:vAlign w:val="bottom"/>
          </w:tcPr>
          <w:p>
            <w:pPr>
              <w:ind w:left="220"/>
              <w:spacing w:after="0" w:line="156" w:lineRule="exact"/>
              <w:rPr>
                <w:sz w:val="20"/>
                <w:szCs w:val="20"/>
                <w:color w:val="auto"/>
              </w:rPr>
            </w:pPr>
            <w:r>
              <w:rPr>
                <w:rFonts w:ascii="Arial" w:cs="Arial" w:eastAsia="Arial" w:hAnsi="Arial"/>
                <w:sz w:val="14"/>
                <w:szCs w:val="14"/>
                <w:color w:val="auto"/>
              </w:rPr>
              <w:t>Chairman and Managing Partner of MissionOG LLC</w:t>
            </w:r>
          </w:p>
        </w:tc>
        <w:tc>
          <w:tcPr>
            <w:tcW w:w="1840" w:type="dxa"/>
            <w:vAlign w:val="bottom"/>
          </w:tcPr>
          <w:p>
            <w:pPr>
              <w:jc w:val="center"/>
              <w:ind w:right="528"/>
              <w:spacing w:after="0" w:line="156" w:lineRule="exact"/>
              <w:rPr>
                <w:sz w:val="20"/>
                <w:szCs w:val="20"/>
                <w:color w:val="auto"/>
              </w:rPr>
            </w:pPr>
            <w:r>
              <w:rPr>
                <w:rFonts w:ascii="Arial" w:cs="Arial" w:eastAsia="Arial" w:hAnsi="Arial"/>
                <w:sz w:val="14"/>
                <w:szCs w:val="14"/>
                <w:color w:val="auto"/>
              </w:rPr>
              <w:t>Class I 2020</w:t>
            </w:r>
          </w:p>
        </w:tc>
        <w:tc>
          <w:tcPr>
            <w:tcW w:w="1780" w:type="dxa"/>
            <w:vAlign w:val="bottom"/>
          </w:tcPr>
          <w:p>
            <w:pPr>
              <w:ind w:left="780"/>
              <w:spacing w:after="0"/>
              <w:rPr>
                <w:sz w:val="20"/>
                <w:szCs w:val="20"/>
                <w:color w:val="auto"/>
              </w:rPr>
            </w:pPr>
            <w:r>
              <w:rPr>
                <w:rFonts w:ascii="Arial" w:cs="Arial" w:eastAsia="Arial" w:hAnsi="Arial"/>
                <w:sz w:val="12"/>
                <w:szCs w:val="12"/>
                <w:color w:val="00548B"/>
              </w:rPr>
              <w:t>c</w:t>
            </w:r>
          </w:p>
        </w:tc>
      </w:tr>
      <w:tr>
        <w:trPr>
          <w:trHeight w:val="153"/>
        </w:trPr>
        <w:tc>
          <w:tcPr>
            <w:tcW w:w="230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69, Director since 2006</w:t>
            </w:r>
          </w:p>
        </w:tc>
        <w:tc>
          <w:tcPr>
            <w:tcW w:w="512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c>
          <w:tcPr>
            <w:tcW w:w="1780" w:type="dxa"/>
            <w:vAlign w:val="bottom"/>
            <w:tcBorders>
              <w:bottom w:val="single" w:sz="8" w:color="999999"/>
            </w:tcBorders>
          </w:tcPr>
          <w:p>
            <w:pPr>
              <w:spacing w:after="0"/>
              <w:rPr>
                <w:sz w:val="13"/>
                <w:szCs w:val="13"/>
                <w:color w:val="auto"/>
              </w:rPr>
            </w:pPr>
          </w:p>
        </w:tc>
      </w:tr>
      <w:tr>
        <w:trPr>
          <w:trHeight w:val="151"/>
        </w:trPr>
        <w:tc>
          <w:tcPr>
            <w:tcW w:w="230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George E. Massaro</w:t>
            </w:r>
          </w:p>
        </w:tc>
        <w:tc>
          <w:tcPr>
            <w:tcW w:w="5120" w:type="dxa"/>
            <w:vAlign w:val="bottom"/>
          </w:tcPr>
          <w:p>
            <w:pPr>
              <w:ind w:left="220"/>
              <w:spacing w:after="0" w:line="151" w:lineRule="exact"/>
              <w:rPr>
                <w:sz w:val="20"/>
                <w:szCs w:val="20"/>
                <w:color w:val="auto"/>
              </w:rPr>
            </w:pPr>
            <w:r>
              <w:rPr>
                <w:rFonts w:ascii="Arial" w:cs="Arial" w:eastAsia="Arial" w:hAnsi="Arial"/>
                <w:sz w:val="14"/>
                <w:szCs w:val="14"/>
                <w:color w:val="auto"/>
              </w:rPr>
              <w:t>Vice Chairman, Huron Consulting Group Inc.</w:t>
            </w:r>
          </w:p>
        </w:tc>
        <w:tc>
          <w:tcPr>
            <w:tcW w:w="1840" w:type="dxa"/>
            <w:vAlign w:val="bottom"/>
          </w:tcPr>
          <w:p>
            <w:pPr>
              <w:jc w:val="center"/>
              <w:ind w:right="528"/>
              <w:spacing w:after="0" w:line="151" w:lineRule="exact"/>
              <w:rPr>
                <w:sz w:val="20"/>
                <w:szCs w:val="20"/>
                <w:color w:val="auto"/>
              </w:rPr>
            </w:pPr>
            <w:r>
              <w:rPr>
                <w:rFonts w:ascii="Arial" w:cs="Arial" w:eastAsia="Arial" w:hAnsi="Arial"/>
                <w:sz w:val="14"/>
                <w:szCs w:val="14"/>
                <w:color w:val="auto"/>
              </w:rPr>
              <w:t>Class I 2020</w:t>
            </w:r>
          </w:p>
        </w:tc>
        <w:tc>
          <w:tcPr>
            <w:tcW w:w="1780" w:type="dxa"/>
            <w:vAlign w:val="bottom"/>
          </w:tcPr>
          <w:p>
            <w:pPr>
              <w:spacing w:after="0"/>
              <w:rPr>
                <w:sz w:val="13"/>
                <w:szCs w:val="13"/>
                <w:color w:val="auto"/>
              </w:rPr>
            </w:pPr>
          </w:p>
        </w:tc>
      </w:tr>
      <w:tr>
        <w:trPr>
          <w:trHeight w:val="153"/>
        </w:trPr>
        <w:tc>
          <w:tcPr>
            <w:tcW w:w="230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71, Director since 2004</w:t>
            </w:r>
          </w:p>
        </w:tc>
        <w:tc>
          <w:tcPr>
            <w:tcW w:w="512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c>
          <w:tcPr>
            <w:tcW w:w="1780" w:type="dxa"/>
            <w:vAlign w:val="bottom"/>
            <w:tcBorders>
              <w:bottom w:val="single" w:sz="8" w:color="999999"/>
            </w:tcBorders>
          </w:tcPr>
          <w:p>
            <w:pPr>
              <w:spacing w:after="0"/>
              <w:rPr>
                <w:sz w:val="13"/>
                <w:szCs w:val="13"/>
                <w:color w:val="auto"/>
              </w:rPr>
            </w:pPr>
          </w:p>
        </w:tc>
      </w:tr>
      <w:tr>
        <w:trPr>
          <w:trHeight w:val="151"/>
        </w:trPr>
        <w:tc>
          <w:tcPr>
            <w:tcW w:w="230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John S. Moody</w:t>
            </w:r>
          </w:p>
        </w:tc>
        <w:tc>
          <w:tcPr>
            <w:tcW w:w="5120" w:type="dxa"/>
            <w:vAlign w:val="bottom"/>
          </w:tcPr>
          <w:p>
            <w:pPr>
              <w:ind w:left="220"/>
              <w:spacing w:after="0" w:line="151" w:lineRule="exact"/>
              <w:rPr>
                <w:sz w:val="20"/>
                <w:szCs w:val="20"/>
                <w:color w:val="auto"/>
              </w:rPr>
            </w:pPr>
            <w:r>
              <w:rPr>
                <w:rFonts w:ascii="Arial" w:cs="Arial" w:eastAsia="Arial" w:hAnsi="Arial"/>
                <w:sz w:val="14"/>
                <w:szCs w:val="14"/>
                <w:color w:val="auto"/>
              </w:rPr>
              <w:t>Chief Executive Officer, Parkside Capital</w:t>
            </w:r>
          </w:p>
        </w:tc>
        <w:tc>
          <w:tcPr>
            <w:tcW w:w="1840" w:type="dxa"/>
            <w:vAlign w:val="bottom"/>
          </w:tcPr>
          <w:p>
            <w:pPr>
              <w:jc w:val="center"/>
              <w:ind w:right="528"/>
              <w:spacing w:after="0" w:line="151" w:lineRule="exact"/>
              <w:rPr>
                <w:sz w:val="20"/>
                <w:szCs w:val="20"/>
                <w:color w:val="auto"/>
              </w:rPr>
            </w:pPr>
            <w:r>
              <w:rPr>
                <w:rFonts w:ascii="Arial" w:cs="Arial" w:eastAsia="Arial" w:hAnsi="Arial"/>
                <w:sz w:val="14"/>
                <w:szCs w:val="14"/>
                <w:color w:val="auto"/>
              </w:rPr>
              <w:t>Class II 2021</w:t>
            </w:r>
          </w:p>
        </w:tc>
        <w:tc>
          <w:tcPr>
            <w:tcW w:w="1780" w:type="dxa"/>
            <w:vAlign w:val="bottom"/>
          </w:tcPr>
          <w:p>
            <w:pPr>
              <w:spacing w:after="0"/>
              <w:rPr>
                <w:sz w:val="13"/>
                <w:szCs w:val="13"/>
                <w:color w:val="auto"/>
              </w:rPr>
            </w:pPr>
          </w:p>
        </w:tc>
      </w:tr>
      <w:tr>
        <w:trPr>
          <w:trHeight w:val="153"/>
        </w:trPr>
        <w:tc>
          <w:tcPr>
            <w:tcW w:w="230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70, Director since 2005</w:t>
            </w:r>
          </w:p>
        </w:tc>
        <w:tc>
          <w:tcPr>
            <w:tcW w:w="512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c>
          <w:tcPr>
            <w:tcW w:w="1780" w:type="dxa"/>
            <w:vAlign w:val="bottom"/>
            <w:tcBorders>
              <w:bottom w:val="single" w:sz="8" w:color="999999"/>
            </w:tcBorders>
          </w:tcPr>
          <w:p>
            <w:pPr>
              <w:spacing w:after="0"/>
              <w:rPr>
                <w:sz w:val="13"/>
                <w:szCs w:val="13"/>
                <w:color w:val="auto"/>
              </w:rPr>
            </w:pPr>
          </w:p>
        </w:tc>
      </w:tr>
      <w:tr>
        <w:trPr>
          <w:trHeight w:val="151"/>
        </w:trPr>
        <w:tc>
          <w:tcPr>
            <w:tcW w:w="230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Hugh E. Sawyer</w:t>
            </w:r>
          </w:p>
        </w:tc>
        <w:tc>
          <w:tcPr>
            <w:tcW w:w="5120" w:type="dxa"/>
            <w:vAlign w:val="bottom"/>
          </w:tcPr>
          <w:p>
            <w:pPr>
              <w:ind w:left="220"/>
              <w:spacing w:after="0" w:line="151" w:lineRule="exact"/>
              <w:rPr>
                <w:sz w:val="20"/>
                <w:szCs w:val="20"/>
                <w:color w:val="auto"/>
              </w:rPr>
            </w:pPr>
            <w:r>
              <w:rPr>
                <w:rFonts w:ascii="Arial" w:cs="Arial" w:eastAsia="Arial" w:hAnsi="Arial"/>
                <w:sz w:val="14"/>
                <w:szCs w:val="14"/>
                <w:color w:val="auto"/>
              </w:rPr>
              <w:t>President and Chief Executive Officer, Regis Corporation</w:t>
            </w:r>
          </w:p>
        </w:tc>
        <w:tc>
          <w:tcPr>
            <w:tcW w:w="1840" w:type="dxa"/>
            <w:vAlign w:val="bottom"/>
          </w:tcPr>
          <w:p>
            <w:pPr>
              <w:jc w:val="center"/>
              <w:ind w:right="528"/>
              <w:spacing w:after="0" w:line="151" w:lineRule="exact"/>
              <w:rPr>
                <w:sz w:val="20"/>
                <w:szCs w:val="20"/>
                <w:color w:val="auto"/>
              </w:rPr>
            </w:pPr>
            <w:r>
              <w:rPr>
                <w:rFonts w:ascii="Arial" w:cs="Arial" w:eastAsia="Arial" w:hAnsi="Arial"/>
                <w:sz w:val="14"/>
                <w:szCs w:val="14"/>
                <w:color w:val="auto"/>
              </w:rPr>
              <w:t>Class II 2021</w:t>
            </w:r>
          </w:p>
        </w:tc>
        <w:tc>
          <w:tcPr>
            <w:tcW w:w="1780" w:type="dxa"/>
            <w:vAlign w:val="bottom"/>
          </w:tcPr>
          <w:p>
            <w:pPr>
              <w:spacing w:after="0"/>
              <w:rPr>
                <w:sz w:val="13"/>
                <w:szCs w:val="13"/>
                <w:color w:val="auto"/>
              </w:rPr>
            </w:pPr>
          </w:p>
        </w:tc>
      </w:tr>
      <w:tr>
        <w:trPr>
          <w:trHeight w:val="153"/>
        </w:trPr>
        <w:tc>
          <w:tcPr>
            <w:tcW w:w="2300" w:type="dxa"/>
            <w:vAlign w:val="bottom"/>
            <w:tcBorders>
              <w:bottom w:val="single" w:sz="8" w:color="999999"/>
            </w:tcBorders>
            <w:gridSpan w:val="2"/>
          </w:tcPr>
          <w:p>
            <w:pPr>
              <w:spacing w:after="0"/>
              <w:rPr>
                <w:sz w:val="20"/>
                <w:szCs w:val="20"/>
                <w:color w:val="auto"/>
              </w:rPr>
            </w:pPr>
            <w:r>
              <w:rPr>
                <w:rFonts w:ascii="Arial" w:cs="Arial" w:eastAsia="Arial" w:hAnsi="Arial"/>
                <w:sz w:val="13"/>
                <w:szCs w:val="13"/>
                <w:color w:val="auto"/>
              </w:rPr>
              <w:t>Age 64, Director since 2018</w:t>
            </w:r>
          </w:p>
        </w:tc>
        <w:tc>
          <w:tcPr>
            <w:tcW w:w="512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c>
          <w:tcPr>
            <w:tcW w:w="1780" w:type="dxa"/>
            <w:vAlign w:val="bottom"/>
            <w:tcBorders>
              <w:bottom w:val="single" w:sz="8" w:color="999999"/>
            </w:tcBorders>
          </w:tcPr>
          <w:p>
            <w:pPr>
              <w:spacing w:after="0"/>
              <w:rPr>
                <w:sz w:val="13"/>
                <w:szCs w:val="13"/>
                <w:color w:val="auto"/>
              </w:rPr>
            </w:pPr>
          </w:p>
        </w:tc>
      </w:tr>
      <w:tr>
        <w:trPr>
          <w:trHeight w:val="151"/>
        </w:trPr>
        <w:tc>
          <w:tcPr>
            <w:tcW w:w="2300" w:type="dxa"/>
            <w:vAlign w:val="bottom"/>
            <w:gridSpan w:val="2"/>
          </w:tcPr>
          <w:p>
            <w:pPr>
              <w:spacing w:after="0" w:line="151" w:lineRule="exact"/>
              <w:rPr>
                <w:sz w:val="20"/>
                <w:szCs w:val="20"/>
                <w:color w:val="auto"/>
              </w:rPr>
            </w:pPr>
            <w:r>
              <w:rPr>
                <w:rFonts w:ascii="Arial" w:cs="Arial" w:eastAsia="Arial" w:hAnsi="Arial"/>
                <w:sz w:val="14"/>
                <w:szCs w:val="14"/>
                <w:b w:val="1"/>
                <w:bCs w:val="1"/>
                <w:color w:val="00548B"/>
              </w:rPr>
              <w:t>Debra Zumwalt</w:t>
            </w:r>
          </w:p>
        </w:tc>
        <w:tc>
          <w:tcPr>
            <w:tcW w:w="5120" w:type="dxa"/>
            <w:vAlign w:val="bottom"/>
          </w:tcPr>
          <w:p>
            <w:pPr>
              <w:ind w:left="220"/>
              <w:spacing w:after="0" w:line="151" w:lineRule="exact"/>
              <w:rPr>
                <w:sz w:val="20"/>
                <w:szCs w:val="20"/>
                <w:color w:val="auto"/>
              </w:rPr>
            </w:pPr>
            <w:r>
              <w:rPr>
                <w:rFonts w:ascii="Arial" w:cs="Arial" w:eastAsia="Arial" w:hAnsi="Arial"/>
                <w:sz w:val="14"/>
                <w:szCs w:val="14"/>
                <w:color w:val="auto"/>
              </w:rPr>
              <w:t>Vice President and General Counsel, Stanford University</w:t>
            </w:r>
          </w:p>
        </w:tc>
        <w:tc>
          <w:tcPr>
            <w:tcW w:w="1840" w:type="dxa"/>
            <w:vAlign w:val="bottom"/>
          </w:tcPr>
          <w:p>
            <w:pPr>
              <w:jc w:val="center"/>
              <w:ind w:right="528"/>
              <w:spacing w:after="0" w:line="151" w:lineRule="exact"/>
              <w:rPr>
                <w:sz w:val="20"/>
                <w:szCs w:val="20"/>
                <w:color w:val="auto"/>
              </w:rPr>
            </w:pPr>
            <w:r>
              <w:rPr>
                <w:rFonts w:ascii="Arial" w:cs="Arial" w:eastAsia="Arial" w:hAnsi="Arial"/>
                <w:sz w:val="14"/>
                <w:szCs w:val="14"/>
                <w:color w:val="auto"/>
              </w:rPr>
              <w:t>Class II 2021</w:t>
            </w:r>
          </w:p>
        </w:tc>
        <w:tc>
          <w:tcPr>
            <w:tcW w:w="1780" w:type="dxa"/>
            <w:vAlign w:val="bottom"/>
          </w:tcPr>
          <w:p>
            <w:pPr>
              <w:ind w:left="1120"/>
              <w:spacing w:after="0"/>
              <w:rPr>
                <w:sz w:val="20"/>
                <w:szCs w:val="20"/>
                <w:color w:val="auto"/>
              </w:rPr>
            </w:pPr>
            <w:r>
              <w:rPr>
                <w:rFonts w:ascii="Arial" w:cs="Arial" w:eastAsia="Arial" w:hAnsi="Arial"/>
                <w:sz w:val="12"/>
                <w:szCs w:val="12"/>
                <w:color w:val="00548B"/>
              </w:rPr>
              <w:t>c</w:t>
            </w:r>
          </w:p>
        </w:tc>
      </w:tr>
      <w:tr>
        <w:trPr>
          <w:trHeight w:val="153"/>
        </w:trPr>
        <w:tc>
          <w:tcPr>
            <w:tcW w:w="2300" w:type="dxa"/>
            <w:vAlign w:val="bottom"/>
            <w:gridSpan w:val="2"/>
          </w:tcPr>
          <w:p>
            <w:pPr>
              <w:spacing w:after="0"/>
              <w:rPr>
                <w:sz w:val="20"/>
                <w:szCs w:val="20"/>
                <w:color w:val="auto"/>
              </w:rPr>
            </w:pPr>
            <w:r>
              <w:rPr>
                <w:rFonts w:ascii="Arial" w:cs="Arial" w:eastAsia="Arial" w:hAnsi="Arial"/>
                <w:sz w:val="13"/>
                <w:szCs w:val="13"/>
                <w:color w:val="auto"/>
              </w:rPr>
              <w:t>Age 63, Director since 2014</w:t>
            </w:r>
          </w:p>
        </w:tc>
        <w:tc>
          <w:tcPr>
            <w:tcW w:w="5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22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Retiring at the Annual Meeting</w:t>
            </w:r>
          </w:p>
        </w:tc>
        <w:tc>
          <w:tcPr>
            <w:tcW w:w="5120" w:type="dxa"/>
            <w:vAlign w:val="bottom"/>
            <w:shd w:val="clear" w:color="auto" w:fill="00548B"/>
          </w:tcPr>
          <w:p>
            <w:pPr>
              <w:spacing w:after="0"/>
              <w:rPr>
                <w:sz w:val="15"/>
                <w:szCs w:val="15"/>
                <w:color w:val="auto"/>
              </w:rPr>
            </w:pPr>
          </w:p>
        </w:tc>
        <w:tc>
          <w:tcPr>
            <w:tcW w:w="1840" w:type="dxa"/>
            <w:vAlign w:val="bottom"/>
            <w:shd w:val="clear" w:color="auto" w:fill="00548B"/>
          </w:tcPr>
          <w:p>
            <w:pPr>
              <w:spacing w:after="0"/>
              <w:rPr>
                <w:sz w:val="15"/>
                <w:szCs w:val="15"/>
                <w:color w:val="auto"/>
              </w:rPr>
            </w:pPr>
          </w:p>
        </w:tc>
        <w:tc>
          <w:tcPr>
            <w:tcW w:w="1780" w:type="dxa"/>
            <w:vAlign w:val="bottom"/>
            <w:shd w:val="clear" w:color="auto" w:fill="00548B"/>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56" w:lineRule="exact"/>
              <w:rPr>
                <w:sz w:val="20"/>
                <w:szCs w:val="20"/>
                <w:color w:val="auto"/>
              </w:rPr>
            </w:pPr>
            <w:r>
              <w:rPr>
                <w:rFonts w:ascii="Arial" w:cs="Arial" w:eastAsia="Arial" w:hAnsi="Arial"/>
                <w:sz w:val="14"/>
                <w:szCs w:val="14"/>
                <w:b w:val="1"/>
                <w:bCs w:val="1"/>
                <w:color w:val="00548B"/>
              </w:rPr>
              <w:t>James D. Edwards</w:t>
            </w:r>
          </w:p>
        </w:tc>
        <w:tc>
          <w:tcPr>
            <w:tcW w:w="5120" w:type="dxa"/>
            <w:vAlign w:val="bottom"/>
          </w:tcPr>
          <w:p>
            <w:pPr>
              <w:ind w:left="220"/>
              <w:spacing w:after="0" w:line="156" w:lineRule="exact"/>
              <w:rPr>
                <w:sz w:val="20"/>
                <w:szCs w:val="20"/>
                <w:color w:val="auto"/>
              </w:rPr>
            </w:pPr>
            <w:r>
              <w:rPr>
                <w:rFonts w:ascii="Arial" w:cs="Arial" w:eastAsia="Arial" w:hAnsi="Arial"/>
                <w:sz w:val="14"/>
                <w:szCs w:val="14"/>
                <w:color w:val="auto"/>
              </w:rPr>
              <w:t>Retired Managing Partner—Global Markets at Arthur Andersen LLP</w:t>
            </w:r>
          </w:p>
        </w:tc>
        <w:tc>
          <w:tcPr>
            <w:tcW w:w="1840" w:type="dxa"/>
            <w:vAlign w:val="bottom"/>
          </w:tcPr>
          <w:p>
            <w:pPr>
              <w:jc w:val="center"/>
              <w:ind w:right="528"/>
              <w:spacing w:after="0" w:line="156" w:lineRule="exact"/>
              <w:rPr>
                <w:sz w:val="20"/>
                <w:szCs w:val="20"/>
                <w:color w:val="auto"/>
              </w:rPr>
            </w:pPr>
            <w:r>
              <w:rPr>
                <w:rFonts w:ascii="Arial" w:cs="Arial" w:eastAsia="Arial" w:hAnsi="Arial"/>
                <w:sz w:val="14"/>
                <w:szCs w:val="14"/>
                <w:color w:val="auto"/>
              </w:rPr>
              <w:t>Class III 2019</w:t>
            </w:r>
          </w:p>
        </w:tc>
        <w:tc>
          <w:tcPr>
            <w:tcW w:w="1780" w:type="dxa"/>
            <w:vAlign w:val="bottom"/>
          </w:tcPr>
          <w:p>
            <w:pPr>
              <w:ind w:left="1580"/>
              <w:spacing w:after="0"/>
              <w:rPr>
                <w:sz w:val="20"/>
                <w:szCs w:val="20"/>
                <w:color w:val="auto"/>
              </w:rPr>
            </w:pPr>
            <w:r>
              <w:rPr>
                <w:rFonts w:ascii="Arial" w:cs="Arial" w:eastAsia="Arial" w:hAnsi="Arial"/>
                <w:sz w:val="12"/>
                <w:szCs w:val="12"/>
                <w:color w:val="00548B"/>
              </w:rPr>
              <w:t>c</w:t>
            </w:r>
          </w:p>
        </w:tc>
      </w:tr>
      <w:tr>
        <w:trPr>
          <w:trHeight w:val="153"/>
        </w:trPr>
        <w:tc>
          <w:tcPr>
            <w:tcW w:w="2300" w:type="dxa"/>
            <w:vAlign w:val="bottom"/>
            <w:tcBorders>
              <w:bottom w:val="single" w:sz="8" w:color="00548B"/>
            </w:tcBorders>
            <w:gridSpan w:val="2"/>
          </w:tcPr>
          <w:p>
            <w:pPr>
              <w:spacing w:after="0"/>
              <w:rPr>
                <w:sz w:val="20"/>
                <w:szCs w:val="20"/>
                <w:color w:val="auto"/>
              </w:rPr>
            </w:pPr>
            <w:r>
              <w:rPr>
                <w:rFonts w:ascii="Arial" w:cs="Arial" w:eastAsia="Arial" w:hAnsi="Arial"/>
                <w:sz w:val="13"/>
                <w:szCs w:val="13"/>
                <w:color w:val="auto"/>
              </w:rPr>
              <w:t>Age 75, Director since 2004</w:t>
            </w:r>
          </w:p>
        </w:tc>
        <w:tc>
          <w:tcPr>
            <w:tcW w:w="5120" w:type="dxa"/>
            <w:vAlign w:val="bottom"/>
            <w:tcBorders>
              <w:bottom w:val="single" w:sz="8" w:color="00548B"/>
            </w:tcBorders>
          </w:tcPr>
          <w:p>
            <w:pPr>
              <w:spacing w:after="0"/>
              <w:rPr>
                <w:sz w:val="13"/>
                <w:szCs w:val="13"/>
                <w:color w:val="auto"/>
              </w:rPr>
            </w:pPr>
          </w:p>
        </w:tc>
        <w:tc>
          <w:tcPr>
            <w:tcW w:w="1840" w:type="dxa"/>
            <w:vAlign w:val="bottom"/>
            <w:tcBorders>
              <w:bottom w:val="single" w:sz="8" w:color="00548B"/>
            </w:tcBorders>
          </w:tcPr>
          <w:p>
            <w:pPr>
              <w:spacing w:after="0"/>
              <w:rPr>
                <w:sz w:val="13"/>
                <w:szCs w:val="13"/>
                <w:color w:val="auto"/>
              </w:rPr>
            </w:pPr>
          </w:p>
        </w:tc>
        <w:tc>
          <w:tcPr>
            <w:tcW w:w="1780" w:type="dxa"/>
            <w:vAlign w:val="bottom"/>
            <w:tcBorders>
              <w:bottom w:val="single" w:sz="8" w:color="00548B"/>
            </w:tcBorders>
          </w:tcPr>
          <w:p>
            <w:pPr>
              <w:spacing w:after="0"/>
              <w:rPr>
                <w:sz w:val="13"/>
                <w:szCs w:val="13"/>
                <w:color w:val="auto"/>
              </w:rPr>
            </w:pPr>
          </w:p>
        </w:tc>
      </w:tr>
      <w:tr>
        <w:trPr>
          <w:trHeight w:val="283"/>
        </w:trPr>
        <w:tc>
          <w:tcPr>
            <w:tcW w:w="2300" w:type="dxa"/>
            <w:vAlign w:val="bottom"/>
            <w:gridSpan w:val="2"/>
          </w:tcPr>
          <w:p>
            <w:pPr>
              <w:spacing w:after="0"/>
              <w:rPr>
                <w:sz w:val="20"/>
                <w:szCs w:val="20"/>
                <w:color w:val="auto"/>
              </w:rPr>
            </w:pPr>
            <w:r>
              <w:rPr>
                <w:rFonts w:ascii="Arial" w:cs="Arial" w:eastAsia="Arial" w:hAnsi="Arial"/>
                <w:sz w:val="14"/>
                <w:szCs w:val="14"/>
                <w:color w:val="auto"/>
              </w:rPr>
              <w:t>A – Audit Committee</w:t>
            </w:r>
          </w:p>
        </w:tc>
        <w:tc>
          <w:tcPr>
            <w:tcW w:w="5120" w:type="dxa"/>
            <w:vAlign w:val="bottom"/>
          </w:tcPr>
          <w:p>
            <w:pPr>
              <w:ind w:left="1940"/>
              <w:spacing w:after="0"/>
              <w:rPr>
                <w:sz w:val="20"/>
                <w:szCs w:val="20"/>
                <w:color w:val="auto"/>
              </w:rPr>
            </w:pPr>
            <w:r>
              <w:rPr>
                <w:rFonts w:ascii="Arial" w:cs="Arial" w:eastAsia="Arial" w:hAnsi="Arial"/>
                <w:sz w:val="9"/>
                <w:szCs w:val="9"/>
                <w:color w:val="auto"/>
              </w:rPr>
              <w:t xml:space="preserve">C </w:t>
            </w:r>
            <w:r>
              <w:rPr>
                <w:rFonts w:ascii="Arial" w:cs="Arial" w:eastAsia="Arial" w:hAnsi="Arial"/>
                <w:sz w:val="14"/>
                <w:szCs w:val="14"/>
                <w:color w:val="auto"/>
              </w:rPr>
              <w:t>– Chairman</w:t>
            </w:r>
          </w:p>
        </w:tc>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4"/>
                <w:szCs w:val="14"/>
                <w:color w:val="auto"/>
              </w:rPr>
              <w:t>C – Compensation Committee</w:t>
            </w:r>
          </w:p>
        </w:tc>
        <w:tc>
          <w:tcPr>
            <w:tcW w:w="5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80" w:type="dxa"/>
            <w:vAlign w:val="bottom"/>
          </w:tcPr>
          <w:p>
            <w:pPr>
              <w:spacing w:after="0"/>
              <w:rPr>
                <w:sz w:val="14"/>
                <w:szCs w:val="14"/>
                <w:color w:val="auto"/>
              </w:rPr>
            </w:pPr>
          </w:p>
        </w:tc>
      </w:tr>
    </w:tbl>
    <w:p>
      <w:pPr>
        <w:ind w:left="200"/>
        <w:spacing w:after="0"/>
        <w:rPr>
          <w:sz w:val="20"/>
          <w:szCs w:val="20"/>
          <w:color w:val="auto"/>
        </w:rPr>
      </w:pPr>
      <w:r>
        <w:rPr>
          <w:rFonts w:ascii="Arial" w:cs="Arial" w:eastAsia="Arial" w:hAnsi="Arial"/>
          <w:sz w:val="14"/>
          <w:szCs w:val="14"/>
          <w:color w:val="auto"/>
        </w:rPr>
        <w:t>N&amp;CG – Nominating and Corporate Governance Committee</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2</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The below table summarizes the core competencies that our directors bring to the board. More detailed information on each of the director’s experience, qualifications, attributes and skills is more thoroughly described in the biographies following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123190</wp:posOffset>
            </wp:positionV>
            <wp:extent cx="5196840" cy="4116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9684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3</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Presented below is information regarding the directors of the Company.</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N</w:t>
      </w:r>
      <w:r>
        <w:rPr>
          <w:rFonts w:ascii="Arial" w:cs="Arial" w:eastAsia="Arial" w:hAnsi="Arial"/>
          <w:sz w:val="15"/>
          <w:szCs w:val="15"/>
          <w:b w:val="1"/>
          <w:bCs w:val="1"/>
          <w:color w:val="00548B"/>
        </w:rPr>
        <w:t>OMINEES TO</w:t>
      </w:r>
      <w:r>
        <w:rPr>
          <w:rFonts w:ascii="Arial" w:cs="Arial" w:eastAsia="Arial" w:hAnsi="Arial"/>
          <w:sz w:val="18"/>
          <w:szCs w:val="18"/>
          <w:b w:val="1"/>
          <w:bCs w:val="1"/>
          <w:color w:val="00548B"/>
        </w:rPr>
        <w:t xml:space="preserve"> B</w:t>
      </w:r>
      <w:r>
        <w:rPr>
          <w:rFonts w:ascii="Arial" w:cs="Arial" w:eastAsia="Arial" w:hAnsi="Arial"/>
          <w:sz w:val="15"/>
          <w:szCs w:val="15"/>
          <w:b w:val="1"/>
          <w:bCs w:val="1"/>
          <w:color w:val="00548B"/>
        </w:rPr>
        <w:t>OARD OF</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6997700" cy="1063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106362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D8D8D8"/>
        </w:rPr>
        <w:t>John McCartney</w:t>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Director since October 2004</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Non-executive Chairman of the Board (May 2010)</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Audit Committee (Member)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Mr. McCartney joined the executive management team of US Robotics in March 1984 as Vice President and Chief Financial Officer. At US Robotics, he served in various executive capacities, including as Executive Vice President, International, until serving as President and Chief Operating Officer from January 1996 until its merger with 3Com Corporation in June 1997. From June 1997 to March 1998, Mr. McCartney held the position of President of 3Com Corporation’s Client Access Unit.</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Mr. McCartney was appointed a non-executive director of Datatec Limited, a public networking technology and services company, in July 2007, and currently serves as Chairman of the remuneration committee and as a member of the nominating committee. He previously served as Vice Chairman of the board of directors of Datatec from October 1998 until May 2004. Mr. McCartney has also served on the board of Transco, Inc., a Chicago-based company that provides solutions to customers in the railroad, electric utility, process and manufacturing industries, since August 2011. From March 2011 until September 2013, Mr. McCartney served as Chairman of the board of Westcon Group, Inc., a specialty distributor of networking and communications equipment, whose board he joined in August 1998 and for which he previously served as Chairman from January 2001 until March 2009, and where he continued to serve as a director and member of the compensation committee until September 2017. Mr. McCartney served on the board of Rice Energy Inc., an independent natural gas and oil company, from March 2015 until the company was sold in November 2017. Beginning in May 2009, he served on the board of Covance Inc., a drug development services company, until February 2015 when the company was sold. Mr. McCartney also served as Chairman of the board of directors of A.M. Castle &amp; Co., a global distributor of specialty metal and plastic products, from January 2007 until April 2010. He served on that board from 1998 until March 2015. In addition, Mr. McCartney served as Chairman of the board of trustees of Davidson College from 2004 to 2008.</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McCartney received a B.A. in Philosophy from Davidson College and an M.B.A. from The Wharton School of the University of Pennsylvania.</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Mr. McCartney has served as chairman and vice chairman of the boards of a number of public and private organizations, including companies with a focus on healthcare and drug development and an institution of higher education. Mr. McCartney, a former Certified Public Accountant, brings to the Huron board, and the audit committee in particular, his prior experience as chief financial officer and chief operating officer of a public company, which has enabled him to contribute to Huron’s development into a prominent consultancy. Mr. McCartney is based in Chicago, the location of Huron’s principal business offices.</w:t>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071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D8D8D8"/>
        </w:rPr>
        <w:t>James H. Roth</w:t>
      </w:r>
    </w:p>
    <w:p>
      <w:pPr>
        <w:spacing w:after="0" w:line="28"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Director since November 2009</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Chief Executive Officer of Huron Consulting Group Inc. and Huron Consulting Services LLC (July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 xml:space="preserve">As a founding member of Huron, Mr. Roth guided and grew Huron’s Higher Education consulting practice to a position of preeminence in the industry. He has more than 35 years of consulting experience working with many of the premier research universities and academic medical centers. Under his leadership as CEO, Huron has been named by </w:t>
      </w:r>
      <w:r>
        <w:rPr>
          <w:rFonts w:ascii="Arial" w:cs="Arial" w:eastAsia="Arial" w:hAnsi="Arial"/>
          <w:sz w:val="16"/>
          <w:szCs w:val="16"/>
          <w:i w:val="1"/>
          <w:iCs w:val="1"/>
          <w:color w:val="auto"/>
        </w:rPr>
        <w:t>Forbes</w:t>
      </w:r>
      <w:r>
        <w:rPr>
          <w:rFonts w:ascii="Arial" w:cs="Arial" w:eastAsia="Arial" w:hAnsi="Arial"/>
          <w:sz w:val="16"/>
          <w:szCs w:val="16"/>
          <w:color w:val="auto"/>
        </w:rPr>
        <w:t xml:space="preserve"> as one of the Best Management Consulting Firms in 2016, 2017, and 2018 and one of America’s Best Employers in 2015 and 2016,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as one of the Best Firms to Work For from 2011 through 2018, and, for ten years in a row, Huron’s Healthcare practice was ranked in the top five of </w:t>
      </w:r>
      <w:r>
        <w:rPr>
          <w:rFonts w:ascii="Arial" w:cs="Arial" w:eastAsia="Arial" w:hAnsi="Arial"/>
          <w:sz w:val="16"/>
          <w:szCs w:val="16"/>
          <w:i w:val="1"/>
          <w:iCs w:val="1"/>
          <w:color w:val="auto"/>
        </w:rPr>
        <w:t>Modern Healthcare</w:t>
      </w:r>
      <w:r>
        <w:rPr>
          <w:rFonts w:ascii="Arial" w:cs="Arial" w:eastAsia="Arial" w:hAnsi="Arial"/>
          <w:sz w:val="16"/>
          <w:szCs w:val="16"/>
          <w:color w:val="auto"/>
        </w:rPr>
        <w:t xml:space="preserve"> ’s list of Largest Healthcare Management Consulting Firms. He served as President of Huron from March 2011 to February 2019. He also served as Vice President, Health and Education Consulting for the Company from January 2007 until July 2009. Since Huron’s inception in 2002, until he became CEO, Mr. Roth was a managing director and practice leader of the Company’s Higher Education consulting practice, which he grew into one of our largest organically grown practices within the firm.</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In November 2014, Mr. Roth was appointed to the board of Shorelight Holdings LLC, a U.S.-based company focused on partnering with leading nonprofit universities to increase access and retention of international students and boost institutional growth. In November 2014, Mr. Roth was also appointed to the board of Keypath Education Holdings, LLC, a leading provider of comprehensive marketing and enrollment management services to colleges and universities. Previously, from March 2013 until April 2015, he served on the board of Aviv REIT, a self-administered real estate investment trust specializing in skilled nursing facilities.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Roth received a B.A. in Political Science and Economics from Vanderbilt University and an M.B.A. from Southern Methodist University.</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 xml:space="preserve">Through his distinguished career as both an officer and consultant at Huron, Mr. Roth brings to the board his hands-on perspective of the strategy and operations of institutions of higher education and academic medical centers, including their research facilities. Twice named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as one of the Top 25 Most Influential Consultants, Mr. Roth contributes to the board a unique understanding of the Huron organization, the consulting business, and the businesses of our clients.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003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D8D8D8"/>
        </w:rPr>
        <w:t>Ekta Singh-Bushell</w:t>
      </w:r>
    </w:p>
    <w:p>
      <w:pPr>
        <w:spacing w:after="0" w:line="28"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Nominee for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Ms. Singh-Bushell was the Chief Operating Officer, Executive Office at the Federal Reserve Bank of New York from 2016-2017. Prior to that, she spent over 17 years at Ernst &amp; Young (“EY”), where she served in various leadership roles, including Global Coordinating Partner, Americas Innovation &amp; Digital Strategy Leader, Global/Americas Tech Ops Executive, Global Information Security Officer and Northeast Advisory People Leader. During her tenure at EY she led transformations of companies across multiple industries through technological and digital change. Cranfield University nominated her to the 2017 Female FTSE Index: 100 Women to Watch, and in 2013, the Council of Urban Professionals recognized her contributions with a Catalyst Change Agent award.</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Ms. Singh-Bushell currently serves on the board of directors and as a member of the audit, remuneration and nominating and governance committees of Net 1 UEPS Technologies, Inc., and since 2018 has served on the board of directors and as a member of the audit and nominating and governance committees of DSW Inc. Ms. Singh-Bushell has also served as the lead independent director of Datatec Limited since 2018. Since 2017, Ms. Singh-Bushell has served on the board of directors, audit &amp; risk and nominating &amp; governance committees of TTEC Holdings, Inc. Since 2015, Ms. Singh-Bushell has served as a strategic board adviser to DecisionGPS, LLC. From 2004-2014, Ms. Singh-Bushell served on the board of directors of the Asian American Federation and as the treasurer and audit committee chair.</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Ms. Singh-Bushell has a Masters in Electrical Engineering &amp; Computer Science from the University of California, Berkeley and a Bachelors of Engineering from the University of Poona, India. Ms. Singh-Bushell is a licensed Certified Public Accountant and holds advanced international certifications in governance, information systems security, and audit.</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Ms. Singh-Bushell’s extensive experience managing and leading a global professional services firm, advising senior executives around the globe and serving on public company boards from various industries, coupled with her knowledge of technology, finance, and cybersecurity, enables her to bring a broad range of capabilities to the Huron board. She also offers a unique perspective through her diverse global management expertise, age, gender diversity and proven track record working on transformations in the digital and technology space.</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6</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IRECTORS</w:t>
      </w:r>
      <w:r>
        <w:rPr>
          <w:rFonts w:ascii="Arial" w:cs="Arial" w:eastAsia="Arial" w:hAnsi="Arial"/>
          <w:sz w:val="18"/>
          <w:szCs w:val="18"/>
          <w:b w:val="1"/>
          <w:bCs w:val="1"/>
          <w:color w:val="00548B"/>
        </w:rPr>
        <w:t xml:space="preserve"> N</w:t>
      </w:r>
      <w:r>
        <w:rPr>
          <w:rFonts w:ascii="Arial" w:cs="Arial" w:eastAsia="Arial" w:hAnsi="Arial"/>
          <w:sz w:val="15"/>
          <w:szCs w:val="15"/>
          <w:b w:val="1"/>
          <w:bCs w:val="1"/>
          <w:color w:val="00548B"/>
        </w:rPr>
        <w:t>OT</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TANDING FOR</w:t>
      </w:r>
      <w:r>
        <w:rPr>
          <w:rFonts w:ascii="Arial" w:cs="Arial" w:eastAsia="Arial" w:hAnsi="Arial"/>
          <w:sz w:val="18"/>
          <w:szCs w:val="18"/>
          <w:b w:val="1"/>
          <w:bCs w:val="1"/>
          <w:color w:val="00548B"/>
        </w:rPr>
        <w:t xml:space="preserve"> E</w:t>
      </w:r>
      <w:r>
        <w:rPr>
          <w:rFonts w:ascii="Arial" w:cs="Arial" w:eastAsia="Arial" w:hAnsi="Arial"/>
          <w:sz w:val="15"/>
          <w:szCs w:val="15"/>
          <w:b w:val="1"/>
          <w:bCs w:val="1"/>
          <w:color w:val="00548B"/>
        </w:rPr>
        <w:t>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6997700" cy="1063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106362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D8D8D8"/>
        </w:rPr>
        <w:t>H. Eugene Lockhart</w:t>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Director since December 2006</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Audit Committee (Chair)</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Compensation Committee (Member)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Since October 2014, Mr. Lockhart has been the founder, Chairman and Managing Partner of MissionOG LLC, a venture capital firm with significant operational and investment experience across the financial services and payments industries. He also served as Special Adviser at General Atlantic LLC, a leading global growth investment firm, from 2012 to 2019. From 2002 until 2012, Mr. Lockhart was a venture partner at Oak Investment Partners, a venture capital firm. Through these investment firms, Mr. Lockhart has been actively involved in overseeing the management of high growth private companies, including NetSpend, Argus Information, Metro Bank PLC, CLIP, DemystData, Factor Trust, Avant, BillDesk, and others. Prior leadership positions include President of Global Retail Bank at Bank of America, President and Chief Executive Officer of MasterCard International, and CEO of Midland Bank plc.</w:t>
      </w:r>
    </w:p>
    <w:p>
      <w:pPr>
        <w:spacing w:after="0" w:line="33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Mr. Lockhart was appointed to the board of Metro Bank PLC, a public retail bank operating in the U.K., in March 2011, where he presently serves as the Chair of the risk and audit committee. He served on the board of Aaron’s, Inc., a lease-to-own retailer of furnishings, electronics and appliances, from August 2014 until May 2016. He previously served as a director and audit committee chairman of RadioShack Corporation, a retail seller of consumer electronic goods and services, until March 2015. He served on the board of Asset Acceptance Capital Corp., a purchaser of accounts receivable portfolios, until its June 2013 merger with Encore Capital Group, Inc., and also served on the board of IMS Health Incorporated, a global provider of information solutions to the pharmaceutical and healthcare industries, until February 2010. Mr. Lockhart served on numerous philanthropic boards, including serving in the past as the Chair of the Thomas Jefferson Foundation (Monticello) and the Chairman of the Darden School Foundation at the University of Virginia. He is currently serving as the Chairman of Academic Affairs for the State Council of Higher Education of Virginia.</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Mr. Lockhart received a B.S. in Mechanical Engineering from the University of Virginia and an M.B.A. from The Darden Graduate School of Business at the University of Virginia. In addition, Mr. Lockhart is a Certified Public Accountant, licensed in the Commonwealth of Virginia.</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Mr. Lockhart brings to Huron’s board his considerable experience overseeing and growing companies in which he represents venture capital investors, his experience as chief executive officer of leading corporations, and his service on the boards of companies and foundations in such fields as healthcare, education, pharmaceuticals, and financial services. In addition, as a former executive and chairman of some of the most visible companies in the world, Mr. Lockhart contributes to Huron a broad array of contacts.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7</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063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D8D8D8"/>
        </w:rPr>
        <w:t>George E. Massaro</w:t>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Director since May 2004</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Nominating and Corporate Governance Committee (Member)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Mr. Massaro has served as Vice Chairman of Huron’s board since May 2010, and had previously served in the role from March 2005 until July 2009. In the interim, he had served as Non-executive Chairman of Huron’s board during a period of transition. Mr. Massaro joined the Company in August 2002 as a managing director, served as Chief Operating Officer from June 2003 until March 2005, and ceased his employment with Huron in February 2009. Prior to joining Huron, Mr. Massaro served as the Managing Partner of Arthur Andersen LLP’s 1,200-person New England practice from 1998 to 2002 and Managing Partner of the Boston office from 1995 to 1998. Mr. Massaro has served clients in the financial services and high-technology industries.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Mr. Massaro has served as a director of Charles River Laboratories, a public provider of research products and preclinical services for the biomedical community, since 2003, and currently serves as Chairman of the audit committee. Mr. Massaro served as a member of the board of trustees of Mount Auburn Hospital in Cambridge until December 2017. He served as a member of the finance committee of the Archdiocese of Boston until December 2017. Mr. Massaro also served on the board of directors of Eastern Bank Corporation, an independent mutual bank holding company in New England, from February 2003 until December 2017.</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Massaro received a B.A. in Accounting and Finance from Bentley College and an M.B.A. from Babson College.</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Mr. Massaro contributes to the Huron board his unique understanding of our business and history, gained not only through his prior service as our Chief Operating Officer, but also through his leadership of a Huron practice. Mr. Massaro’s many years of experience in public accounting, management of a professional services practice, and service on the boards of healthcare and pharma-centered institutions, have enabled him to provide invaluable business insights along with contacts in the business community.</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8</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054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D8D8D8"/>
        </w:rPr>
        <w:t>John S. Moody</w:t>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Director since November 2005</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Audit Committee (Member)</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4"/>
          <w:szCs w:val="14"/>
          <w:color w:val="D8D8D8"/>
        </w:rPr>
        <w:t>Compensation Committee (Member)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Since January 2014, Mr. Moody has been Chief Executive Officer of Parkside Capital, formerly known as ProTerra Realty, a fund manager investing in real estate in Houston, Texas. He had previously served as President of Parkside Capital since January 2007. From 2004 until October 2005, Mr. Moody served as President and Chief Executive Officer of HRO Asset Management, LLC, a real estate advisory business.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large-scale Class A office buildings in major markets throughout the United States which later merged into Equity Office Properties Trust.</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In November 2015, Mr. Moody was appointed Chairman of the board of Four Corners Property Trust, Inc., a public real estate investment trust, where he also serves as Chairman of the compensation committee. Mr. Moody joined the board of Hines Global REIT, a privately owned real estate investment, development and management company, in June 2009. He joined the board of directors of Potlatch Corp., a public real estate investment trust, in September 2006, and in January 2009, he assumed the role of Vice Chairman. Subsequent to a merger, Potlatch Corp. is now known as PotlatchDeltic Corporation and Mr. Moody is the lead director. From 2001 to 2005, Mr. Moody served on the boards of directors of three publicly held REITs: Keystone Property Trust, CRIIMI MAE, Inc., and Equity Office Properties Trust.</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Moody received a B.A. in History from Stanford University and a J.D. with honors from The University of Texas School of Law.</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Mr. Moody has served in executive officer roles in several real estate related businesses where he was responsible for the management of multi-billions of dollars in assets, and has also served as the managing partner of a full service commercial law firm. In addition, Mr. Moody has served on a number of boards of directors, including as chairman and vice chairman of companies organized as real estate investment trusts and advisory firms. As such, Mr. Moody contributes a wealth of legal and financial expertise to the Huron board.</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063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D8D8D8"/>
        </w:rPr>
        <w:t>Hugh E. Sawyer</w:t>
      </w:r>
    </w:p>
    <w:p>
      <w:pPr>
        <w:spacing w:after="0" w:line="28"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Director since February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Since April 2017, Mr. Sawyer has served as the President and Chief Executive Officer of Regis Corporation, a corporation that owns, franchises and operates beauty salons worldwide. Mr. Sawyer previously served as a managing director at Huron, beginning in January 2010, and led the Operational Improvement Service Line for Huron’s Business Advisory Practice. He has more than 35 years of experience leading operational improvements, turnarounds, mergers and acquisitions and strategic transformations for both public and private companies across a diverse group of industries. While at Huron, he served as Interim President and CEO of JHT Holdings, Inc., a provider of specialized transportation and logistics services, from January 2010 to March 2012; as the Chief Administrative Officer of Fisker Automotive Inc. (now known as Fisker Inc.), a manufacturer of hybrid electric vehicles, from January 2013 to March 2013; as Chief Restructuring Officer of Fisker Automotive from March 2013 to October 2013; and as Interim President of Euramax International, Inc., a global manufacturer of building products, from February 2014 to August 2015. Including Regis, he has served as the president or chief executive officer of nine companies, including Wells Fargo Armored Service Corporation, The Cunningham Group, Inc., National Linen Service, Inc., Aegis Communications Group, Inc., Allied Holdings, Inc., and Legendary Holdings, Inc.</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Mr. Sawyer served on the boards of numerous companies, including JHT Holdings, Inc. from March 2012 to June 2018, Energy Future Competitive Holdings Company LLC and its subsidiary, Texas Competitive Electric Holdings Company LLC, from October 2013 to October 2016, and Edison Mission Energy (EME) from July 2012 to April 2014. He also served on the board of managing trustees of the EME Reorganization Trust from April 2014 until December 2016.</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Sawyer received a B.A. in English with honors from the University of Florida.</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Mr. Sawyer has a history of providing transformational leadership and support to companies in a broad range of industries, including consumer car rental, consumer retail, utilities, building materials, healthcare, transportation and logistics, equipment rental, security and guard services, graphic arts and printing, industrial laundry, CRM solutions and telecommunications, automotive OEM, automotive supply, commercial nursery operations, marine retail, real estate development, and resort and hotel operations. Mr. Sawyer also has an extensive governance background as a board member for businesses with sophisticated constituents facing complex circumstances, and has brought this experience with him to the board.</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10</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063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D8D8D8"/>
        </w:rPr>
        <w:t>Debra Zumwalt</w:t>
      </w:r>
    </w:p>
    <w:p>
      <w:pPr>
        <w:spacing w:after="0" w:line="28"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Director since October 2014</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Compensation Committee (Chair)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D8D8D8"/>
        </w:rPr>
        <w:t>Nominating and Corporate Governance Committee (Member)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Since 2001, Ms. Zumwalt has been the Vice President and General Counsel of Stanford University and is in charge of the legal services provided to the University and its two affiliated hospitals with combined annual revenues of over $9 billion. Ms. Zumwalt is a member of the University Cabinet and provides governance, legal and strategic advice to the boards of the University, Stanford Health Care, Lucile Packard Children’s Hospital at Stanford and Stanford Management Company, which manages over $24 billion in assets. Ms. Zumwalt is also a member of the board of overseers for SLAC National Accelerator Laboratory at Stanford, and a director of SUMIT Holding International, LLC and SUMIT Insurance Company Ltd., a holding company and captive insurance company providing insurance coverage for the Stanford hospitals and physicians. From 1993 to 2001, Ms. Zumwalt was a partner at Pillsbury Winthrop LLP, where she specialized in complex civil litigation and higher education law, and for whom she served as managing partner of the Silicon Valley office and a member of the firm’s governing board. Previously, from 1987 to 1993, Ms. Zumwalt was Senior University Counsel at Stanford, responsible for advising and representing the University in connection with congressional hearings, criminal and civil investigations, negotiations and litigation matters. Prior to joining Stanford in 1987, Ms. Zumwalt worked as litigation counsel for Chevron Chemical Company and as a litigation associate for Pillsbury Winthrop LLP in San Francisco.</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Ms. Zumwalt is currently a director of Exponent, Inc., a public engineering and scientific consulting company. She is also on the boards of the American University of Afghanistan and the Academy of Art University and has served on other nonprofit boards in education and legal services.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Ms. Zumwalt received a B.S. in Political Science from Arizona State University and a J.D. from Stanford Law School.</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Given the many roles she serves in connection with her position as chief legal officer of a university with two affiliated hospitals, Ms. Zumwalt is uniquely qualified to share with the Huron board her experience with navigating the challenges faced by both higher education and healthcare organizations. Ms. Zumwalt also contributes to the Huron board a perspective on the law and governance through her background as a former partner of a well-renowned law firm and bar association president and her current roles as director on corporate and academic boards.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E</w:t>
      </w:r>
      <w:r>
        <w:rPr>
          <w:rFonts w:ascii="Arial" w:cs="Arial" w:eastAsia="Arial" w:hAnsi="Arial"/>
          <w:sz w:val="15"/>
          <w:szCs w:val="15"/>
          <w:b w:val="1"/>
          <w:bCs w:val="1"/>
          <w:color w:val="00548B"/>
        </w:rPr>
        <w:t>XECUTIVE</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FFICERS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Company’s executive officers are as follows: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860" w:type="dxa"/>
            <w:vAlign w:val="bottom"/>
            <w:shd w:val="clear" w:color="auto" w:fill="00548B"/>
          </w:tcPr>
          <w:p>
            <w:pPr>
              <w:ind w:left="60"/>
              <w:spacing w:after="0"/>
              <w:rPr>
                <w:sz w:val="20"/>
                <w:szCs w:val="20"/>
                <w:color w:val="auto"/>
              </w:rPr>
            </w:pPr>
            <w:r>
              <w:rPr>
                <w:rFonts w:ascii="Arial" w:cs="Arial" w:eastAsia="Arial" w:hAnsi="Arial"/>
                <w:sz w:val="14"/>
                <w:szCs w:val="14"/>
                <w:b w:val="1"/>
                <w:bCs w:val="1"/>
                <w:color w:val="D8D8D8"/>
              </w:rPr>
              <w:t>Name</w:t>
            </w:r>
          </w:p>
        </w:tc>
        <w:tc>
          <w:tcPr>
            <w:tcW w:w="1220" w:type="dxa"/>
            <w:vAlign w:val="bottom"/>
            <w:shd w:val="clear" w:color="auto" w:fill="00548B"/>
          </w:tcPr>
          <w:p>
            <w:pPr>
              <w:jc w:val="right"/>
              <w:ind w:right="281"/>
              <w:spacing w:after="0"/>
              <w:rPr>
                <w:sz w:val="20"/>
                <w:szCs w:val="20"/>
                <w:color w:val="auto"/>
              </w:rPr>
            </w:pPr>
            <w:r>
              <w:rPr>
                <w:rFonts w:ascii="Arial" w:cs="Arial" w:eastAsia="Arial" w:hAnsi="Arial"/>
                <w:sz w:val="14"/>
                <w:szCs w:val="14"/>
                <w:b w:val="1"/>
                <w:bCs w:val="1"/>
                <w:color w:val="D8D8D8"/>
              </w:rPr>
              <w:t>Age</w:t>
            </w:r>
          </w:p>
        </w:tc>
        <w:tc>
          <w:tcPr>
            <w:tcW w:w="7940" w:type="dxa"/>
            <w:vAlign w:val="bottom"/>
            <w:shd w:val="clear" w:color="auto" w:fill="00548B"/>
          </w:tcPr>
          <w:p>
            <w:pPr>
              <w:ind w:left="220"/>
              <w:spacing w:after="0"/>
              <w:rPr>
                <w:sz w:val="20"/>
                <w:szCs w:val="20"/>
                <w:color w:val="auto"/>
              </w:rPr>
            </w:pPr>
            <w:r>
              <w:rPr>
                <w:rFonts w:ascii="Arial" w:cs="Arial" w:eastAsia="Arial" w:hAnsi="Arial"/>
                <w:sz w:val="14"/>
                <w:szCs w:val="14"/>
                <w:b w:val="1"/>
                <w:bCs w:val="1"/>
                <w:color w:val="D8D8D8"/>
              </w:rPr>
              <w:t>Position</w:t>
            </w:r>
          </w:p>
        </w:tc>
      </w:tr>
      <w:tr>
        <w:trPr>
          <w:trHeight w:val="189"/>
        </w:trPr>
        <w:tc>
          <w:tcPr>
            <w:tcW w:w="186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James H. Roth</w:t>
            </w:r>
          </w:p>
        </w:tc>
        <w:tc>
          <w:tcPr>
            <w:tcW w:w="1220" w:type="dxa"/>
            <w:vAlign w:val="bottom"/>
            <w:tcBorders>
              <w:bottom w:val="single" w:sz="8" w:color="999999"/>
            </w:tcBorders>
          </w:tcPr>
          <w:p>
            <w:pPr>
              <w:jc w:val="right"/>
              <w:ind w:right="141"/>
              <w:spacing w:after="0"/>
              <w:rPr>
                <w:sz w:val="20"/>
                <w:szCs w:val="20"/>
                <w:color w:val="auto"/>
              </w:rPr>
            </w:pPr>
            <w:r>
              <w:rPr>
                <w:rFonts w:ascii="Arial" w:cs="Arial" w:eastAsia="Arial" w:hAnsi="Arial"/>
                <w:sz w:val="16"/>
                <w:szCs w:val="16"/>
                <w:color w:val="auto"/>
              </w:rPr>
              <w:t>61</w:t>
            </w:r>
          </w:p>
        </w:tc>
        <w:tc>
          <w:tcPr>
            <w:tcW w:w="7940" w:type="dxa"/>
            <w:vAlign w:val="bottom"/>
            <w:tcBorders>
              <w:bottom w:val="single" w:sz="8" w:color="999999"/>
            </w:tcBorders>
          </w:tcPr>
          <w:p>
            <w:pPr>
              <w:ind w:left="220"/>
              <w:spacing w:after="0" w:line="189" w:lineRule="exact"/>
              <w:rPr>
                <w:sz w:val="20"/>
                <w:szCs w:val="20"/>
                <w:color w:val="auto"/>
              </w:rPr>
            </w:pPr>
            <w:r>
              <w:rPr>
                <w:rFonts w:ascii="Arial" w:cs="Arial" w:eastAsia="Arial" w:hAnsi="Arial"/>
                <w:sz w:val="13"/>
                <w:szCs w:val="13"/>
                <w:color w:val="auto"/>
              </w:rPr>
              <w:t>Chief Executive Officer and Director</w:t>
            </w:r>
            <w:r>
              <w:rPr>
                <w:rFonts w:ascii="Arial" w:cs="Arial" w:eastAsia="Arial" w:hAnsi="Arial"/>
                <w:sz w:val="21"/>
                <w:szCs w:val="21"/>
                <w:color w:val="auto"/>
                <w:vertAlign w:val="superscript"/>
              </w:rPr>
              <w:t>1</w:t>
            </w:r>
          </w:p>
        </w:tc>
      </w:tr>
      <w:tr>
        <w:trPr>
          <w:trHeight w:val="183"/>
        </w:trPr>
        <w:tc>
          <w:tcPr>
            <w:tcW w:w="1860" w:type="dxa"/>
            <w:vAlign w:val="bottom"/>
            <w:tcBorders>
              <w:bottom w:val="single" w:sz="8" w:color="999999"/>
            </w:tcBorders>
          </w:tcPr>
          <w:p>
            <w:pPr>
              <w:ind w:left="80"/>
              <w:spacing w:after="0" w:line="183" w:lineRule="exact"/>
              <w:rPr>
                <w:sz w:val="20"/>
                <w:szCs w:val="20"/>
                <w:color w:val="auto"/>
              </w:rPr>
            </w:pPr>
            <w:r>
              <w:rPr>
                <w:rFonts w:ascii="Arial" w:cs="Arial" w:eastAsia="Arial" w:hAnsi="Arial"/>
                <w:sz w:val="16"/>
                <w:szCs w:val="16"/>
                <w:color w:val="auto"/>
              </w:rPr>
              <w:t>C. Mark Hussey</w:t>
            </w:r>
          </w:p>
        </w:tc>
        <w:tc>
          <w:tcPr>
            <w:tcW w:w="1220" w:type="dxa"/>
            <w:vAlign w:val="bottom"/>
            <w:tcBorders>
              <w:bottom w:val="single" w:sz="8" w:color="999999"/>
            </w:tcBorders>
          </w:tcPr>
          <w:p>
            <w:pPr>
              <w:jc w:val="right"/>
              <w:ind w:right="141"/>
              <w:spacing w:after="0" w:line="183" w:lineRule="exact"/>
              <w:rPr>
                <w:sz w:val="20"/>
                <w:szCs w:val="20"/>
                <w:color w:val="auto"/>
              </w:rPr>
            </w:pPr>
            <w:r>
              <w:rPr>
                <w:rFonts w:ascii="Arial" w:cs="Arial" w:eastAsia="Arial" w:hAnsi="Arial"/>
                <w:sz w:val="16"/>
                <w:szCs w:val="16"/>
                <w:color w:val="auto"/>
              </w:rPr>
              <w:t>58</w:t>
            </w:r>
          </w:p>
        </w:tc>
        <w:tc>
          <w:tcPr>
            <w:tcW w:w="7940" w:type="dxa"/>
            <w:vAlign w:val="bottom"/>
            <w:tcBorders>
              <w:bottom w:val="single" w:sz="8" w:color="999999"/>
            </w:tcBorders>
          </w:tcPr>
          <w:p>
            <w:pPr>
              <w:ind w:left="220"/>
              <w:spacing w:after="0" w:line="183" w:lineRule="exact"/>
              <w:rPr>
                <w:sz w:val="20"/>
                <w:szCs w:val="20"/>
                <w:color w:val="auto"/>
              </w:rPr>
            </w:pPr>
            <w:r>
              <w:rPr>
                <w:rFonts w:ascii="Arial" w:cs="Arial" w:eastAsia="Arial" w:hAnsi="Arial"/>
                <w:sz w:val="16"/>
                <w:szCs w:val="16"/>
                <w:color w:val="auto"/>
              </w:rPr>
              <w:t>President and Chief Operating Officer</w:t>
            </w:r>
          </w:p>
        </w:tc>
      </w:tr>
      <w:tr>
        <w:trPr>
          <w:trHeight w:val="183"/>
        </w:trPr>
        <w:tc>
          <w:tcPr>
            <w:tcW w:w="1860" w:type="dxa"/>
            <w:vAlign w:val="bottom"/>
            <w:tcBorders>
              <w:bottom w:val="single" w:sz="8" w:color="999999"/>
            </w:tcBorders>
          </w:tcPr>
          <w:p>
            <w:pPr>
              <w:ind w:left="80"/>
              <w:spacing w:after="0" w:line="183" w:lineRule="exact"/>
              <w:rPr>
                <w:sz w:val="20"/>
                <w:szCs w:val="20"/>
                <w:color w:val="auto"/>
              </w:rPr>
            </w:pPr>
            <w:r>
              <w:rPr>
                <w:rFonts w:ascii="Arial" w:cs="Arial" w:eastAsia="Arial" w:hAnsi="Arial"/>
                <w:sz w:val="16"/>
                <w:szCs w:val="16"/>
                <w:color w:val="auto"/>
              </w:rPr>
              <w:t>John D. Kelly</w:t>
            </w:r>
          </w:p>
        </w:tc>
        <w:tc>
          <w:tcPr>
            <w:tcW w:w="1220" w:type="dxa"/>
            <w:vAlign w:val="bottom"/>
            <w:tcBorders>
              <w:bottom w:val="single" w:sz="8" w:color="999999"/>
            </w:tcBorders>
          </w:tcPr>
          <w:p>
            <w:pPr>
              <w:jc w:val="right"/>
              <w:ind w:right="141"/>
              <w:spacing w:after="0" w:line="183" w:lineRule="exact"/>
              <w:rPr>
                <w:sz w:val="20"/>
                <w:szCs w:val="20"/>
                <w:color w:val="auto"/>
              </w:rPr>
            </w:pPr>
            <w:r>
              <w:rPr>
                <w:rFonts w:ascii="Arial" w:cs="Arial" w:eastAsia="Arial" w:hAnsi="Arial"/>
                <w:sz w:val="16"/>
                <w:szCs w:val="16"/>
                <w:color w:val="auto"/>
              </w:rPr>
              <w:t>43</w:t>
            </w:r>
          </w:p>
        </w:tc>
        <w:tc>
          <w:tcPr>
            <w:tcW w:w="7940" w:type="dxa"/>
            <w:vAlign w:val="bottom"/>
            <w:tcBorders>
              <w:bottom w:val="single" w:sz="8" w:color="999999"/>
            </w:tcBorders>
          </w:tcPr>
          <w:p>
            <w:pPr>
              <w:ind w:left="220"/>
              <w:spacing w:after="0" w:line="183" w:lineRule="exact"/>
              <w:rPr>
                <w:sz w:val="20"/>
                <w:szCs w:val="20"/>
                <w:color w:val="auto"/>
              </w:rPr>
            </w:pPr>
            <w:r>
              <w:rPr>
                <w:rFonts w:ascii="Arial" w:cs="Arial" w:eastAsia="Arial" w:hAnsi="Arial"/>
                <w:sz w:val="16"/>
                <w:szCs w:val="16"/>
                <w:color w:val="auto"/>
              </w:rPr>
              <w:t>Executive Vice President, Chief Financial Officer and Treasurer</w:t>
            </w:r>
          </w:p>
        </w:tc>
      </w:tr>
      <w:tr>
        <w:trPr>
          <w:trHeight w:val="183"/>
        </w:trPr>
        <w:tc>
          <w:tcPr>
            <w:tcW w:w="1860" w:type="dxa"/>
            <w:vAlign w:val="bottom"/>
            <w:tcBorders>
              <w:bottom w:val="single" w:sz="8" w:color="999999"/>
            </w:tcBorders>
          </w:tcPr>
          <w:p>
            <w:pPr>
              <w:ind w:left="80"/>
              <w:spacing w:after="0" w:line="183" w:lineRule="exact"/>
              <w:rPr>
                <w:sz w:val="20"/>
                <w:szCs w:val="20"/>
                <w:color w:val="auto"/>
              </w:rPr>
            </w:pPr>
            <w:r>
              <w:rPr>
                <w:rFonts w:ascii="Arial" w:cs="Arial" w:eastAsia="Arial" w:hAnsi="Arial"/>
                <w:sz w:val="16"/>
                <w:szCs w:val="16"/>
                <w:color w:val="auto"/>
              </w:rPr>
              <w:t>Diane E. Ratekin</w:t>
            </w:r>
          </w:p>
        </w:tc>
        <w:tc>
          <w:tcPr>
            <w:tcW w:w="1220" w:type="dxa"/>
            <w:vAlign w:val="bottom"/>
            <w:tcBorders>
              <w:bottom w:val="single" w:sz="8" w:color="999999"/>
            </w:tcBorders>
          </w:tcPr>
          <w:p>
            <w:pPr>
              <w:jc w:val="right"/>
              <w:ind w:right="141"/>
              <w:spacing w:after="0" w:line="183" w:lineRule="exact"/>
              <w:rPr>
                <w:sz w:val="20"/>
                <w:szCs w:val="20"/>
                <w:color w:val="auto"/>
              </w:rPr>
            </w:pPr>
            <w:r>
              <w:rPr>
                <w:rFonts w:ascii="Arial" w:cs="Arial" w:eastAsia="Arial" w:hAnsi="Arial"/>
                <w:sz w:val="16"/>
                <w:szCs w:val="16"/>
                <w:color w:val="auto"/>
              </w:rPr>
              <w:t>62</w:t>
            </w:r>
          </w:p>
        </w:tc>
        <w:tc>
          <w:tcPr>
            <w:tcW w:w="7940" w:type="dxa"/>
            <w:vAlign w:val="bottom"/>
            <w:tcBorders>
              <w:bottom w:val="single" w:sz="8" w:color="999999"/>
            </w:tcBorders>
          </w:tcPr>
          <w:p>
            <w:pPr>
              <w:ind w:left="220"/>
              <w:spacing w:after="0" w:line="183" w:lineRule="exact"/>
              <w:rPr>
                <w:sz w:val="20"/>
                <w:szCs w:val="20"/>
                <w:color w:val="auto"/>
              </w:rPr>
            </w:pPr>
            <w:r>
              <w:rPr>
                <w:rFonts w:ascii="Arial" w:cs="Arial" w:eastAsia="Arial" w:hAnsi="Arial"/>
                <w:sz w:val="16"/>
                <w:szCs w:val="16"/>
                <w:color w:val="auto"/>
              </w:rPr>
              <w:t>Executive Vice President, General Counsel and Corporate Secretary</w:t>
            </w:r>
          </w:p>
        </w:tc>
      </w:tr>
    </w:tbl>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James H. Roth</w:t>
      </w:r>
      <w:r>
        <w:rPr>
          <w:rFonts w:ascii="Arial" w:cs="Arial" w:eastAsia="Arial" w:hAnsi="Arial"/>
          <w:sz w:val="16"/>
          <w:szCs w:val="16"/>
          <w:color w:val="auto"/>
        </w:rPr>
        <w:t>’s biographical information is provided above under the caption “Nominees to Board of Directors.”</w:t>
      </w:r>
    </w:p>
    <w:p>
      <w:pPr>
        <w:spacing w:after="0" w:line="181" w:lineRule="exact"/>
        <w:rPr>
          <w:sz w:val="20"/>
          <w:szCs w:val="20"/>
          <w:color w:val="auto"/>
        </w:rPr>
      </w:pPr>
    </w:p>
    <w:p>
      <w:pPr>
        <w:jc w:val="both"/>
        <w:ind w:left="200" w:right="20"/>
        <w:spacing w:after="0" w:line="250" w:lineRule="auto"/>
        <w:rPr>
          <w:sz w:val="20"/>
          <w:szCs w:val="20"/>
          <w:color w:val="auto"/>
        </w:rPr>
      </w:pPr>
      <w:r>
        <w:rPr>
          <w:rFonts w:ascii="Arial" w:cs="Arial" w:eastAsia="Arial" w:hAnsi="Arial"/>
          <w:sz w:val="16"/>
          <w:szCs w:val="16"/>
          <w:i w:val="1"/>
          <w:iCs w:val="1"/>
          <w:color w:val="auto"/>
        </w:rPr>
        <w:t xml:space="preserve">C. Mark Hussey </w:t>
      </w:r>
      <w:r>
        <w:rPr>
          <w:rFonts w:ascii="Arial" w:cs="Arial" w:eastAsia="Arial" w:hAnsi="Arial"/>
          <w:sz w:val="16"/>
          <w:szCs w:val="16"/>
          <w:color w:val="auto"/>
        </w:rPr>
        <w:t>was appointed President of Huron in February 2019 and was appointed Chief Operating Officer of Huron in February 2014.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an Executive Vice President from July 2011 until February 2019. He had served as Chief Financial Officer from July 2011 until January 2017, and served as Huron’s Treasurer from July 2011 until February 2016. Prior to joining Huron, from 2002 to 2011, Mr. Hussey served as Chief Financial Officer at Crosscom National, LLC, a privately held professional IT services organization deploying and servicing in-store technology solutions for large, national retailers. In that role, he was responsible for all finance and administrative functions for the company. Prior to that, from 2000 until 2002, he served as Executive Vice President and Chief Financial Officer, North America, at Information Resources, Inc. During his career, Mr. Hussey has held senior finance, accounting and investor relations positions at entities such as EZLinks Golf, Inc., Dominick’s Finer Foods, Inc., and the Quaker Oats Company. Mr. Hussey received a B.S. in Accountancy from the University of Illinois, Urbana-Champaign and an M.B.A. in Finance from the University of Chicago Graduate School of Business. He is a Chartered Financial Analyst, Certified Management Accountant, and Certified Public Accountant (Illinois).</w:t>
      </w:r>
    </w:p>
    <w:p>
      <w:pPr>
        <w:spacing w:after="0" w:line="152"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i w:val="1"/>
          <w:iCs w:val="1"/>
          <w:color w:val="auto"/>
        </w:rPr>
        <w:t xml:space="preserve">John D. Kelly </w:t>
      </w:r>
      <w:r>
        <w:rPr>
          <w:rFonts w:ascii="Arial" w:cs="Arial" w:eastAsia="Arial" w:hAnsi="Arial"/>
          <w:sz w:val="16"/>
          <w:szCs w:val="16"/>
          <w:color w:val="auto"/>
        </w:rPr>
        <w:t>was appointed Executive Vice President and Chief Financial Officer of Huron effective January 3, 2017. He has served as Huron’s</w:t>
      </w:r>
      <w:r>
        <w:rPr>
          <w:rFonts w:ascii="Arial" w:cs="Arial" w:eastAsia="Arial" w:hAnsi="Arial"/>
          <w:sz w:val="16"/>
          <w:szCs w:val="16"/>
          <w:i w:val="1"/>
          <w:iCs w:val="1"/>
          <w:color w:val="auto"/>
        </w:rPr>
        <w:t xml:space="preserve"> </w:t>
      </w:r>
      <w:r>
        <w:rPr>
          <w:rFonts w:ascii="Arial" w:cs="Arial" w:eastAsia="Arial" w:hAnsi="Arial"/>
          <w:sz w:val="16"/>
          <w:szCs w:val="16"/>
          <w:color w:val="auto"/>
        </w:rPr>
        <w:t>Treasurer since February 2016. He had served as Chief Accounting Officer of Huron from February 2015 until January 2017, and had served as Corporate Vice President from November 2012 until his appointment as Executive Vice President. Previously, Mr. Kelly had served as Controller of Huron from November 2012 until February 2015, and prior to that served as Assistant Controller from October 2009. Mr. Kelly served as Huron’s Assistant Treasurer from February 2015 until February 2016. Prior to joining Huron’s Finance and Accounting department, Mr. Kelly was a Director in the Company’s Disputes and Investigations practice for three years, serving clients in the manufacturing and services industries. Before he joined the Company in December 2006, Mr. Kelly had held several positions within Deloitte &amp; Touche’s Assurance and Advisory Services group, most recently as a Senior Manager. He received both a B.S. and M.S. in Accounting from the University of Notre Dame. Mr. Kelly is a Certified Public Accountant (Illinois).</w:t>
      </w:r>
    </w:p>
    <w:p>
      <w:pPr>
        <w:spacing w:after="0" w:line="162"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i w:val="1"/>
          <w:iCs w:val="1"/>
          <w:color w:val="auto"/>
        </w:rPr>
        <w:t xml:space="preserve">Diane E. Ratekin </w:t>
      </w:r>
      <w:r>
        <w:rPr>
          <w:rFonts w:ascii="Arial" w:cs="Arial" w:eastAsia="Arial" w:hAnsi="Arial"/>
          <w:sz w:val="16"/>
          <w:szCs w:val="16"/>
          <w:color w:val="auto"/>
        </w:rPr>
        <w:t>was appointed Vice President and General Counsel of Huron in February 2011, and was named Executive Vice President in April 2011.</w:t>
      </w:r>
      <w:r>
        <w:rPr>
          <w:rFonts w:ascii="Arial" w:cs="Arial" w:eastAsia="Arial" w:hAnsi="Arial"/>
          <w:sz w:val="16"/>
          <w:szCs w:val="16"/>
          <w:i w:val="1"/>
          <w:iCs w:val="1"/>
          <w:color w:val="auto"/>
        </w:rPr>
        <w:t xml:space="preserve"> </w:t>
      </w:r>
      <w:r>
        <w:rPr>
          <w:rFonts w:ascii="Arial" w:cs="Arial" w:eastAsia="Arial" w:hAnsi="Arial"/>
          <w:sz w:val="16"/>
          <w:szCs w:val="16"/>
          <w:color w:val="auto"/>
        </w:rPr>
        <w:t>She was appointed Corporate Secretary in December 2011. She had previously served as Huron’s Assistant Corporate Secretary since May 2009. Ms. Ratekin has been employed in Huron’s legal department since January 2005, and previously served as Deputy General Counsel. Prior to joining Huron, Ms. Ratekin was a partner in the Corporate Department of McGuireWoods LLP. Previously, she spent 17 years in the legal department of Deutsche Investment Management Americas Inc., formerly known as Zurich Scudder Investments, Inc. and Kemper Financial Services, Inc., where she was a Director and Team Leader of the Corporate and Investments Team. Before that, Ms. Ratekin was a litigator at Jenner &amp; Block. She is a member of the American Bar Association. In July 2017, Ms. Ratekin was appointed to the Metropolitan Chicago Board of Directors of the American Heart Association. She received a B.A. in English and a J.D. from the University of Iowa.</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IRECTOR</w:t>
      </w:r>
      <w:r>
        <w:rPr>
          <w:rFonts w:ascii="Arial" w:cs="Arial" w:eastAsia="Arial" w:hAnsi="Arial"/>
          <w:sz w:val="18"/>
          <w:szCs w:val="18"/>
          <w:b w:val="1"/>
          <w:bCs w:val="1"/>
          <w:color w:val="00548B"/>
        </w:rPr>
        <w:t xml:space="preserve"> I</w:t>
      </w:r>
      <w:r>
        <w:rPr>
          <w:rFonts w:ascii="Arial" w:cs="Arial" w:eastAsia="Arial" w:hAnsi="Arial"/>
          <w:sz w:val="15"/>
          <w:szCs w:val="15"/>
          <w:b w:val="1"/>
          <w:bCs w:val="1"/>
          <w:color w:val="00548B"/>
        </w:rPr>
        <w:t>NDEPENDENCE</w:t>
      </w:r>
    </w:p>
    <w:p>
      <w:pPr>
        <w:spacing w:after="0" w:line="20"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Our board of directors makes an annual determination regarding the independence of each of our directors. The board also makes this determination for new director nominees. The board of directors has determined that each of Messrs. Edwards, Lockhart, Massaro, McCartney, Moody, Ms. Zumwalt and Ms. Singh-Bushell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75565</wp:posOffset>
            </wp:positionV>
            <wp:extent cx="10464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43" w:lineRule="exact"/>
        <w:rPr>
          <w:sz w:val="20"/>
          <w:szCs w:val="20"/>
          <w:color w:val="auto"/>
        </w:rPr>
      </w:pPr>
    </w:p>
    <w:p>
      <w:pPr>
        <w:ind w:left="420" w:hanging="216"/>
        <w:spacing w:after="0"/>
        <w:tabs>
          <w:tab w:leader="none" w:pos="420" w:val="left"/>
        </w:tabs>
        <w:numPr>
          <w:ilvl w:val="0"/>
          <w:numId w:val="12"/>
        </w:numPr>
        <w:rPr>
          <w:rFonts w:ascii="Arial" w:cs="Arial" w:eastAsia="Arial" w:hAnsi="Arial"/>
          <w:sz w:val="12"/>
          <w:szCs w:val="12"/>
          <w:i w:val="1"/>
          <w:iCs w:val="1"/>
          <w:color w:val="auto"/>
        </w:rPr>
      </w:pPr>
      <w:r>
        <w:rPr>
          <w:rFonts w:ascii="Arial" w:cs="Arial" w:eastAsia="Arial" w:hAnsi="Arial"/>
          <w:sz w:val="12"/>
          <w:szCs w:val="12"/>
          <w:i w:val="1"/>
          <w:iCs w:val="1"/>
          <w:color w:val="auto"/>
        </w:rPr>
        <w:t>Mr. Roth also served as President until February 2019.</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12</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or nominee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 In determining that Ms. Zumwalt is independent, the board of directors conducted a thorough review of payments made by Stanford University, which employs Ms. Zumwalt, to the Company for consulting services provided by the Company. After taking into consideration that revenues from Stanford University comprised 0.14% of Huron’s revenues for the year 2018, 0.12% of Huron’s revenues for the year 2017 and 0.60% for the year 2016, the board of directors determined that this relationship would not interfere with Ms. Zumwalt’s exercise of independent judgment in carrying out her responsibilities as a director. Mr. Sawyer previously served as a managing director at Huron, beginning in January 2010, and led the Operational Improvement Service Line for Huron’s Business Advisory Practice until 2017, and, therefore, is not deemed independent.</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5"/>
          <w:szCs w:val="15"/>
          <w:b w:val="1"/>
          <w:bCs w:val="1"/>
          <w:color w:val="00548B"/>
        </w:rPr>
        <w:t>OARD</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OMPOSITION</w:t>
      </w:r>
      <w:r>
        <w:rPr>
          <w:rFonts w:ascii="Arial" w:cs="Arial" w:eastAsia="Arial" w:hAnsi="Arial"/>
          <w:sz w:val="18"/>
          <w:szCs w:val="18"/>
          <w:b w:val="1"/>
          <w:bCs w:val="1"/>
          <w:color w:val="00548B"/>
        </w:rPr>
        <w:t>, L</w:t>
      </w:r>
      <w:r>
        <w:rPr>
          <w:rFonts w:ascii="Arial" w:cs="Arial" w:eastAsia="Arial" w:hAnsi="Arial"/>
          <w:sz w:val="15"/>
          <w:szCs w:val="15"/>
          <w:b w:val="1"/>
          <w:bCs w:val="1"/>
          <w:color w:val="00548B"/>
        </w:rPr>
        <w:t>EADERSHIP</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TRUCTURE AND</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ISK</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VERSIGHT</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5"/>
          <w:szCs w:val="15"/>
          <w:b w:val="1"/>
          <w:bCs w:val="1"/>
          <w:color w:val="00548B"/>
        </w:rPr>
        <w:t>OARD</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OMPOSITION</w:t>
      </w:r>
    </w:p>
    <w:p>
      <w:pPr>
        <w:jc w:val="both"/>
        <w:ind w:left="200"/>
        <w:spacing w:after="0" w:line="249" w:lineRule="auto"/>
        <w:rPr>
          <w:sz w:val="20"/>
          <w:szCs w:val="20"/>
          <w:color w:val="auto"/>
        </w:rPr>
      </w:pPr>
      <w:r>
        <w:rPr>
          <w:rFonts w:ascii="Arial" w:cs="Arial" w:eastAsia="Arial" w:hAnsi="Arial"/>
          <w:sz w:val="16"/>
          <w:szCs w:val="16"/>
          <w:color w:val="auto"/>
        </w:rPr>
        <w:t>The Nominating and Corporate Governance Committee, in conjunction with the Chair and the full board, is actively evaluating the future composition of the board in light of the age, tenure and experience of its current members. This multi-year refresh process is intended to ensure that the board has the best mix of knowledge, skills and business acumen, derived from high quality professional experience, to evaluate and support the Company’s strategy going forward. The Nominating and Corporate Governance Committee believes that its current directors, several of whom have extensive experience leading and managing professional service businesses, provide significant insight into the Company and its operations and provide valuable contributions to the board. The Committee also recognizes the potential benefits of the fresh perspectives that highly qualified new directors might bring to the board.</w:t>
      </w:r>
    </w:p>
    <w:p>
      <w:pPr>
        <w:spacing w:after="0" w:line="16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The Nominating and Corporate Governance Committee will consider a variety of factors as it works to enhance the composition of the board, increase diversity, reduce average tenure and ensure structured and orderly board succession through a process of both board member additions and retirements. As a result, during the next several years, the board may occasionally expand or contract as the refresh process is executed. It is the expressed desire of the board that it continue to remain relatively small in number and composed principally of non-executive directors.</w:t>
      </w:r>
    </w:p>
    <w:p>
      <w:pPr>
        <w:spacing w:after="0" w:line="176"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Nominating and Corporate Governance Committee will consider as director candidates qualified individuals recommended by stockholders through the process described below and, although it has not done so in the past, may consider candidates identified by professional search firms.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5"/>
          <w:szCs w:val="15"/>
          <w:b w:val="1"/>
          <w:bCs w:val="1"/>
          <w:color w:val="00548B"/>
        </w:rPr>
        <w:t>OARD</w:t>
      </w:r>
      <w:r>
        <w:rPr>
          <w:rFonts w:ascii="Arial" w:cs="Arial" w:eastAsia="Arial" w:hAnsi="Arial"/>
          <w:sz w:val="18"/>
          <w:szCs w:val="18"/>
          <w:b w:val="1"/>
          <w:bCs w:val="1"/>
          <w:color w:val="00548B"/>
        </w:rPr>
        <w:t xml:space="preserve"> L</w:t>
      </w:r>
      <w:r>
        <w:rPr>
          <w:rFonts w:ascii="Arial" w:cs="Arial" w:eastAsia="Arial" w:hAnsi="Arial"/>
          <w:sz w:val="15"/>
          <w:szCs w:val="15"/>
          <w:b w:val="1"/>
          <w:bCs w:val="1"/>
          <w:color w:val="00548B"/>
        </w:rPr>
        <w:t>EADERSHIP</w:t>
      </w:r>
    </w:p>
    <w:p>
      <w:pPr>
        <w:spacing w:after="0" w:line="20"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Huron formally separated the roles of chairman of the board and chief executive officer in 2010. Our Non-executive Chairman is John McCartney and our Chief Executive Officer is James H. Roth. As Non-executive Chairman, Mr. McCartney, in consultation with Mr. Roth, develops the agendas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Mr. McCartney also chairs executive sessions of the board. In addition, George E. Massaro serves as Vice Chairman.</w:t>
      </w:r>
    </w:p>
    <w:p>
      <w:pPr>
        <w:spacing w:after="0" w:line="16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board has determined that our current board leadership structure is appropriate for the Company, as it believes the separation of powers is beneficial for our organization.</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13</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R</w:t>
      </w:r>
      <w:r>
        <w:rPr>
          <w:rFonts w:ascii="Arial" w:cs="Arial" w:eastAsia="Arial" w:hAnsi="Arial"/>
          <w:sz w:val="15"/>
          <w:szCs w:val="15"/>
          <w:b w:val="1"/>
          <w:bCs w:val="1"/>
          <w:color w:val="00548B"/>
        </w:rPr>
        <w:t>ISK</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VERSIGHT</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One of the board’s responsibilities is to review the adequacy of the Company’s systems for compliance with all applicable laws and regulations, for safeguarding the Company’s assets and for managing the major risks it faces. The board executes its responsibility for risk management directly and through its committees in a variety of ways,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127000</wp:posOffset>
            </wp:positionV>
            <wp:extent cx="5196840" cy="37992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96840"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5"/>
          <w:szCs w:val="15"/>
          <w:b w:val="1"/>
          <w:bCs w:val="1"/>
          <w:color w:val="00548B"/>
        </w:rPr>
        <w:t>OARD</w:t>
      </w:r>
      <w:r>
        <w:rPr>
          <w:rFonts w:ascii="Arial" w:cs="Arial" w:eastAsia="Arial" w:hAnsi="Arial"/>
          <w:sz w:val="18"/>
          <w:szCs w:val="18"/>
          <w:b w:val="1"/>
          <w:bCs w:val="1"/>
          <w:color w:val="00548B"/>
        </w:rPr>
        <w:t xml:space="preserve"> M</w:t>
      </w:r>
      <w:r>
        <w:rPr>
          <w:rFonts w:ascii="Arial" w:cs="Arial" w:eastAsia="Arial" w:hAnsi="Arial"/>
          <w:sz w:val="15"/>
          <w:szCs w:val="15"/>
          <w:b w:val="1"/>
          <w:bCs w:val="1"/>
          <w:color w:val="00548B"/>
        </w:rPr>
        <w:t>EETINGS AND</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OMMITTEES</w:t>
      </w:r>
    </w:p>
    <w:p>
      <w:pPr>
        <w:spacing w:after="0" w:line="20"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board of directors conducts its business through meetings of the full board, actions taken by written consent in lieu of meetings, and by the actions of its committees. During 2018, the board of directors held nine meetings.</w:t>
      </w:r>
    </w:p>
    <w:p>
      <w:pPr>
        <w:spacing w:after="0" w:line="15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During 2018, each board member attended at least 75% of the aggregate number of board meetings and meetings of all the committees on which the director served. Although the Company does not have a formal policy regarding director attendance at our annual meetings, we encourage directors to attend. All of the directors attended the 2018 Annual Meeting of Stockholders.</w:t>
      </w:r>
    </w:p>
    <w:p>
      <w:pPr>
        <w:spacing w:after="0" w:line="161"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 xml:space="preserve">The board of directors operates in part through its three committees: Audit, Compensation, and Nominating and Corporate Governance. All committee members are “independent” as defined in the applicable listing standards of NASDAQ. In addition, all Compensation Committee members are “non-employee directors” within the meaning of Rule 16b-3 under the Securities Exchange Act of 1934 (the “1934 Act”) and “outside directors” within the meaning of Section 162(m) of the Internal Revenue Code of 1986, as amended (the “Code”). All Audit Committee members meet the criteria for independence set forth in SEC Rule 10A-3(b)(1). A detailed discussion of each committee’s mission, composition and responsibilities is contained within the committee charters available in the Investor Relations section of the Company’s web site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Audit Committee</w:t>
      </w:r>
    </w:p>
    <w:p>
      <w:pPr>
        <w:spacing w:after="0" w:line="20"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Audit Committee responsibilities include overseeing our accounting and financial reporting processes, the audits of our financial statements, and the Company’s internal controls over financial reporting. The Audit Committee is also responsible for the appointment, compensation, retention, oversight and evaluation of the work of any registered public accounting firm engaged for the purpose of preparing or issuing an audit report or performing audit, review or attest services for us. As such, the Audit Committee approves audit and permitted non-audit services and applicable fees. The Audit Committee met seven times in 2018. The members of the Audit Committee are Messrs. Lockhart (Chair), McCartney and Moody. The board of directors has determined that each Audit Committee member has sufficient knowledge in financial and auditing matters to serve on the Audit Committee. The board of directors has also determined that each of Messrs. Lockhart, McCartney and Moody is an “audit committee financial expert,” as defined by the applicable securities regulations, and that each member of the Audit Committee satisfies the applicable NASDAQ listing standards for audit committee membership.</w:t>
      </w:r>
    </w:p>
    <w:p>
      <w:pPr>
        <w:spacing w:after="0" w:line="181"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Report of the Audit Committee for the fiscal year ended December 31, 2018 appears below under the caption “PROPOSAL 4—RATIFICATION OF APPOINTMENT OF INDEPENDENT REGISTERED PUBLIC ACCOUNTING FIRM—Report of the Audit Committee.”</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Compensation Committee</w:t>
      </w:r>
    </w:p>
    <w:p>
      <w:pPr>
        <w:spacing w:after="0" w:line="20"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Pursuant to its charter, the Compensation Committee responsibilities include overseeing our compensation and benefit plans, including all compensation arrangements for executive officers and directors, each of which the Compensation Committee reviews annually and makes changes as it deems appropriate. The Compensation Committee met seven times in 2018. The members of the Compensation Committee are Ms. Zumwalt (Chair), Mr. Lockhart and Mr. Moody.</w:t>
      </w:r>
    </w:p>
    <w:p>
      <w:pPr>
        <w:spacing w:after="0" w:line="162"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Management assists the Compensation Committee in the performance of its duties as described in more detail below under “EXECUTIVE COMPENSATION—Compensation Discussion and Analysis—Role of Management.” In addition, during 2018, the CEO participated in all of the Compensation Committee’s meetings and in all of the executive sessions, except for those in which the Compensation Committee considered the CEO’s performance, compensation and incentives. The Committee engaged the firm of Pay Governance LLC as its outside compensation advisor to assist the Committee in the execution of its charter. The support provided by the advisor is described in more detail below under “EXECUTIVE COMPENSATION— Compensation Discussion and Analysis—Role of Compensation Advisor.” The Report of the Compensation Committee on Executive Compensation appears below under the caption “EXECUTIVE COMPENSATION—Compensation Committee Report.”</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Nominating and Corporate Governance Committee</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Nominating and Corporate Governance Committee responsibilities include identifying and recommending to the board of directors appropriate director nominee candidates and providing oversight with respect to corporate governance matters. The Nominating and Corporate Governance Committee met four times in 2018.</w:t>
      </w:r>
    </w:p>
    <w:p>
      <w:pPr>
        <w:spacing w:after="0" w:line="161"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members of the Nominating and Corporate Governance Committee are Mr. Edwards (Chair), Mr. Massaro and Ms. Zumwalt. As noted above, Mr. Edwards is retiring from the board at the end of his current term.</w:t>
      </w:r>
    </w:p>
    <w:p>
      <w:pPr>
        <w:spacing w:after="0" w:line="15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78"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If the Nominating and Corporate Governance Committee receives a nominee recommendation in accordance with the rules of the SEC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15</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 xml:space="preserve">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w:t>
      </w:r>
      <w:r>
        <w:rPr>
          <w:rFonts w:ascii="Arial" w:cs="Arial" w:eastAsia="Arial" w:hAnsi="Arial"/>
          <w:sz w:val="16"/>
          <w:szCs w:val="16"/>
          <w:i w:val="1"/>
          <w:iCs w:val="1"/>
          <w:color w:val="auto"/>
        </w:rPr>
        <w:t>corporatesecretary@huronconsultinggroup.com</w:t>
      </w:r>
      <w:r>
        <w:rPr>
          <w:rFonts w:ascii="Arial" w:cs="Arial" w:eastAsia="Arial" w:hAnsi="Arial"/>
          <w:sz w:val="16"/>
          <w:szCs w:val="16"/>
          <w:color w:val="auto"/>
        </w:rPr>
        <w:t>. In either case, the notice must meet all of the requirements contained in the bylaws.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IVERSITY OF</w:t>
      </w:r>
      <w:r>
        <w:rPr>
          <w:rFonts w:ascii="Arial" w:cs="Arial" w:eastAsia="Arial" w:hAnsi="Arial"/>
          <w:sz w:val="18"/>
          <w:szCs w:val="18"/>
          <w:b w:val="1"/>
          <w:bCs w:val="1"/>
          <w:color w:val="00548B"/>
        </w:rPr>
        <w:t xml:space="preserve"> B</w:t>
      </w:r>
      <w:r>
        <w:rPr>
          <w:rFonts w:ascii="Arial" w:cs="Arial" w:eastAsia="Arial" w:hAnsi="Arial"/>
          <w:sz w:val="15"/>
          <w:szCs w:val="15"/>
          <w:b w:val="1"/>
          <w:bCs w:val="1"/>
          <w:color w:val="00548B"/>
        </w:rPr>
        <w:t>OARD</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KILLS AND</w:t>
      </w:r>
      <w:r>
        <w:rPr>
          <w:rFonts w:ascii="Arial" w:cs="Arial" w:eastAsia="Arial" w:hAnsi="Arial"/>
          <w:sz w:val="18"/>
          <w:szCs w:val="18"/>
          <w:b w:val="1"/>
          <w:bCs w:val="1"/>
          <w:color w:val="00548B"/>
        </w:rPr>
        <w:t xml:space="preserve"> E</w:t>
      </w:r>
      <w:r>
        <w:rPr>
          <w:rFonts w:ascii="Arial" w:cs="Arial" w:eastAsia="Arial" w:hAnsi="Arial"/>
          <w:sz w:val="15"/>
          <w:szCs w:val="15"/>
          <w:b w:val="1"/>
          <w:bCs w:val="1"/>
          <w:color w:val="00548B"/>
        </w:rPr>
        <w:t>XPERIENCE</w:t>
      </w:r>
    </w:p>
    <w:p>
      <w:pPr>
        <w:spacing w:after="0" w:line="20"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Huron does not have a formal policy on board member diversity. The Nominating and Corporate Governance Committee, in discussing board composition, has focused on diversity of experience in relation to the development of the business, and believes it should reflect over time a diversity of gender, race, ethnicity and age, although the Committee follows no strict criteria when making decisions. In addition to the considerations mentioned above under the “Nominating and Corporate Governance Committee” section, the Nominating and Corporate Governance Committee seeks candidates with prior management experience, experience on public company boards and in relevant industries.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IRECTOR</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ESIGNATION</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OLICY</w:t>
      </w:r>
    </w:p>
    <w:p>
      <w:pPr>
        <w:spacing w:after="0" w:line="20"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The Company’s Corporate Governance Guidelines provide that in an uncontested election, any nominee for director who receives a greater number of votes “withheld” from his or her election than “for” his or her election shall promptly tender his or her resignation to the board of directors following certification of the election results, subject to acceptance by the board of directors. For purposes of this policy, (i) an “uncontested” election is one in which the number of persons properly nominated for election as directors as of the date that is ten (10) days before the record date for determining stockholders entitled to notice of or to vote at such meeting is not greater than the number of directors to be elected, and (ii) broker non-votes will not be counted as either votes “withheld” from or “for” such person’s election.</w:t>
      </w:r>
    </w:p>
    <w:p>
      <w:pPr>
        <w:spacing w:after="0" w:line="16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The Nominating and Corporate Governance Committee shall make a recommendation to the board of directors as to whether to accept or reject the tendered resignation, or whether other action should be taken. The board of directors shall determine whether to accept or reject the tendered resignation, or whether other action should be taken, in its sole discretion, and publicly disclose its decision regarding the tendered resignation within ninety (90) days from the date of the certification of the election results. The Nominating and Corporate Governance Committee in making its recommendation and the board of directors in making its decision may each consider any factors or other information that they consider appropriate and relevant.</w:t>
      </w:r>
    </w:p>
    <w:p>
      <w:pPr>
        <w:spacing w:after="0" w:line="369"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If any director’s resignation is not accepted by the board of directors, such director shall continue to serve until such director’s successor is duly elected and qualified, or until such director’s earlier death, resignation, retirement, disqualification or removal. If a director’s resignation is accepted by the board of directors pursuant to this policy, then the board of directors, in its sole discretion, may fill any resulting vacancy pursuant to the provisions of Section 2 of Article III of the bylaws of the Company or may decrease the size of the board of directors pursuant to Section 1 of Article III of the bylaws of the Company.</w:t>
      </w:r>
    </w:p>
    <w:p>
      <w:pPr>
        <w:spacing w:after="0" w:line="3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5"/>
          <w:szCs w:val="15"/>
          <w:b w:val="1"/>
          <w:bCs w:val="1"/>
          <w:color w:val="00548B"/>
        </w:rPr>
        <w:t>TOCKHOLDER</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OMMUNICATIONS</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OLICY</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Corporate Secretary</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Huron Consulting Group Inc.</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550 West Van Buren Street</w:t>
      </w:r>
    </w:p>
    <w:p>
      <w:pPr>
        <w:ind w:left="540"/>
        <w:spacing w:after="0" w:line="184" w:lineRule="auto"/>
        <w:rPr>
          <w:sz w:val="20"/>
          <w:szCs w:val="20"/>
          <w:color w:val="auto"/>
        </w:rPr>
      </w:pPr>
      <w:r>
        <w:rPr>
          <w:rFonts w:ascii="Arial" w:cs="Arial" w:eastAsia="Arial" w:hAnsi="Arial"/>
          <w:sz w:val="14"/>
          <w:szCs w:val="14"/>
          <w:color w:val="auto"/>
        </w:rPr>
        <w:t>17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p>
      <w:pPr>
        <w:ind w:left="540"/>
        <w:spacing w:after="0"/>
        <w:rPr>
          <w:sz w:val="20"/>
          <w:szCs w:val="20"/>
          <w:color w:val="auto"/>
        </w:rPr>
      </w:pPr>
      <w:r>
        <w:rPr>
          <w:rFonts w:ascii="Arial" w:cs="Arial" w:eastAsia="Arial" w:hAnsi="Arial"/>
          <w:sz w:val="16"/>
          <w:szCs w:val="16"/>
          <w:color w:val="auto"/>
        </w:rPr>
        <w:t>Chicago, Illinois 60607</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E-mail messages should be sent to </w:t>
      </w:r>
      <w:r>
        <w:rPr>
          <w:rFonts w:ascii="Arial" w:cs="Arial" w:eastAsia="Arial" w:hAnsi="Arial"/>
          <w:sz w:val="16"/>
          <w:szCs w:val="16"/>
          <w:i w:val="1"/>
          <w:iCs w:val="1"/>
          <w:color w:val="auto"/>
        </w:rPr>
        <w:t>corporatesecretary@huronconsultinggroup.com</w:t>
      </w:r>
      <w:r>
        <w:rPr>
          <w:rFonts w:ascii="Arial" w:cs="Arial" w:eastAsia="Arial" w:hAnsi="Arial"/>
          <w:sz w:val="16"/>
          <w:szCs w:val="16"/>
          <w:color w:val="auto"/>
        </w:rPr>
        <w:t>.</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16</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A stockholder must include his or her name and address in any such written or e-mail communication. The communication must indicate that the sender is a Company stockholder.</w:t>
      </w:r>
    </w:p>
    <w:p>
      <w:pPr>
        <w:spacing w:after="0" w:line="169"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OMPENSATION OF</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IRECTORS</w:t>
      </w:r>
    </w:p>
    <w:p>
      <w:pPr>
        <w:spacing w:after="0" w:line="20"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The Huron non-employee director compensation program is designed to enhance our ability to attract and retain highly qualified directors and to align their interests with the long-term interests of our stockholders. The program consists of both a cash component, designed to compensate non-employee directors for their service on the board and its committees, and an equity component, designed to align the interests of non-employee directors and stockholders. Mr. Roth receives no compensation for his service on the board.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Effective as of July 1, 2016, the director compensation program is comprised of the following elements:</w:t>
      </w:r>
    </w:p>
    <w:p>
      <w:pPr>
        <w:spacing w:after="0" w:line="199"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5520" w:type="dxa"/>
            <w:vAlign w:val="bottom"/>
            <w:tcBorders>
              <w:top w:val="single" w:sz="8" w:color="00548B"/>
              <w:left w:val="single" w:sz="8" w:color="00548B"/>
              <w:right w:val="single" w:sz="8" w:color="999999"/>
            </w:tcBorders>
            <w:shd w:val="clear" w:color="auto" w:fill="00548B"/>
          </w:tcPr>
          <w:p>
            <w:pPr>
              <w:ind w:left="140"/>
              <w:spacing w:after="0"/>
              <w:rPr>
                <w:sz w:val="20"/>
                <w:szCs w:val="20"/>
                <w:color w:val="auto"/>
              </w:rPr>
            </w:pPr>
            <w:r>
              <w:rPr>
                <w:rFonts w:ascii="Arial" w:cs="Arial" w:eastAsia="Arial" w:hAnsi="Arial"/>
                <w:sz w:val="16"/>
                <w:szCs w:val="16"/>
                <w:b w:val="1"/>
                <w:bCs w:val="1"/>
                <w:color w:val="E5E5E5"/>
              </w:rPr>
              <w:t>Compensation Element</w:t>
            </w:r>
          </w:p>
        </w:tc>
        <w:tc>
          <w:tcPr>
            <w:tcW w:w="5520" w:type="dxa"/>
            <w:vAlign w:val="bottom"/>
            <w:tcBorders>
              <w:top w:val="single" w:sz="8" w:color="00548B"/>
              <w:right w:val="single" w:sz="8" w:color="00548B"/>
            </w:tcBorders>
            <w:shd w:val="clear" w:color="auto" w:fill="00548B"/>
          </w:tcPr>
          <w:p>
            <w:pPr>
              <w:ind w:left="2260"/>
              <w:spacing w:after="0"/>
              <w:rPr>
                <w:sz w:val="20"/>
                <w:szCs w:val="20"/>
                <w:color w:val="auto"/>
              </w:rPr>
            </w:pPr>
            <w:r>
              <w:rPr>
                <w:rFonts w:ascii="Arial" w:cs="Arial" w:eastAsia="Arial" w:hAnsi="Arial"/>
                <w:sz w:val="16"/>
                <w:szCs w:val="16"/>
                <w:b w:val="1"/>
                <w:bCs w:val="1"/>
                <w:color w:val="E5E5E5"/>
              </w:rPr>
              <w:t>Compensation</w:t>
            </w:r>
          </w:p>
        </w:tc>
        <w:tc>
          <w:tcPr>
            <w:tcW w:w="0" w:type="dxa"/>
            <w:vAlign w:val="bottom"/>
          </w:tcPr>
          <w:p>
            <w:pPr>
              <w:spacing w:after="0"/>
              <w:rPr>
                <w:sz w:val="1"/>
                <w:szCs w:val="1"/>
                <w:color w:val="auto"/>
              </w:rPr>
            </w:pPr>
          </w:p>
        </w:tc>
      </w:tr>
      <w:tr>
        <w:trPr>
          <w:trHeight w:val="191"/>
        </w:trPr>
        <w:tc>
          <w:tcPr>
            <w:tcW w:w="5520" w:type="dxa"/>
            <w:vAlign w:val="bottom"/>
            <w:tcBorders>
              <w:left w:val="single" w:sz="8" w:color="00548B"/>
              <w:right w:val="single" w:sz="8" w:color="999999"/>
            </w:tcBorders>
          </w:tcPr>
          <w:p>
            <w:pPr>
              <w:spacing w:after="0"/>
              <w:rPr>
                <w:sz w:val="16"/>
                <w:szCs w:val="16"/>
                <w:color w:val="auto"/>
              </w:rPr>
            </w:pPr>
          </w:p>
        </w:tc>
        <w:tc>
          <w:tcPr>
            <w:tcW w:w="55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Non-executive Chairman - $235,000</w:t>
            </w:r>
          </w:p>
        </w:tc>
        <w:tc>
          <w:tcPr>
            <w:tcW w:w="0" w:type="dxa"/>
            <w:vAlign w:val="bottom"/>
          </w:tcPr>
          <w:p>
            <w:pPr>
              <w:spacing w:after="0"/>
              <w:rPr>
                <w:sz w:val="1"/>
                <w:szCs w:val="1"/>
                <w:color w:val="auto"/>
              </w:rPr>
            </w:pPr>
          </w:p>
        </w:tc>
      </w:tr>
      <w:tr>
        <w:trPr>
          <w:trHeight w:val="189"/>
        </w:trPr>
        <w:tc>
          <w:tcPr>
            <w:tcW w:w="55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Annual cash retainer</w:t>
            </w:r>
          </w:p>
        </w:tc>
        <w:tc>
          <w:tcPr>
            <w:tcW w:w="55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Vice Chairman - $85,000</w:t>
            </w:r>
          </w:p>
        </w:tc>
        <w:tc>
          <w:tcPr>
            <w:tcW w:w="0" w:type="dxa"/>
            <w:vAlign w:val="bottom"/>
          </w:tcPr>
          <w:p>
            <w:pPr>
              <w:spacing w:after="0"/>
              <w:rPr>
                <w:sz w:val="1"/>
                <w:szCs w:val="1"/>
                <w:color w:val="auto"/>
              </w:rPr>
            </w:pPr>
          </w:p>
        </w:tc>
      </w:tr>
      <w:tr>
        <w:trPr>
          <w:trHeight w:val="198"/>
        </w:trPr>
        <w:tc>
          <w:tcPr>
            <w:tcW w:w="5520" w:type="dxa"/>
            <w:vAlign w:val="bottom"/>
            <w:tcBorders>
              <w:left w:val="single" w:sz="8" w:color="00548B"/>
              <w:bottom w:val="single" w:sz="8" w:color="999999"/>
              <w:right w:val="single" w:sz="8" w:color="999999"/>
            </w:tcBorders>
          </w:tcPr>
          <w:p>
            <w:pPr>
              <w:spacing w:after="0"/>
              <w:rPr>
                <w:sz w:val="17"/>
                <w:szCs w:val="17"/>
                <w:color w:val="auto"/>
              </w:rPr>
            </w:pPr>
          </w:p>
        </w:tc>
        <w:tc>
          <w:tcPr>
            <w:tcW w:w="552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Other non-employee directors - $60,000</w:t>
            </w:r>
          </w:p>
        </w:tc>
        <w:tc>
          <w:tcPr>
            <w:tcW w:w="0" w:type="dxa"/>
            <w:vAlign w:val="bottom"/>
          </w:tcPr>
          <w:p>
            <w:pPr>
              <w:spacing w:after="0"/>
              <w:rPr>
                <w:sz w:val="1"/>
                <w:szCs w:val="1"/>
                <w:color w:val="auto"/>
              </w:rPr>
            </w:pPr>
          </w:p>
        </w:tc>
      </w:tr>
      <w:tr>
        <w:trPr>
          <w:trHeight w:val="186"/>
        </w:trPr>
        <w:tc>
          <w:tcPr>
            <w:tcW w:w="5520" w:type="dxa"/>
            <w:vAlign w:val="bottom"/>
            <w:tcBorders>
              <w:left w:val="single" w:sz="8" w:color="00548B"/>
              <w:bottom w:val="single" w:sz="8" w:color="999999"/>
              <w:right w:val="single" w:sz="8" w:color="999999"/>
            </w:tcBorders>
          </w:tcPr>
          <w:p>
            <w:pPr>
              <w:ind w:left="140"/>
              <w:spacing w:after="0"/>
              <w:rPr>
                <w:sz w:val="20"/>
                <w:szCs w:val="20"/>
                <w:color w:val="auto"/>
              </w:rPr>
            </w:pPr>
            <w:r>
              <w:rPr>
                <w:rFonts w:ascii="Arial" w:cs="Arial" w:eastAsia="Arial" w:hAnsi="Arial"/>
                <w:sz w:val="16"/>
                <w:szCs w:val="16"/>
                <w:color w:val="auto"/>
              </w:rPr>
              <w:t>Annual restricted stock grant</w:t>
            </w:r>
          </w:p>
        </w:tc>
        <w:tc>
          <w:tcPr>
            <w:tcW w:w="552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$170,000 in the form of restricted stock (1)</w:t>
            </w:r>
          </w:p>
        </w:tc>
        <w:tc>
          <w:tcPr>
            <w:tcW w:w="0" w:type="dxa"/>
            <w:vAlign w:val="bottom"/>
          </w:tcPr>
          <w:p>
            <w:pPr>
              <w:spacing w:after="0"/>
              <w:rPr>
                <w:sz w:val="1"/>
                <w:szCs w:val="1"/>
                <w:color w:val="auto"/>
              </w:rPr>
            </w:pPr>
          </w:p>
        </w:tc>
      </w:tr>
      <w:tr>
        <w:trPr>
          <w:trHeight w:val="183"/>
        </w:trPr>
        <w:tc>
          <w:tcPr>
            <w:tcW w:w="5520" w:type="dxa"/>
            <w:vAlign w:val="bottom"/>
            <w:tcBorders>
              <w:left w:val="single" w:sz="8" w:color="00548B"/>
              <w:bottom w:val="single" w:sz="8" w:color="999999"/>
              <w:right w:val="single" w:sz="8" w:color="999999"/>
            </w:tcBorders>
          </w:tcPr>
          <w:p>
            <w:pPr>
              <w:ind w:left="140"/>
              <w:spacing w:after="0" w:line="183" w:lineRule="exact"/>
              <w:rPr>
                <w:sz w:val="20"/>
                <w:szCs w:val="20"/>
                <w:color w:val="auto"/>
              </w:rPr>
            </w:pPr>
            <w:r>
              <w:rPr>
                <w:rFonts w:ascii="Arial" w:cs="Arial" w:eastAsia="Arial" w:hAnsi="Arial"/>
                <w:sz w:val="16"/>
                <w:szCs w:val="16"/>
                <w:color w:val="auto"/>
              </w:rPr>
              <w:t>Initial grant to a new non-employee director</w:t>
            </w:r>
          </w:p>
        </w:tc>
        <w:tc>
          <w:tcPr>
            <w:tcW w:w="5520" w:type="dxa"/>
            <w:vAlign w:val="bottom"/>
            <w:tcBorders>
              <w:bottom w:val="single" w:sz="8" w:color="999999"/>
              <w:right w:val="single" w:sz="8" w:color="00548B"/>
            </w:tcBorders>
          </w:tcPr>
          <w:p>
            <w:pPr>
              <w:ind w:left="200"/>
              <w:spacing w:after="0" w:line="183" w:lineRule="exact"/>
              <w:rPr>
                <w:sz w:val="20"/>
                <w:szCs w:val="20"/>
                <w:color w:val="auto"/>
              </w:rPr>
            </w:pPr>
            <w:r>
              <w:rPr>
                <w:rFonts w:ascii="Arial" w:cs="Arial" w:eastAsia="Arial" w:hAnsi="Arial"/>
                <w:sz w:val="16"/>
                <w:szCs w:val="16"/>
                <w:color w:val="auto"/>
              </w:rPr>
              <w:t>Restricted stock grant equal to $200,000 (2)</w:t>
            </w:r>
          </w:p>
        </w:tc>
        <w:tc>
          <w:tcPr>
            <w:tcW w:w="0" w:type="dxa"/>
            <w:vAlign w:val="bottom"/>
          </w:tcPr>
          <w:p>
            <w:pPr>
              <w:spacing w:after="0"/>
              <w:rPr>
                <w:sz w:val="1"/>
                <w:szCs w:val="1"/>
                <w:color w:val="auto"/>
              </w:rPr>
            </w:pPr>
          </w:p>
        </w:tc>
      </w:tr>
      <w:tr>
        <w:trPr>
          <w:trHeight w:val="184"/>
        </w:trPr>
        <w:tc>
          <w:tcPr>
            <w:tcW w:w="5520" w:type="dxa"/>
            <w:vAlign w:val="bottom"/>
            <w:tcBorders>
              <w:left w:val="single" w:sz="8" w:color="00548B"/>
              <w:right w:val="single" w:sz="8" w:color="999999"/>
            </w:tcBorders>
          </w:tcPr>
          <w:p>
            <w:pPr>
              <w:spacing w:after="0"/>
              <w:rPr>
                <w:sz w:val="16"/>
                <w:szCs w:val="16"/>
                <w:color w:val="auto"/>
              </w:rPr>
            </w:pPr>
          </w:p>
        </w:tc>
        <w:tc>
          <w:tcPr>
            <w:tcW w:w="55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Audit - $15,000</w:t>
            </w:r>
          </w:p>
        </w:tc>
        <w:tc>
          <w:tcPr>
            <w:tcW w:w="0" w:type="dxa"/>
            <w:vAlign w:val="bottom"/>
          </w:tcPr>
          <w:p>
            <w:pPr>
              <w:spacing w:after="0"/>
              <w:rPr>
                <w:sz w:val="1"/>
                <w:szCs w:val="1"/>
                <w:color w:val="auto"/>
              </w:rPr>
            </w:pPr>
          </w:p>
        </w:tc>
      </w:tr>
      <w:tr>
        <w:trPr>
          <w:trHeight w:val="189"/>
        </w:trPr>
        <w:tc>
          <w:tcPr>
            <w:tcW w:w="55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Annual committee chairperson retainer</w:t>
            </w:r>
          </w:p>
        </w:tc>
        <w:tc>
          <w:tcPr>
            <w:tcW w:w="55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Compensation - $15,000</w:t>
            </w:r>
          </w:p>
        </w:tc>
        <w:tc>
          <w:tcPr>
            <w:tcW w:w="0" w:type="dxa"/>
            <w:vAlign w:val="bottom"/>
          </w:tcPr>
          <w:p>
            <w:pPr>
              <w:spacing w:after="0"/>
              <w:rPr>
                <w:sz w:val="1"/>
                <w:szCs w:val="1"/>
                <w:color w:val="auto"/>
              </w:rPr>
            </w:pPr>
          </w:p>
        </w:tc>
      </w:tr>
      <w:tr>
        <w:trPr>
          <w:trHeight w:val="198"/>
        </w:trPr>
        <w:tc>
          <w:tcPr>
            <w:tcW w:w="5520" w:type="dxa"/>
            <w:vAlign w:val="bottom"/>
            <w:tcBorders>
              <w:left w:val="single" w:sz="8" w:color="00548B"/>
              <w:bottom w:val="single" w:sz="8" w:color="999999"/>
              <w:right w:val="single" w:sz="8" w:color="999999"/>
            </w:tcBorders>
          </w:tcPr>
          <w:p>
            <w:pPr>
              <w:spacing w:after="0"/>
              <w:rPr>
                <w:sz w:val="17"/>
                <w:szCs w:val="17"/>
                <w:color w:val="auto"/>
              </w:rPr>
            </w:pPr>
          </w:p>
        </w:tc>
        <w:tc>
          <w:tcPr>
            <w:tcW w:w="552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Nominating and Corporate Governance - $10,000</w:t>
            </w:r>
          </w:p>
        </w:tc>
        <w:tc>
          <w:tcPr>
            <w:tcW w:w="0" w:type="dxa"/>
            <w:vAlign w:val="bottom"/>
          </w:tcPr>
          <w:p>
            <w:pPr>
              <w:spacing w:after="0"/>
              <w:rPr>
                <w:sz w:val="1"/>
                <w:szCs w:val="1"/>
                <w:color w:val="auto"/>
              </w:rPr>
            </w:pPr>
          </w:p>
        </w:tc>
      </w:tr>
      <w:tr>
        <w:trPr>
          <w:trHeight w:val="186"/>
        </w:trPr>
        <w:tc>
          <w:tcPr>
            <w:tcW w:w="5520" w:type="dxa"/>
            <w:vAlign w:val="bottom"/>
            <w:tcBorders>
              <w:left w:val="single" w:sz="8" w:color="00548B"/>
              <w:bottom w:val="single" w:sz="8" w:color="999999"/>
              <w:right w:val="single" w:sz="8" w:color="999999"/>
            </w:tcBorders>
          </w:tcPr>
          <w:p>
            <w:pPr>
              <w:ind w:left="140"/>
              <w:spacing w:after="0"/>
              <w:rPr>
                <w:sz w:val="20"/>
                <w:szCs w:val="20"/>
                <w:color w:val="auto"/>
              </w:rPr>
            </w:pPr>
            <w:r>
              <w:rPr>
                <w:rFonts w:ascii="Arial" w:cs="Arial" w:eastAsia="Arial" w:hAnsi="Arial"/>
                <w:sz w:val="16"/>
                <w:szCs w:val="16"/>
                <w:color w:val="auto"/>
              </w:rPr>
              <w:t>Board and committee meeting fee</w:t>
            </w:r>
          </w:p>
        </w:tc>
        <w:tc>
          <w:tcPr>
            <w:tcW w:w="552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$1,000 per meeting (3) (4)</w:t>
            </w:r>
          </w:p>
        </w:tc>
        <w:tc>
          <w:tcPr>
            <w:tcW w:w="0" w:type="dxa"/>
            <w:vAlign w:val="bottom"/>
          </w:tcPr>
          <w:p>
            <w:pPr>
              <w:spacing w:after="0"/>
              <w:rPr>
                <w:sz w:val="1"/>
                <w:szCs w:val="1"/>
                <w:color w:val="auto"/>
              </w:rPr>
            </w:pPr>
          </w:p>
        </w:tc>
      </w:tr>
      <w:tr>
        <w:trPr>
          <w:trHeight w:val="184"/>
        </w:trPr>
        <w:tc>
          <w:tcPr>
            <w:tcW w:w="5520" w:type="dxa"/>
            <w:vAlign w:val="bottom"/>
            <w:tcBorders>
              <w:left w:val="single" w:sz="8" w:color="00548B"/>
              <w:right w:val="single" w:sz="8" w:color="999999"/>
            </w:tcBorders>
            <w:vMerge w:val="restart"/>
          </w:tcPr>
          <w:p>
            <w:pPr>
              <w:ind w:left="140"/>
              <w:spacing w:after="0"/>
              <w:rPr>
                <w:sz w:val="20"/>
                <w:szCs w:val="20"/>
                <w:color w:val="auto"/>
              </w:rPr>
            </w:pPr>
            <w:r>
              <w:rPr>
                <w:rFonts w:ascii="Arial" w:cs="Arial" w:eastAsia="Arial" w:hAnsi="Arial"/>
                <w:sz w:val="16"/>
                <w:szCs w:val="16"/>
                <w:color w:val="auto"/>
              </w:rPr>
              <w:t>Stock ownership requirement</w:t>
            </w:r>
          </w:p>
        </w:tc>
        <w:tc>
          <w:tcPr>
            <w:tcW w:w="55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Non-employee directors are expected to own Huron stock equal to five</w:t>
            </w:r>
          </w:p>
        </w:tc>
        <w:tc>
          <w:tcPr>
            <w:tcW w:w="0" w:type="dxa"/>
            <w:vAlign w:val="bottom"/>
          </w:tcPr>
          <w:p>
            <w:pPr>
              <w:spacing w:after="0"/>
              <w:rPr>
                <w:sz w:val="1"/>
                <w:szCs w:val="1"/>
                <w:color w:val="auto"/>
              </w:rPr>
            </w:pPr>
          </w:p>
        </w:tc>
      </w:tr>
      <w:tr>
        <w:trPr>
          <w:trHeight w:val="100"/>
        </w:trPr>
        <w:tc>
          <w:tcPr>
            <w:tcW w:w="5520" w:type="dxa"/>
            <w:vAlign w:val="bottom"/>
            <w:tcBorders>
              <w:left w:val="single" w:sz="8" w:color="00548B"/>
              <w:right w:val="single" w:sz="8" w:color="999999"/>
            </w:tcBorders>
            <w:vMerge w:val="continue"/>
          </w:tcPr>
          <w:p>
            <w:pPr>
              <w:spacing w:after="0"/>
              <w:rPr>
                <w:sz w:val="8"/>
                <w:szCs w:val="8"/>
                <w:color w:val="auto"/>
              </w:rPr>
            </w:pPr>
          </w:p>
        </w:tc>
        <w:tc>
          <w:tcPr>
            <w:tcW w:w="5520" w:type="dxa"/>
            <w:vAlign w:val="bottom"/>
            <w:tcBorders>
              <w:right w:val="single" w:sz="8" w:color="00548B"/>
            </w:tcBorders>
            <w:vMerge w:val="restart"/>
          </w:tcPr>
          <w:p>
            <w:pPr>
              <w:ind w:left="200"/>
              <w:spacing w:after="0"/>
              <w:rPr>
                <w:sz w:val="20"/>
                <w:szCs w:val="20"/>
                <w:color w:val="auto"/>
              </w:rPr>
            </w:pPr>
            <w:r>
              <w:rPr>
                <w:rFonts w:ascii="Arial" w:cs="Arial" w:eastAsia="Arial" w:hAnsi="Arial"/>
                <w:sz w:val="16"/>
                <w:szCs w:val="16"/>
                <w:color w:val="auto"/>
              </w:rPr>
              <w:t>times the annual cash retainer. (5)</w:t>
            </w:r>
          </w:p>
        </w:tc>
        <w:tc>
          <w:tcPr>
            <w:tcW w:w="0" w:type="dxa"/>
            <w:vAlign w:val="bottom"/>
          </w:tcPr>
          <w:p>
            <w:pPr>
              <w:spacing w:after="0"/>
              <w:rPr>
                <w:sz w:val="1"/>
                <w:szCs w:val="1"/>
                <w:color w:val="auto"/>
              </w:rPr>
            </w:pPr>
          </w:p>
        </w:tc>
      </w:tr>
      <w:tr>
        <w:trPr>
          <w:trHeight w:val="87"/>
        </w:trPr>
        <w:tc>
          <w:tcPr>
            <w:tcW w:w="5520" w:type="dxa"/>
            <w:vAlign w:val="bottom"/>
            <w:tcBorders>
              <w:left w:val="single" w:sz="8" w:color="00548B"/>
              <w:bottom w:val="single" w:sz="8" w:color="00548B"/>
              <w:right w:val="single" w:sz="8" w:color="999999"/>
            </w:tcBorders>
          </w:tcPr>
          <w:p>
            <w:pPr>
              <w:spacing w:after="0"/>
              <w:rPr>
                <w:sz w:val="7"/>
                <w:szCs w:val="7"/>
                <w:color w:val="auto"/>
              </w:rPr>
            </w:pPr>
          </w:p>
        </w:tc>
        <w:tc>
          <w:tcPr>
            <w:tcW w:w="5520" w:type="dxa"/>
            <w:vAlign w:val="bottom"/>
            <w:tcBorders>
              <w:bottom w:val="single" w:sz="8" w:color="00548B"/>
              <w:right w:val="single" w:sz="8" w:color="00548B"/>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740" w:hanging="536"/>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Granted on the date of the Company’s annual meeting and priced based upon the closing stock price on the date of grant which vests ratably over</w:t>
      </w:r>
    </w:p>
    <w:p>
      <w:pPr>
        <w:spacing w:after="0" w:line="5"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12 quarters. If a new non-employee director joins the board after the Company’s annual meeting, the award is prorated as follows:</w:t>
      </w:r>
    </w:p>
    <w:p>
      <w:pPr>
        <w:spacing w:after="0" w:line="126" w:lineRule="exact"/>
        <w:rPr>
          <w:rFonts w:ascii="Arial" w:cs="Arial" w:eastAsia="Arial" w:hAnsi="Arial"/>
          <w:sz w:val="16"/>
          <w:szCs w:val="16"/>
          <w:color w:val="auto"/>
        </w:rPr>
      </w:pPr>
    </w:p>
    <w:p>
      <w:pPr>
        <w:ind w:left="1280" w:hanging="536"/>
        <w:spacing w:after="0"/>
        <w:tabs>
          <w:tab w:leader="none" w:pos="1280" w:val="left"/>
        </w:tabs>
        <w:numPr>
          <w:ilvl w:val="1"/>
          <w:numId w:val="13"/>
        </w:numPr>
        <w:rPr>
          <w:rFonts w:ascii="Arial" w:cs="Arial" w:eastAsia="Arial" w:hAnsi="Arial"/>
          <w:sz w:val="16"/>
          <w:szCs w:val="16"/>
          <w:color w:val="00548B"/>
        </w:rPr>
      </w:pPr>
      <w:r>
        <w:rPr>
          <w:rFonts w:ascii="Arial" w:cs="Arial" w:eastAsia="Arial" w:hAnsi="Arial"/>
          <w:sz w:val="16"/>
          <w:szCs w:val="16"/>
          <w:color w:val="auto"/>
        </w:rPr>
        <w:t>If the new director joins within six months of the Company’s annual meeting, the director will receive half of the annual grant.</w:t>
      </w:r>
    </w:p>
    <w:p>
      <w:pPr>
        <w:spacing w:after="0" w:line="5" w:lineRule="exact"/>
        <w:rPr>
          <w:rFonts w:ascii="Arial" w:cs="Arial" w:eastAsia="Arial" w:hAnsi="Arial"/>
          <w:sz w:val="16"/>
          <w:szCs w:val="16"/>
          <w:color w:val="00548B"/>
        </w:rPr>
      </w:pPr>
    </w:p>
    <w:p>
      <w:pPr>
        <w:ind w:left="1280" w:hanging="536"/>
        <w:spacing w:after="0"/>
        <w:tabs>
          <w:tab w:leader="none" w:pos="1280" w:val="left"/>
        </w:tabs>
        <w:numPr>
          <w:ilvl w:val="1"/>
          <w:numId w:val="13"/>
        </w:numPr>
        <w:rPr>
          <w:rFonts w:ascii="Arial" w:cs="Arial" w:eastAsia="Arial" w:hAnsi="Arial"/>
          <w:sz w:val="16"/>
          <w:szCs w:val="16"/>
          <w:color w:val="00548B"/>
        </w:rPr>
      </w:pPr>
      <w:r>
        <w:rPr>
          <w:rFonts w:ascii="Arial" w:cs="Arial" w:eastAsia="Arial" w:hAnsi="Arial"/>
          <w:sz w:val="16"/>
          <w:szCs w:val="16"/>
          <w:color w:val="auto"/>
        </w:rPr>
        <w:t>If the new director joins over six months after the Company’s annual meeting, no grant will be made.</w:t>
      </w:r>
    </w:p>
    <w:p>
      <w:pPr>
        <w:spacing w:after="0" w:line="126" w:lineRule="exact"/>
        <w:rPr>
          <w:rFonts w:ascii="Arial" w:cs="Arial" w:eastAsia="Arial" w:hAnsi="Arial"/>
          <w:sz w:val="16"/>
          <w:szCs w:val="16"/>
          <w:color w:val="00548B"/>
        </w:rPr>
      </w:pPr>
    </w:p>
    <w:p>
      <w:pPr>
        <w:ind w:left="740" w:hanging="536"/>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Will vest ratably over 12 quarters.</w:t>
      </w:r>
    </w:p>
    <w:p>
      <w:pPr>
        <w:spacing w:after="0" w:line="126" w:lineRule="exact"/>
        <w:rPr>
          <w:rFonts w:ascii="Arial" w:cs="Arial" w:eastAsia="Arial" w:hAnsi="Arial"/>
          <w:sz w:val="16"/>
          <w:szCs w:val="16"/>
          <w:color w:val="auto"/>
        </w:rPr>
      </w:pPr>
    </w:p>
    <w:p>
      <w:pPr>
        <w:ind w:left="740" w:hanging="536"/>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Chairman of the board does not receive board or committee meeting fees.</w:t>
      </w:r>
    </w:p>
    <w:p>
      <w:pPr>
        <w:spacing w:after="0" w:line="126" w:lineRule="exact"/>
        <w:rPr>
          <w:rFonts w:ascii="Arial" w:cs="Arial" w:eastAsia="Arial" w:hAnsi="Arial"/>
          <w:sz w:val="16"/>
          <w:szCs w:val="16"/>
          <w:color w:val="auto"/>
        </w:rPr>
      </w:pPr>
    </w:p>
    <w:p>
      <w:pPr>
        <w:ind w:left="740" w:hanging="536"/>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directors are reimbursed for out-of-pocket expenses for attending board and committee meetings.</w:t>
      </w:r>
    </w:p>
    <w:p>
      <w:pPr>
        <w:spacing w:after="0" w:line="126" w:lineRule="exact"/>
        <w:rPr>
          <w:rFonts w:ascii="Arial" w:cs="Arial" w:eastAsia="Arial" w:hAnsi="Arial"/>
          <w:sz w:val="16"/>
          <w:szCs w:val="16"/>
          <w:color w:val="auto"/>
        </w:rPr>
      </w:pPr>
    </w:p>
    <w:p>
      <w:pPr>
        <w:ind w:left="740" w:hanging="536"/>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2018 we increased the stock ownership requirement for non-employee directors to five times the annual cash retainer.</w:t>
      </w:r>
    </w:p>
    <w:p>
      <w:pPr>
        <w:spacing w:after="0" w:line="194"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Directors are eligible to participate in our deferred compensation plan, which is described under the caption “EXECUTIVE COMPENSATION—2018 Nonqualified Deferred Compensation.” One director has participated since 2013, and a second director elected to participate beginning in 2015.</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17</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5"/>
          <w:szCs w:val="15"/>
          <w:b w:val="1"/>
          <w:bCs w:val="1"/>
          <w:color w:val="00548B"/>
        </w:rPr>
        <w:t>IRECTOR</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T</w:t>
      </w:r>
      <w:r>
        <w:rPr>
          <w:rFonts w:ascii="Arial" w:cs="Arial" w:eastAsia="Arial" w:hAnsi="Arial"/>
          <w:sz w:val="15"/>
          <w:szCs w:val="15"/>
          <w:b w:val="1"/>
          <w:bCs w:val="1"/>
          <w:color w:val="00548B"/>
        </w:rPr>
        <w:t>ABLE</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fees paid and the aggregate grant date fair value of shares granted to each of the non-employee directors in 2018.</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Directors who are also officers or employees of the Company receive no compensation for duties performed as a director.</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shd w:val="clear" w:color="auto" w:fill="00548B"/>
          </w:tcPr>
          <w:p>
            <w:pPr>
              <w:spacing w:after="0"/>
              <w:rPr>
                <w:sz w:val="14"/>
                <w:szCs w:val="14"/>
                <w:color w:val="auto"/>
              </w:rPr>
            </w:pPr>
          </w:p>
        </w:tc>
        <w:tc>
          <w:tcPr>
            <w:tcW w:w="1240" w:type="dxa"/>
            <w:vAlign w:val="bottom"/>
            <w:shd w:val="clear" w:color="auto" w:fill="00548B"/>
          </w:tcPr>
          <w:p>
            <w:pPr>
              <w:spacing w:after="0"/>
              <w:rPr>
                <w:sz w:val="14"/>
                <w:szCs w:val="14"/>
                <w:color w:val="auto"/>
              </w:rPr>
            </w:pPr>
          </w:p>
        </w:tc>
        <w:tc>
          <w:tcPr>
            <w:tcW w:w="1020" w:type="dxa"/>
            <w:vAlign w:val="bottom"/>
            <w:shd w:val="clear" w:color="auto" w:fill="00548B"/>
          </w:tcPr>
          <w:p>
            <w:pPr>
              <w:spacing w:after="0"/>
              <w:rPr>
                <w:sz w:val="14"/>
                <w:szCs w:val="14"/>
                <w:color w:val="auto"/>
              </w:rPr>
            </w:pPr>
          </w:p>
        </w:tc>
        <w:tc>
          <w:tcPr>
            <w:tcW w:w="14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Change in Pension</w:t>
            </w:r>
          </w:p>
        </w:tc>
        <w:tc>
          <w:tcPr>
            <w:tcW w:w="740" w:type="dxa"/>
            <w:vAlign w:val="bottom"/>
            <w:shd w:val="clear" w:color="auto" w:fill="00548B"/>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00548B"/>
          </w:tcPr>
          <w:p>
            <w:pPr>
              <w:spacing w:after="0"/>
              <w:rPr>
                <w:sz w:val="14"/>
                <w:szCs w:val="14"/>
                <w:color w:val="auto"/>
              </w:rPr>
            </w:pPr>
          </w:p>
        </w:tc>
        <w:tc>
          <w:tcPr>
            <w:tcW w:w="1240" w:type="dxa"/>
            <w:vAlign w:val="bottom"/>
            <w:shd w:val="clear" w:color="auto" w:fill="00548B"/>
          </w:tcPr>
          <w:p>
            <w:pPr>
              <w:spacing w:after="0"/>
              <w:rPr>
                <w:sz w:val="14"/>
                <w:szCs w:val="14"/>
                <w:color w:val="auto"/>
              </w:rPr>
            </w:pPr>
          </w:p>
        </w:tc>
        <w:tc>
          <w:tcPr>
            <w:tcW w:w="1020" w:type="dxa"/>
            <w:vAlign w:val="bottom"/>
            <w:shd w:val="clear" w:color="auto" w:fill="00548B"/>
          </w:tcPr>
          <w:p>
            <w:pPr>
              <w:spacing w:after="0"/>
              <w:rPr>
                <w:sz w:val="14"/>
                <w:szCs w:val="14"/>
                <w:color w:val="auto"/>
              </w:rPr>
            </w:pPr>
          </w:p>
        </w:tc>
        <w:tc>
          <w:tcPr>
            <w:tcW w:w="14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Value and</w:t>
            </w:r>
          </w:p>
        </w:tc>
        <w:tc>
          <w:tcPr>
            <w:tcW w:w="740" w:type="dxa"/>
            <w:vAlign w:val="bottom"/>
            <w:shd w:val="clear" w:color="auto" w:fill="00548B"/>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00548B"/>
          </w:tcPr>
          <w:p>
            <w:pPr>
              <w:spacing w:after="0"/>
              <w:rPr>
                <w:sz w:val="14"/>
                <w:szCs w:val="14"/>
                <w:color w:val="auto"/>
              </w:rPr>
            </w:pPr>
          </w:p>
        </w:tc>
        <w:tc>
          <w:tcPr>
            <w:tcW w:w="1240" w:type="dxa"/>
            <w:vAlign w:val="bottom"/>
            <w:shd w:val="clear" w:color="auto" w:fill="00548B"/>
          </w:tcPr>
          <w:p>
            <w:pPr>
              <w:spacing w:after="0"/>
              <w:rPr>
                <w:sz w:val="14"/>
                <w:szCs w:val="14"/>
                <w:color w:val="auto"/>
              </w:rPr>
            </w:pPr>
          </w:p>
        </w:tc>
        <w:tc>
          <w:tcPr>
            <w:tcW w:w="1020" w:type="dxa"/>
            <w:vAlign w:val="bottom"/>
            <w:shd w:val="clear" w:color="auto" w:fill="00548B"/>
          </w:tcPr>
          <w:p>
            <w:pPr>
              <w:spacing w:after="0"/>
              <w:rPr>
                <w:sz w:val="14"/>
                <w:szCs w:val="14"/>
                <w:color w:val="auto"/>
              </w:rPr>
            </w:pPr>
          </w:p>
        </w:tc>
        <w:tc>
          <w:tcPr>
            <w:tcW w:w="14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Nonqualified</w:t>
            </w:r>
          </w:p>
        </w:tc>
        <w:tc>
          <w:tcPr>
            <w:tcW w:w="740" w:type="dxa"/>
            <w:vAlign w:val="bottom"/>
            <w:shd w:val="clear" w:color="auto" w:fill="00548B"/>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00548B"/>
          </w:tcPr>
          <w:p>
            <w:pPr>
              <w:spacing w:after="0"/>
              <w:rPr>
                <w:sz w:val="14"/>
                <w:szCs w:val="14"/>
                <w:color w:val="auto"/>
              </w:rPr>
            </w:pPr>
          </w:p>
        </w:tc>
        <w:tc>
          <w:tcPr>
            <w:tcW w:w="1240" w:type="dxa"/>
            <w:vAlign w:val="bottom"/>
            <w:shd w:val="clear" w:color="auto" w:fill="00548B"/>
          </w:tcPr>
          <w:p>
            <w:pPr>
              <w:jc w:val="right"/>
              <w:ind w:right="1"/>
              <w:spacing w:after="0"/>
              <w:rPr>
                <w:sz w:val="20"/>
                <w:szCs w:val="20"/>
                <w:color w:val="auto"/>
              </w:rPr>
            </w:pPr>
            <w:r>
              <w:rPr>
                <w:rFonts w:ascii="Arial" w:cs="Arial" w:eastAsia="Arial" w:hAnsi="Arial"/>
                <w:sz w:val="14"/>
                <w:szCs w:val="14"/>
                <w:b w:val="1"/>
                <w:bCs w:val="1"/>
                <w:color w:val="D8D8D8"/>
              </w:rPr>
              <w:t>Fees Earned or</w:t>
            </w:r>
          </w:p>
        </w:tc>
        <w:tc>
          <w:tcPr>
            <w:tcW w:w="1020" w:type="dxa"/>
            <w:vAlign w:val="bottom"/>
            <w:shd w:val="clear" w:color="auto" w:fill="00548B"/>
          </w:tcPr>
          <w:p>
            <w:pPr>
              <w:jc w:val="right"/>
              <w:ind w:right="241"/>
              <w:spacing w:after="0"/>
              <w:rPr>
                <w:sz w:val="20"/>
                <w:szCs w:val="20"/>
                <w:color w:val="auto"/>
              </w:rPr>
            </w:pPr>
            <w:r>
              <w:rPr>
                <w:rFonts w:ascii="Arial" w:cs="Arial" w:eastAsia="Arial" w:hAnsi="Arial"/>
                <w:sz w:val="14"/>
                <w:szCs w:val="14"/>
                <w:b w:val="1"/>
                <w:bCs w:val="1"/>
                <w:color w:val="D8D8D8"/>
              </w:rPr>
              <w:t>Stock</w:t>
            </w:r>
          </w:p>
        </w:tc>
        <w:tc>
          <w:tcPr>
            <w:tcW w:w="14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Compensation</w:t>
            </w:r>
          </w:p>
        </w:tc>
        <w:tc>
          <w:tcPr>
            <w:tcW w:w="740" w:type="dxa"/>
            <w:vAlign w:val="bottom"/>
            <w:shd w:val="clear" w:color="auto" w:fill="00548B"/>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65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1240" w:type="dxa"/>
            <w:vAlign w:val="bottom"/>
            <w:shd w:val="clear" w:color="auto" w:fill="00548B"/>
          </w:tcPr>
          <w:p>
            <w:pPr>
              <w:jc w:val="right"/>
              <w:spacing w:after="0"/>
              <w:rPr>
                <w:sz w:val="20"/>
                <w:szCs w:val="20"/>
                <w:color w:val="auto"/>
              </w:rPr>
            </w:pPr>
            <w:r>
              <w:rPr>
                <w:rFonts w:ascii="Arial" w:cs="Arial" w:eastAsia="Arial" w:hAnsi="Arial"/>
                <w:sz w:val="14"/>
                <w:szCs w:val="14"/>
                <w:b w:val="1"/>
                <w:bCs w:val="1"/>
                <w:color w:val="D8D8D8"/>
              </w:rPr>
              <w:t>Paid in Cash ($)</w:t>
            </w:r>
          </w:p>
        </w:tc>
        <w:tc>
          <w:tcPr>
            <w:tcW w:w="1020" w:type="dxa"/>
            <w:vAlign w:val="bottom"/>
            <w:shd w:val="clear" w:color="auto" w:fill="00548B"/>
          </w:tcPr>
          <w:p>
            <w:pPr>
              <w:jc w:val="right"/>
              <w:spacing w:after="0"/>
              <w:rPr>
                <w:sz w:val="20"/>
                <w:szCs w:val="20"/>
                <w:color w:val="auto"/>
              </w:rPr>
            </w:pPr>
            <w:r>
              <w:rPr>
                <w:rFonts w:ascii="Arial" w:cs="Arial" w:eastAsia="Arial" w:hAnsi="Arial"/>
                <w:sz w:val="14"/>
                <w:szCs w:val="14"/>
                <w:b w:val="1"/>
                <w:bCs w:val="1"/>
                <w:color w:val="D8D8D8"/>
              </w:rPr>
              <w:t>Awards ($)(1)</w:t>
            </w:r>
          </w:p>
        </w:tc>
        <w:tc>
          <w:tcPr>
            <w:tcW w:w="14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Earnings ($)(2)</w:t>
            </w:r>
          </w:p>
        </w:tc>
        <w:tc>
          <w:tcPr>
            <w:tcW w:w="740" w:type="dxa"/>
            <w:vAlign w:val="bottom"/>
            <w:shd w:val="clear" w:color="auto" w:fill="00548B"/>
          </w:tcPr>
          <w:p>
            <w:pPr>
              <w:jc w:val="right"/>
              <w:ind w:right="20"/>
              <w:spacing w:after="0"/>
              <w:rPr>
                <w:sz w:val="20"/>
                <w:szCs w:val="20"/>
                <w:color w:val="auto"/>
              </w:rPr>
            </w:pPr>
            <w:r>
              <w:rPr>
                <w:rFonts w:ascii="Arial" w:cs="Arial" w:eastAsia="Arial" w:hAnsi="Arial"/>
                <w:sz w:val="14"/>
                <w:szCs w:val="14"/>
                <w:b w:val="1"/>
                <w:bCs w:val="1"/>
                <w:color w:val="D8D8D8"/>
              </w:rPr>
              <w:t>Total ($)</w:t>
            </w:r>
          </w:p>
        </w:tc>
      </w:tr>
      <w:tr>
        <w:trPr>
          <w:trHeight w:val="189"/>
        </w:trPr>
        <w:tc>
          <w:tcPr>
            <w:tcW w:w="660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color w:val="auto"/>
              </w:rPr>
              <w:t>James D. Edwards (3)</w:t>
            </w:r>
          </w:p>
        </w:tc>
        <w:tc>
          <w:tcPr>
            <w:tcW w:w="1240" w:type="dxa"/>
            <w:vAlign w:val="bottom"/>
            <w:tcBorders>
              <w:bottom w:val="single" w:sz="8" w:color="999999"/>
            </w:tcBorders>
          </w:tcPr>
          <w:p>
            <w:pPr>
              <w:jc w:val="right"/>
              <w:ind w:right="1"/>
              <w:spacing w:after="0"/>
              <w:rPr>
                <w:sz w:val="20"/>
                <w:szCs w:val="20"/>
                <w:color w:val="auto"/>
              </w:rPr>
            </w:pPr>
            <w:r>
              <w:rPr>
                <w:rFonts w:ascii="Arial" w:cs="Arial" w:eastAsia="Arial" w:hAnsi="Arial"/>
                <w:sz w:val="16"/>
                <w:szCs w:val="16"/>
                <w:color w:val="auto"/>
              </w:rPr>
              <w:t>84,000</w:t>
            </w:r>
          </w:p>
        </w:tc>
        <w:tc>
          <w:tcPr>
            <w:tcW w:w="10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169,986</w:t>
            </w:r>
          </w:p>
        </w:tc>
        <w:tc>
          <w:tcPr>
            <w:tcW w:w="1440" w:type="dxa"/>
            <w:vAlign w:val="bottom"/>
            <w:tcBorders>
              <w:bottom w:val="single" w:sz="8" w:color="999999"/>
            </w:tcBorders>
          </w:tcPr>
          <w:p>
            <w:pPr>
              <w:jc w:val="right"/>
              <w:ind w:right="48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253,986</w:t>
            </w:r>
          </w:p>
        </w:tc>
      </w:tr>
      <w:tr>
        <w:trPr>
          <w:trHeight w:val="183"/>
        </w:trPr>
        <w:tc>
          <w:tcPr>
            <w:tcW w:w="660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H. Eugene Lockhart (3)</w:t>
            </w:r>
          </w:p>
        </w:tc>
        <w:tc>
          <w:tcPr>
            <w:tcW w:w="1240" w:type="dxa"/>
            <w:vAlign w:val="bottom"/>
            <w:tcBorders>
              <w:bottom w:val="single" w:sz="8" w:color="999999"/>
            </w:tcBorders>
          </w:tcPr>
          <w:p>
            <w:pPr>
              <w:jc w:val="right"/>
              <w:ind w:right="1"/>
              <w:spacing w:after="0" w:line="183" w:lineRule="exact"/>
              <w:rPr>
                <w:sz w:val="20"/>
                <w:szCs w:val="20"/>
                <w:color w:val="auto"/>
              </w:rPr>
            </w:pPr>
            <w:r>
              <w:rPr>
                <w:rFonts w:ascii="Arial" w:cs="Arial" w:eastAsia="Arial" w:hAnsi="Arial"/>
                <w:sz w:val="16"/>
                <w:szCs w:val="16"/>
                <w:color w:val="auto"/>
              </w:rPr>
              <w:t>100,000</w:t>
            </w:r>
          </w:p>
        </w:tc>
        <w:tc>
          <w:tcPr>
            <w:tcW w:w="102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169,986</w:t>
            </w:r>
          </w:p>
        </w:tc>
        <w:tc>
          <w:tcPr>
            <w:tcW w:w="1440" w:type="dxa"/>
            <w:vAlign w:val="bottom"/>
            <w:tcBorders>
              <w:bottom w:val="single" w:sz="8" w:color="999999"/>
            </w:tcBorders>
          </w:tcPr>
          <w:p>
            <w:pPr>
              <w:jc w:val="right"/>
              <w:ind w:right="483"/>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269,986</w:t>
            </w:r>
          </w:p>
        </w:tc>
      </w:tr>
      <w:tr>
        <w:trPr>
          <w:trHeight w:val="183"/>
        </w:trPr>
        <w:tc>
          <w:tcPr>
            <w:tcW w:w="660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George E. Massaro (3)</w:t>
            </w:r>
          </w:p>
        </w:tc>
        <w:tc>
          <w:tcPr>
            <w:tcW w:w="1240" w:type="dxa"/>
            <w:vAlign w:val="bottom"/>
            <w:tcBorders>
              <w:bottom w:val="single" w:sz="8" w:color="999999"/>
            </w:tcBorders>
          </w:tcPr>
          <w:p>
            <w:pPr>
              <w:jc w:val="right"/>
              <w:ind w:right="1"/>
              <w:spacing w:after="0" w:line="183" w:lineRule="exact"/>
              <w:rPr>
                <w:sz w:val="20"/>
                <w:szCs w:val="20"/>
                <w:color w:val="auto"/>
              </w:rPr>
            </w:pPr>
            <w:r>
              <w:rPr>
                <w:rFonts w:ascii="Arial" w:cs="Arial" w:eastAsia="Arial" w:hAnsi="Arial"/>
                <w:sz w:val="16"/>
                <w:szCs w:val="16"/>
                <w:color w:val="auto"/>
              </w:rPr>
              <w:t>99,000</w:t>
            </w:r>
          </w:p>
        </w:tc>
        <w:tc>
          <w:tcPr>
            <w:tcW w:w="102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169,986</w:t>
            </w:r>
          </w:p>
        </w:tc>
        <w:tc>
          <w:tcPr>
            <w:tcW w:w="1440" w:type="dxa"/>
            <w:vAlign w:val="bottom"/>
            <w:tcBorders>
              <w:bottom w:val="single" w:sz="8" w:color="999999"/>
            </w:tcBorders>
          </w:tcPr>
          <w:p>
            <w:pPr>
              <w:jc w:val="right"/>
              <w:ind w:right="483"/>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268,986</w:t>
            </w:r>
          </w:p>
        </w:tc>
      </w:tr>
      <w:tr>
        <w:trPr>
          <w:trHeight w:val="183"/>
        </w:trPr>
        <w:tc>
          <w:tcPr>
            <w:tcW w:w="660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John McCartney (3)(4)</w:t>
            </w:r>
          </w:p>
        </w:tc>
        <w:tc>
          <w:tcPr>
            <w:tcW w:w="1240" w:type="dxa"/>
            <w:vAlign w:val="bottom"/>
            <w:tcBorders>
              <w:bottom w:val="single" w:sz="8" w:color="999999"/>
            </w:tcBorders>
          </w:tcPr>
          <w:p>
            <w:pPr>
              <w:jc w:val="right"/>
              <w:ind w:right="1"/>
              <w:spacing w:after="0" w:line="183" w:lineRule="exact"/>
              <w:rPr>
                <w:sz w:val="20"/>
                <w:szCs w:val="20"/>
                <w:color w:val="auto"/>
              </w:rPr>
            </w:pPr>
            <w:r>
              <w:rPr>
                <w:rFonts w:ascii="Arial" w:cs="Arial" w:eastAsia="Arial" w:hAnsi="Arial"/>
                <w:sz w:val="16"/>
                <w:szCs w:val="16"/>
                <w:color w:val="auto"/>
              </w:rPr>
              <w:t>235,000</w:t>
            </w:r>
          </w:p>
        </w:tc>
        <w:tc>
          <w:tcPr>
            <w:tcW w:w="102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169,986</w:t>
            </w:r>
          </w:p>
        </w:tc>
        <w:tc>
          <w:tcPr>
            <w:tcW w:w="1440" w:type="dxa"/>
            <w:vAlign w:val="bottom"/>
            <w:tcBorders>
              <w:bottom w:val="single" w:sz="8" w:color="999999"/>
            </w:tcBorders>
          </w:tcPr>
          <w:p>
            <w:pPr>
              <w:jc w:val="right"/>
              <w:ind w:right="483"/>
              <w:spacing w:after="0" w:line="183" w:lineRule="exact"/>
              <w:rPr>
                <w:sz w:val="20"/>
                <w:szCs w:val="20"/>
                <w:color w:val="auto"/>
              </w:rPr>
            </w:pPr>
            <w:r>
              <w:rPr>
                <w:rFonts w:ascii="Arial" w:cs="Arial" w:eastAsia="Arial" w:hAnsi="Arial"/>
                <w:sz w:val="16"/>
                <w:szCs w:val="16"/>
                <w:color w:val="auto"/>
              </w:rPr>
              <w:t>0</w:t>
            </w:r>
          </w:p>
        </w:tc>
        <w:tc>
          <w:tcPr>
            <w:tcW w:w="7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404,986</w:t>
            </w:r>
          </w:p>
        </w:tc>
      </w:tr>
      <w:tr>
        <w:trPr>
          <w:trHeight w:val="183"/>
        </w:trPr>
        <w:tc>
          <w:tcPr>
            <w:tcW w:w="660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John S. Moody (3)</w:t>
            </w:r>
          </w:p>
        </w:tc>
        <w:tc>
          <w:tcPr>
            <w:tcW w:w="1240" w:type="dxa"/>
            <w:vAlign w:val="bottom"/>
            <w:tcBorders>
              <w:bottom w:val="single" w:sz="8" w:color="999999"/>
            </w:tcBorders>
          </w:tcPr>
          <w:p>
            <w:pPr>
              <w:jc w:val="right"/>
              <w:ind w:right="1"/>
              <w:spacing w:after="0" w:line="183" w:lineRule="exact"/>
              <w:rPr>
                <w:sz w:val="20"/>
                <w:szCs w:val="20"/>
                <w:color w:val="auto"/>
              </w:rPr>
            </w:pPr>
            <w:r>
              <w:rPr>
                <w:rFonts w:ascii="Arial" w:cs="Arial" w:eastAsia="Arial" w:hAnsi="Arial"/>
                <w:sz w:val="16"/>
                <w:szCs w:val="16"/>
                <w:color w:val="auto"/>
              </w:rPr>
              <w:t>85,000</w:t>
            </w:r>
          </w:p>
        </w:tc>
        <w:tc>
          <w:tcPr>
            <w:tcW w:w="102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169,986</w:t>
            </w:r>
          </w:p>
        </w:tc>
        <w:tc>
          <w:tcPr>
            <w:tcW w:w="1440" w:type="dxa"/>
            <w:vAlign w:val="bottom"/>
            <w:tcBorders>
              <w:bottom w:val="single" w:sz="8" w:color="999999"/>
            </w:tcBorders>
          </w:tcPr>
          <w:p>
            <w:pPr>
              <w:jc w:val="right"/>
              <w:ind w:right="483"/>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254,986</w:t>
            </w:r>
          </w:p>
        </w:tc>
      </w:tr>
      <w:tr>
        <w:trPr>
          <w:trHeight w:val="183"/>
        </w:trPr>
        <w:tc>
          <w:tcPr>
            <w:tcW w:w="660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Hugh E. Sawyer (5)</w:t>
            </w:r>
          </w:p>
        </w:tc>
        <w:tc>
          <w:tcPr>
            <w:tcW w:w="1240" w:type="dxa"/>
            <w:vAlign w:val="bottom"/>
            <w:tcBorders>
              <w:bottom w:val="single" w:sz="8" w:color="999999"/>
            </w:tcBorders>
          </w:tcPr>
          <w:p>
            <w:pPr>
              <w:jc w:val="right"/>
              <w:ind w:right="1"/>
              <w:spacing w:after="0" w:line="183" w:lineRule="exact"/>
              <w:rPr>
                <w:sz w:val="20"/>
                <w:szCs w:val="20"/>
                <w:color w:val="auto"/>
              </w:rPr>
            </w:pPr>
            <w:r>
              <w:rPr>
                <w:rFonts w:ascii="Arial" w:cs="Arial" w:eastAsia="Arial" w:hAnsi="Arial"/>
                <w:sz w:val="16"/>
                <w:szCs w:val="16"/>
                <w:color w:val="auto"/>
              </w:rPr>
              <w:t>60,667</w:t>
            </w:r>
          </w:p>
        </w:tc>
        <w:tc>
          <w:tcPr>
            <w:tcW w:w="102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369,995</w:t>
            </w:r>
          </w:p>
        </w:tc>
        <w:tc>
          <w:tcPr>
            <w:tcW w:w="1440" w:type="dxa"/>
            <w:vAlign w:val="bottom"/>
            <w:tcBorders>
              <w:bottom w:val="single" w:sz="8" w:color="999999"/>
            </w:tcBorders>
          </w:tcPr>
          <w:p>
            <w:pPr>
              <w:jc w:val="right"/>
              <w:ind w:right="483"/>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430,662</w:t>
            </w:r>
          </w:p>
        </w:tc>
      </w:tr>
      <w:tr>
        <w:trPr>
          <w:trHeight w:val="183"/>
        </w:trPr>
        <w:tc>
          <w:tcPr>
            <w:tcW w:w="6600" w:type="dxa"/>
            <w:vAlign w:val="bottom"/>
            <w:tcBorders>
              <w:bottom w:val="single" w:sz="8" w:color="00548B"/>
            </w:tcBorders>
            <w:gridSpan w:val="2"/>
          </w:tcPr>
          <w:p>
            <w:pPr>
              <w:spacing w:after="0" w:line="183" w:lineRule="exact"/>
              <w:rPr>
                <w:sz w:val="20"/>
                <w:szCs w:val="20"/>
                <w:color w:val="auto"/>
              </w:rPr>
            </w:pPr>
            <w:r>
              <w:rPr>
                <w:rFonts w:ascii="Arial" w:cs="Arial" w:eastAsia="Arial" w:hAnsi="Arial"/>
                <w:sz w:val="16"/>
                <w:szCs w:val="16"/>
                <w:color w:val="auto"/>
              </w:rPr>
              <w:t>Debra Zumwalt (3)</w:t>
            </w:r>
          </w:p>
        </w:tc>
        <w:tc>
          <w:tcPr>
            <w:tcW w:w="1240" w:type="dxa"/>
            <w:vAlign w:val="bottom"/>
            <w:tcBorders>
              <w:bottom w:val="single" w:sz="8" w:color="00548B"/>
            </w:tcBorders>
          </w:tcPr>
          <w:p>
            <w:pPr>
              <w:jc w:val="right"/>
              <w:ind w:right="1"/>
              <w:spacing w:after="0" w:line="183" w:lineRule="exact"/>
              <w:rPr>
                <w:sz w:val="20"/>
                <w:szCs w:val="20"/>
                <w:color w:val="auto"/>
              </w:rPr>
            </w:pPr>
            <w:r>
              <w:rPr>
                <w:rFonts w:ascii="Arial" w:cs="Arial" w:eastAsia="Arial" w:hAnsi="Arial"/>
                <w:sz w:val="16"/>
                <w:szCs w:val="16"/>
                <w:color w:val="auto"/>
              </w:rPr>
              <w:t>96,000</w:t>
            </w:r>
          </w:p>
        </w:tc>
        <w:tc>
          <w:tcPr>
            <w:tcW w:w="1020" w:type="dxa"/>
            <w:vAlign w:val="bottom"/>
            <w:tcBorders>
              <w:bottom w:val="single" w:sz="8" w:color="00548B"/>
            </w:tcBorders>
          </w:tcPr>
          <w:p>
            <w:pPr>
              <w:jc w:val="right"/>
              <w:spacing w:after="0" w:line="183" w:lineRule="exact"/>
              <w:rPr>
                <w:sz w:val="20"/>
                <w:szCs w:val="20"/>
                <w:color w:val="auto"/>
              </w:rPr>
            </w:pPr>
            <w:r>
              <w:rPr>
                <w:rFonts w:ascii="Arial" w:cs="Arial" w:eastAsia="Arial" w:hAnsi="Arial"/>
                <w:sz w:val="16"/>
                <w:szCs w:val="16"/>
                <w:color w:val="auto"/>
              </w:rPr>
              <w:t>169,986</w:t>
            </w:r>
          </w:p>
        </w:tc>
        <w:tc>
          <w:tcPr>
            <w:tcW w:w="1440" w:type="dxa"/>
            <w:vAlign w:val="bottom"/>
            <w:tcBorders>
              <w:bottom w:val="single" w:sz="8" w:color="00548B"/>
            </w:tcBorders>
          </w:tcPr>
          <w:p>
            <w:pPr>
              <w:jc w:val="right"/>
              <w:ind w:right="483"/>
              <w:spacing w:after="0" w:line="183" w:lineRule="exact"/>
              <w:rPr>
                <w:sz w:val="20"/>
                <w:szCs w:val="20"/>
                <w:color w:val="auto"/>
              </w:rPr>
            </w:pPr>
            <w:r>
              <w:rPr>
                <w:rFonts w:ascii="Arial" w:cs="Arial" w:eastAsia="Arial" w:hAnsi="Arial"/>
                <w:sz w:val="16"/>
                <w:szCs w:val="16"/>
                <w:color w:val="auto"/>
              </w:rPr>
              <w:t>0</w:t>
            </w:r>
          </w:p>
        </w:tc>
        <w:tc>
          <w:tcPr>
            <w:tcW w:w="740" w:type="dxa"/>
            <w:vAlign w:val="bottom"/>
            <w:tcBorders>
              <w:bottom w:val="single" w:sz="8" w:color="00548B"/>
            </w:tcBorders>
          </w:tcPr>
          <w:p>
            <w:pPr>
              <w:jc w:val="right"/>
              <w:spacing w:after="0" w:line="183" w:lineRule="exact"/>
              <w:rPr>
                <w:sz w:val="20"/>
                <w:szCs w:val="20"/>
                <w:color w:val="auto"/>
              </w:rPr>
            </w:pPr>
            <w:r>
              <w:rPr>
                <w:rFonts w:ascii="Arial" w:cs="Arial" w:eastAsia="Arial" w:hAnsi="Arial"/>
                <w:sz w:val="16"/>
                <w:szCs w:val="16"/>
                <w:color w:val="auto"/>
              </w:rPr>
              <w:t>265,986</w:t>
            </w:r>
          </w:p>
        </w:tc>
      </w:tr>
    </w:tbl>
    <w:p>
      <w:pPr>
        <w:spacing w:after="0" w:line="218" w:lineRule="exact"/>
        <w:rPr>
          <w:sz w:val="20"/>
          <w:szCs w:val="20"/>
          <w:color w:val="auto"/>
        </w:rPr>
      </w:pPr>
    </w:p>
    <w:p>
      <w:pPr>
        <w:ind w:left="740" w:right="20" w:hanging="536"/>
        <w:spacing w:after="0" w:line="246"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shares granted to our directors in 2018. Grant date fair value is based on the closing price of Huron stock on the day of grant. Each of these grants vests ratably over the 12 calendar quarters following the grant.</w:t>
      </w:r>
    </w:p>
    <w:p>
      <w:pPr>
        <w:jc w:val="both"/>
        <w:ind w:left="740" w:right="20" w:hanging="536"/>
        <w:spacing w:after="0" w:line="246"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in this column represents investment gains in the deferred compensation plan. Huron does not offer a pension plan. The amount shown above represents that portion of the account earnings that exceeded the SEC benchmark “market” rate equal to 120% of the long-term applicable federal rate (based on the average rate for 2018 of 3.58%). For 2018, the actual earnings (losses) for Mr. McCartney and Ms. Zumwalt were ($52,133) and ($29,350), respectively.</w:t>
      </w:r>
    </w:p>
    <w:p>
      <w:pPr>
        <w:spacing w:after="0" w:line="1" w:lineRule="exact"/>
        <w:rPr>
          <w:rFonts w:ascii="Arial" w:cs="Arial" w:eastAsia="Arial" w:hAnsi="Arial"/>
          <w:sz w:val="16"/>
          <w:szCs w:val="16"/>
          <w:color w:val="auto"/>
        </w:rPr>
      </w:pPr>
    </w:p>
    <w:p>
      <w:pPr>
        <w:ind w:left="740" w:right="20" w:hanging="536"/>
        <w:spacing w:after="0" w:line="246"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December 31, 2018, each of Messrs. Edwards, Lockhart, Massaro, McCartney, Moody and Ms. Zumwalt held 6,513 shares of restricted common stock.</w:t>
      </w:r>
    </w:p>
    <w:p>
      <w:pPr>
        <w:ind w:left="740" w:right="20" w:hanging="536"/>
        <w:spacing w:after="0" w:line="246"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McCartney has access to office space at the Company’s principal business offices in Chicago. The Company does not incur any incremental costs in connection with the provision of this office space.</w:t>
      </w:r>
    </w:p>
    <w:p>
      <w:pPr>
        <w:jc w:val="both"/>
        <w:ind w:left="740" w:right="20" w:hanging="536"/>
        <w:spacing w:after="0" w:line="253"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Hugh E. Sawyer was appointed to the board in February 2018. The amount reported in the stock awards column for Mr. Sawyer includes the aggregate grant date fair value of the new director restricted stock award granted to Mr. Sawyer upon his appointment to the board. At December 31, 2018, Mr. Sawyer held 8,357 shares of restricted common stock.</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5"/>
          <w:szCs w:val="15"/>
          <w:b w:val="1"/>
          <w:bCs w:val="1"/>
          <w:color w:val="00548B"/>
        </w:rPr>
        <w:t>ECTION</w:t>
      </w:r>
      <w:r>
        <w:rPr>
          <w:rFonts w:ascii="Arial" w:cs="Arial" w:eastAsia="Arial" w:hAnsi="Arial"/>
          <w:sz w:val="18"/>
          <w:szCs w:val="18"/>
          <w:b w:val="1"/>
          <w:bCs w:val="1"/>
          <w:color w:val="00548B"/>
        </w:rPr>
        <w:t xml:space="preserve"> 16(a) B</w:t>
      </w:r>
      <w:r>
        <w:rPr>
          <w:rFonts w:ascii="Arial" w:cs="Arial" w:eastAsia="Arial" w:hAnsi="Arial"/>
          <w:sz w:val="15"/>
          <w:szCs w:val="15"/>
          <w:b w:val="1"/>
          <w:bCs w:val="1"/>
          <w:color w:val="00548B"/>
        </w:rPr>
        <w:t>ENEFICIAL</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WNERSHIP</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EPORTING</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OMPLIANCE</w:t>
      </w:r>
    </w:p>
    <w:p>
      <w:pPr>
        <w:spacing w:after="0" w:line="20"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Pursuant to Section 16(a) of the 1934 Act, the Company’s directors, executive officers and persons who beneficially own 10% or more of our common stock (the “Section 16 Reporting Persons”) are required to report their initial ownership of common stock and subsequent changes in that ownership to the SEC. Section 16 Reporting Persons are required to furnish the Company with copies of all Section 16(a) forms that they file. Based upon our review of forms filed by the Section 16 Reporting Persons pursuant to the 1934 Act, we have not identified any late filings in 2018.</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5"/>
          <w:szCs w:val="15"/>
          <w:b w:val="1"/>
          <w:bCs w:val="1"/>
          <w:color w:val="00548B"/>
        </w:rPr>
        <w:t>TOCK</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WNERSHIP OF</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ERTAIN</w:t>
      </w:r>
      <w:r>
        <w:rPr>
          <w:rFonts w:ascii="Arial" w:cs="Arial" w:eastAsia="Arial" w:hAnsi="Arial"/>
          <w:sz w:val="18"/>
          <w:szCs w:val="18"/>
          <w:b w:val="1"/>
          <w:bCs w:val="1"/>
          <w:color w:val="00548B"/>
        </w:rPr>
        <w:t xml:space="preserve"> B</w:t>
      </w:r>
      <w:r>
        <w:rPr>
          <w:rFonts w:ascii="Arial" w:cs="Arial" w:eastAsia="Arial" w:hAnsi="Arial"/>
          <w:sz w:val="15"/>
          <w:szCs w:val="15"/>
          <w:b w:val="1"/>
          <w:bCs w:val="1"/>
          <w:color w:val="00548B"/>
        </w:rPr>
        <w:t>ENEFICIAL</w:t>
      </w:r>
      <w:r>
        <w:rPr>
          <w:rFonts w:ascii="Arial" w:cs="Arial" w:eastAsia="Arial" w:hAnsi="Arial"/>
          <w:sz w:val="18"/>
          <w:szCs w:val="18"/>
          <w:b w:val="1"/>
          <w:bCs w:val="1"/>
          <w:color w:val="00548B"/>
        </w:rPr>
        <w:t xml:space="preserve"> O</w:t>
      </w:r>
      <w:r>
        <w:rPr>
          <w:rFonts w:ascii="Arial" w:cs="Arial" w:eastAsia="Arial" w:hAnsi="Arial"/>
          <w:sz w:val="15"/>
          <w:szCs w:val="15"/>
          <w:b w:val="1"/>
          <w:bCs w:val="1"/>
          <w:color w:val="00548B"/>
        </w:rPr>
        <w:t>WNERS AND</w:t>
      </w:r>
      <w:r>
        <w:rPr>
          <w:rFonts w:ascii="Arial" w:cs="Arial" w:eastAsia="Arial" w:hAnsi="Arial"/>
          <w:sz w:val="18"/>
          <w:szCs w:val="18"/>
          <w:b w:val="1"/>
          <w:bCs w:val="1"/>
          <w:color w:val="00548B"/>
        </w:rPr>
        <w:t xml:space="preserve"> M</w:t>
      </w:r>
      <w:r>
        <w:rPr>
          <w:rFonts w:ascii="Arial" w:cs="Arial" w:eastAsia="Arial" w:hAnsi="Arial"/>
          <w:sz w:val="15"/>
          <w:szCs w:val="15"/>
          <w:b w:val="1"/>
          <w:bCs w:val="1"/>
          <w:color w:val="00548B"/>
        </w:rPr>
        <w:t>ANAGEMENT</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sets forth, as of the Record Date, certain information regarding the beneficial ownership of our common stock by:</w:t>
      </w:r>
    </w:p>
    <w:p>
      <w:pPr>
        <w:spacing w:after="0" w:line="221" w:lineRule="exact"/>
        <w:rPr>
          <w:sz w:val="20"/>
          <w:szCs w:val="20"/>
          <w:color w:val="auto"/>
        </w:rPr>
      </w:pPr>
    </w:p>
    <w:p>
      <w:pPr>
        <w:ind w:left="960" w:hanging="432"/>
        <w:spacing w:after="0"/>
        <w:tabs>
          <w:tab w:leader="none" w:pos="960" w:val="left"/>
        </w:tabs>
        <w:numPr>
          <w:ilvl w:val="0"/>
          <w:numId w:val="15"/>
        </w:numPr>
        <w:rPr>
          <w:rFonts w:ascii="Arial" w:cs="Arial" w:eastAsia="Arial" w:hAnsi="Arial"/>
          <w:sz w:val="16"/>
          <w:szCs w:val="16"/>
          <w:color w:val="00548B"/>
        </w:rPr>
      </w:pPr>
      <w:r>
        <w:rPr>
          <w:rFonts w:ascii="Arial" w:cs="Arial" w:eastAsia="Arial" w:hAnsi="Arial"/>
          <w:sz w:val="16"/>
          <w:szCs w:val="16"/>
          <w:color w:val="auto"/>
        </w:rPr>
        <w:t>each person known by us to beneficially own 5% or more of our common stock;</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15"/>
        </w:numPr>
        <w:rPr>
          <w:rFonts w:ascii="Arial" w:cs="Arial" w:eastAsia="Arial" w:hAnsi="Arial"/>
          <w:sz w:val="16"/>
          <w:szCs w:val="16"/>
          <w:color w:val="00548B"/>
        </w:rPr>
      </w:pPr>
      <w:r>
        <w:rPr>
          <w:rFonts w:ascii="Arial" w:cs="Arial" w:eastAsia="Arial" w:hAnsi="Arial"/>
          <w:sz w:val="16"/>
          <w:szCs w:val="16"/>
          <w:color w:val="auto"/>
        </w:rPr>
        <w:t>each of our named executive officers;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15"/>
        </w:numPr>
        <w:rPr>
          <w:rFonts w:ascii="Arial" w:cs="Arial" w:eastAsia="Arial" w:hAnsi="Arial"/>
          <w:sz w:val="16"/>
          <w:szCs w:val="16"/>
          <w:color w:val="00548B"/>
        </w:rPr>
      </w:pPr>
      <w:r>
        <w:rPr>
          <w:rFonts w:ascii="Arial" w:cs="Arial" w:eastAsia="Arial" w:hAnsi="Arial"/>
          <w:sz w:val="16"/>
          <w:szCs w:val="16"/>
          <w:color w:val="auto"/>
        </w:rPr>
        <w:t>each member of our board of directors; and</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15"/>
        </w:numPr>
        <w:rPr>
          <w:rFonts w:ascii="Arial" w:cs="Arial" w:eastAsia="Arial" w:hAnsi="Arial"/>
          <w:sz w:val="16"/>
          <w:szCs w:val="16"/>
          <w:color w:val="00548B"/>
        </w:rPr>
      </w:pPr>
      <w:r>
        <w:rPr>
          <w:rFonts w:ascii="Arial" w:cs="Arial" w:eastAsia="Arial" w:hAnsi="Arial"/>
          <w:sz w:val="16"/>
          <w:szCs w:val="16"/>
          <w:color w:val="auto"/>
        </w:rPr>
        <w:t>all directors and executive officers as a group.</w:t>
      </w:r>
    </w:p>
    <w:p>
      <w:pPr>
        <w:spacing w:after="0" w:line="181"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 us with information with respect to beneficial ownership. Except as otherwise indicated, beneficial owners of</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18</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common stock listed below, based on the information each of them has given to us, have sole investment and voting power with respect to their shares, except where community property laws may apply.</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900" w:type="dxa"/>
            <w:vAlign w:val="bottom"/>
            <w:shd w:val="clear" w:color="auto" w:fill="00548B"/>
          </w:tcPr>
          <w:p>
            <w:pPr>
              <w:spacing w:after="0"/>
              <w:rPr>
                <w:sz w:val="14"/>
                <w:szCs w:val="14"/>
                <w:color w:val="auto"/>
              </w:rPr>
            </w:pPr>
          </w:p>
        </w:tc>
        <w:tc>
          <w:tcPr>
            <w:tcW w:w="2120" w:type="dxa"/>
            <w:vAlign w:val="bottom"/>
            <w:gridSpan w:val="2"/>
            <w:shd w:val="clear" w:color="auto" w:fill="00548B"/>
          </w:tcPr>
          <w:p>
            <w:pPr>
              <w:jc w:val="right"/>
              <w:ind w:right="259"/>
              <w:spacing w:after="0"/>
              <w:rPr>
                <w:sz w:val="20"/>
                <w:szCs w:val="20"/>
                <w:color w:val="auto"/>
              </w:rPr>
            </w:pPr>
            <w:r>
              <w:rPr>
                <w:rFonts w:ascii="Arial" w:cs="Arial" w:eastAsia="Arial" w:hAnsi="Arial"/>
                <w:sz w:val="14"/>
                <w:szCs w:val="14"/>
                <w:b w:val="1"/>
                <w:bCs w:val="1"/>
                <w:color w:val="D8D8D8"/>
              </w:rPr>
              <w:t>Beneficial Ownership</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900" w:type="dxa"/>
            <w:vAlign w:val="bottom"/>
            <w:vMerge w:val="restart"/>
            <w:shd w:val="clear" w:color="auto" w:fill="00548B"/>
          </w:tcPr>
          <w:p>
            <w:pPr>
              <w:spacing w:after="0"/>
              <w:rPr>
                <w:sz w:val="20"/>
                <w:szCs w:val="20"/>
                <w:color w:val="auto"/>
              </w:rPr>
            </w:pPr>
            <w:r>
              <w:rPr>
                <w:rFonts w:ascii="Arial" w:cs="Arial" w:eastAsia="Arial" w:hAnsi="Arial"/>
                <w:sz w:val="14"/>
                <w:szCs w:val="14"/>
                <w:b w:val="1"/>
                <w:bCs w:val="1"/>
                <w:color w:val="D8D8D8"/>
              </w:rPr>
              <w:t>Name of beneficial owner (1)</w:t>
            </w:r>
          </w:p>
        </w:tc>
        <w:tc>
          <w:tcPr>
            <w:tcW w:w="1340" w:type="dxa"/>
            <w:vAlign w:val="bottom"/>
            <w:shd w:val="clear" w:color="auto" w:fill="00548B"/>
          </w:tcPr>
          <w:p>
            <w:pPr>
              <w:jc w:val="right"/>
              <w:ind w:right="360"/>
              <w:spacing w:after="0"/>
              <w:rPr>
                <w:sz w:val="20"/>
                <w:szCs w:val="20"/>
                <w:color w:val="auto"/>
              </w:rPr>
            </w:pPr>
            <w:r>
              <w:rPr>
                <w:rFonts w:ascii="Arial" w:cs="Arial" w:eastAsia="Arial" w:hAnsi="Arial"/>
                <w:sz w:val="14"/>
                <w:szCs w:val="14"/>
                <w:b w:val="1"/>
                <w:bCs w:val="1"/>
                <w:color w:val="D8D8D8"/>
              </w:rPr>
              <w:t>Shares</w:t>
            </w:r>
          </w:p>
        </w:tc>
        <w:tc>
          <w:tcPr>
            <w:tcW w:w="780" w:type="dxa"/>
            <w:vAlign w:val="bottom"/>
            <w:shd w:val="clear" w:color="auto" w:fill="00548B"/>
          </w:tcPr>
          <w:p>
            <w:pPr>
              <w:jc w:val="right"/>
              <w:ind w:right="279"/>
              <w:spacing w:after="0"/>
              <w:rPr>
                <w:sz w:val="20"/>
                <w:szCs w:val="20"/>
                <w:color w:val="auto"/>
              </w:rPr>
            </w:pPr>
            <w:r>
              <w:rPr>
                <w:rFonts w:ascii="Arial" w:cs="Arial" w:eastAsia="Arial" w:hAnsi="Arial"/>
                <w:sz w:val="14"/>
                <w:szCs w:val="14"/>
                <w:b w:val="1"/>
                <w:bCs w:val="1"/>
                <w:color w:val="D8D8D8"/>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900" w:type="dxa"/>
            <w:vAlign w:val="bottom"/>
            <w:vMerge w:val="continue"/>
            <w:shd w:val="clear" w:color="auto" w:fill="00548B"/>
          </w:tcPr>
          <w:p>
            <w:pPr>
              <w:spacing w:after="0"/>
              <w:rPr>
                <w:sz w:val="12"/>
                <w:szCs w:val="12"/>
                <w:color w:val="auto"/>
              </w:rPr>
            </w:pPr>
          </w:p>
        </w:tc>
        <w:tc>
          <w:tcPr>
            <w:tcW w:w="1340" w:type="dxa"/>
            <w:vAlign w:val="bottom"/>
            <w:shd w:val="clear" w:color="auto" w:fill="00548B"/>
          </w:tcPr>
          <w:p>
            <w:pPr>
              <w:spacing w:after="0"/>
              <w:rPr>
                <w:sz w:val="12"/>
                <w:szCs w:val="12"/>
                <w:color w:val="auto"/>
              </w:rPr>
            </w:pPr>
          </w:p>
        </w:tc>
        <w:tc>
          <w:tcPr>
            <w:tcW w:w="780" w:type="dxa"/>
            <w:vAlign w:val="bottom"/>
            <w:shd w:val="clear" w:color="auto" w:fill="00548B"/>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00" w:type="dxa"/>
            <w:vAlign w:val="bottom"/>
            <w:tcBorders>
              <w:bottom w:val="single" w:sz="8" w:color="999999"/>
            </w:tcBorders>
          </w:tcPr>
          <w:p>
            <w:pPr>
              <w:spacing w:after="0"/>
              <w:rPr>
                <w:sz w:val="20"/>
                <w:szCs w:val="20"/>
                <w:color w:val="auto"/>
              </w:rPr>
            </w:pPr>
            <w:r>
              <w:rPr>
                <w:rFonts w:ascii="Arial" w:cs="Arial" w:eastAsia="Arial" w:hAnsi="Arial"/>
                <w:sz w:val="16"/>
                <w:szCs w:val="16"/>
                <w:b w:val="1"/>
                <w:bCs w:val="1"/>
                <w:color w:val="00548B"/>
              </w:rPr>
              <w:t>Beneficial owners of 5% or more:</w:t>
            </w:r>
          </w:p>
        </w:tc>
        <w:tc>
          <w:tcPr>
            <w:tcW w:w="1340" w:type="dxa"/>
            <w:vAlign w:val="bottom"/>
            <w:tcBorders>
              <w:bottom w:val="single" w:sz="8" w:color="999999"/>
            </w:tcBorders>
          </w:tcPr>
          <w:p>
            <w:pPr>
              <w:spacing w:after="0"/>
              <w:rPr>
                <w:sz w:val="16"/>
                <w:szCs w:val="16"/>
                <w:color w:val="auto"/>
              </w:rPr>
            </w:pPr>
          </w:p>
        </w:tc>
        <w:tc>
          <w:tcPr>
            <w:tcW w:w="780" w:type="dxa"/>
            <w:vAlign w:val="bottom"/>
            <w:tcBorders>
              <w:bottom w:val="single" w:sz="8" w:color="999999"/>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Wellington Management Group LLP (2)</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2,804,241</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The Vanguard Group, Inc. (3)</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2,008,049</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BlackRock, Inc. (4)</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1,551,486</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Van Berkom &amp; Associates Inc. (5)</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1,514,432</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Boston Partners (6)</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1,440,764</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Dimensional Fund Advisors LP (7)</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1,413,093</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b w:val="1"/>
                <w:bCs w:val="1"/>
                <w:color w:val="00548B"/>
              </w:rPr>
              <w:t>Directors and Executive Officers:</w:t>
            </w:r>
          </w:p>
        </w:tc>
        <w:tc>
          <w:tcPr>
            <w:tcW w:w="1340" w:type="dxa"/>
            <w:vAlign w:val="bottom"/>
            <w:tcBorders>
              <w:bottom w:val="single" w:sz="8" w:color="999999"/>
            </w:tcBorders>
          </w:tcPr>
          <w:p>
            <w:pPr>
              <w:spacing w:after="0"/>
              <w:rPr>
                <w:sz w:val="15"/>
                <w:szCs w:val="15"/>
                <w:color w:val="auto"/>
              </w:rPr>
            </w:pPr>
          </w:p>
        </w:tc>
        <w:tc>
          <w:tcPr>
            <w:tcW w:w="780" w:type="dxa"/>
            <w:vAlign w:val="bottom"/>
            <w:tcBorders>
              <w:bottom w:val="single" w:sz="8" w:color="999999"/>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James D. Edwards (8)</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23,636</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C. Mark Hussey (9)</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99,572</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John D. Kelly (10)</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12,546</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H. Eugene Lockhart (11)</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26,596</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George E. Massaro (12)</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19,856</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John McCartney (13)</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62,075</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John S. Moody (14)</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20,831</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Diane E. Ratekin (15)</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41,274</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James H. Roth (16)</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314,821</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Hugh E. Sawyer (17)</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17,327</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999999"/>
            </w:tcBorders>
          </w:tcPr>
          <w:p>
            <w:pPr>
              <w:ind w:left="300"/>
              <w:spacing w:after="0" w:line="183" w:lineRule="exact"/>
              <w:rPr>
                <w:sz w:val="20"/>
                <w:szCs w:val="20"/>
                <w:color w:val="auto"/>
              </w:rPr>
            </w:pPr>
            <w:r>
              <w:rPr>
                <w:rFonts w:ascii="Arial" w:cs="Arial" w:eastAsia="Arial" w:hAnsi="Arial"/>
                <w:sz w:val="16"/>
                <w:szCs w:val="16"/>
                <w:color w:val="auto"/>
              </w:rPr>
              <w:t>Debra Zumwalt (18)</w:t>
            </w:r>
          </w:p>
        </w:tc>
        <w:tc>
          <w:tcPr>
            <w:tcW w:w="13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color w:val="auto"/>
              </w:rPr>
              <w:t>15,329</w:t>
            </w:r>
          </w:p>
        </w:tc>
        <w:tc>
          <w:tcPr>
            <w:tcW w:w="78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Borders>
              <w:bottom w:val="single" w:sz="8" w:color="00548B"/>
            </w:tcBorders>
          </w:tcPr>
          <w:p>
            <w:pPr>
              <w:ind w:left="300"/>
              <w:spacing w:after="0" w:line="183" w:lineRule="exact"/>
              <w:rPr>
                <w:sz w:val="20"/>
                <w:szCs w:val="20"/>
                <w:color w:val="auto"/>
              </w:rPr>
            </w:pPr>
            <w:r>
              <w:rPr>
                <w:rFonts w:ascii="Arial" w:cs="Arial" w:eastAsia="Arial" w:hAnsi="Arial"/>
                <w:sz w:val="16"/>
                <w:szCs w:val="16"/>
                <w:color w:val="auto"/>
              </w:rPr>
              <w:t>All directors and executive officers as a group (11 persons) (19)</w:t>
            </w:r>
          </w:p>
        </w:tc>
        <w:tc>
          <w:tcPr>
            <w:tcW w:w="1340" w:type="dxa"/>
            <w:vAlign w:val="bottom"/>
            <w:tcBorders>
              <w:bottom w:val="single" w:sz="8" w:color="00548B"/>
            </w:tcBorders>
          </w:tcPr>
          <w:p>
            <w:pPr>
              <w:jc w:val="right"/>
              <w:ind w:right="160"/>
              <w:spacing w:after="0" w:line="183" w:lineRule="exact"/>
              <w:rPr>
                <w:sz w:val="20"/>
                <w:szCs w:val="20"/>
                <w:color w:val="auto"/>
              </w:rPr>
            </w:pPr>
            <w:r>
              <w:rPr>
                <w:rFonts w:ascii="Arial" w:cs="Arial" w:eastAsia="Arial" w:hAnsi="Arial"/>
                <w:sz w:val="16"/>
                <w:szCs w:val="16"/>
                <w:color w:val="auto"/>
              </w:rPr>
              <w:t>653,863</w:t>
            </w:r>
          </w:p>
        </w:tc>
        <w:tc>
          <w:tcPr>
            <w:tcW w:w="780" w:type="dxa"/>
            <w:vAlign w:val="bottom"/>
            <w:tcBorders>
              <w:bottom w:val="single" w:sz="8" w:color="00548B"/>
            </w:tcBorders>
          </w:tcPr>
          <w:p>
            <w:pPr>
              <w:jc w:val="right"/>
              <w:ind w:right="39"/>
              <w:spacing w:after="0" w:line="183" w:lineRule="exact"/>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740" w:hanging="53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Indicates less than 1% ownership.</w:t>
      </w:r>
    </w:p>
    <w:p>
      <w:pPr>
        <w:spacing w:after="0" w:line="127" w:lineRule="exact"/>
        <w:rPr>
          <w:sz w:val="20"/>
          <w:szCs w:val="20"/>
          <w:color w:val="auto"/>
        </w:rPr>
      </w:pPr>
    </w:p>
    <w:p>
      <w:pPr>
        <w:jc w:val="both"/>
        <w:ind w:left="740" w:right="20" w:hanging="536"/>
        <w:spacing w:after="0" w:line="253"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principal address for each of the stockholders, other than Wellington Management Group LLP, The Vanguard Group, Inc., BlackRock, Inc., Van Berkom &amp; Associates Inc., Boston Partners, and Dimensional Fund Advisors LP, listed below, is c/o Huron Consulting Group Inc., 550 West Van Buren Street, Chicago, Illinois 60607.</w:t>
      </w:r>
    </w:p>
    <w:p>
      <w:pPr>
        <w:spacing w:after="0" w:line="106" w:lineRule="exact"/>
        <w:rPr>
          <w:rFonts w:ascii="Arial" w:cs="Arial" w:eastAsia="Arial" w:hAnsi="Arial"/>
          <w:sz w:val="16"/>
          <w:szCs w:val="16"/>
          <w:color w:val="auto"/>
        </w:rPr>
      </w:pPr>
    </w:p>
    <w:p>
      <w:pPr>
        <w:jc w:val="both"/>
        <w:ind w:left="740" w:right="20" w:hanging="536"/>
        <w:spacing w:after="0" w:line="250"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principal address of Wellington Management Group LLP is 280 Congress Street, Boston, Massachusetts 02210. The shares are owned by Wellington Management Group LLP and the following subsidiaries of Wellington Management Group LLP: Wellington Group Holdings LLP, Wellington Investment Advisors Holdings LLP and Wellington Management Company LLP. Information regarding beneficial ownership of our common stock by Wellington Management Group LLP is included herein in reliance on a Schedule 13G/A filed with the SEC on February 12, 2019.</w:t>
      </w:r>
    </w:p>
    <w:p>
      <w:pPr>
        <w:spacing w:after="0" w:line="300" w:lineRule="exact"/>
        <w:rPr>
          <w:rFonts w:ascii="Arial" w:cs="Arial" w:eastAsia="Arial" w:hAnsi="Arial"/>
          <w:sz w:val="16"/>
          <w:szCs w:val="16"/>
          <w:color w:val="auto"/>
        </w:rPr>
      </w:pPr>
    </w:p>
    <w:p>
      <w:pPr>
        <w:jc w:val="both"/>
        <w:ind w:left="740" w:right="20" w:hanging="536"/>
        <w:spacing w:after="0" w:line="251"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principal address of The Vanguard Group, Inc. is 100 Vanguard Boulevard, Malvern, Pennsylvania 19355. The shares are owned by The Vanguard Group, Inc. and the following subsidiaries of The Vanguard Group, Inc.: Vanguard Fiduciary Trust Company and Vanguard Investments Australia, Ltd. Information regarding beneficial ownership of our common stock by The Vanguard Group, Inc. is included herein in reliance on a Schedule 13G/A filed with the SEC on February 12, 2019.</w:t>
      </w:r>
    </w:p>
    <w:p>
      <w:pPr>
        <w:spacing w:after="0" w:line="108" w:lineRule="exact"/>
        <w:rPr>
          <w:rFonts w:ascii="Arial" w:cs="Arial" w:eastAsia="Arial" w:hAnsi="Arial"/>
          <w:sz w:val="16"/>
          <w:szCs w:val="16"/>
          <w:color w:val="auto"/>
        </w:rPr>
      </w:pPr>
    </w:p>
    <w:p>
      <w:pPr>
        <w:jc w:val="both"/>
        <w:ind w:left="740" w:right="20" w:hanging="536"/>
        <w:spacing w:after="0" w:line="251"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principal address of BlackRock, Inc. is 55 East 52nd Street, New York, New York 10055. The shares are owned by the following subsidiaries of BlackRock, Inc.: BlackRock (Netherlands) B.V., BlackRock Advisors (UK) Limited, BlackRock Advisors, LLC, BlackRock Asset Management Canada Limited, BlackRock Asset Management Ireland Limited, BlackRock Asset Management Schweiz AG, BlackRock Financial Management, Inc., BlackRock Fund Advisors, BlackRock Institutional Trust Company, N.A., BlackRock</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19</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740"/>
        <w:spacing w:after="0" w:line="253" w:lineRule="auto"/>
        <w:rPr>
          <w:sz w:val="20"/>
          <w:szCs w:val="20"/>
          <w:color w:val="auto"/>
        </w:rPr>
      </w:pPr>
      <w:r>
        <w:rPr>
          <w:rFonts w:ascii="Arial" w:cs="Arial" w:eastAsia="Arial" w:hAnsi="Arial"/>
          <w:sz w:val="16"/>
          <w:szCs w:val="16"/>
          <w:color w:val="auto"/>
        </w:rPr>
        <w:t>Investment Management (Australia) Limited, BlackRock Investment Management (UK) Ltd. and BlackRock Investment Management, LLC. Information regarding beneficial ownership of our common stock by BlackRock, Inc. is included herein in reliance on a Schedule 13G/A filed with the SEC on February 4, 2019.</w:t>
      </w:r>
    </w:p>
    <w:p>
      <w:pPr>
        <w:spacing w:after="0" w:line="107" w:lineRule="exact"/>
        <w:rPr>
          <w:sz w:val="20"/>
          <w:szCs w:val="20"/>
          <w:color w:val="auto"/>
        </w:rPr>
      </w:pPr>
    </w:p>
    <w:p>
      <w:pPr>
        <w:jc w:val="both"/>
        <w:ind w:left="740" w:hanging="536"/>
        <w:spacing w:after="0" w:line="253"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principal address of Van Berkom &amp; Associates Inc. is 1130 Sherbrooke Street West, Suite 1005, Montreal, Quebec H3A 2MB. Information regarding beneficial ownership of our common stock by Van Berkom &amp; Associates Inc. is included herein in reliance on a Schedule 13G filed with the SEC on February 11, 2019.</w:t>
      </w:r>
    </w:p>
    <w:p>
      <w:pPr>
        <w:spacing w:after="0" w:line="106"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principal address of Boston Partners is One Beacon Street, 30th Floor, Boston, Massachusetts 02108. Information regarding beneficial ownership of our common stock by Boston Partners is included herein in reliance on a Schedule 13G/A filed with the SEC on February 12, 2019.</w:t>
      </w:r>
    </w:p>
    <w:p>
      <w:pPr>
        <w:spacing w:after="0" w:line="101" w:lineRule="exact"/>
        <w:rPr>
          <w:rFonts w:ascii="Arial" w:cs="Arial" w:eastAsia="Arial" w:hAnsi="Arial"/>
          <w:sz w:val="16"/>
          <w:szCs w:val="16"/>
          <w:color w:val="auto"/>
        </w:rPr>
      </w:pPr>
    </w:p>
    <w:p>
      <w:pPr>
        <w:jc w:val="both"/>
        <w:ind w:left="740" w:hanging="536"/>
        <w:spacing w:after="0" w:line="253"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principal address of Dimensional Fund Advisors LP is Building One, 6300 Bee Cave Road, Austin, Texas 78746. Information regarding beneficial ownership of our common stock by Dimensional Fund Advisors LP is included herein in reliance on a Schedule 13G/A filed with the SEC on February 8, 2019.</w:t>
      </w:r>
    </w:p>
    <w:p>
      <w:pPr>
        <w:spacing w:after="0" w:line="106" w:lineRule="exact"/>
        <w:rPr>
          <w:rFonts w:ascii="Arial" w:cs="Arial" w:eastAsia="Arial" w:hAnsi="Arial"/>
          <w:sz w:val="16"/>
          <w:szCs w:val="16"/>
          <w:color w:val="auto"/>
        </w:rPr>
      </w:pPr>
    </w:p>
    <w:p>
      <w:pPr>
        <w:ind w:left="740" w:hanging="536"/>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5,533 shares of restricted common stock.</w:t>
      </w:r>
    </w:p>
    <w:p>
      <w:pPr>
        <w:spacing w:after="0" w:line="126"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15,647 shares issuable upon exercise of options that are exercisable currently or within 60 days of the Record Date. Also includes 47,538 shares of restricted common stock.</w:t>
      </w:r>
    </w:p>
    <w:p>
      <w:pPr>
        <w:spacing w:after="0" w:line="101" w:lineRule="exact"/>
        <w:rPr>
          <w:rFonts w:ascii="Arial" w:cs="Arial" w:eastAsia="Arial" w:hAnsi="Arial"/>
          <w:sz w:val="16"/>
          <w:szCs w:val="16"/>
          <w:color w:val="auto"/>
        </w:rPr>
      </w:pPr>
    </w:p>
    <w:p>
      <w:pPr>
        <w:ind w:left="740" w:hanging="536"/>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8,942 shares of restricted common stock.</w:t>
      </w:r>
    </w:p>
    <w:p>
      <w:pPr>
        <w:spacing w:after="0" w:line="126" w:lineRule="exact"/>
        <w:rPr>
          <w:rFonts w:ascii="Arial" w:cs="Arial" w:eastAsia="Arial" w:hAnsi="Arial"/>
          <w:sz w:val="16"/>
          <w:szCs w:val="16"/>
          <w:color w:val="auto"/>
        </w:rPr>
      </w:pPr>
    </w:p>
    <w:p>
      <w:pPr>
        <w:ind w:left="740" w:hanging="536"/>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5,533 shares of restricted common stock.</w:t>
      </w:r>
    </w:p>
    <w:p>
      <w:pPr>
        <w:spacing w:after="0" w:line="126" w:lineRule="exact"/>
        <w:rPr>
          <w:rFonts w:ascii="Arial" w:cs="Arial" w:eastAsia="Arial" w:hAnsi="Arial"/>
          <w:sz w:val="16"/>
          <w:szCs w:val="16"/>
          <w:color w:val="auto"/>
        </w:rPr>
      </w:pPr>
    </w:p>
    <w:p>
      <w:pPr>
        <w:ind w:left="740" w:hanging="536"/>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5,533 shares of restricted common stock.</w:t>
      </w:r>
    </w:p>
    <w:p>
      <w:pPr>
        <w:spacing w:after="0" w:line="126"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5,533 shares of restricted common stock, as well as 1,259 shares held by a wholly-owned limited liability company of which Mr. McCartney is the sole owner.</w:t>
      </w:r>
    </w:p>
    <w:p>
      <w:pPr>
        <w:spacing w:after="0" w:line="101" w:lineRule="exact"/>
        <w:rPr>
          <w:rFonts w:ascii="Arial" w:cs="Arial" w:eastAsia="Arial" w:hAnsi="Arial"/>
          <w:sz w:val="16"/>
          <w:szCs w:val="16"/>
          <w:color w:val="auto"/>
        </w:rPr>
      </w:pPr>
    </w:p>
    <w:p>
      <w:pPr>
        <w:ind w:left="740" w:hanging="536"/>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5,533 shares of restricted common stock.</w:t>
      </w:r>
    </w:p>
    <w:p>
      <w:pPr>
        <w:spacing w:after="0" w:line="126"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7,904 shares issuable upon exercise of options that are exercisable currently or within 60 days of the Record Date. Also includes 8,280 shares of restricted common stock.</w:t>
      </w:r>
    </w:p>
    <w:p>
      <w:pPr>
        <w:spacing w:after="0" w:line="101"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120,746 shares issuable upon exercise of options that are exercisable currently or within 60 days of the Record Date. Also includes 43,934 shares of restricted common stock, as well as 3,855 shares held by a family limited liability company.</w:t>
      </w:r>
    </w:p>
    <w:p>
      <w:pPr>
        <w:spacing w:after="0" w:line="101" w:lineRule="exact"/>
        <w:rPr>
          <w:rFonts w:ascii="Arial" w:cs="Arial" w:eastAsia="Arial" w:hAnsi="Arial"/>
          <w:sz w:val="16"/>
          <w:szCs w:val="16"/>
          <w:color w:val="auto"/>
        </w:rPr>
      </w:pPr>
    </w:p>
    <w:p>
      <w:pPr>
        <w:ind w:left="740" w:hanging="536"/>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7,474 shares of restricted common stock.</w:t>
      </w:r>
    </w:p>
    <w:p>
      <w:pPr>
        <w:spacing w:after="0" w:line="126" w:lineRule="exact"/>
        <w:rPr>
          <w:rFonts w:ascii="Arial" w:cs="Arial" w:eastAsia="Arial" w:hAnsi="Arial"/>
          <w:sz w:val="16"/>
          <w:szCs w:val="16"/>
          <w:color w:val="auto"/>
        </w:rPr>
      </w:pPr>
    </w:p>
    <w:p>
      <w:pPr>
        <w:ind w:left="740" w:hanging="536"/>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5,533 shares of restricted common stock.</w:t>
      </w:r>
    </w:p>
    <w:p>
      <w:pPr>
        <w:spacing w:after="0" w:line="126"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an aggregate of 144,297 shares issuable upon exercise of options held by members of the group that are exercisable currently or within 60 days of the Record Date, as well as 149,366 shares of restricted common stock held by the Directors and Executive Officers listed above.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548B"/>
        </w:rPr>
        <w:t>EXECUTIVE COMPENSATION</w:t>
      </w: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ISCUSSION AND</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NALYSIS</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 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222885"/>
                    </a:xfrm>
                    <a:prstGeom prst="rect">
                      <a:avLst/>
                    </a:prstGeom>
                    <a:noFill/>
                  </pic:spPr>
                </pic:pic>
              </a:graphicData>
            </a:graphic>
          </wp:anchor>
        </w:drawing>
      </w: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D8D8D8"/>
        </w:rPr>
        <w:t>SECTION 1 — EXECUTIVE SUMMARY</w:t>
      </w:r>
    </w:p>
    <w:p>
      <w:pPr>
        <w:spacing w:after="0" w:line="169"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Huron is a global professional services firm committed to achieving sustainable results in partnership with our clients to drive transformative change in the healthcare, higher education, life sciences and commercial sectors. Through focus, passion and collaboration, Huron provides guidance to clients to develop strategies and implement solutions that enable the transformative change they need to own their future.</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Named Executive Officers</w:t>
      </w:r>
    </w:p>
    <w:p>
      <w:pPr>
        <w:spacing w:after="0" w:line="147"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Huron’s named executive officers are responsible for our Company-wide business operations and setting overall strategy of the organization. During 2018, Huron’s named executive officer team consisted of the following individuals:</w:t>
      </w:r>
    </w:p>
    <w:p>
      <w:pPr>
        <w:ind w:left="500" w:hanging="296"/>
        <w:spacing w:after="0" w:line="224" w:lineRule="auto"/>
        <w:tabs>
          <w:tab w:leader="none" w:pos="500" w:val="left"/>
        </w:tabs>
        <w:numPr>
          <w:ilvl w:val="0"/>
          <w:numId w:val="19"/>
        </w:numPr>
        <w:rPr>
          <w:rFonts w:ascii="Arial" w:cs="Arial" w:eastAsia="Arial" w:hAnsi="Arial"/>
          <w:sz w:val="16"/>
          <w:szCs w:val="16"/>
          <w:color w:val="00548B"/>
        </w:rPr>
      </w:pPr>
      <w:r>
        <w:rPr>
          <w:rFonts w:ascii="Arial" w:cs="Arial" w:eastAsia="Arial" w:hAnsi="Arial"/>
          <w:sz w:val="16"/>
          <w:szCs w:val="16"/>
          <w:color w:val="auto"/>
        </w:rPr>
        <w:t>Mr. Roth, Chief Executive Officer.</w:t>
      </w:r>
      <w:r>
        <w:rPr>
          <w:rFonts w:ascii="Arial" w:cs="Arial" w:eastAsia="Arial" w:hAnsi="Arial"/>
          <w:sz w:val="27"/>
          <w:szCs w:val="27"/>
          <w:color w:val="auto"/>
          <w:vertAlign w:val="superscript"/>
        </w:rPr>
        <w:t>2</w:t>
      </w:r>
    </w:p>
    <w:p>
      <w:pPr>
        <w:ind w:left="500" w:hanging="296"/>
        <w:spacing w:after="0" w:line="187" w:lineRule="auto"/>
        <w:tabs>
          <w:tab w:leader="none" w:pos="500" w:val="left"/>
        </w:tabs>
        <w:numPr>
          <w:ilvl w:val="0"/>
          <w:numId w:val="19"/>
        </w:numPr>
        <w:rPr>
          <w:rFonts w:ascii="Arial" w:cs="Arial" w:eastAsia="Arial" w:hAnsi="Arial"/>
          <w:sz w:val="13"/>
          <w:szCs w:val="13"/>
          <w:color w:val="00548B"/>
        </w:rPr>
      </w:pPr>
      <w:r>
        <w:rPr>
          <w:rFonts w:ascii="Arial" w:cs="Arial" w:eastAsia="Arial" w:hAnsi="Arial"/>
          <w:sz w:val="13"/>
          <w:szCs w:val="13"/>
          <w:color w:val="auto"/>
        </w:rPr>
        <w:t>Mr. Hussey, President and Chief Operating Officer.</w:t>
      </w:r>
      <w:r>
        <w:rPr>
          <w:rFonts w:ascii="Arial" w:cs="Arial" w:eastAsia="Arial" w:hAnsi="Arial"/>
          <w:sz w:val="21"/>
          <w:szCs w:val="21"/>
          <w:color w:val="auto"/>
          <w:vertAlign w:val="superscript"/>
        </w:rPr>
        <w:t>3</w:t>
      </w:r>
    </w:p>
    <w:p>
      <w:pPr>
        <w:ind w:left="500" w:hanging="296"/>
        <w:spacing w:after="0"/>
        <w:tabs>
          <w:tab w:leader="none" w:pos="500" w:val="left"/>
        </w:tabs>
        <w:numPr>
          <w:ilvl w:val="0"/>
          <w:numId w:val="19"/>
        </w:numPr>
        <w:rPr>
          <w:rFonts w:ascii="Arial" w:cs="Arial" w:eastAsia="Arial" w:hAnsi="Arial"/>
          <w:sz w:val="16"/>
          <w:szCs w:val="16"/>
          <w:color w:val="00548B"/>
        </w:rPr>
      </w:pPr>
      <w:r>
        <w:rPr>
          <w:rFonts w:ascii="Arial" w:cs="Arial" w:eastAsia="Arial" w:hAnsi="Arial"/>
          <w:sz w:val="16"/>
          <w:szCs w:val="16"/>
          <w:color w:val="auto"/>
        </w:rPr>
        <w:t>Mr. Kelly, Executive Vice President, Chief Financial Officer and Treasurer.</w:t>
      </w:r>
    </w:p>
    <w:p>
      <w:pPr>
        <w:spacing w:after="0" w:line="5" w:lineRule="exact"/>
        <w:rPr>
          <w:rFonts w:ascii="Arial" w:cs="Arial" w:eastAsia="Arial" w:hAnsi="Arial"/>
          <w:sz w:val="16"/>
          <w:szCs w:val="16"/>
          <w:color w:val="00548B"/>
        </w:rPr>
      </w:pPr>
    </w:p>
    <w:p>
      <w:pPr>
        <w:ind w:left="500" w:hanging="296"/>
        <w:spacing w:after="0"/>
        <w:tabs>
          <w:tab w:leader="none" w:pos="500" w:val="left"/>
        </w:tabs>
        <w:numPr>
          <w:ilvl w:val="0"/>
          <w:numId w:val="19"/>
        </w:numPr>
        <w:rPr>
          <w:rFonts w:ascii="Arial" w:cs="Arial" w:eastAsia="Arial" w:hAnsi="Arial"/>
          <w:sz w:val="16"/>
          <w:szCs w:val="16"/>
          <w:color w:val="00548B"/>
        </w:rPr>
      </w:pPr>
      <w:r>
        <w:rPr>
          <w:rFonts w:ascii="Arial" w:cs="Arial" w:eastAsia="Arial" w:hAnsi="Arial"/>
          <w:sz w:val="16"/>
          <w:szCs w:val="16"/>
          <w:color w:val="auto"/>
        </w:rPr>
        <w:t>Ms. Ratekin, 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87630</wp:posOffset>
            </wp:positionV>
            <wp:extent cx="699770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D8D8D8"/>
        </w:rPr>
        <w:t>Business Strategy</w:t>
      </w:r>
    </w:p>
    <w:p>
      <w:pPr>
        <w:spacing w:after="0" w:line="88"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Our business strategy is to be the premier transformation partner for our clients. Through our integrated capabilities in strategy, operations, and technology, we help organizations facing rapid and disruptive change. To ensure the success of our business strategy and our ability to deliver sustained value to our shareholders, Huron focuses on:</w:t>
      </w:r>
    </w:p>
    <w:p>
      <w:pPr>
        <w:spacing w:after="0" w:line="107" w:lineRule="exact"/>
        <w:rPr>
          <w:sz w:val="20"/>
          <w:szCs w:val="20"/>
          <w:color w:val="auto"/>
        </w:rPr>
      </w:pPr>
    </w:p>
    <w:p>
      <w:pPr>
        <w:ind w:left="500" w:hanging="296"/>
        <w:spacing w:after="0"/>
        <w:tabs>
          <w:tab w:leader="none" w:pos="500" w:val="left"/>
        </w:tabs>
        <w:numPr>
          <w:ilvl w:val="0"/>
          <w:numId w:val="20"/>
        </w:numPr>
        <w:rPr>
          <w:rFonts w:ascii="Arial" w:cs="Arial" w:eastAsia="Arial" w:hAnsi="Arial"/>
          <w:sz w:val="16"/>
          <w:szCs w:val="16"/>
          <w:color w:val="00548B"/>
        </w:rPr>
      </w:pPr>
      <w:r>
        <w:rPr>
          <w:rFonts w:ascii="Arial" w:cs="Arial" w:eastAsia="Arial" w:hAnsi="Arial"/>
          <w:sz w:val="16"/>
          <w:szCs w:val="16"/>
          <w:color w:val="auto"/>
        </w:rPr>
        <w:t>Enabling organizations to lead through transformational change by providing integrated offerings built on the strength of our industry knowledge.</w:t>
      </w:r>
    </w:p>
    <w:p>
      <w:pPr>
        <w:spacing w:after="0" w:line="5" w:lineRule="exact"/>
        <w:rPr>
          <w:rFonts w:ascii="Arial" w:cs="Arial" w:eastAsia="Arial" w:hAnsi="Arial"/>
          <w:sz w:val="16"/>
          <w:szCs w:val="16"/>
          <w:color w:val="00548B"/>
        </w:rPr>
      </w:pPr>
    </w:p>
    <w:p>
      <w:pPr>
        <w:ind w:left="500" w:hanging="296"/>
        <w:spacing w:after="0"/>
        <w:tabs>
          <w:tab w:leader="none" w:pos="500" w:val="left"/>
        </w:tabs>
        <w:numPr>
          <w:ilvl w:val="0"/>
          <w:numId w:val="20"/>
        </w:numPr>
        <w:rPr>
          <w:rFonts w:ascii="Arial" w:cs="Arial" w:eastAsia="Arial" w:hAnsi="Arial"/>
          <w:sz w:val="16"/>
          <w:szCs w:val="16"/>
          <w:color w:val="00548B"/>
        </w:rPr>
      </w:pPr>
      <w:r>
        <w:rPr>
          <w:rFonts w:ascii="Arial" w:cs="Arial" w:eastAsia="Arial" w:hAnsi="Arial"/>
          <w:sz w:val="16"/>
          <w:szCs w:val="16"/>
          <w:color w:val="auto"/>
        </w:rPr>
        <w:t>Delivering high-value, quality services to our clients to support their comprehensive needs, from strategy development to execution.</w:t>
      </w:r>
    </w:p>
    <w:p>
      <w:pPr>
        <w:spacing w:after="0" w:line="5" w:lineRule="exact"/>
        <w:rPr>
          <w:rFonts w:ascii="Arial" w:cs="Arial" w:eastAsia="Arial" w:hAnsi="Arial"/>
          <w:sz w:val="16"/>
          <w:szCs w:val="16"/>
          <w:color w:val="00548B"/>
        </w:rPr>
      </w:pPr>
    </w:p>
    <w:p>
      <w:pPr>
        <w:ind w:left="500" w:hanging="296"/>
        <w:spacing w:after="0"/>
        <w:tabs>
          <w:tab w:leader="none" w:pos="500" w:val="left"/>
        </w:tabs>
        <w:numPr>
          <w:ilvl w:val="0"/>
          <w:numId w:val="20"/>
        </w:numPr>
        <w:rPr>
          <w:rFonts w:ascii="Arial" w:cs="Arial" w:eastAsia="Arial" w:hAnsi="Arial"/>
          <w:sz w:val="16"/>
          <w:szCs w:val="16"/>
          <w:color w:val="00548B"/>
        </w:rPr>
      </w:pPr>
      <w:r>
        <w:rPr>
          <w:rFonts w:ascii="Arial" w:cs="Arial" w:eastAsia="Arial" w:hAnsi="Arial"/>
          <w:sz w:val="16"/>
          <w:szCs w:val="16"/>
          <w:color w:val="auto"/>
        </w:rPr>
        <w:t>Broadening and strengthening our capabilities to continue to best serve our clients while maintaining and growing our strong industry expertise.</w:t>
      </w:r>
    </w:p>
    <w:p>
      <w:pPr>
        <w:spacing w:after="0" w:line="5" w:lineRule="exact"/>
        <w:rPr>
          <w:rFonts w:ascii="Arial" w:cs="Arial" w:eastAsia="Arial" w:hAnsi="Arial"/>
          <w:sz w:val="16"/>
          <w:szCs w:val="16"/>
          <w:color w:val="00548B"/>
        </w:rPr>
      </w:pPr>
    </w:p>
    <w:p>
      <w:pPr>
        <w:ind w:left="520" w:hanging="316"/>
        <w:spacing w:after="0" w:line="246" w:lineRule="auto"/>
        <w:tabs>
          <w:tab w:leader="none" w:pos="487" w:val="left"/>
        </w:tabs>
        <w:numPr>
          <w:ilvl w:val="0"/>
          <w:numId w:val="20"/>
        </w:numPr>
        <w:rPr>
          <w:rFonts w:ascii="Arial" w:cs="Arial" w:eastAsia="Arial" w:hAnsi="Arial"/>
          <w:sz w:val="16"/>
          <w:szCs w:val="16"/>
          <w:color w:val="00548B"/>
        </w:rPr>
      </w:pPr>
      <w:r>
        <w:rPr>
          <w:rFonts w:ascii="Arial" w:cs="Arial" w:eastAsia="Arial" w:hAnsi="Arial"/>
          <w:sz w:val="16"/>
          <w:szCs w:val="16"/>
          <w:color w:val="auto"/>
        </w:rPr>
        <w:t>Attracting, retaining, and motivating high caliber employees with diverse perspectives and experience levels, including subject matter and/or technical expertise.</w:t>
      </w:r>
    </w:p>
    <w:p>
      <w:pPr>
        <w:ind w:left="520" w:hanging="316"/>
        <w:spacing w:after="0" w:line="260" w:lineRule="auto"/>
        <w:tabs>
          <w:tab w:leader="none" w:pos="496" w:val="left"/>
        </w:tabs>
        <w:numPr>
          <w:ilvl w:val="0"/>
          <w:numId w:val="20"/>
        </w:numPr>
        <w:rPr>
          <w:rFonts w:ascii="Arial" w:cs="Arial" w:eastAsia="Arial" w:hAnsi="Arial"/>
          <w:sz w:val="16"/>
          <w:szCs w:val="16"/>
          <w:color w:val="00548B"/>
        </w:rPr>
      </w:pPr>
      <w:r>
        <w:rPr>
          <w:rFonts w:ascii="Arial" w:cs="Arial" w:eastAsia="Arial" w:hAnsi="Arial"/>
          <w:sz w:val="16"/>
          <w:szCs w:val="16"/>
          <w:color w:val="auto"/>
        </w:rPr>
        <w:t>Supplementing organic growth by successfully identifying, executing and integrating acquisitions that expand our current market offerings and deepen our industry expertise or broaden our capabilities to best serve our clients’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71755</wp:posOffset>
            </wp:positionV>
            <wp:extent cx="699770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D8D8D8"/>
        </w:rPr>
        <w:t>Compensation Strategy</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compensation philosophy has three key elements:</w:t>
      </w:r>
    </w:p>
    <w:p>
      <w:pPr>
        <w:spacing w:after="0" w:line="127" w:lineRule="exact"/>
        <w:rPr>
          <w:sz w:val="20"/>
          <w:szCs w:val="20"/>
          <w:color w:val="auto"/>
        </w:rPr>
      </w:pPr>
    </w:p>
    <w:p>
      <w:pPr>
        <w:ind w:left="500" w:hanging="296"/>
        <w:spacing w:after="0"/>
        <w:tabs>
          <w:tab w:leader="none" w:pos="500" w:val="left"/>
        </w:tabs>
        <w:numPr>
          <w:ilvl w:val="0"/>
          <w:numId w:val="21"/>
        </w:numPr>
        <w:rPr>
          <w:rFonts w:ascii="Arial" w:cs="Arial" w:eastAsia="Arial" w:hAnsi="Arial"/>
          <w:sz w:val="16"/>
          <w:szCs w:val="16"/>
          <w:color w:val="00548B"/>
        </w:rPr>
      </w:pPr>
      <w:r>
        <w:rPr>
          <w:rFonts w:ascii="Arial" w:cs="Arial" w:eastAsia="Arial" w:hAnsi="Arial"/>
          <w:sz w:val="16"/>
          <w:szCs w:val="16"/>
          <w:color w:val="auto"/>
        </w:rPr>
        <w:t>Motivate and reward performance in the long-term best interests of shareholders.</w:t>
      </w:r>
    </w:p>
    <w:p>
      <w:pPr>
        <w:spacing w:after="0" w:line="5" w:lineRule="exact"/>
        <w:rPr>
          <w:rFonts w:ascii="Arial" w:cs="Arial" w:eastAsia="Arial" w:hAnsi="Arial"/>
          <w:sz w:val="16"/>
          <w:szCs w:val="16"/>
          <w:color w:val="00548B"/>
        </w:rPr>
      </w:pPr>
    </w:p>
    <w:p>
      <w:pPr>
        <w:ind w:left="500" w:hanging="296"/>
        <w:spacing w:after="0"/>
        <w:tabs>
          <w:tab w:leader="none" w:pos="500" w:val="left"/>
        </w:tabs>
        <w:numPr>
          <w:ilvl w:val="0"/>
          <w:numId w:val="21"/>
        </w:numPr>
        <w:rPr>
          <w:rFonts w:ascii="Arial" w:cs="Arial" w:eastAsia="Arial" w:hAnsi="Arial"/>
          <w:sz w:val="16"/>
          <w:szCs w:val="16"/>
          <w:color w:val="00548B"/>
        </w:rPr>
      </w:pPr>
      <w:r>
        <w:rPr>
          <w:rFonts w:ascii="Arial" w:cs="Arial" w:eastAsia="Arial" w:hAnsi="Arial"/>
          <w:sz w:val="16"/>
          <w:szCs w:val="16"/>
          <w:color w:val="auto"/>
        </w:rPr>
        <w:t>Deliver competitive total compensation generally targeted at the median of our peer group (+/-15%).</w:t>
      </w:r>
    </w:p>
    <w:p>
      <w:pPr>
        <w:spacing w:after="0" w:line="5" w:lineRule="exact"/>
        <w:rPr>
          <w:rFonts w:ascii="Arial" w:cs="Arial" w:eastAsia="Arial" w:hAnsi="Arial"/>
          <w:sz w:val="16"/>
          <w:szCs w:val="16"/>
          <w:color w:val="00548B"/>
        </w:rPr>
      </w:pPr>
    </w:p>
    <w:p>
      <w:pPr>
        <w:jc w:val="both"/>
        <w:ind w:left="520" w:hanging="316"/>
        <w:spacing w:after="0" w:line="253" w:lineRule="auto"/>
        <w:tabs>
          <w:tab w:leader="none" w:pos="496" w:val="left"/>
        </w:tabs>
        <w:numPr>
          <w:ilvl w:val="0"/>
          <w:numId w:val="21"/>
        </w:numPr>
        <w:rPr>
          <w:rFonts w:ascii="Arial" w:cs="Arial" w:eastAsia="Arial" w:hAnsi="Arial"/>
          <w:sz w:val="16"/>
          <w:szCs w:val="16"/>
          <w:color w:val="00548B"/>
        </w:rPr>
      </w:pPr>
      <w:r>
        <w:rPr>
          <w:rFonts w:ascii="Arial" w:cs="Arial" w:eastAsia="Arial" w:hAnsi="Arial"/>
          <w:sz w:val="16"/>
          <w:szCs w:val="16"/>
          <w:color w:val="auto"/>
        </w:rPr>
        <w:t>Place a substantial portion of the compensation of our named executive officers at risk; actual payouts should vary based on the Company’s financial and operational performance. The performance measures that determine our incentive awards, as approved annually by the Compensation Committee, are directly aligned with our business strategy and drive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83820</wp:posOffset>
            </wp:positionV>
            <wp:extent cx="10464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56" w:lineRule="exact"/>
        <w:rPr>
          <w:sz w:val="20"/>
          <w:szCs w:val="20"/>
          <w:color w:val="auto"/>
        </w:rPr>
      </w:pPr>
    </w:p>
    <w:p>
      <w:pPr>
        <w:ind w:left="420" w:hanging="216"/>
        <w:spacing w:after="0"/>
        <w:tabs>
          <w:tab w:leader="none" w:pos="420" w:val="left"/>
        </w:tabs>
        <w:numPr>
          <w:ilvl w:val="0"/>
          <w:numId w:val="22"/>
        </w:numPr>
        <w:rPr>
          <w:rFonts w:ascii="Arial" w:cs="Arial" w:eastAsia="Arial" w:hAnsi="Arial"/>
          <w:sz w:val="12"/>
          <w:szCs w:val="12"/>
          <w:i w:val="1"/>
          <w:iCs w:val="1"/>
          <w:color w:val="auto"/>
        </w:rPr>
      </w:pPr>
      <w:r>
        <w:rPr>
          <w:rFonts w:ascii="Arial" w:cs="Arial" w:eastAsia="Arial" w:hAnsi="Arial"/>
          <w:sz w:val="12"/>
          <w:szCs w:val="12"/>
          <w:i w:val="1"/>
          <w:iCs w:val="1"/>
          <w:color w:val="auto"/>
        </w:rPr>
        <w:t>Mr. Roth also served as President until February 2019.</w:t>
      </w:r>
    </w:p>
    <w:p>
      <w:pPr>
        <w:spacing w:after="0" w:line="9" w:lineRule="exact"/>
        <w:rPr>
          <w:sz w:val="20"/>
          <w:szCs w:val="20"/>
          <w:color w:val="auto"/>
        </w:rPr>
      </w:pPr>
    </w:p>
    <w:p>
      <w:pPr>
        <w:ind w:left="420" w:hanging="216"/>
        <w:spacing w:after="0"/>
        <w:tabs>
          <w:tab w:leader="none" w:pos="420"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Mr. Hussey also served in the interim role of Healthcare Practice Leader during 2017 and 2018, and became President in February 2019.</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21</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D8D8D8"/>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Company’s financial and strategic performance determines the majority of our NEOs’ compensation.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2018 business results were as follows</w:t>
      </w:r>
      <w:r>
        <w:rPr>
          <w:rFonts w:ascii="Arial" w:cs="Arial" w:eastAsia="Arial" w:hAnsi="Arial"/>
          <w:sz w:val="27"/>
          <w:szCs w:val="27"/>
          <w:b w:val="1"/>
          <w:bCs w:val="1"/>
          <w:color w:val="auto"/>
          <w:vertAlign w:val="superscript"/>
        </w:rPr>
        <w:t>4</w:t>
      </w:r>
      <w:r>
        <w:rPr>
          <w:rFonts w:ascii="Arial" w:cs="Arial" w:eastAsia="Arial" w:hAnsi="Arial"/>
          <w:sz w:val="16"/>
          <w:szCs w:val="16"/>
          <w:b w:val="1"/>
          <w:bCs w:val="1"/>
          <w:color w:val="auto"/>
        </w:rPr>
        <w:t>:</w:t>
      </w:r>
    </w:p>
    <w:p>
      <w:pPr>
        <w:spacing w:after="0" w:line="102" w:lineRule="exact"/>
        <w:rPr>
          <w:sz w:val="20"/>
          <w:szCs w:val="20"/>
          <w:color w:val="auto"/>
        </w:rPr>
      </w:pPr>
    </w:p>
    <w:p>
      <w:pPr>
        <w:jc w:val="both"/>
        <w:ind w:left="520" w:hanging="316"/>
        <w:spacing w:after="0" w:line="246" w:lineRule="auto"/>
        <w:tabs>
          <w:tab w:leader="none" w:pos="496"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In 2018, we began executing against our new, enterprise-wide strategy to drive sustainable organic growth and margin expansion over time. We also created a unified sense of purpose for our employees through a new vision, mission, set of values and brand positioning that align closely with our strategy.</w:t>
      </w:r>
    </w:p>
    <w:p>
      <w:pPr>
        <w:spacing w:after="0" w:line="1" w:lineRule="exact"/>
        <w:rPr>
          <w:rFonts w:ascii="Arial" w:cs="Arial" w:eastAsia="Arial" w:hAnsi="Arial"/>
          <w:sz w:val="16"/>
          <w:szCs w:val="16"/>
          <w:color w:val="00548B"/>
        </w:rPr>
      </w:pPr>
    </w:p>
    <w:p>
      <w:pPr>
        <w:ind w:left="520" w:hanging="316"/>
        <w:spacing w:after="0" w:line="246" w:lineRule="auto"/>
        <w:tabs>
          <w:tab w:leader="none" w:pos="496"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We have evolved our strategic planning process and organizational governance model to accelerate our ability to execute and more aggressively strengthen our competitive position.</w:t>
      </w:r>
    </w:p>
    <w:p>
      <w:pPr>
        <w:ind w:left="500" w:hanging="296"/>
        <w:spacing w:after="0"/>
        <w:tabs>
          <w:tab w:leader="none" w:pos="500"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Net revenues were $795.1 million in 2018, compared to $732.6 million in the prior year, driven by 8% organic revenue growth.</w:t>
      </w:r>
    </w:p>
    <w:p>
      <w:pPr>
        <w:spacing w:after="0" w:line="5" w:lineRule="exact"/>
        <w:rPr>
          <w:rFonts w:ascii="Arial" w:cs="Arial" w:eastAsia="Arial" w:hAnsi="Arial"/>
          <w:sz w:val="16"/>
          <w:szCs w:val="16"/>
          <w:color w:val="00548B"/>
        </w:rPr>
      </w:pPr>
    </w:p>
    <w:p>
      <w:pPr>
        <w:jc w:val="both"/>
        <w:ind w:left="520" w:hanging="316"/>
        <w:spacing w:after="0" w:line="247" w:lineRule="auto"/>
        <w:tabs>
          <w:tab w:leader="none" w:pos="487"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As anticipated, Adjusted EBITDA decreased to $91.0 million in 2018, or 11.4% of revenues, compared to $104.6 million in 2017, or 14.3% of revenues. In 2016 and 2017, we experienced lower margins for two primary reasons. First, margins within our largest segment, Healthcare, declined as healthcare providers shifted away from buying large, comprehensive performance improvement engagements that typically involved multiple service lines and a higher mix of performance-based fees to smaller, more discrete engagements involving a single service line and a greater percentage of fixed fees at lower margin. Second, demand increased across all segments for our technology implementation offerings, which tend to have lower margins than other service offerings, resulting in a less favorable margin mix of services. As a result of these challenges, bonus funding for our employees was at a low level in 2017. In the fourth quarter of 2017, we began to see increased demand for our services, particularly in the Healthcare segment. Healthcare segment revenue increased more than 20% sequentially from the third to the fourth quarter of 2017 when we experienced record utilization of 84.5%. As the U.S. labor market strengthened, we concurrently saw increased competition for talent for our consultants. In the interest of driving shareholder value for the long term, the Committee made the decision to establish 2018 EBITDA targets for each business that would make full bonus payouts possible if these revised financial targets were achieved. This decision negatively affected 2018 EBITDA, but the Committee believes it was critical to the recruitment and retention of revenue-generating talent in a highly competitive market. The board believes the retention and recruitment of talent is essential to our ability to grow revenues and expand margins over time, which will drive increased shareholder value.</w:t>
      </w:r>
    </w:p>
    <w:p>
      <w:pPr>
        <w:spacing w:after="0" w:line="307" w:lineRule="exact"/>
        <w:rPr>
          <w:sz w:val="20"/>
          <w:szCs w:val="20"/>
          <w:color w:val="auto"/>
        </w:rPr>
      </w:pPr>
    </w:p>
    <w:p>
      <w:pPr>
        <w:jc w:val="both"/>
        <w:ind w:left="520"/>
        <w:spacing w:after="0" w:line="249" w:lineRule="auto"/>
        <w:rPr>
          <w:sz w:val="20"/>
          <w:szCs w:val="20"/>
          <w:color w:val="auto"/>
        </w:rPr>
      </w:pPr>
      <w:r>
        <w:rPr>
          <w:rFonts w:ascii="Arial" w:cs="Arial" w:eastAsia="Arial" w:hAnsi="Arial"/>
          <w:sz w:val="16"/>
          <w:szCs w:val="16"/>
          <w:color w:val="auto"/>
        </w:rPr>
        <w:t>We believe that the strategic positioning we developed in 2017 and executed in 2018 is taking hold. We grew Company-wide revenues 8% organically for the full year 2018 and Healthcare segment revenues grew organically for the full year 2018, which is the first time this occurred since 2014. While there continues to be intense competition for talent, we believe we have been successful at retaining our revenue-generating professionals and creating an attractive platform to recruit new talent. We have also benefited from the use of equity to retain our managing directors. Based on our Revenue Growth and efficiency-focused initiatives at the practice level and the continued leveraging of our corporate SG&amp;A expenses, the Company has planned for and guided to expanding margins in 2019 and the Compensation Committee has set the NEO compensation targets accordingly.</w:t>
      </w:r>
    </w:p>
    <w:p>
      <w:pPr>
        <w:spacing w:after="0" w:line="300" w:lineRule="exact"/>
        <w:rPr>
          <w:sz w:val="20"/>
          <w:szCs w:val="20"/>
          <w:color w:val="auto"/>
        </w:rPr>
      </w:pPr>
    </w:p>
    <w:p>
      <w:pPr>
        <w:ind w:left="520" w:hanging="316"/>
        <w:spacing w:after="0" w:line="246" w:lineRule="auto"/>
        <w:tabs>
          <w:tab w:leader="none" w:pos="487" w:val="left"/>
        </w:tabs>
        <w:numPr>
          <w:ilvl w:val="0"/>
          <w:numId w:val="25"/>
        </w:numPr>
        <w:rPr>
          <w:rFonts w:ascii="Arial" w:cs="Arial" w:eastAsia="Arial" w:hAnsi="Arial"/>
          <w:sz w:val="16"/>
          <w:szCs w:val="16"/>
          <w:color w:val="00548B"/>
        </w:rPr>
      </w:pPr>
      <w:r>
        <w:rPr>
          <w:rFonts w:ascii="Arial" w:cs="Arial" w:eastAsia="Arial" w:hAnsi="Arial"/>
          <w:sz w:val="16"/>
          <w:szCs w:val="16"/>
          <w:color w:val="auto"/>
        </w:rPr>
        <w:t>Adjusted Diluted EPS was $2.08 in 2018, compared to $2.15 in 2017, reflecting the Adjusted EBITDA headwinds described above, partially offset by a lower effective tax rate.</w:t>
      </w:r>
    </w:p>
    <w:p>
      <w:pPr>
        <w:ind w:left="520" w:hanging="316"/>
        <w:spacing w:after="0" w:line="260" w:lineRule="auto"/>
        <w:tabs>
          <w:tab w:leader="none" w:pos="496" w:val="left"/>
        </w:tabs>
        <w:numPr>
          <w:ilvl w:val="0"/>
          <w:numId w:val="25"/>
        </w:numPr>
        <w:rPr>
          <w:rFonts w:ascii="Arial" w:cs="Arial" w:eastAsia="Arial" w:hAnsi="Arial"/>
          <w:sz w:val="16"/>
          <w:szCs w:val="16"/>
          <w:color w:val="00548B"/>
        </w:rPr>
      </w:pPr>
      <w:r>
        <w:rPr>
          <w:rFonts w:ascii="Arial" w:cs="Arial" w:eastAsia="Arial" w:hAnsi="Arial"/>
          <w:sz w:val="16"/>
          <w:szCs w:val="16"/>
          <w:color w:val="auto"/>
        </w:rPr>
        <w:t>We also continued to align our corporate infrastructure with the evolving needs of our business to gain efficiencies and leverage our SG&amp;A expense, lowering SG&amp;A as a percentage of revenue by 220 basis points in 2018, compared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131445</wp:posOffset>
            </wp:positionV>
            <wp:extent cx="10464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31" w:lineRule="exact"/>
        <w:rPr>
          <w:sz w:val="20"/>
          <w:szCs w:val="20"/>
          <w:color w:val="auto"/>
        </w:rPr>
      </w:pPr>
    </w:p>
    <w:p>
      <w:pPr>
        <w:jc w:val="both"/>
        <w:ind w:left="420" w:hanging="216"/>
        <w:spacing w:after="0" w:line="239" w:lineRule="auto"/>
        <w:tabs>
          <w:tab w:leader="none" w:pos="420" w:val="left"/>
        </w:tabs>
        <w:numPr>
          <w:ilvl w:val="0"/>
          <w:numId w:val="26"/>
        </w:numPr>
        <w:rPr>
          <w:rFonts w:ascii="Arial" w:cs="Arial" w:eastAsia="Arial" w:hAnsi="Arial"/>
          <w:sz w:val="12"/>
          <w:szCs w:val="12"/>
          <w:i w:val="1"/>
          <w:iCs w:val="1"/>
          <w:color w:val="auto"/>
        </w:rPr>
      </w:pPr>
      <w:r>
        <w:rPr>
          <w:rFonts w:ascii="Arial" w:cs="Arial" w:eastAsia="Arial" w:hAnsi="Arial"/>
          <w:sz w:val="12"/>
          <w:szCs w:val="12"/>
          <w:i w:val="1"/>
          <w:iCs w:val="1"/>
          <w:color w:val="auto"/>
        </w:rPr>
        <w:t>In the discussion of the Company’s 2018 performance, the Compensation Committee discusses certain of Huron’s results of operations using non-GAAP financial measures, which are discussed in the Company’s Annual Report on Form 10-K for the year ended December 31, 2018 (the “2018 Annual Report on Form 10-K”), Item 7, Management’s Discussion and Analysis of Financial Condition and Results of Operations under the subheading “Non-GAAP Measures.” These non-GAAP financial measures include adjusted EBITDA, adjusted EBITDA margin, adjusted net income, and adjusted diluted EPS. EBITDA is defined as net income (loss) from continuing operations before interest, income tax expense and depreciation and amortization. Adjusted EBITDA represents EBITDA as adjusted by adding back restructuring charges, other gains and losses, non-operating income and expense, and foreign currency transaction gains and losses. Adjusted EBITDA margin is adjusted EBITDA expressed as a percentage of net revenues. Adjusted diluted EPS is defined as diluted earnings (loss) per share from continuing operations adjusted by adding back the same items as adjusted EBITDA, in addition to amortization of intangible assets, non-cash interest on convertible notes, all on a tax effected basis, as well as tax expense related to the enactment of Tax Cuts and Jobs Act of 2017.</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22</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D8D8D8"/>
        </w:rPr>
        <w:t>Impact of Results on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171450"/>
                    </a:xfrm>
                    <a:prstGeom prst="rect">
                      <a:avLst/>
                    </a:prstGeom>
                    <a:noFill/>
                  </pic:spPr>
                </pic:pic>
              </a:graphicData>
            </a:graphic>
          </wp:anchor>
        </w:drawing>
      </w:r>
    </w:p>
    <w:p>
      <w:pPr>
        <w:spacing w:after="0" w:line="17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Our compensation philosophy and incentive plan design strive to incentivize management by aligning their interests with those of our shareholders. In 2018, approximately 80% of total direct compensation for our Chief Executive Officer, and approximately 67% on average for our other NEOs, was performance-based and not guaranteed. The graphs below illustrate this performance-based mix of pay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127000</wp:posOffset>
            </wp:positionV>
            <wp:extent cx="4399280" cy="26587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9928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In 2018, we were able to achieve a number of our annual incentive goals, including outperforming our Organic Revenue Growth goal. As a result, our NEOs earned 117% of their target annual incentive awards. However, our performance-based long-term incentive awards eligible to vest in 2018 were not earned, resulting in executives not realizing their full target equity award values. For 2018, our CEO’s actual pay was 63% of target and on average our NEOs’ actual pay was 73% of target.</w:t>
      </w:r>
    </w:p>
    <w:p>
      <w:pPr>
        <w:spacing w:after="0" w:line="162"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Our executive compensation programs are designed to be aligned with shareholder value. This is reflected in a comparison of Mr. Roth’s target and realizable compensation. The graph below illustrates the target compensation opportunity provided to Mr. Roth from 2014-2018, the compensation he has earned, and the compensation he still has the potential to earn over this same period (LTI At-Risk). The realizable compensation values are compared with our TSR performance over the same period. Mr. Roth’s reduced target opportunity for 2019 is presented on the right side of the chart for additional context.</w:t>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23</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Realizable pay includes salary, actual annual incentive earned and equity incentives earned or remaining eligible to be earned, valued at the December 31, 2018 share price. The shortfall between realizable pay and target pay can be attributed to lack of achievement of annual or long-term incentive goals, which resulted in target opportunity being forfeited, and the decline in share price. For all completed and known vesting and performance periods as of December 31, 2018, Mr. Roth had earned 62% of his target opportunity. The At-Risk portion outstanding is purposefully tied to the achievement of our strategic objectives and requires achievement of rigorous Adjusted Diluted EPS and Revenue Growth goals in order to be earned, which demonstrates the challenging nature of the incentive goals set by the board.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5-Year CEO Pay ($000s)</w:t>
      </w:r>
    </w:p>
    <w:p>
      <w:pPr>
        <w:spacing w:after="0" w:line="2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(2014-2018)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139065</wp:posOffset>
            </wp:positionV>
            <wp:extent cx="5017135" cy="2006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1713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40" w:hanging="536"/>
        <w:spacing w:after="0" w:line="260" w:lineRule="auto"/>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Target Pay reflects the sum of the target compensation levels, including base salary, target annual incentive and the grant date fair value of equity provided in 2014, 2015, 2016, 2017, 2018 and projected for 2019.</w:t>
      </w:r>
    </w:p>
    <w:p>
      <w:pPr>
        <w:spacing w:after="0" w:line="101" w:lineRule="exact"/>
        <w:rPr>
          <w:rFonts w:ascii="Arial" w:cs="Arial" w:eastAsia="Arial" w:hAnsi="Arial"/>
          <w:sz w:val="16"/>
          <w:szCs w:val="16"/>
          <w:color w:val="auto"/>
        </w:rPr>
      </w:pPr>
    </w:p>
    <w:p>
      <w:pPr>
        <w:jc w:val="both"/>
        <w:ind w:left="740" w:hanging="536"/>
        <w:spacing w:after="0" w:line="251" w:lineRule="auto"/>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Realizable Pay reflects the sum of actual base salary paid, actual annual incentive paid and the value of long-term incentive awards granted in 2014, 2015, 2016, 2017 and 2018. “Vested LTI” includes all time-based RSUs that were vested and the portion, if any, of performance-based RSUs that were vested as of 12/31/18. “LTI At-Risk” includes time-based and performance-based RSUs that were not vested as of 12/31/18, assumed at target. All equity is valued at the $51.31 2018 year-end share price. Specifically for the PSUs:</w:t>
      </w:r>
    </w:p>
    <w:p>
      <w:pPr>
        <w:spacing w:after="0" w:line="108" w:lineRule="exact"/>
        <w:rPr>
          <w:rFonts w:ascii="Arial" w:cs="Arial" w:eastAsia="Arial" w:hAnsi="Arial"/>
          <w:sz w:val="16"/>
          <w:szCs w:val="16"/>
          <w:color w:val="auto"/>
        </w:rPr>
      </w:pPr>
    </w:p>
    <w:p>
      <w:pPr>
        <w:ind w:left="1280" w:hanging="536"/>
        <w:spacing w:after="0" w:line="260" w:lineRule="auto"/>
        <w:tabs>
          <w:tab w:leader="none" w:pos="12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performance-based awards granted in 2014 had two tranches. The 2014 tranche vested at 151% of target. The 2014-2016 tranche vested at 69% of target.</w:t>
      </w:r>
    </w:p>
    <w:p>
      <w:pPr>
        <w:spacing w:after="0" w:line="101" w:lineRule="exact"/>
        <w:rPr>
          <w:rFonts w:ascii="Arial" w:cs="Arial" w:eastAsia="Arial" w:hAnsi="Arial"/>
          <w:sz w:val="16"/>
          <w:szCs w:val="16"/>
          <w:color w:val="auto"/>
        </w:rPr>
      </w:pPr>
    </w:p>
    <w:p>
      <w:pPr>
        <w:ind w:left="1280" w:hanging="536"/>
        <w:spacing w:after="0"/>
        <w:tabs>
          <w:tab w:leader="none" w:pos="12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performance-based awards granted in 2015 were forfeited.</w:t>
      </w:r>
    </w:p>
    <w:p>
      <w:pPr>
        <w:spacing w:after="0" w:line="126" w:lineRule="exact"/>
        <w:rPr>
          <w:rFonts w:ascii="Arial" w:cs="Arial" w:eastAsia="Arial" w:hAnsi="Arial"/>
          <w:sz w:val="16"/>
          <w:szCs w:val="16"/>
          <w:color w:val="auto"/>
        </w:rPr>
      </w:pPr>
    </w:p>
    <w:p>
      <w:pPr>
        <w:ind w:left="1280" w:hanging="536"/>
        <w:spacing w:after="0" w:line="260" w:lineRule="auto"/>
        <w:tabs>
          <w:tab w:leader="none" w:pos="12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performance-based awards granted in 2016 had two tranches. The 2016 tranche vested at 55%. The second tranche was forfeited, resulting in a total payout of 25% of the target award value.</w:t>
      </w:r>
    </w:p>
    <w:p>
      <w:pPr>
        <w:spacing w:after="0" w:line="101" w:lineRule="exact"/>
        <w:rPr>
          <w:rFonts w:ascii="Arial" w:cs="Arial" w:eastAsia="Arial" w:hAnsi="Arial"/>
          <w:sz w:val="16"/>
          <w:szCs w:val="16"/>
          <w:color w:val="auto"/>
        </w:rPr>
      </w:pPr>
    </w:p>
    <w:p>
      <w:pPr>
        <w:ind w:left="1280" w:hanging="536"/>
        <w:spacing w:after="0"/>
        <w:tabs>
          <w:tab w:leader="none" w:pos="12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2017 tranche of the 2017-2019 performance-based award was forfeited.</w:t>
      </w:r>
    </w:p>
    <w:p>
      <w:pPr>
        <w:spacing w:after="0" w:line="126" w:lineRule="exact"/>
        <w:rPr>
          <w:rFonts w:ascii="Arial" w:cs="Arial" w:eastAsia="Arial" w:hAnsi="Arial"/>
          <w:sz w:val="16"/>
          <w:szCs w:val="16"/>
          <w:color w:val="auto"/>
        </w:rPr>
      </w:pPr>
    </w:p>
    <w:p>
      <w:pPr>
        <w:ind w:left="1280" w:hanging="536"/>
        <w:spacing w:after="0"/>
        <w:tabs>
          <w:tab w:leader="none" w:pos="12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2019 tranche of the 2017-2019 award is assumed forfeited based on the level of underperformance to date.</w:t>
      </w:r>
    </w:p>
    <w:p>
      <w:pPr>
        <w:spacing w:after="0" w:line="126" w:lineRule="exact"/>
        <w:rPr>
          <w:rFonts w:ascii="Arial" w:cs="Arial" w:eastAsia="Arial" w:hAnsi="Arial"/>
          <w:sz w:val="16"/>
          <w:szCs w:val="16"/>
          <w:color w:val="auto"/>
        </w:rPr>
      </w:pPr>
    </w:p>
    <w:p>
      <w:pPr>
        <w:ind w:left="1280" w:hanging="536"/>
        <w:spacing w:after="0" w:line="260" w:lineRule="auto"/>
        <w:tabs>
          <w:tab w:leader="none" w:pos="12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2018-2020 award is shown at target as this three-year performance cycle has not been completed, but actual results are uncertain and require significant growth in Adjusted Diluted EPS and revenue.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24</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7006590"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06590" cy="231775"/>
                    </a:xfrm>
                    <a:prstGeom prst="rect">
                      <a:avLst/>
                    </a:prstGeom>
                    <a:noFill/>
                  </pic:spPr>
                </pic:pic>
              </a:graphicData>
            </a:graphic>
          </wp:anchor>
        </w:drawing>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D8D8D8"/>
        </w:rPr>
        <w:t>SECTION 2 - COMPENSATION PROGRAM OVERVIEW</w:t>
      </w:r>
    </w:p>
    <w:p>
      <w:pPr>
        <w:spacing w:after="0" w:line="277"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Huron’s executive compensation program is structured to align executive pay with Company performance. We strive to provide compensation to motivate and reward performance that is in the long-term best interests of our shareholders. We define performance as a blend of:</w:t>
      </w:r>
    </w:p>
    <w:p>
      <w:pPr>
        <w:spacing w:after="0" w:line="196"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6"/>
          <w:szCs w:val="16"/>
          <w:color w:val="00548B"/>
        </w:rPr>
      </w:pPr>
      <w:r>
        <w:rPr>
          <w:rFonts w:ascii="Arial" w:cs="Arial" w:eastAsia="Arial" w:hAnsi="Arial"/>
          <w:sz w:val="16"/>
          <w:szCs w:val="16"/>
          <w:color w:val="auto"/>
        </w:rPr>
        <w:t>Delivering value to shareholders</w:t>
      </w:r>
    </w:p>
    <w:p>
      <w:pPr>
        <w:spacing w:after="0" w:line="5" w:lineRule="exact"/>
        <w:rPr>
          <w:rFonts w:ascii="Arial" w:cs="Arial" w:eastAsia="Arial" w:hAnsi="Arial"/>
          <w:sz w:val="16"/>
          <w:szCs w:val="16"/>
          <w:color w:val="00548B"/>
        </w:rPr>
      </w:pPr>
    </w:p>
    <w:p>
      <w:pPr>
        <w:ind w:left="1060" w:hanging="424"/>
        <w:spacing w:after="0"/>
        <w:tabs>
          <w:tab w:leader="none" w:pos="1060" w:val="left"/>
        </w:tabs>
        <w:numPr>
          <w:ilvl w:val="0"/>
          <w:numId w:val="28"/>
        </w:numPr>
        <w:rPr>
          <w:rFonts w:ascii="Arial" w:cs="Arial" w:eastAsia="Arial" w:hAnsi="Arial"/>
          <w:sz w:val="16"/>
          <w:szCs w:val="16"/>
          <w:color w:val="00548B"/>
        </w:rPr>
      </w:pPr>
      <w:r>
        <w:rPr>
          <w:rFonts w:ascii="Arial" w:cs="Arial" w:eastAsia="Arial" w:hAnsi="Arial"/>
          <w:sz w:val="16"/>
          <w:szCs w:val="16"/>
          <w:color w:val="auto"/>
        </w:rPr>
        <w:t>Achieving financial performance in comparison to pre-established financial goals</w:t>
      </w:r>
    </w:p>
    <w:p>
      <w:pPr>
        <w:spacing w:after="0" w:line="5" w:lineRule="exact"/>
        <w:rPr>
          <w:rFonts w:ascii="Arial" w:cs="Arial" w:eastAsia="Arial" w:hAnsi="Arial"/>
          <w:sz w:val="16"/>
          <w:szCs w:val="16"/>
          <w:color w:val="00548B"/>
        </w:rPr>
      </w:pPr>
    </w:p>
    <w:p>
      <w:pPr>
        <w:ind w:left="1060" w:hanging="424"/>
        <w:spacing w:after="0"/>
        <w:tabs>
          <w:tab w:leader="none" w:pos="1060" w:val="left"/>
        </w:tabs>
        <w:numPr>
          <w:ilvl w:val="0"/>
          <w:numId w:val="28"/>
        </w:numPr>
        <w:rPr>
          <w:rFonts w:ascii="Arial" w:cs="Arial" w:eastAsia="Arial" w:hAnsi="Arial"/>
          <w:sz w:val="16"/>
          <w:szCs w:val="16"/>
          <w:color w:val="00548B"/>
        </w:rPr>
      </w:pPr>
      <w:r>
        <w:rPr>
          <w:rFonts w:ascii="Arial" w:cs="Arial" w:eastAsia="Arial" w:hAnsi="Arial"/>
          <w:sz w:val="16"/>
          <w:szCs w:val="16"/>
          <w:color w:val="auto"/>
        </w:rPr>
        <w:t>Attaining strategic initiatives that we believe are critical to future value creation</w:t>
      </w:r>
    </w:p>
    <w:p>
      <w:pPr>
        <w:spacing w:after="0" w:line="199" w:lineRule="exact"/>
        <w:rPr>
          <w:sz w:val="20"/>
          <w:szCs w:val="20"/>
          <w:color w:val="auto"/>
        </w:rPr>
      </w:pPr>
    </w:p>
    <w:tbl>
      <w:tblPr>
        <w:tblLayout w:type="fixed"/>
        <w:tblInd w:w="230" w:type="dxa"/>
        <w:tblCellMar>
          <w:top w:w="0" w:type="dxa"/>
          <w:left w:w="0" w:type="dxa"/>
          <w:bottom w:w="0" w:type="dxa"/>
          <w:right w:w="0" w:type="dxa"/>
        </w:tblCellMar>
      </w:tblPr>
      <w:tr>
        <w:trPr>
          <w:trHeight w:val="250"/>
        </w:trPr>
        <w:tc>
          <w:tcPr>
            <w:tcW w:w="300" w:type="dxa"/>
            <w:vAlign w:val="bottom"/>
            <w:tcBorders>
              <w:top w:val="single" w:sz="8" w:color="00548B"/>
              <w:left w:val="single" w:sz="8" w:color="00548B"/>
              <w:bottom w:val="single" w:sz="8" w:color="00548B"/>
              <w:right w:val="single" w:sz="8" w:color="999999"/>
            </w:tcBorders>
            <w:shd w:val="clear" w:color="auto" w:fill="00548B"/>
          </w:tcPr>
          <w:p>
            <w:pPr>
              <w:spacing w:after="0"/>
              <w:rPr>
                <w:sz w:val="21"/>
                <w:szCs w:val="21"/>
                <w:color w:val="auto"/>
              </w:rPr>
            </w:pPr>
          </w:p>
        </w:tc>
        <w:tc>
          <w:tcPr>
            <w:tcW w:w="5280" w:type="dxa"/>
            <w:vAlign w:val="bottom"/>
            <w:tcBorders>
              <w:top w:val="single" w:sz="8" w:color="00548B"/>
              <w:bottom w:val="single" w:sz="8" w:color="00548B"/>
              <w:right w:val="single" w:sz="8" w:color="999999"/>
            </w:tcBorders>
            <w:shd w:val="clear" w:color="auto" w:fill="00548B"/>
          </w:tcPr>
          <w:p>
            <w:pPr>
              <w:ind w:left="2260"/>
              <w:spacing w:after="0"/>
              <w:rPr>
                <w:sz w:val="20"/>
                <w:szCs w:val="20"/>
                <w:color w:val="auto"/>
              </w:rPr>
            </w:pPr>
            <w:r>
              <w:rPr>
                <w:rFonts w:ascii="Arial" w:cs="Arial" w:eastAsia="Arial" w:hAnsi="Arial"/>
                <w:sz w:val="14"/>
                <w:szCs w:val="14"/>
                <w:b w:val="1"/>
                <w:bCs w:val="1"/>
                <w:color w:val="D8D8D8"/>
              </w:rPr>
              <w:t>What We Do</w:t>
            </w:r>
          </w:p>
        </w:tc>
        <w:tc>
          <w:tcPr>
            <w:tcW w:w="260" w:type="dxa"/>
            <w:vAlign w:val="bottom"/>
            <w:tcBorders>
              <w:top w:val="single" w:sz="8" w:color="00548B"/>
              <w:bottom w:val="single" w:sz="8" w:color="00548B"/>
              <w:right w:val="single" w:sz="8" w:color="999999"/>
            </w:tcBorders>
            <w:shd w:val="clear" w:color="auto" w:fill="00548B"/>
          </w:tcPr>
          <w:p>
            <w:pPr>
              <w:spacing w:after="0"/>
              <w:rPr>
                <w:sz w:val="21"/>
                <w:szCs w:val="21"/>
                <w:color w:val="auto"/>
              </w:rPr>
            </w:pPr>
          </w:p>
        </w:tc>
        <w:tc>
          <w:tcPr>
            <w:tcW w:w="5200" w:type="dxa"/>
            <w:vAlign w:val="bottom"/>
            <w:tcBorders>
              <w:top w:val="single" w:sz="8" w:color="00548B"/>
              <w:bottom w:val="single" w:sz="8" w:color="00548B"/>
              <w:right w:val="single" w:sz="8" w:color="00548B"/>
            </w:tcBorders>
            <w:shd w:val="clear" w:color="auto" w:fill="00548B"/>
          </w:tcPr>
          <w:p>
            <w:pPr>
              <w:ind w:left="1940"/>
              <w:spacing w:after="0"/>
              <w:rPr>
                <w:sz w:val="20"/>
                <w:szCs w:val="20"/>
                <w:color w:val="auto"/>
              </w:rPr>
            </w:pPr>
            <w:r>
              <w:rPr>
                <w:rFonts w:ascii="Arial" w:cs="Arial" w:eastAsia="Arial" w:hAnsi="Arial"/>
                <w:sz w:val="14"/>
                <w:szCs w:val="14"/>
                <w:b w:val="1"/>
                <w:bCs w:val="1"/>
                <w:color w:val="D8D8D8"/>
              </w:rPr>
              <w:t>What We Do Not Do</w:t>
            </w:r>
          </w:p>
        </w:tc>
      </w:tr>
      <w:tr>
        <w:trPr>
          <w:trHeight w:val="191"/>
        </w:trPr>
        <w:tc>
          <w:tcPr>
            <w:tcW w:w="300" w:type="dxa"/>
            <w:vAlign w:val="bottom"/>
            <w:tcBorders>
              <w:left w:val="single" w:sz="8" w:color="00548B"/>
              <w:right w:val="single" w:sz="8" w:color="999999"/>
            </w:tcBorders>
          </w:tcPr>
          <w:p>
            <w:pPr>
              <w:ind w:left="140"/>
              <w:spacing w:after="0" w:line="161" w:lineRule="exact"/>
              <w:rPr>
                <w:sz w:val="20"/>
                <w:szCs w:val="20"/>
                <w:color w:val="auto"/>
              </w:rPr>
            </w:pPr>
            <w:r>
              <w:rPr>
                <w:rFonts w:ascii="MS PGothic" w:cs="MS PGothic" w:eastAsia="MS PGothic" w:hAnsi="MS PGothic"/>
                <w:sz w:val="16"/>
                <w:szCs w:val="16"/>
                <w:color w:val="00548B"/>
                <w:w w:val="74"/>
              </w:rPr>
              <w:t>✓</w:t>
            </w:r>
          </w:p>
        </w:tc>
        <w:tc>
          <w:tcPr>
            <w:tcW w:w="528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Provide competitive target pay opportunity - with a significant majority</w:t>
            </w:r>
          </w:p>
        </w:tc>
        <w:tc>
          <w:tcPr>
            <w:tcW w:w="260" w:type="dxa"/>
            <w:vAlign w:val="bottom"/>
            <w:tcBorders>
              <w:right w:val="single" w:sz="8" w:color="999999"/>
            </w:tcBorders>
          </w:tcPr>
          <w:p>
            <w:pPr>
              <w:jc w:val="right"/>
              <w:spacing w:after="0"/>
              <w:rPr>
                <w:sz w:val="20"/>
                <w:szCs w:val="20"/>
                <w:color w:val="auto"/>
              </w:rPr>
            </w:pPr>
            <w:r>
              <w:rPr>
                <w:rFonts w:ascii="Arial" w:cs="Arial" w:eastAsia="Arial" w:hAnsi="Arial"/>
                <w:sz w:val="16"/>
                <w:szCs w:val="16"/>
                <w:color w:val="00548B"/>
              </w:rPr>
              <w:t>û</w:t>
            </w:r>
          </w:p>
        </w:tc>
        <w:tc>
          <w:tcPr>
            <w:tcW w:w="520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Provide excise tax gross-ups</w:t>
            </w:r>
          </w:p>
        </w:tc>
      </w:tr>
      <w:tr>
        <w:trPr>
          <w:trHeight w:val="187"/>
        </w:trPr>
        <w:tc>
          <w:tcPr>
            <w:tcW w:w="300" w:type="dxa"/>
            <w:vAlign w:val="bottom"/>
            <w:tcBorders>
              <w:left w:val="single" w:sz="8" w:color="00548B"/>
              <w:bottom w:val="single" w:sz="8" w:color="999999"/>
              <w:right w:val="single" w:sz="8" w:color="999999"/>
            </w:tcBorders>
          </w:tcPr>
          <w:p>
            <w:pPr>
              <w:spacing w:after="0"/>
              <w:rPr>
                <w:sz w:val="16"/>
                <w:szCs w:val="16"/>
                <w:color w:val="auto"/>
              </w:rPr>
            </w:pPr>
          </w:p>
        </w:tc>
        <w:tc>
          <w:tcPr>
            <w:tcW w:w="5280" w:type="dxa"/>
            <w:vAlign w:val="bottom"/>
            <w:tcBorders>
              <w:bottom w:val="single" w:sz="8" w:color="999999"/>
              <w:right w:val="single" w:sz="8" w:color="999999"/>
            </w:tcBorders>
          </w:tcPr>
          <w:p>
            <w:pPr>
              <w:ind w:left="80"/>
              <w:spacing w:after="0"/>
              <w:rPr>
                <w:sz w:val="20"/>
                <w:szCs w:val="20"/>
                <w:color w:val="auto"/>
              </w:rPr>
            </w:pPr>
            <w:r>
              <w:rPr>
                <w:rFonts w:ascii="Arial" w:cs="Arial" w:eastAsia="Arial" w:hAnsi="Arial"/>
                <w:sz w:val="16"/>
                <w:szCs w:val="16"/>
                <w:color w:val="auto"/>
              </w:rPr>
              <w:t>at-risk and based on objective financial performance measures</w:t>
            </w:r>
          </w:p>
        </w:tc>
        <w:tc>
          <w:tcPr>
            <w:tcW w:w="260" w:type="dxa"/>
            <w:vAlign w:val="bottom"/>
            <w:tcBorders>
              <w:bottom w:val="single" w:sz="8" w:color="999999"/>
              <w:right w:val="single" w:sz="8" w:color="999999"/>
            </w:tcBorders>
          </w:tcPr>
          <w:p>
            <w:pPr>
              <w:spacing w:after="0"/>
              <w:rPr>
                <w:sz w:val="16"/>
                <w:szCs w:val="16"/>
                <w:color w:val="auto"/>
              </w:rPr>
            </w:pPr>
          </w:p>
        </w:tc>
        <w:tc>
          <w:tcPr>
            <w:tcW w:w="5200" w:type="dxa"/>
            <w:vAlign w:val="bottom"/>
            <w:tcBorders>
              <w:bottom w:val="single" w:sz="8" w:color="999999"/>
              <w:right w:val="single" w:sz="8" w:color="00548B"/>
            </w:tcBorders>
          </w:tcPr>
          <w:p>
            <w:pPr>
              <w:spacing w:after="0"/>
              <w:rPr>
                <w:sz w:val="16"/>
                <w:szCs w:val="16"/>
                <w:color w:val="auto"/>
              </w:rPr>
            </w:pPr>
          </w:p>
        </w:tc>
      </w:tr>
      <w:tr>
        <w:trPr>
          <w:trHeight w:val="210"/>
        </w:trPr>
        <w:tc>
          <w:tcPr>
            <w:tcW w:w="300" w:type="dxa"/>
            <w:vAlign w:val="bottom"/>
            <w:tcBorders>
              <w:left w:val="single" w:sz="8" w:color="00548B"/>
              <w:bottom w:val="single" w:sz="8" w:color="999999"/>
              <w:right w:val="single" w:sz="8" w:color="999999"/>
            </w:tcBorders>
          </w:tcPr>
          <w:p>
            <w:pPr>
              <w:ind w:left="140"/>
              <w:spacing w:after="0" w:line="161" w:lineRule="exact"/>
              <w:rPr>
                <w:sz w:val="20"/>
                <w:szCs w:val="20"/>
                <w:color w:val="auto"/>
              </w:rPr>
            </w:pPr>
            <w:r>
              <w:rPr>
                <w:rFonts w:ascii="MS PGothic" w:cs="MS PGothic" w:eastAsia="MS PGothic" w:hAnsi="MS PGothic"/>
                <w:sz w:val="16"/>
                <w:szCs w:val="16"/>
                <w:color w:val="00548B"/>
                <w:w w:val="74"/>
              </w:rPr>
              <w:t>✓</w:t>
            </w:r>
          </w:p>
        </w:tc>
        <w:tc>
          <w:tcPr>
            <w:tcW w:w="5280" w:type="dxa"/>
            <w:vAlign w:val="bottom"/>
            <w:tcBorders>
              <w:bottom w:val="single" w:sz="8" w:color="999999"/>
              <w:right w:val="single" w:sz="8" w:color="999999"/>
            </w:tcBorders>
          </w:tcPr>
          <w:p>
            <w:pPr>
              <w:ind w:left="80"/>
              <w:spacing w:after="0"/>
              <w:rPr>
                <w:sz w:val="20"/>
                <w:szCs w:val="20"/>
                <w:color w:val="auto"/>
              </w:rPr>
            </w:pPr>
            <w:r>
              <w:rPr>
                <w:rFonts w:ascii="Arial" w:cs="Arial" w:eastAsia="Arial" w:hAnsi="Arial"/>
                <w:sz w:val="16"/>
                <w:szCs w:val="16"/>
                <w:color w:val="auto"/>
              </w:rPr>
              <w:t>Provide only double-trigger benefits in a change of control event</w:t>
            </w:r>
          </w:p>
        </w:tc>
        <w:tc>
          <w:tcPr>
            <w:tcW w:w="260" w:type="dxa"/>
            <w:vAlign w:val="bottom"/>
            <w:tcBorders>
              <w:bottom w:val="single" w:sz="8" w:color="999999"/>
              <w:right w:val="single" w:sz="8" w:color="999999"/>
            </w:tcBorders>
          </w:tcPr>
          <w:p>
            <w:pPr>
              <w:jc w:val="right"/>
              <w:spacing w:after="0"/>
              <w:rPr>
                <w:sz w:val="20"/>
                <w:szCs w:val="20"/>
                <w:color w:val="auto"/>
              </w:rPr>
            </w:pPr>
            <w:r>
              <w:rPr>
                <w:rFonts w:ascii="Arial" w:cs="Arial" w:eastAsia="Arial" w:hAnsi="Arial"/>
                <w:sz w:val="16"/>
                <w:szCs w:val="16"/>
                <w:color w:val="00548B"/>
              </w:rPr>
              <w:t>û</w:t>
            </w:r>
          </w:p>
        </w:tc>
        <w:tc>
          <w:tcPr>
            <w:tcW w:w="5200" w:type="dxa"/>
            <w:vAlign w:val="bottom"/>
            <w:tcBorders>
              <w:bottom w:val="single" w:sz="8" w:color="999999"/>
              <w:right w:val="single" w:sz="8" w:color="00548B"/>
            </w:tcBorders>
          </w:tcPr>
          <w:p>
            <w:pPr>
              <w:ind w:left="100"/>
              <w:spacing w:after="0"/>
              <w:rPr>
                <w:sz w:val="20"/>
                <w:szCs w:val="20"/>
                <w:color w:val="auto"/>
              </w:rPr>
            </w:pPr>
            <w:r>
              <w:rPr>
                <w:rFonts w:ascii="Arial" w:cs="Arial" w:eastAsia="Arial" w:hAnsi="Arial"/>
                <w:sz w:val="16"/>
                <w:szCs w:val="16"/>
                <w:color w:val="auto"/>
              </w:rPr>
              <w:t>Allow any hedging or pledging of Huron stock</w:t>
            </w:r>
          </w:p>
        </w:tc>
      </w:tr>
      <w:tr>
        <w:trPr>
          <w:trHeight w:val="210"/>
        </w:trPr>
        <w:tc>
          <w:tcPr>
            <w:tcW w:w="300" w:type="dxa"/>
            <w:vAlign w:val="bottom"/>
            <w:tcBorders>
              <w:left w:val="single" w:sz="8" w:color="00548B"/>
              <w:bottom w:val="single" w:sz="8" w:color="999999"/>
              <w:right w:val="single" w:sz="8" w:color="999999"/>
            </w:tcBorders>
          </w:tcPr>
          <w:p>
            <w:pPr>
              <w:ind w:left="140"/>
              <w:spacing w:after="0" w:line="161" w:lineRule="exact"/>
              <w:rPr>
                <w:sz w:val="20"/>
                <w:szCs w:val="20"/>
                <w:color w:val="auto"/>
              </w:rPr>
            </w:pPr>
            <w:r>
              <w:rPr>
                <w:rFonts w:ascii="MS PGothic" w:cs="MS PGothic" w:eastAsia="MS PGothic" w:hAnsi="MS PGothic"/>
                <w:sz w:val="16"/>
                <w:szCs w:val="16"/>
                <w:color w:val="00548B"/>
                <w:w w:val="74"/>
              </w:rPr>
              <w:t>✓</w:t>
            </w:r>
          </w:p>
        </w:tc>
        <w:tc>
          <w:tcPr>
            <w:tcW w:w="5280" w:type="dxa"/>
            <w:vAlign w:val="bottom"/>
            <w:tcBorders>
              <w:bottom w:val="single" w:sz="8" w:color="999999"/>
              <w:right w:val="single" w:sz="8" w:color="999999"/>
            </w:tcBorders>
          </w:tcPr>
          <w:p>
            <w:pPr>
              <w:ind w:left="80"/>
              <w:spacing w:after="0"/>
              <w:rPr>
                <w:sz w:val="20"/>
                <w:szCs w:val="20"/>
                <w:color w:val="auto"/>
              </w:rPr>
            </w:pPr>
            <w:r>
              <w:rPr>
                <w:rFonts w:ascii="Arial" w:cs="Arial" w:eastAsia="Arial" w:hAnsi="Arial"/>
                <w:sz w:val="16"/>
                <w:szCs w:val="16"/>
                <w:color w:val="auto"/>
              </w:rPr>
              <w:t>Annually review our programs for inappropriate risk</w:t>
            </w:r>
          </w:p>
        </w:tc>
        <w:tc>
          <w:tcPr>
            <w:tcW w:w="260" w:type="dxa"/>
            <w:vAlign w:val="bottom"/>
            <w:tcBorders>
              <w:bottom w:val="single" w:sz="8" w:color="999999"/>
              <w:right w:val="single" w:sz="8" w:color="999999"/>
            </w:tcBorders>
          </w:tcPr>
          <w:p>
            <w:pPr>
              <w:jc w:val="right"/>
              <w:spacing w:after="0"/>
              <w:rPr>
                <w:sz w:val="20"/>
                <w:szCs w:val="20"/>
                <w:color w:val="auto"/>
              </w:rPr>
            </w:pPr>
            <w:r>
              <w:rPr>
                <w:rFonts w:ascii="Arial" w:cs="Arial" w:eastAsia="Arial" w:hAnsi="Arial"/>
                <w:sz w:val="16"/>
                <w:szCs w:val="16"/>
                <w:color w:val="00548B"/>
              </w:rPr>
              <w:t>û</w:t>
            </w:r>
          </w:p>
        </w:tc>
        <w:tc>
          <w:tcPr>
            <w:tcW w:w="5200" w:type="dxa"/>
            <w:vAlign w:val="bottom"/>
            <w:tcBorders>
              <w:bottom w:val="single" w:sz="8" w:color="999999"/>
              <w:right w:val="single" w:sz="8" w:color="00548B"/>
            </w:tcBorders>
          </w:tcPr>
          <w:p>
            <w:pPr>
              <w:ind w:left="100"/>
              <w:spacing w:after="0"/>
              <w:rPr>
                <w:sz w:val="20"/>
                <w:szCs w:val="20"/>
                <w:color w:val="auto"/>
              </w:rPr>
            </w:pPr>
            <w:r>
              <w:rPr>
                <w:rFonts w:ascii="Arial" w:cs="Arial" w:eastAsia="Arial" w:hAnsi="Arial"/>
                <w:sz w:val="16"/>
                <w:szCs w:val="16"/>
                <w:color w:val="auto"/>
              </w:rPr>
              <w:t>Allow stock grants to be “timed” or awards to be repriced</w:t>
            </w:r>
          </w:p>
        </w:tc>
      </w:tr>
      <w:tr>
        <w:trPr>
          <w:trHeight w:val="184"/>
        </w:trPr>
        <w:tc>
          <w:tcPr>
            <w:tcW w:w="300" w:type="dxa"/>
            <w:vAlign w:val="bottom"/>
            <w:tcBorders>
              <w:left w:val="single" w:sz="8" w:color="00548B"/>
              <w:right w:val="single" w:sz="8" w:color="999999"/>
            </w:tcBorders>
          </w:tcPr>
          <w:p>
            <w:pPr>
              <w:ind w:left="140"/>
              <w:spacing w:after="0" w:line="161" w:lineRule="exact"/>
              <w:rPr>
                <w:sz w:val="20"/>
                <w:szCs w:val="20"/>
                <w:color w:val="auto"/>
              </w:rPr>
            </w:pPr>
            <w:r>
              <w:rPr>
                <w:rFonts w:ascii="MS PGothic" w:cs="MS PGothic" w:eastAsia="MS PGothic" w:hAnsi="MS PGothic"/>
                <w:sz w:val="16"/>
                <w:szCs w:val="16"/>
                <w:color w:val="00548B"/>
                <w:w w:val="74"/>
              </w:rPr>
              <w:t>✓</w:t>
            </w:r>
          </w:p>
        </w:tc>
        <w:tc>
          <w:tcPr>
            <w:tcW w:w="528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Maintain robust, competitive stock ownership guidelines, including an</w:t>
            </w:r>
          </w:p>
        </w:tc>
        <w:tc>
          <w:tcPr>
            <w:tcW w:w="260" w:type="dxa"/>
            <w:vAlign w:val="bottom"/>
            <w:tcBorders>
              <w:right w:val="single" w:sz="8" w:color="999999"/>
            </w:tcBorders>
          </w:tcPr>
          <w:p>
            <w:pPr>
              <w:jc w:val="right"/>
              <w:spacing w:after="0"/>
              <w:rPr>
                <w:sz w:val="20"/>
                <w:szCs w:val="20"/>
                <w:color w:val="auto"/>
              </w:rPr>
            </w:pPr>
            <w:r>
              <w:rPr>
                <w:rFonts w:ascii="Arial" w:cs="Arial" w:eastAsia="Arial" w:hAnsi="Arial"/>
                <w:sz w:val="16"/>
                <w:szCs w:val="16"/>
                <w:color w:val="00548B"/>
              </w:rPr>
              <w:t>û</w:t>
            </w:r>
          </w:p>
        </w:tc>
        <w:tc>
          <w:tcPr>
            <w:tcW w:w="520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Provide executive perquisites not commonly available to the broader</w:t>
            </w:r>
          </w:p>
        </w:tc>
      </w:tr>
      <w:tr>
        <w:trPr>
          <w:trHeight w:val="189"/>
        </w:trPr>
        <w:tc>
          <w:tcPr>
            <w:tcW w:w="300" w:type="dxa"/>
            <w:vAlign w:val="bottom"/>
            <w:tcBorders>
              <w:left w:val="single" w:sz="8" w:color="00548B"/>
              <w:right w:val="single" w:sz="8" w:color="999999"/>
            </w:tcBorders>
          </w:tcPr>
          <w:p>
            <w:pPr>
              <w:spacing w:after="0"/>
              <w:rPr>
                <w:sz w:val="16"/>
                <w:szCs w:val="16"/>
                <w:color w:val="auto"/>
              </w:rPr>
            </w:pPr>
          </w:p>
        </w:tc>
        <w:tc>
          <w:tcPr>
            <w:tcW w:w="528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increase for 2019 to 5X for the CEO and directors, and a requirement</w:t>
            </w:r>
          </w:p>
        </w:tc>
        <w:tc>
          <w:tcPr>
            <w:tcW w:w="260" w:type="dxa"/>
            <w:vAlign w:val="bottom"/>
            <w:tcBorders>
              <w:right w:val="single" w:sz="8" w:color="999999"/>
            </w:tcBorders>
          </w:tcPr>
          <w:p>
            <w:pPr>
              <w:spacing w:after="0"/>
              <w:rPr>
                <w:sz w:val="16"/>
                <w:szCs w:val="16"/>
                <w:color w:val="auto"/>
              </w:rPr>
            </w:pPr>
          </w:p>
        </w:tc>
        <w:tc>
          <w:tcPr>
            <w:tcW w:w="520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Huron employee population</w:t>
            </w:r>
          </w:p>
        </w:tc>
      </w:tr>
      <w:tr>
        <w:trPr>
          <w:trHeight w:val="187"/>
        </w:trPr>
        <w:tc>
          <w:tcPr>
            <w:tcW w:w="300" w:type="dxa"/>
            <w:vAlign w:val="bottom"/>
            <w:tcBorders>
              <w:left w:val="single" w:sz="8" w:color="00548B"/>
              <w:bottom w:val="single" w:sz="8" w:color="999999"/>
              <w:right w:val="single" w:sz="8" w:color="999999"/>
            </w:tcBorders>
          </w:tcPr>
          <w:p>
            <w:pPr>
              <w:spacing w:after="0"/>
              <w:rPr>
                <w:sz w:val="16"/>
                <w:szCs w:val="16"/>
                <w:color w:val="auto"/>
              </w:rPr>
            </w:pPr>
          </w:p>
        </w:tc>
        <w:tc>
          <w:tcPr>
            <w:tcW w:w="5280" w:type="dxa"/>
            <w:vAlign w:val="bottom"/>
            <w:tcBorders>
              <w:bottom w:val="single" w:sz="8" w:color="999999"/>
              <w:right w:val="single" w:sz="8" w:color="999999"/>
            </w:tcBorders>
          </w:tcPr>
          <w:p>
            <w:pPr>
              <w:ind w:left="80"/>
              <w:spacing w:after="0"/>
              <w:rPr>
                <w:sz w:val="20"/>
                <w:szCs w:val="20"/>
                <w:color w:val="auto"/>
              </w:rPr>
            </w:pPr>
            <w:r>
              <w:rPr>
                <w:rFonts w:ascii="Arial" w:cs="Arial" w:eastAsia="Arial" w:hAnsi="Arial"/>
                <w:sz w:val="16"/>
                <w:szCs w:val="16"/>
                <w:color w:val="auto"/>
              </w:rPr>
              <w:t>that 60% of after tax shares be held until the guidelines are met</w:t>
            </w:r>
          </w:p>
        </w:tc>
        <w:tc>
          <w:tcPr>
            <w:tcW w:w="260" w:type="dxa"/>
            <w:vAlign w:val="bottom"/>
            <w:tcBorders>
              <w:bottom w:val="single" w:sz="8" w:color="999999"/>
              <w:right w:val="single" w:sz="8" w:color="999999"/>
            </w:tcBorders>
          </w:tcPr>
          <w:p>
            <w:pPr>
              <w:spacing w:after="0"/>
              <w:rPr>
                <w:sz w:val="16"/>
                <w:szCs w:val="16"/>
                <w:color w:val="auto"/>
              </w:rPr>
            </w:pPr>
          </w:p>
        </w:tc>
        <w:tc>
          <w:tcPr>
            <w:tcW w:w="5200" w:type="dxa"/>
            <w:vAlign w:val="bottom"/>
            <w:tcBorders>
              <w:bottom w:val="single" w:sz="8" w:color="999999"/>
              <w:right w:val="single" w:sz="8" w:color="00548B"/>
            </w:tcBorders>
          </w:tcPr>
          <w:p>
            <w:pPr>
              <w:spacing w:after="0"/>
              <w:rPr>
                <w:sz w:val="16"/>
                <w:szCs w:val="16"/>
                <w:color w:val="auto"/>
              </w:rPr>
            </w:pPr>
          </w:p>
        </w:tc>
      </w:tr>
      <w:tr>
        <w:trPr>
          <w:trHeight w:val="184"/>
        </w:trPr>
        <w:tc>
          <w:tcPr>
            <w:tcW w:w="300" w:type="dxa"/>
            <w:vAlign w:val="bottom"/>
            <w:tcBorders>
              <w:left w:val="single" w:sz="8" w:color="00548B"/>
              <w:right w:val="single" w:sz="8" w:color="999999"/>
            </w:tcBorders>
          </w:tcPr>
          <w:p>
            <w:pPr>
              <w:ind w:left="140"/>
              <w:spacing w:after="0" w:line="161" w:lineRule="exact"/>
              <w:rPr>
                <w:sz w:val="20"/>
                <w:szCs w:val="20"/>
                <w:color w:val="auto"/>
              </w:rPr>
            </w:pPr>
            <w:r>
              <w:rPr>
                <w:rFonts w:ascii="MS PGothic" w:cs="MS PGothic" w:eastAsia="MS PGothic" w:hAnsi="MS PGothic"/>
                <w:sz w:val="16"/>
                <w:szCs w:val="16"/>
                <w:color w:val="00548B"/>
                <w:w w:val="74"/>
              </w:rPr>
              <w:t>✓</w:t>
            </w:r>
          </w:p>
        </w:tc>
        <w:tc>
          <w:tcPr>
            <w:tcW w:w="528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Maintain a clawback policy providing for recoupment of incentive-based</w:t>
            </w:r>
          </w:p>
        </w:tc>
        <w:tc>
          <w:tcPr>
            <w:tcW w:w="260" w:type="dxa"/>
            <w:vAlign w:val="bottom"/>
            <w:tcBorders>
              <w:right w:val="single" w:sz="8" w:color="999999"/>
            </w:tcBorders>
          </w:tcPr>
          <w:p>
            <w:pPr>
              <w:spacing w:after="0"/>
              <w:rPr>
                <w:sz w:val="16"/>
                <w:szCs w:val="16"/>
                <w:color w:val="auto"/>
              </w:rPr>
            </w:pPr>
          </w:p>
        </w:tc>
        <w:tc>
          <w:tcPr>
            <w:tcW w:w="5200" w:type="dxa"/>
            <w:vAlign w:val="bottom"/>
            <w:tcBorders>
              <w:right w:val="single" w:sz="8" w:color="00548B"/>
            </w:tcBorders>
          </w:tcPr>
          <w:p>
            <w:pPr>
              <w:spacing w:after="0"/>
              <w:rPr>
                <w:sz w:val="16"/>
                <w:szCs w:val="16"/>
                <w:color w:val="auto"/>
              </w:rPr>
            </w:pPr>
          </w:p>
        </w:tc>
      </w:tr>
      <w:tr>
        <w:trPr>
          <w:trHeight w:val="187"/>
        </w:trPr>
        <w:tc>
          <w:tcPr>
            <w:tcW w:w="300" w:type="dxa"/>
            <w:vAlign w:val="bottom"/>
            <w:tcBorders>
              <w:left w:val="single" w:sz="8" w:color="00548B"/>
              <w:bottom w:val="single" w:sz="8" w:color="999999"/>
              <w:right w:val="single" w:sz="8" w:color="999999"/>
            </w:tcBorders>
          </w:tcPr>
          <w:p>
            <w:pPr>
              <w:spacing w:after="0"/>
              <w:rPr>
                <w:sz w:val="16"/>
                <w:szCs w:val="16"/>
                <w:color w:val="auto"/>
              </w:rPr>
            </w:pPr>
          </w:p>
        </w:tc>
        <w:tc>
          <w:tcPr>
            <w:tcW w:w="5280" w:type="dxa"/>
            <w:vAlign w:val="bottom"/>
            <w:tcBorders>
              <w:bottom w:val="single" w:sz="8" w:color="999999"/>
              <w:right w:val="single" w:sz="8" w:color="999999"/>
            </w:tcBorders>
          </w:tcPr>
          <w:p>
            <w:pPr>
              <w:ind w:left="80"/>
              <w:spacing w:after="0"/>
              <w:rPr>
                <w:sz w:val="20"/>
                <w:szCs w:val="20"/>
                <w:color w:val="auto"/>
              </w:rPr>
            </w:pPr>
            <w:r>
              <w:rPr>
                <w:rFonts w:ascii="Arial" w:cs="Arial" w:eastAsia="Arial" w:hAnsi="Arial"/>
                <w:sz w:val="16"/>
                <w:szCs w:val="16"/>
                <w:color w:val="auto"/>
              </w:rPr>
              <w:t>compensation if payouts were based on misstated financial results</w:t>
            </w:r>
          </w:p>
        </w:tc>
        <w:tc>
          <w:tcPr>
            <w:tcW w:w="260" w:type="dxa"/>
            <w:vAlign w:val="bottom"/>
            <w:tcBorders>
              <w:bottom w:val="single" w:sz="8" w:color="999999"/>
              <w:right w:val="single" w:sz="8" w:color="999999"/>
            </w:tcBorders>
          </w:tcPr>
          <w:p>
            <w:pPr>
              <w:spacing w:after="0"/>
              <w:rPr>
                <w:sz w:val="16"/>
                <w:szCs w:val="16"/>
                <w:color w:val="auto"/>
              </w:rPr>
            </w:pPr>
          </w:p>
        </w:tc>
        <w:tc>
          <w:tcPr>
            <w:tcW w:w="5200" w:type="dxa"/>
            <w:vAlign w:val="bottom"/>
            <w:tcBorders>
              <w:bottom w:val="single" w:sz="8" w:color="999999"/>
              <w:right w:val="single" w:sz="8" w:color="00548B"/>
            </w:tcBorders>
          </w:tcPr>
          <w:p>
            <w:pPr>
              <w:spacing w:after="0"/>
              <w:rPr>
                <w:sz w:val="16"/>
                <w:szCs w:val="16"/>
                <w:color w:val="auto"/>
              </w:rPr>
            </w:pPr>
          </w:p>
        </w:tc>
      </w:tr>
      <w:tr>
        <w:trPr>
          <w:trHeight w:val="210"/>
        </w:trPr>
        <w:tc>
          <w:tcPr>
            <w:tcW w:w="300" w:type="dxa"/>
            <w:vAlign w:val="bottom"/>
            <w:tcBorders>
              <w:left w:val="single" w:sz="8" w:color="00548B"/>
              <w:bottom w:val="single" w:sz="8" w:color="00548B"/>
              <w:right w:val="single" w:sz="8" w:color="999999"/>
            </w:tcBorders>
          </w:tcPr>
          <w:p>
            <w:pPr>
              <w:ind w:left="140"/>
              <w:spacing w:after="0" w:line="161" w:lineRule="exact"/>
              <w:rPr>
                <w:sz w:val="20"/>
                <w:szCs w:val="20"/>
                <w:color w:val="auto"/>
              </w:rPr>
            </w:pPr>
            <w:r>
              <w:rPr>
                <w:rFonts w:ascii="MS PGothic" w:cs="MS PGothic" w:eastAsia="MS PGothic" w:hAnsi="MS PGothic"/>
                <w:sz w:val="16"/>
                <w:szCs w:val="16"/>
                <w:color w:val="00548B"/>
                <w:w w:val="74"/>
              </w:rPr>
              <w:t>✓</w:t>
            </w:r>
          </w:p>
        </w:tc>
        <w:tc>
          <w:tcPr>
            <w:tcW w:w="5280" w:type="dxa"/>
            <w:vAlign w:val="bottom"/>
            <w:tcBorders>
              <w:bottom w:val="single" w:sz="8" w:color="00548B"/>
              <w:right w:val="single" w:sz="8" w:color="999999"/>
            </w:tcBorders>
          </w:tcPr>
          <w:p>
            <w:pPr>
              <w:ind w:left="80"/>
              <w:spacing w:after="0"/>
              <w:rPr>
                <w:sz w:val="20"/>
                <w:szCs w:val="20"/>
                <w:color w:val="auto"/>
              </w:rPr>
            </w:pPr>
            <w:r>
              <w:rPr>
                <w:rFonts w:ascii="Arial" w:cs="Arial" w:eastAsia="Arial" w:hAnsi="Arial"/>
                <w:sz w:val="16"/>
                <w:szCs w:val="16"/>
                <w:color w:val="auto"/>
              </w:rPr>
              <w:t>Retain an independent compensation consultant to the board</w:t>
            </w:r>
          </w:p>
        </w:tc>
        <w:tc>
          <w:tcPr>
            <w:tcW w:w="260" w:type="dxa"/>
            <w:vAlign w:val="bottom"/>
            <w:tcBorders>
              <w:bottom w:val="single" w:sz="8" w:color="00548B"/>
              <w:right w:val="single" w:sz="8" w:color="999999"/>
            </w:tcBorders>
          </w:tcPr>
          <w:p>
            <w:pPr>
              <w:spacing w:after="0"/>
              <w:rPr>
                <w:sz w:val="18"/>
                <w:szCs w:val="18"/>
                <w:color w:val="auto"/>
              </w:rPr>
            </w:pPr>
          </w:p>
        </w:tc>
        <w:tc>
          <w:tcPr>
            <w:tcW w:w="5200" w:type="dxa"/>
            <w:vAlign w:val="bottom"/>
            <w:tcBorders>
              <w:bottom w:val="single" w:sz="8" w:color="00548B"/>
              <w:right w:val="single" w:sz="8" w:color="00548B"/>
            </w:tcBorders>
          </w:tcPr>
          <w:p>
            <w:pPr>
              <w:spacing w:after="0"/>
              <w:rPr>
                <w:sz w:val="18"/>
                <w:szCs w:val="18"/>
                <w:color w:val="auto"/>
              </w:rPr>
            </w:pPr>
          </w:p>
        </w:tc>
      </w:tr>
    </w:tbl>
    <w:p>
      <w:pPr>
        <w:spacing w:after="0" w:line="15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Shareholder Outreach</w:t>
      </w:r>
    </w:p>
    <w:p>
      <w:pPr>
        <w:spacing w:after="0" w:line="25" w:lineRule="exact"/>
        <w:rPr>
          <w:sz w:val="20"/>
          <w:szCs w:val="20"/>
          <w:color w:val="auto"/>
        </w:rPr>
      </w:pPr>
    </w:p>
    <w:p>
      <w:pPr>
        <w:jc w:val="both"/>
        <w:ind w:left="200" w:right="20"/>
        <w:spacing w:after="0" w:line="249" w:lineRule="auto"/>
        <w:rPr>
          <w:sz w:val="20"/>
          <w:szCs w:val="20"/>
          <w:color w:val="auto"/>
        </w:rPr>
      </w:pPr>
      <w:r>
        <w:rPr>
          <w:rFonts w:ascii="Arial" w:cs="Arial" w:eastAsia="Arial" w:hAnsi="Arial"/>
          <w:sz w:val="16"/>
          <w:szCs w:val="16"/>
          <w:color w:val="auto"/>
        </w:rPr>
        <w:t>We contacted shareholders representing ownership of over 70% of our shares outstanding to solicit their feedback and sought their input related to our NEO compensation programs. Shareholders representing 41% of our shares outstanding agreed to meet with us. These engagements took place after the annual shareholder meeting and the primary focus was on the NEO compensation program and on governance. These discussions were facilitated by our Chair of the board, Mr. John McCartney, and Chair of our Compensation Committee, Ms. Debra Zumwalt, with assistance from our CFO, Mr. John Kelly. While these meetings provided the opportunity for Mr. McCartney and Ms. Zumwalt to share the board’s rationale behind the NEO compensation decisions, the majority of the time was spent listening to shareholders’ views.</w:t>
      </w:r>
    </w:p>
    <w:p>
      <w:pPr>
        <w:spacing w:after="0" w:line="230" w:lineRule="exact"/>
        <w:rPr>
          <w:sz w:val="20"/>
          <w:szCs w:val="20"/>
          <w:color w:val="auto"/>
        </w:rPr>
      </w:pPr>
    </w:p>
    <w:tbl>
      <w:tblPr>
        <w:tblLayout w:type="fixed"/>
        <w:tblInd w:w="230" w:type="dxa"/>
        <w:tblCellMar>
          <w:top w:w="0" w:type="dxa"/>
          <w:left w:w="0" w:type="dxa"/>
          <w:bottom w:w="0" w:type="dxa"/>
          <w:right w:w="0" w:type="dxa"/>
        </w:tblCellMar>
      </w:tblPr>
      <w:tr>
        <w:trPr>
          <w:trHeight w:val="250"/>
        </w:trPr>
        <w:tc>
          <w:tcPr>
            <w:tcW w:w="260" w:type="dxa"/>
            <w:vAlign w:val="bottom"/>
            <w:tcBorders>
              <w:left w:val="single" w:sz="8" w:color="00548B"/>
              <w:bottom w:val="single" w:sz="8" w:color="00548B"/>
              <w:right w:val="single" w:sz="8" w:color="00548B"/>
            </w:tcBorders>
            <w:shd w:val="clear" w:color="auto" w:fill="00548B"/>
          </w:tcPr>
          <w:p>
            <w:pPr>
              <w:spacing w:after="0"/>
              <w:rPr>
                <w:sz w:val="21"/>
                <w:szCs w:val="21"/>
                <w:color w:val="auto"/>
              </w:rPr>
            </w:pPr>
          </w:p>
        </w:tc>
        <w:tc>
          <w:tcPr>
            <w:tcW w:w="5560" w:type="dxa"/>
            <w:vAlign w:val="bottom"/>
            <w:tcBorders>
              <w:bottom w:val="single" w:sz="8" w:color="00548B"/>
              <w:right w:val="single" w:sz="8" w:color="00548B"/>
            </w:tcBorders>
            <w:gridSpan w:val="2"/>
            <w:shd w:val="clear" w:color="auto" w:fill="00548B"/>
          </w:tcPr>
          <w:p>
            <w:pPr>
              <w:ind w:left="1320"/>
              <w:spacing w:after="0"/>
              <w:rPr>
                <w:sz w:val="20"/>
                <w:szCs w:val="20"/>
                <w:color w:val="auto"/>
              </w:rPr>
            </w:pPr>
            <w:r>
              <w:rPr>
                <w:rFonts w:ascii="Arial" w:cs="Arial" w:eastAsia="Arial" w:hAnsi="Arial"/>
                <w:sz w:val="14"/>
                <w:szCs w:val="14"/>
                <w:b w:val="1"/>
                <w:bCs w:val="1"/>
                <w:color w:val="D8D8D8"/>
              </w:rPr>
              <w:t>Shareholders Expressed Concern About</w:t>
            </w:r>
          </w:p>
        </w:tc>
        <w:tc>
          <w:tcPr>
            <w:tcW w:w="5220" w:type="dxa"/>
            <w:vAlign w:val="bottom"/>
            <w:tcBorders>
              <w:bottom w:val="single" w:sz="8" w:color="00548B"/>
              <w:right w:val="single" w:sz="8" w:color="00548B"/>
            </w:tcBorders>
            <w:shd w:val="clear" w:color="auto" w:fill="00548B"/>
          </w:tcPr>
          <w:p>
            <w:pPr>
              <w:ind w:left="2160"/>
              <w:spacing w:after="0"/>
              <w:rPr>
                <w:sz w:val="20"/>
                <w:szCs w:val="20"/>
                <w:color w:val="auto"/>
              </w:rPr>
            </w:pPr>
            <w:r>
              <w:rPr>
                <w:rFonts w:ascii="Arial" w:cs="Arial" w:eastAsia="Arial" w:hAnsi="Arial"/>
                <w:sz w:val="14"/>
                <w:szCs w:val="14"/>
                <w:b w:val="1"/>
                <w:bCs w:val="1"/>
                <w:color w:val="D8D8D8"/>
              </w:rPr>
              <w:t>What We Did</w:t>
            </w:r>
          </w:p>
        </w:tc>
      </w:tr>
      <w:tr>
        <w:trPr>
          <w:trHeight w:val="191"/>
        </w:trPr>
        <w:tc>
          <w:tcPr>
            <w:tcW w:w="26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00548B"/>
              </w:rPr>
              <w:t>•</w:t>
            </w:r>
          </w:p>
        </w:tc>
        <w:tc>
          <w:tcPr>
            <w:tcW w:w="5400" w:type="dxa"/>
            <w:vAlign w:val="bottom"/>
            <w:tcBorders>
              <w:right w:val="single" w:sz="8" w:color="999999"/>
            </w:tcBorders>
          </w:tcPr>
          <w:p>
            <w:pPr>
              <w:ind w:left="40"/>
              <w:spacing w:after="0"/>
              <w:rPr>
                <w:sz w:val="20"/>
                <w:szCs w:val="20"/>
                <w:color w:val="auto"/>
              </w:rPr>
            </w:pPr>
            <w:r>
              <w:rPr>
                <w:rFonts w:ascii="Arial" w:cs="Arial" w:eastAsia="Arial" w:hAnsi="Arial"/>
                <w:sz w:val="16"/>
                <w:szCs w:val="16"/>
                <w:color w:val="auto"/>
              </w:rPr>
              <w:t>CEO LTI opportunity increased in 2017, while stock price underperformed</w:t>
            </w:r>
          </w:p>
        </w:tc>
        <w:tc>
          <w:tcPr>
            <w:tcW w:w="160" w:type="dxa"/>
            <w:vAlign w:val="bottom"/>
            <w:tcBorders>
              <w:right w:val="single" w:sz="8" w:color="999999"/>
            </w:tcBorders>
          </w:tcPr>
          <w:p>
            <w:pPr>
              <w:ind w:left="60"/>
              <w:spacing w:after="0"/>
              <w:rPr>
                <w:sz w:val="20"/>
                <w:szCs w:val="20"/>
                <w:color w:val="auto"/>
              </w:rPr>
            </w:pPr>
            <w:r>
              <w:rPr>
                <w:rFonts w:ascii="Arial" w:cs="Arial" w:eastAsia="Arial" w:hAnsi="Arial"/>
                <w:sz w:val="16"/>
                <w:szCs w:val="16"/>
                <w:color w:val="00548B"/>
              </w:rPr>
              <w:t>•</w:t>
            </w:r>
          </w:p>
        </w:tc>
        <w:tc>
          <w:tcPr>
            <w:tcW w:w="5220" w:type="dxa"/>
            <w:vAlign w:val="bottom"/>
            <w:tcBorders>
              <w:right w:val="single" w:sz="8" w:color="00548B"/>
            </w:tcBorders>
          </w:tcPr>
          <w:p>
            <w:pPr>
              <w:ind w:left="40"/>
              <w:spacing w:after="0"/>
              <w:rPr>
                <w:sz w:val="20"/>
                <w:szCs w:val="20"/>
                <w:color w:val="auto"/>
              </w:rPr>
            </w:pPr>
            <w:r>
              <w:rPr>
                <w:rFonts w:ascii="Arial" w:cs="Arial" w:eastAsia="Arial" w:hAnsi="Arial"/>
                <w:sz w:val="16"/>
                <w:szCs w:val="16"/>
                <w:color w:val="auto"/>
              </w:rPr>
              <w:t>We reduced the CEO’s LTI opportunity from 300% of base salary to</w:t>
            </w:r>
          </w:p>
        </w:tc>
      </w:tr>
      <w:tr>
        <w:trPr>
          <w:trHeight w:val="189"/>
        </w:trPr>
        <w:tc>
          <w:tcPr>
            <w:tcW w:w="260" w:type="dxa"/>
            <w:vAlign w:val="bottom"/>
            <w:tcBorders>
              <w:left w:val="single" w:sz="8" w:color="00548B"/>
              <w:right w:val="single" w:sz="8" w:color="999999"/>
            </w:tcBorders>
          </w:tcPr>
          <w:p>
            <w:pPr>
              <w:spacing w:after="0"/>
              <w:rPr>
                <w:sz w:val="16"/>
                <w:szCs w:val="16"/>
                <w:color w:val="auto"/>
              </w:rPr>
            </w:pPr>
          </w:p>
        </w:tc>
        <w:tc>
          <w:tcPr>
            <w:tcW w:w="5400" w:type="dxa"/>
            <w:vAlign w:val="bottom"/>
            <w:tcBorders>
              <w:right w:val="single" w:sz="8" w:color="999999"/>
            </w:tcBorders>
          </w:tcPr>
          <w:p>
            <w:pPr>
              <w:spacing w:after="0"/>
              <w:rPr>
                <w:sz w:val="16"/>
                <w:szCs w:val="16"/>
                <w:color w:val="auto"/>
              </w:rPr>
            </w:pPr>
          </w:p>
        </w:tc>
        <w:tc>
          <w:tcPr>
            <w:tcW w:w="160" w:type="dxa"/>
            <w:vAlign w:val="bottom"/>
            <w:tcBorders>
              <w:right w:val="single" w:sz="8" w:color="999999"/>
            </w:tcBorders>
          </w:tcPr>
          <w:p>
            <w:pPr>
              <w:spacing w:after="0"/>
              <w:rPr>
                <w:sz w:val="16"/>
                <w:szCs w:val="16"/>
                <w:color w:val="auto"/>
              </w:rPr>
            </w:pPr>
          </w:p>
        </w:tc>
        <w:tc>
          <w:tcPr>
            <w:tcW w:w="5220" w:type="dxa"/>
            <w:vAlign w:val="bottom"/>
            <w:tcBorders>
              <w:right w:val="single" w:sz="8" w:color="00548B"/>
            </w:tcBorders>
          </w:tcPr>
          <w:p>
            <w:pPr>
              <w:ind w:left="40"/>
              <w:spacing w:after="0"/>
              <w:rPr>
                <w:sz w:val="20"/>
                <w:szCs w:val="20"/>
                <w:color w:val="auto"/>
              </w:rPr>
            </w:pPr>
            <w:r>
              <w:rPr>
                <w:rFonts w:ascii="Arial" w:cs="Arial" w:eastAsia="Arial" w:hAnsi="Arial"/>
                <w:sz w:val="16"/>
                <w:szCs w:val="16"/>
                <w:color w:val="auto"/>
              </w:rPr>
              <w:t>225% of base salary, while continuing to make the award payable in</w:t>
            </w:r>
          </w:p>
        </w:tc>
      </w:tr>
      <w:tr>
        <w:trPr>
          <w:trHeight w:val="189"/>
        </w:trPr>
        <w:tc>
          <w:tcPr>
            <w:tcW w:w="260" w:type="dxa"/>
            <w:vAlign w:val="bottom"/>
            <w:tcBorders>
              <w:left w:val="single" w:sz="8" w:color="00548B"/>
              <w:right w:val="single" w:sz="8" w:color="999999"/>
            </w:tcBorders>
          </w:tcPr>
          <w:p>
            <w:pPr>
              <w:spacing w:after="0"/>
              <w:rPr>
                <w:sz w:val="16"/>
                <w:szCs w:val="16"/>
                <w:color w:val="auto"/>
              </w:rPr>
            </w:pPr>
          </w:p>
        </w:tc>
        <w:tc>
          <w:tcPr>
            <w:tcW w:w="5400" w:type="dxa"/>
            <w:vAlign w:val="bottom"/>
            <w:tcBorders>
              <w:right w:val="single" w:sz="8" w:color="999999"/>
            </w:tcBorders>
          </w:tcPr>
          <w:p>
            <w:pPr>
              <w:spacing w:after="0"/>
              <w:rPr>
                <w:sz w:val="16"/>
                <w:szCs w:val="16"/>
                <w:color w:val="auto"/>
              </w:rPr>
            </w:pPr>
          </w:p>
        </w:tc>
        <w:tc>
          <w:tcPr>
            <w:tcW w:w="160" w:type="dxa"/>
            <w:vAlign w:val="bottom"/>
            <w:tcBorders>
              <w:right w:val="single" w:sz="8" w:color="999999"/>
            </w:tcBorders>
          </w:tcPr>
          <w:p>
            <w:pPr>
              <w:spacing w:after="0"/>
              <w:rPr>
                <w:sz w:val="16"/>
                <w:szCs w:val="16"/>
                <w:color w:val="auto"/>
              </w:rPr>
            </w:pPr>
          </w:p>
        </w:tc>
        <w:tc>
          <w:tcPr>
            <w:tcW w:w="5220" w:type="dxa"/>
            <w:vAlign w:val="bottom"/>
            <w:tcBorders>
              <w:right w:val="single" w:sz="8" w:color="00548B"/>
            </w:tcBorders>
          </w:tcPr>
          <w:p>
            <w:pPr>
              <w:ind w:left="40"/>
              <w:spacing w:after="0"/>
              <w:rPr>
                <w:sz w:val="20"/>
                <w:szCs w:val="20"/>
                <w:color w:val="auto"/>
              </w:rPr>
            </w:pPr>
            <w:r>
              <w:rPr>
                <w:rFonts w:ascii="Arial" w:cs="Arial" w:eastAsia="Arial" w:hAnsi="Arial"/>
                <w:sz w:val="16"/>
                <w:szCs w:val="16"/>
                <w:color w:val="auto"/>
              </w:rPr>
              <w:t>equity,  with  the  ultimate  value  realizable  tied  to  share  price</w:t>
            </w:r>
          </w:p>
        </w:tc>
      </w:tr>
      <w:tr>
        <w:trPr>
          <w:trHeight w:val="189"/>
        </w:trPr>
        <w:tc>
          <w:tcPr>
            <w:tcW w:w="260" w:type="dxa"/>
            <w:vAlign w:val="bottom"/>
            <w:tcBorders>
              <w:left w:val="single" w:sz="8" w:color="00548B"/>
              <w:right w:val="single" w:sz="8" w:color="999999"/>
            </w:tcBorders>
          </w:tcPr>
          <w:p>
            <w:pPr>
              <w:spacing w:after="0"/>
              <w:rPr>
                <w:sz w:val="16"/>
                <w:szCs w:val="16"/>
                <w:color w:val="auto"/>
              </w:rPr>
            </w:pPr>
          </w:p>
        </w:tc>
        <w:tc>
          <w:tcPr>
            <w:tcW w:w="5400" w:type="dxa"/>
            <w:vAlign w:val="bottom"/>
            <w:tcBorders>
              <w:right w:val="single" w:sz="8" w:color="999999"/>
            </w:tcBorders>
          </w:tcPr>
          <w:p>
            <w:pPr>
              <w:spacing w:after="0"/>
              <w:rPr>
                <w:sz w:val="16"/>
                <w:szCs w:val="16"/>
                <w:color w:val="auto"/>
              </w:rPr>
            </w:pPr>
          </w:p>
        </w:tc>
        <w:tc>
          <w:tcPr>
            <w:tcW w:w="160" w:type="dxa"/>
            <w:vAlign w:val="bottom"/>
            <w:tcBorders>
              <w:right w:val="single" w:sz="8" w:color="999999"/>
            </w:tcBorders>
          </w:tcPr>
          <w:p>
            <w:pPr>
              <w:spacing w:after="0"/>
              <w:rPr>
                <w:sz w:val="16"/>
                <w:szCs w:val="16"/>
                <w:color w:val="auto"/>
              </w:rPr>
            </w:pPr>
          </w:p>
        </w:tc>
        <w:tc>
          <w:tcPr>
            <w:tcW w:w="5220" w:type="dxa"/>
            <w:vAlign w:val="bottom"/>
            <w:tcBorders>
              <w:right w:val="single" w:sz="8" w:color="00548B"/>
            </w:tcBorders>
          </w:tcPr>
          <w:p>
            <w:pPr>
              <w:ind w:left="40"/>
              <w:spacing w:after="0"/>
              <w:rPr>
                <w:sz w:val="20"/>
                <w:szCs w:val="20"/>
                <w:color w:val="auto"/>
              </w:rPr>
            </w:pPr>
            <w:r>
              <w:rPr>
                <w:rFonts w:ascii="Arial" w:cs="Arial" w:eastAsia="Arial" w:hAnsi="Arial"/>
                <w:sz w:val="16"/>
                <w:szCs w:val="16"/>
                <w:color w:val="auto"/>
              </w:rPr>
              <w:t>performance, with 70% delivered in performance-based units that can</w:t>
            </w:r>
          </w:p>
        </w:tc>
      </w:tr>
      <w:tr>
        <w:trPr>
          <w:trHeight w:val="195"/>
        </w:trPr>
        <w:tc>
          <w:tcPr>
            <w:tcW w:w="260" w:type="dxa"/>
            <w:vAlign w:val="bottom"/>
            <w:tcBorders>
              <w:left w:val="single" w:sz="8" w:color="00548B"/>
              <w:right w:val="single" w:sz="8" w:color="999999"/>
            </w:tcBorders>
          </w:tcPr>
          <w:p>
            <w:pPr>
              <w:spacing w:after="0"/>
              <w:rPr>
                <w:sz w:val="16"/>
                <w:szCs w:val="16"/>
                <w:color w:val="auto"/>
              </w:rPr>
            </w:pPr>
          </w:p>
        </w:tc>
        <w:tc>
          <w:tcPr>
            <w:tcW w:w="5400" w:type="dxa"/>
            <w:vAlign w:val="bottom"/>
            <w:tcBorders>
              <w:right w:val="single" w:sz="8" w:color="999999"/>
            </w:tcBorders>
          </w:tcPr>
          <w:p>
            <w:pPr>
              <w:spacing w:after="0"/>
              <w:rPr>
                <w:sz w:val="16"/>
                <w:szCs w:val="16"/>
                <w:color w:val="auto"/>
              </w:rPr>
            </w:pPr>
          </w:p>
        </w:tc>
        <w:tc>
          <w:tcPr>
            <w:tcW w:w="160" w:type="dxa"/>
            <w:vAlign w:val="bottom"/>
            <w:tcBorders>
              <w:right w:val="single" w:sz="8" w:color="999999"/>
            </w:tcBorders>
          </w:tcPr>
          <w:p>
            <w:pPr>
              <w:spacing w:after="0"/>
              <w:rPr>
                <w:sz w:val="16"/>
                <w:szCs w:val="16"/>
                <w:color w:val="auto"/>
              </w:rPr>
            </w:pPr>
          </w:p>
        </w:tc>
        <w:tc>
          <w:tcPr>
            <w:tcW w:w="5220" w:type="dxa"/>
            <w:vAlign w:val="bottom"/>
            <w:tcBorders>
              <w:right w:val="single" w:sz="8" w:color="00548B"/>
            </w:tcBorders>
          </w:tcPr>
          <w:p>
            <w:pPr>
              <w:ind w:left="40"/>
              <w:spacing w:after="0"/>
              <w:rPr>
                <w:sz w:val="20"/>
                <w:szCs w:val="20"/>
                <w:color w:val="auto"/>
              </w:rPr>
            </w:pPr>
            <w:r>
              <w:rPr>
                <w:rFonts w:ascii="Arial" w:cs="Arial" w:eastAsia="Arial" w:hAnsi="Arial"/>
                <w:sz w:val="16"/>
                <w:szCs w:val="16"/>
                <w:color w:val="auto"/>
              </w:rPr>
              <w:t>only be earned if pre-set three-year financial goals are achieved.</w:t>
            </w:r>
          </w:p>
        </w:tc>
      </w:tr>
      <w:tr>
        <w:trPr>
          <w:trHeight w:val="319"/>
        </w:trPr>
        <w:tc>
          <w:tcPr>
            <w:tcW w:w="260" w:type="dxa"/>
            <w:vAlign w:val="bottom"/>
            <w:tcBorders>
              <w:left w:val="single" w:sz="8" w:color="00548B"/>
              <w:right w:val="single" w:sz="8" w:color="999999"/>
            </w:tcBorders>
          </w:tcPr>
          <w:p>
            <w:pPr>
              <w:spacing w:after="0"/>
              <w:rPr>
                <w:sz w:val="24"/>
                <w:szCs w:val="24"/>
                <w:color w:val="auto"/>
              </w:rPr>
            </w:pPr>
          </w:p>
        </w:tc>
        <w:tc>
          <w:tcPr>
            <w:tcW w:w="5400" w:type="dxa"/>
            <w:vAlign w:val="bottom"/>
            <w:tcBorders>
              <w:right w:val="single" w:sz="8" w:color="999999"/>
            </w:tcBorders>
          </w:tcPr>
          <w:p>
            <w:pPr>
              <w:spacing w:after="0"/>
              <w:rPr>
                <w:sz w:val="24"/>
                <w:szCs w:val="24"/>
                <w:color w:val="auto"/>
              </w:rPr>
            </w:pPr>
          </w:p>
        </w:tc>
        <w:tc>
          <w:tcPr>
            <w:tcW w:w="160" w:type="dxa"/>
            <w:vAlign w:val="bottom"/>
            <w:tcBorders>
              <w:right w:val="single" w:sz="8" w:color="999999"/>
            </w:tcBorders>
          </w:tcPr>
          <w:p>
            <w:pPr>
              <w:ind w:left="60"/>
              <w:spacing w:after="0"/>
              <w:rPr>
                <w:sz w:val="20"/>
                <w:szCs w:val="20"/>
                <w:color w:val="auto"/>
              </w:rPr>
            </w:pPr>
            <w:r>
              <w:rPr>
                <w:rFonts w:ascii="Arial" w:cs="Arial" w:eastAsia="Arial" w:hAnsi="Arial"/>
                <w:sz w:val="16"/>
                <w:szCs w:val="16"/>
                <w:color w:val="00548B"/>
              </w:rPr>
              <w:t>•</w:t>
            </w:r>
          </w:p>
        </w:tc>
        <w:tc>
          <w:tcPr>
            <w:tcW w:w="5220" w:type="dxa"/>
            <w:vAlign w:val="bottom"/>
            <w:tcBorders>
              <w:right w:val="single" w:sz="8" w:color="00548B"/>
            </w:tcBorders>
          </w:tcPr>
          <w:p>
            <w:pPr>
              <w:ind w:left="40"/>
              <w:spacing w:after="0"/>
              <w:rPr>
                <w:sz w:val="20"/>
                <w:szCs w:val="20"/>
                <w:color w:val="auto"/>
              </w:rPr>
            </w:pPr>
            <w:r>
              <w:rPr>
                <w:rFonts w:ascii="Arial" w:cs="Arial" w:eastAsia="Arial" w:hAnsi="Arial"/>
                <w:sz w:val="16"/>
                <w:szCs w:val="16"/>
                <w:color w:val="auto"/>
              </w:rPr>
              <w:t>In addition, we adopted a cap on annual incentive payouts - if TSR is</w:t>
            </w:r>
          </w:p>
        </w:tc>
      </w:tr>
      <w:tr>
        <w:trPr>
          <w:trHeight w:val="187"/>
        </w:trPr>
        <w:tc>
          <w:tcPr>
            <w:tcW w:w="260" w:type="dxa"/>
            <w:vAlign w:val="bottom"/>
            <w:tcBorders>
              <w:left w:val="single" w:sz="8" w:color="00548B"/>
              <w:bottom w:val="single" w:sz="8" w:color="00548B"/>
              <w:right w:val="single" w:sz="8" w:color="999999"/>
            </w:tcBorders>
          </w:tcPr>
          <w:p>
            <w:pPr>
              <w:spacing w:after="0"/>
              <w:rPr>
                <w:sz w:val="16"/>
                <w:szCs w:val="16"/>
                <w:color w:val="auto"/>
              </w:rPr>
            </w:pPr>
          </w:p>
        </w:tc>
        <w:tc>
          <w:tcPr>
            <w:tcW w:w="5400" w:type="dxa"/>
            <w:vAlign w:val="bottom"/>
            <w:tcBorders>
              <w:bottom w:val="single" w:sz="8" w:color="00548B"/>
              <w:right w:val="single" w:sz="8" w:color="999999"/>
            </w:tcBorders>
          </w:tcPr>
          <w:p>
            <w:pPr>
              <w:spacing w:after="0"/>
              <w:rPr>
                <w:sz w:val="16"/>
                <w:szCs w:val="16"/>
                <w:color w:val="auto"/>
              </w:rPr>
            </w:pPr>
          </w:p>
        </w:tc>
        <w:tc>
          <w:tcPr>
            <w:tcW w:w="160" w:type="dxa"/>
            <w:vAlign w:val="bottom"/>
            <w:tcBorders>
              <w:bottom w:val="single" w:sz="8" w:color="00548B"/>
              <w:right w:val="single" w:sz="8" w:color="999999"/>
            </w:tcBorders>
          </w:tcPr>
          <w:p>
            <w:pPr>
              <w:spacing w:after="0"/>
              <w:rPr>
                <w:sz w:val="16"/>
                <w:szCs w:val="16"/>
                <w:color w:val="auto"/>
              </w:rPr>
            </w:pPr>
          </w:p>
        </w:tc>
        <w:tc>
          <w:tcPr>
            <w:tcW w:w="5220" w:type="dxa"/>
            <w:vAlign w:val="bottom"/>
            <w:tcBorders>
              <w:bottom w:val="single" w:sz="8" w:color="00548B"/>
              <w:right w:val="single" w:sz="8" w:color="00548B"/>
            </w:tcBorders>
          </w:tcPr>
          <w:p>
            <w:pPr>
              <w:ind w:left="40"/>
              <w:spacing w:after="0"/>
              <w:rPr>
                <w:sz w:val="20"/>
                <w:szCs w:val="20"/>
                <w:color w:val="auto"/>
              </w:rPr>
            </w:pPr>
            <w:r>
              <w:rPr>
                <w:rFonts w:ascii="Arial" w:cs="Arial" w:eastAsia="Arial" w:hAnsi="Arial"/>
                <w:sz w:val="16"/>
                <w:szCs w:val="16"/>
                <w:color w:val="auto"/>
              </w:rPr>
              <w:t>not positive, the NEOs may not earn better than target payout.</w:t>
            </w: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25</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700659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345" w:lineRule="exact"/>
        <w:rPr>
          <w:sz w:val="20"/>
          <w:szCs w:val="20"/>
          <w:color w:val="auto"/>
        </w:rPr>
      </w:pPr>
    </w:p>
    <w:p>
      <w:pPr>
        <w:ind w:left="1800"/>
        <w:spacing w:after="0"/>
        <w:tabs>
          <w:tab w:leader="none" w:pos="8180" w:val="left"/>
        </w:tabs>
        <w:rPr>
          <w:sz w:val="20"/>
          <w:szCs w:val="20"/>
          <w:color w:val="auto"/>
        </w:rPr>
      </w:pPr>
      <w:r>
        <w:rPr>
          <w:rFonts w:ascii="Arial" w:cs="Arial" w:eastAsia="Arial" w:hAnsi="Arial"/>
          <w:sz w:val="14"/>
          <w:szCs w:val="14"/>
          <w:b w:val="1"/>
          <w:bCs w:val="1"/>
          <w:color w:val="D8D8D8"/>
        </w:rPr>
        <w:t>Shareholders Expressed Concern About</w:t>
      </w:r>
      <w:r>
        <w:rPr>
          <w:sz w:val="20"/>
          <w:szCs w:val="20"/>
          <w:color w:val="auto"/>
        </w:rPr>
        <w:tab/>
      </w:r>
      <w:r>
        <w:rPr>
          <w:rFonts w:ascii="Arial" w:cs="Arial" w:eastAsia="Arial" w:hAnsi="Arial"/>
          <w:sz w:val="14"/>
          <w:szCs w:val="14"/>
          <w:b w:val="1"/>
          <w:bCs w:val="1"/>
          <w:color w:val="D8D8D8"/>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7006590" cy="1912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6590" cy="1912620"/>
                    </a:xfrm>
                    <a:prstGeom prst="rect">
                      <a:avLst/>
                    </a:prstGeom>
                    <a:noFill/>
                  </pic:spPr>
                </pic:pic>
              </a:graphicData>
            </a:graphic>
          </wp:anchor>
        </w:drawing>
      </w:r>
    </w:p>
    <w:p>
      <w:pPr>
        <w:spacing w:after="0" w:line="50" w:lineRule="exact"/>
        <w:rPr>
          <w:sz w:val="20"/>
          <w:szCs w:val="20"/>
          <w:color w:val="auto"/>
        </w:rPr>
      </w:pPr>
    </w:p>
    <w:p>
      <w:pPr>
        <w:ind w:left="520" w:hanging="159"/>
        <w:spacing w:after="0"/>
        <w:tabs>
          <w:tab w:leader="none" w:pos="520" w:val="left"/>
        </w:tabs>
        <w:numPr>
          <w:ilvl w:val="0"/>
          <w:numId w:val="29"/>
        </w:numPr>
        <w:rPr>
          <w:rFonts w:ascii="Arial" w:cs="Arial" w:eastAsia="Arial" w:hAnsi="Arial"/>
          <w:sz w:val="16"/>
          <w:szCs w:val="16"/>
          <w:color w:val="00548B"/>
        </w:rPr>
      </w:pPr>
      <w:r>
        <w:rPr>
          <w:rFonts w:ascii="Arial" w:cs="Arial" w:eastAsia="Arial" w:hAnsi="Arial"/>
          <w:sz w:val="16"/>
          <w:szCs w:val="16"/>
          <w:color w:val="auto"/>
        </w:rPr>
        <w:t xml:space="preserve">The minimum required stock holdings for the CEO and directors should be </w:t>
      </w:r>
      <w:r>
        <w:rPr>
          <w:rFonts w:ascii="Arial" w:cs="Arial" w:eastAsia="Arial" w:hAnsi="Arial"/>
          <w:sz w:val="16"/>
          <w:szCs w:val="16"/>
          <w:color w:val="00548B"/>
        </w:rPr>
        <w:t>•</w:t>
      </w:r>
      <w:r>
        <w:rPr>
          <w:rFonts w:ascii="Arial" w:cs="Arial" w:eastAsia="Arial" w:hAnsi="Arial"/>
          <w:sz w:val="16"/>
          <w:szCs w:val="16"/>
          <w:color w:val="auto"/>
        </w:rPr>
        <w:t xml:space="preserve"> We increased the stock ownership multiple required for the CEO and</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raised</w:t>
            </w:r>
          </w:p>
        </w:tc>
        <w:tc>
          <w:tcPr>
            <w:tcW w:w="7660" w:type="dxa"/>
            <w:vAlign w:val="bottom"/>
          </w:tcPr>
          <w:p>
            <w:pPr>
              <w:ind w:left="2560"/>
              <w:spacing w:after="0"/>
              <w:rPr>
                <w:sz w:val="20"/>
                <w:szCs w:val="20"/>
                <w:color w:val="auto"/>
              </w:rPr>
            </w:pPr>
            <w:r>
              <w:rPr>
                <w:rFonts w:ascii="Arial" w:cs="Arial" w:eastAsia="Arial" w:hAnsi="Arial"/>
                <w:sz w:val="16"/>
                <w:szCs w:val="16"/>
                <w:color w:val="auto"/>
              </w:rPr>
              <w:t>directors - from 3X to 5X - to further align them with longer term share</w:t>
            </w:r>
          </w:p>
        </w:tc>
      </w:tr>
      <w:tr>
        <w:trPr>
          <w:trHeight w:val="189"/>
        </w:trPr>
        <w:tc>
          <w:tcPr>
            <w:tcW w:w="3000" w:type="dxa"/>
            <w:vAlign w:val="bottom"/>
          </w:tcPr>
          <w:p>
            <w:pPr>
              <w:spacing w:after="0"/>
              <w:rPr>
                <w:sz w:val="16"/>
                <w:szCs w:val="16"/>
                <w:color w:val="auto"/>
              </w:rPr>
            </w:pPr>
          </w:p>
        </w:tc>
        <w:tc>
          <w:tcPr>
            <w:tcW w:w="7660" w:type="dxa"/>
            <w:vAlign w:val="bottom"/>
          </w:tcPr>
          <w:p>
            <w:pPr>
              <w:ind w:left="2560"/>
              <w:spacing w:after="0"/>
              <w:rPr>
                <w:sz w:val="20"/>
                <w:szCs w:val="20"/>
                <w:color w:val="auto"/>
              </w:rPr>
            </w:pPr>
            <w:r>
              <w:rPr>
                <w:rFonts w:ascii="Arial" w:cs="Arial" w:eastAsia="Arial" w:hAnsi="Arial"/>
                <w:sz w:val="16"/>
                <w:szCs w:val="16"/>
                <w:color w:val="auto"/>
              </w:rPr>
              <w:t>price performance. Mr. Roth currently owns stock equal to 9X his base</w:t>
            </w:r>
          </w:p>
        </w:tc>
      </w:tr>
      <w:tr>
        <w:trPr>
          <w:trHeight w:val="195"/>
        </w:trPr>
        <w:tc>
          <w:tcPr>
            <w:tcW w:w="3000" w:type="dxa"/>
            <w:vAlign w:val="bottom"/>
          </w:tcPr>
          <w:p>
            <w:pPr>
              <w:spacing w:after="0"/>
              <w:rPr>
                <w:sz w:val="16"/>
                <w:szCs w:val="16"/>
                <w:color w:val="auto"/>
              </w:rPr>
            </w:pPr>
          </w:p>
        </w:tc>
        <w:tc>
          <w:tcPr>
            <w:tcW w:w="7660" w:type="dxa"/>
            <w:vAlign w:val="bottom"/>
          </w:tcPr>
          <w:p>
            <w:pPr>
              <w:ind w:left="2560"/>
              <w:spacing w:after="0"/>
              <w:rPr>
                <w:sz w:val="20"/>
                <w:szCs w:val="20"/>
                <w:color w:val="auto"/>
              </w:rPr>
            </w:pPr>
            <w:r>
              <w:rPr>
                <w:rFonts w:ascii="Arial" w:cs="Arial" w:eastAsia="Arial" w:hAnsi="Arial"/>
                <w:sz w:val="16"/>
                <w:szCs w:val="16"/>
                <w:color w:val="auto"/>
              </w:rPr>
              <w:t>salary.</w:t>
            </w:r>
          </w:p>
        </w:tc>
      </w:tr>
    </w:tbl>
    <w:p>
      <w:pPr>
        <w:spacing w:after="0" w:line="8" w:lineRule="exact"/>
        <w:rPr>
          <w:sz w:val="20"/>
          <w:szCs w:val="20"/>
          <w:color w:val="auto"/>
        </w:rPr>
      </w:pPr>
    </w:p>
    <w:p>
      <w:pPr>
        <w:ind w:left="520" w:hanging="159"/>
        <w:spacing w:after="0"/>
        <w:tabs>
          <w:tab w:leader="none" w:pos="520" w:val="left"/>
        </w:tabs>
        <w:numPr>
          <w:ilvl w:val="0"/>
          <w:numId w:val="30"/>
        </w:numPr>
        <w:rPr>
          <w:rFonts w:ascii="Arial" w:cs="Arial" w:eastAsia="Arial" w:hAnsi="Arial"/>
          <w:sz w:val="16"/>
          <w:szCs w:val="16"/>
          <w:color w:val="00548B"/>
        </w:rPr>
      </w:pPr>
      <w:r>
        <w:rPr>
          <w:rFonts w:ascii="Arial" w:cs="Arial" w:eastAsia="Arial" w:hAnsi="Arial"/>
          <w:sz w:val="16"/>
          <w:szCs w:val="16"/>
          <w:color w:val="auto"/>
        </w:rPr>
        <w:t xml:space="preserve">Strategic  Measures  based  largely  on  discretionary  assessment  of </w:t>
      </w:r>
      <w:r>
        <w:rPr>
          <w:rFonts w:ascii="Arial" w:cs="Arial" w:eastAsia="Arial" w:hAnsi="Arial"/>
          <w:sz w:val="16"/>
          <w:szCs w:val="16"/>
          <w:color w:val="00548B"/>
        </w:rPr>
        <w:t>•</w:t>
      </w:r>
      <w:r>
        <w:rPr>
          <w:rFonts w:ascii="Arial" w:cs="Arial" w:eastAsia="Arial" w:hAnsi="Arial"/>
          <w:sz w:val="16"/>
          <w:szCs w:val="16"/>
          <w:color w:val="auto"/>
        </w:rPr>
        <w:t xml:space="preserve"> For 2018, under the Strategic Measures, we explicitly defined 10</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5420" w:type="dxa"/>
            <w:vAlign w:val="bottom"/>
          </w:tcPr>
          <w:p>
            <w:pPr>
              <w:ind w:left="300"/>
              <w:spacing w:after="0"/>
              <w:rPr>
                <w:sz w:val="20"/>
                <w:szCs w:val="20"/>
                <w:color w:val="auto"/>
              </w:rPr>
            </w:pPr>
            <w:r>
              <w:rPr>
                <w:rFonts w:ascii="Arial" w:cs="Arial" w:eastAsia="Arial" w:hAnsi="Arial"/>
                <w:sz w:val="16"/>
                <w:szCs w:val="16"/>
                <w:color w:val="auto"/>
              </w:rPr>
              <w:t>performance</w:t>
            </w:r>
          </w:p>
        </w:tc>
        <w:tc>
          <w:tcPr>
            <w:tcW w:w="5600" w:type="dxa"/>
            <w:vAlign w:val="bottom"/>
          </w:tcPr>
          <w:p>
            <w:pPr>
              <w:ind w:left="440"/>
              <w:spacing w:after="0"/>
              <w:rPr>
                <w:sz w:val="20"/>
                <w:szCs w:val="20"/>
                <w:color w:val="auto"/>
              </w:rPr>
            </w:pPr>
            <w:r>
              <w:rPr>
                <w:rFonts w:ascii="Arial" w:cs="Arial" w:eastAsia="Arial" w:hAnsi="Arial"/>
                <w:sz w:val="16"/>
                <w:szCs w:val="16"/>
                <w:color w:val="auto"/>
              </w:rPr>
              <w:t>performance measures and 60% of these measures were tied to</w:t>
            </w:r>
          </w:p>
        </w:tc>
      </w:tr>
      <w:tr>
        <w:trPr>
          <w:trHeight w:val="189"/>
        </w:trPr>
        <w:tc>
          <w:tcPr>
            <w:tcW w:w="5420" w:type="dxa"/>
            <w:vAlign w:val="bottom"/>
          </w:tcPr>
          <w:p>
            <w:pPr>
              <w:spacing w:after="0"/>
              <w:rPr>
                <w:sz w:val="16"/>
                <w:szCs w:val="16"/>
                <w:color w:val="auto"/>
              </w:rPr>
            </w:pPr>
          </w:p>
        </w:tc>
        <w:tc>
          <w:tcPr>
            <w:tcW w:w="5600" w:type="dxa"/>
            <w:vAlign w:val="bottom"/>
          </w:tcPr>
          <w:p>
            <w:pPr>
              <w:ind w:left="440"/>
              <w:spacing w:after="0"/>
              <w:rPr>
                <w:sz w:val="20"/>
                <w:szCs w:val="20"/>
                <w:color w:val="auto"/>
              </w:rPr>
            </w:pPr>
            <w:r>
              <w:rPr>
                <w:rFonts w:ascii="Arial" w:cs="Arial" w:eastAsia="Arial" w:hAnsi="Arial"/>
                <w:sz w:val="16"/>
                <w:szCs w:val="16"/>
                <w:color w:val="auto"/>
              </w:rPr>
              <w:t>specific,  quantifiable  predetermined  goals.  Commentary  was  also</w:t>
            </w:r>
          </w:p>
        </w:tc>
      </w:tr>
      <w:tr>
        <w:trPr>
          <w:trHeight w:val="189"/>
        </w:trPr>
        <w:tc>
          <w:tcPr>
            <w:tcW w:w="5420" w:type="dxa"/>
            <w:vAlign w:val="bottom"/>
          </w:tcPr>
          <w:p>
            <w:pPr>
              <w:spacing w:after="0"/>
              <w:rPr>
                <w:sz w:val="16"/>
                <w:szCs w:val="16"/>
                <w:color w:val="auto"/>
              </w:rPr>
            </w:pPr>
          </w:p>
        </w:tc>
        <w:tc>
          <w:tcPr>
            <w:tcW w:w="5600" w:type="dxa"/>
            <w:vAlign w:val="bottom"/>
          </w:tcPr>
          <w:p>
            <w:pPr>
              <w:ind w:left="440"/>
              <w:spacing w:after="0"/>
              <w:rPr>
                <w:sz w:val="20"/>
                <w:szCs w:val="20"/>
                <w:color w:val="auto"/>
              </w:rPr>
            </w:pPr>
            <w:r>
              <w:rPr>
                <w:rFonts w:ascii="Arial" w:cs="Arial" w:eastAsia="Arial" w:hAnsi="Arial"/>
                <w:sz w:val="16"/>
                <w:szCs w:val="16"/>
                <w:color w:val="auto"/>
              </w:rPr>
              <w:t>added  to  the  CD&amp;A  to  describe  the  rationale  for  performance</w:t>
            </w:r>
          </w:p>
        </w:tc>
      </w:tr>
      <w:tr>
        <w:trPr>
          <w:trHeight w:val="195"/>
        </w:trPr>
        <w:tc>
          <w:tcPr>
            <w:tcW w:w="5420" w:type="dxa"/>
            <w:vAlign w:val="bottom"/>
          </w:tcPr>
          <w:p>
            <w:pPr>
              <w:spacing w:after="0"/>
              <w:rPr>
                <w:sz w:val="16"/>
                <w:szCs w:val="16"/>
                <w:color w:val="auto"/>
              </w:rPr>
            </w:pPr>
          </w:p>
        </w:tc>
        <w:tc>
          <w:tcPr>
            <w:tcW w:w="5600" w:type="dxa"/>
            <w:vAlign w:val="bottom"/>
          </w:tcPr>
          <w:p>
            <w:pPr>
              <w:ind w:left="440"/>
              <w:spacing w:after="0"/>
              <w:rPr>
                <w:sz w:val="20"/>
                <w:szCs w:val="20"/>
                <w:color w:val="auto"/>
              </w:rPr>
            </w:pPr>
            <w:r>
              <w:rPr>
                <w:rFonts w:ascii="Arial" w:cs="Arial" w:eastAsia="Arial" w:hAnsi="Arial"/>
                <w:sz w:val="16"/>
                <w:szCs w:val="16"/>
                <w:color w:val="auto"/>
              </w:rPr>
              <w:t>determination.</w:t>
            </w:r>
          </w:p>
        </w:tc>
      </w:tr>
      <w:tr>
        <w:trPr>
          <w:trHeight w:val="319"/>
        </w:trPr>
        <w:tc>
          <w:tcPr>
            <w:tcW w:w="5420" w:type="dxa"/>
            <w:vAlign w:val="bottom"/>
          </w:tcPr>
          <w:p>
            <w:pPr>
              <w:spacing w:after="0"/>
              <w:rPr>
                <w:sz w:val="24"/>
                <w:szCs w:val="24"/>
                <w:color w:val="auto"/>
              </w:rPr>
            </w:pPr>
          </w:p>
        </w:tc>
        <w:tc>
          <w:tcPr>
            <w:tcW w:w="5600" w:type="dxa"/>
            <w:vAlign w:val="bottom"/>
          </w:tcPr>
          <w:p>
            <w:pPr>
              <w:ind w:left="30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Beginning in 2019, the weighting of the Strategic Measures will be</w:t>
            </w:r>
          </w:p>
        </w:tc>
      </w:tr>
      <w:tr>
        <w:trPr>
          <w:trHeight w:val="189"/>
        </w:trPr>
        <w:tc>
          <w:tcPr>
            <w:tcW w:w="5420" w:type="dxa"/>
            <w:vAlign w:val="bottom"/>
          </w:tcPr>
          <w:p>
            <w:pPr>
              <w:spacing w:after="0"/>
              <w:rPr>
                <w:sz w:val="16"/>
                <w:szCs w:val="16"/>
                <w:color w:val="auto"/>
              </w:rPr>
            </w:pPr>
          </w:p>
        </w:tc>
        <w:tc>
          <w:tcPr>
            <w:tcW w:w="5600" w:type="dxa"/>
            <w:vAlign w:val="bottom"/>
          </w:tcPr>
          <w:p>
            <w:pPr>
              <w:ind w:left="440"/>
              <w:spacing w:after="0"/>
              <w:rPr>
                <w:sz w:val="20"/>
                <w:szCs w:val="20"/>
                <w:color w:val="auto"/>
              </w:rPr>
            </w:pPr>
            <w:r>
              <w:rPr>
                <w:rFonts w:ascii="Arial" w:cs="Arial" w:eastAsia="Arial" w:hAnsi="Arial"/>
                <w:sz w:val="16"/>
                <w:szCs w:val="16"/>
                <w:color w:val="auto"/>
              </w:rPr>
              <w:t>reduced from 30% to 20% of the NEOs’ target opportunity. While 60%</w:t>
            </w:r>
          </w:p>
        </w:tc>
      </w:tr>
      <w:tr>
        <w:trPr>
          <w:trHeight w:val="189"/>
        </w:trPr>
        <w:tc>
          <w:tcPr>
            <w:tcW w:w="5420" w:type="dxa"/>
            <w:vAlign w:val="bottom"/>
          </w:tcPr>
          <w:p>
            <w:pPr>
              <w:spacing w:after="0"/>
              <w:rPr>
                <w:sz w:val="16"/>
                <w:szCs w:val="16"/>
                <w:color w:val="auto"/>
              </w:rPr>
            </w:pPr>
          </w:p>
        </w:tc>
        <w:tc>
          <w:tcPr>
            <w:tcW w:w="5600" w:type="dxa"/>
            <w:vAlign w:val="bottom"/>
          </w:tcPr>
          <w:p>
            <w:pPr>
              <w:ind w:left="440"/>
              <w:spacing w:after="0"/>
              <w:rPr>
                <w:sz w:val="20"/>
                <w:szCs w:val="20"/>
                <w:color w:val="auto"/>
              </w:rPr>
            </w:pPr>
            <w:r>
              <w:rPr>
                <w:rFonts w:ascii="Arial" w:cs="Arial" w:eastAsia="Arial" w:hAnsi="Arial"/>
                <w:sz w:val="16"/>
                <w:szCs w:val="16"/>
                <w:color w:val="auto"/>
              </w:rPr>
              <w:t>of the measures will remain tied to quantifiable predetermined goals,</w:t>
            </w:r>
          </w:p>
        </w:tc>
      </w:tr>
      <w:tr>
        <w:trPr>
          <w:trHeight w:val="187"/>
        </w:trPr>
        <w:tc>
          <w:tcPr>
            <w:tcW w:w="5420" w:type="dxa"/>
            <w:vAlign w:val="bottom"/>
            <w:tcBorders>
              <w:bottom w:val="single" w:sz="8" w:color="999999"/>
            </w:tcBorders>
          </w:tcPr>
          <w:p>
            <w:pPr>
              <w:spacing w:after="0"/>
              <w:rPr>
                <w:sz w:val="16"/>
                <w:szCs w:val="16"/>
                <w:color w:val="auto"/>
              </w:rPr>
            </w:pPr>
          </w:p>
        </w:tc>
        <w:tc>
          <w:tcPr>
            <w:tcW w:w="5600" w:type="dxa"/>
            <w:vAlign w:val="bottom"/>
            <w:tcBorders>
              <w:bottom w:val="single" w:sz="8" w:color="999999"/>
            </w:tcBorders>
          </w:tcPr>
          <w:p>
            <w:pPr>
              <w:ind w:left="440"/>
              <w:spacing w:after="0"/>
              <w:rPr>
                <w:sz w:val="20"/>
                <w:szCs w:val="20"/>
                <w:color w:val="auto"/>
              </w:rPr>
            </w:pPr>
            <w:r>
              <w:rPr>
                <w:rFonts w:ascii="Arial" w:cs="Arial" w:eastAsia="Arial" w:hAnsi="Arial"/>
                <w:sz w:val="16"/>
                <w:szCs w:val="16"/>
                <w:color w:val="auto"/>
              </w:rPr>
              <w:t>we will continue to explicitly define all measures.</w:t>
            </w:r>
          </w:p>
        </w:tc>
      </w:tr>
      <w:tr>
        <w:trPr>
          <w:trHeight w:val="184"/>
        </w:trPr>
        <w:tc>
          <w:tcPr>
            <w:tcW w:w="5420" w:type="dxa"/>
            <w:vAlign w:val="bottom"/>
          </w:tcPr>
          <w:p>
            <w:pPr>
              <w:ind w:left="14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Annual performance measures in the Long-Term Incentive Program</w:t>
            </w:r>
          </w:p>
        </w:tc>
        <w:tc>
          <w:tcPr>
            <w:tcW w:w="5600" w:type="dxa"/>
            <w:vAlign w:val="bottom"/>
          </w:tcPr>
          <w:p>
            <w:pPr>
              <w:ind w:left="300"/>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Beginning  with  grants  made  in  2018,  PSU  awards  are  tied  to</w:t>
            </w:r>
          </w:p>
        </w:tc>
      </w:tr>
      <w:tr>
        <w:trPr>
          <w:trHeight w:val="195"/>
        </w:trPr>
        <w:tc>
          <w:tcPr>
            <w:tcW w:w="5420" w:type="dxa"/>
            <w:vAlign w:val="bottom"/>
          </w:tcPr>
          <w:p>
            <w:pPr>
              <w:spacing w:after="0"/>
              <w:rPr>
                <w:sz w:val="16"/>
                <w:szCs w:val="16"/>
                <w:color w:val="auto"/>
              </w:rPr>
            </w:pPr>
          </w:p>
        </w:tc>
        <w:tc>
          <w:tcPr>
            <w:tcW w:w="5600" w:type="dxa"/>
            <w:vAlign w:val="bottom"/>
          </w:tcPr>
          <w:p>
            <w:pPr>
              <w:ind w:left="440"/>
              <w:spacing w:after="0"/>
              <w:rPr>
                <w:sz w:val="20"/>
                <w:szCs w:val="20"/>
                <w:color w:val="auto"/>
              </w:rPr>
            </w:pPr>
            <w:r>
              <w:rPr>
                <w:rFonts w:ascii="Arial" w:cs="Arial" w:eastAsia="Arial" w:hAnsi="Arial"/>
                <w:sz w:val="16"/>
                <w:szCs w:val="16"/>
                <w:color w:val="auto"/>
              </w:rPr>
              <w:t>predetermined measures of three-year financial performance.</w:t>
            </w:r>
          </w:p>
        </w:tc>
      </w:tr>
    </w:tbl>
    <w:p>
      <w:pPr>
        <w:spacing w:after="0" w:line="17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The 2018 EBITDA target was set below the 2017 actual EBITDA performance level</w:t>
      </w:r>
    </w:p>
    <w:p>
      <w:pPr>
        <w:spacing w:after="0" w:line="25"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The Compensation Committee and management discuss the business plan and related goals over the course of multiple meetings. Goals are set in consideration of our business plan and are intended to reflect a considerable amount of stretch, while remaining achievable. While our EBITDA Margin goal for 2018 was below the prior year’s actual level of performance, NEOs only achieved a threshold level of performance in 2017, for which a 25% of target award was earned.</w:t>
      </w:r>
    </w:p>
    <w:p>
      <w:pPr>
        <w:spacing w:after="0" w:line="162" w:lineRule="exact"/>
        <w:rPr>
          <w:sz w:val="20"/>
          <w:szCs w:val="20"/>
          <w:color w:val="auto"/>
        </w:rPr>
      </w:pPr>
    </w:p>
    <w:p>
      <w:pPr>
        <w:jc w:val="both"/>
        <w:ind w:left="200" w:right="20"/>
        <w:spacing w:after="0" w:line="247" w:lineRule="auto"/>
        <w:rPr>
          <w:sz w:val="20"/>
          <w:szCs w:val="20"/>
          <w:color w:val="auto"/>
        </w:rPr>
      </w:pPr>
      <w:r>
        <w:rPr>
          <w:rFonts w:ascii="Arial" w:cs="Arial" w:eastAsia="Arial" w:hAnsi="Arial"/>
          <w:sz w:val="16"/>
          <w:szCs w:val="16"/>
          <w:color w:val="auto"/>
        </w:rPr>
        <w:t>In 2016 and 2017, we experienced lower margins for two primary reasons. First, margins within our largest segment, Healthcare, declined as healthcare providers shifted away from buying large, comprehensive performance improvement engagements that typically involved multiple service lines and a higher mix of performance-based fees to smaller, more discrete engagements involving a single service line and a greater percentage of fixed fees at lower margin. Second, demand increased across all segments for our technology implementation offerings, which tend to have lower margins than other service offerings, resulting in a less favorable margin mix of services. As a result of these challenges, bonus funding for our employees was at a low level in 2017. In the fourth quarter of 2017, we began to see increased demand for our services, particularly in the Healthcare segment. Healthcare segment revenue increased more than 20% sequentially from the third to the fourth quarter of 2017 when we experienced record utilization of 84.5%. As the U.S. labor market strengthened, we concurrently saw increased competition for talent for our consultants. In the interest of driving shareholder value for the long term, the Committee made the decision to establish 2018 EBITDA targets for each business that would make full bonus payouts possible if these revised financial targets were achieved. This decision negatively affected 2018 EBITDA, but the Committee believes it was critical to the recruitment and retention of revenue-generating talent in a highly competitive market. The board believes the retention and recruitment of talent is essential to our ability to grow revenues and expand margins over time, which will drive increased shareholder value.</w:t>
      </w:r>
    </w:p>
    <w:p>
      <w:pPr>
        <w:spacing w:after="0" w:line="172" w:lineRule="exact"/>
        <w:rPr>
          <w:sz w:val="20"/>
          <w:szCs w:val="20"/>
          <w:color w:val="auto"/>
        </w:rPr>
      </w:pPr>
    </w:p>
    <w:p>
      <w:pPr>
        <w:jc w:val="both"/>
        <w:ind w:left="200" w:right="20"/>
        <w:spacing w:after="0" w:line="249" w:lineRule="auto"/>
        <w:rPr>
          <w:sz w:val="20"/>
          <w:szCs w:val="20"/>
          <w:color w:val="auto"/>
        </w:rPr>
      </w:pPr>
      <w:r>
        <w:rPr>
          <w:rFonts w:ascii="Arial" w:cs="Arial" w:eastAsia="Arial" w:hAnsi="Arial"/>
          <w:sz w:val="16"/>
          <w:szCs w:val="16"/>
          <w:color w:val="auto"/>
        </w:rPr>
        <w:t>We believe that the strategic positioning we developed in 2017 and executed in 2018 is taking hold. We grew Company-wide revenues 8% organically for the full year 2018 and Healthcare segment revenues grew organically for the full year 2018, which is the first time this occurred since 2014. While there continues to be intense competition for talent, we believe we have been successful at retaining our revenue-generating professionals and creating an attractive platform to recruit new talent. We have also benefited from the use of equity as well to retain our managing directors. Based on our revenue growth and efficiency-focused initiatives at the practice level and the continued leveraging of our corporate SG&amp;A expenses, the Company has planned for and guided to expanding margins in 2019 and the Compensation Committee has set the NEO compensation targets accordingly.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26</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700659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06590" cy="171450"/>
                    </a:xfrm>
                    <a:prstGeom prst="rect">
                      <a:avLst/>
                    </a:prstGeom>
                    <a:noFill/>
                  </pic:spPr>
                </pic:pic>
              </a:graphicData>
            </a:graphic>
          </wp:anchor>
        </w:drawing>
      </w:r>
    </w:p>
    <w:p>
      <w:pPr>
        <w:spacing w:after="0" w:line="33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D8D8D8"/>
        </w:rPr>
        <w:t>SECTION 3 - COMPENSATION PROGRAM DETAILS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Targeting of Total Direct Compensation</w:t>
      </w:r>
    </w:p>
    <w:p>
      <w:pPr>
        <w:spacing w:after="0" w:line="25" w:lineRule="exact"/>
        <w:rPr>
          <w:sz w:val="20"/>
          <w:szCs w:val="20"/>
          <w:color w:val="auto"/>
        </w:rPr>
      </w:pPr>
    </w:p>
    <w:p>
      <w:pPr>
        <w:jc w:val="both"/>
        <w:ind w:left="200" w:right="20"/>
        <w:spacing w:after="0" w:line="250" w:lineRule="auto"/>
        <w:rPr>
          <w:sz w:val="20"/>
          <w:szCs w:val="20"/>
          <w:color w:val="auto"/>
        </w:rPr>
      </w:pPr>
      <w:r>
        <w:rPr>
          <w:rFonts w:ascii="Arial" w:cs="Arial" w:eastAsia="Arial" w:hAnsi="Arial"/>
          <w:sz w:val="16"/>
          <w:szCs w:val="16"/>
          <w:color w:val="auto"/>
        </w:rPr>
        <w:t>The Compensation Committee generally targets total direct compensation to be within +/-15% of the median of the Executive Pay Peer Group for our NEOs. In addition to peer group data, the Compensation Committee also reviews survey data for companies with revenues between $500M and $1B from the Radford Global Technology Survey. The Compensation Committee considers Huron’s competition for talent to be broader than just the peer group companies, including other public and private consulting, strategy and also technology organizations, for the NEOs as well as our managing directors. When making compensation determinations, the Compensation Committee applies its judgment in incorporating these various factors.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2018 NEO Compensation Opportunity</w:t>
      </w:r>
    </w:p>
    <w:p>
      <w:pPr>
        <w:spacing w:after="0" w:line="2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Compensation Committee approved 2018 compensation levels (base salary and target annual and long-term incentive) in February of 2018. The only changes approved for 2018 were to Mr. Kelly. Mr. Kelly’s base salary and long-term incentive opportunity increased given he is at the lower end of the comparator range. The Compensation Committee will continue to review competitiveness on an annual basis.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720" w:type="dxa"/>
            <w:vAlign w:val="bottom"/>
            <w:tcBorders>
              <w:bottom w:val="single" w:sz="8" w:color="00548B"/>
            </w:tcBorders>
            <w:shd w:val="clear" w:color="auto" w:fill="00548B"/>
          </w:tcPr>
          <w:p>
            <w:pPr>
              <w:spacing w:after="0"/>
              <w:rPr>
                <w:sz w:val="20"/>
                <w:szCs w:val="20"/>
                <w:color w:val="auto"/>
              </w:rPr>
            </w:pPr>
            <w:r>
              <w:rPr>
                <w:rFonts w:ascii="Arial" w:cs="Arial" w:eastAsia="Arial" w:hAnsi="Arial"/>
                <w:sz w:val="14"/>
                <w:szCs w:val="14"/>
                <w:b w:val="1"/>
                <w:bCs w:val="1"/>
                <w:color w:val="E5E5E5"/>
              </w:rPr>
              <w:t>Compensation Element</w:t>
            </w:r>
          </w:p>
        </w:tc>
        <w:tc>
          <w:tcPr>
            <w:tcW w:w="2780" w:type="dxa"/>
            <w:vAlign w:val="bottom"/>
            <w:tcBorders>
              <w:bottom w:val="single" w:sz="8" w:color="00548B"/>
            </w:tcBorders>
            <w:shd w:val="clear" w:color="auto" w:fill="00548B"/>
          </w:tcPr>
          <w:p>
            <w:pPr>
              <w:jc w:val="center"/>
              <w:ind w:left="781"/>
              <w:spacing w:after="0"/>
              <w:rPr>
                <w:sz w:val="20"/>
                <w:szCs w:val="20"/>
                <w:color w:val="auto"/>
              </w:rPr>
            </w:pPr>
            <w:r>
              <w:rPr>
                <w:rFonts w:ascii="Arial" w:cs="Arial" w:eastAsia="Arial" w:hAnsi="Arial"/>
                <w:sz w:val="14"/>
                <w:szCs w:val="14"/>
                <w:b w:val="1"/>
                <w:bCs w:val="1"/>
                <w:color w:val="E5E5E5"/>
              </w:rPr>
              <w:t>James H. Roth</w:t>
            </w:r>
          </w:p>
        </w:tc>
        <w:tc>
          <w:tcPr>
            <w:tcW w:w="1860" w:type="dxa"/>
            <w:vAlign w:val="bottom"/>
            <w:tcBorders>
              <w:bottom w:val="single" w:sz="8" w:color="00548B"/>
            </w:tcBorders>
            <w:shd w:val="clear" w:color="auto" w:fill="00548B"/>
          </w:tcPr>
          <w:p>
            <w:pPr>
              <w:jc w:val="center"/>
              <w:spacing w:after="0"/>
              <w:rPr>
                <w:sz w:val="20"/>
                <w:szCs w:val="20"/>
                <w:color w:val="auto"/>
              </w:rPr>
            </w:pPr>
            <w:r>
              <w:rPr>
                <w:rFonts w:ascii="Arial" w:cs="Arial" w:eastAsia="Arial" w:hAnsi="Arial"/>
                <w:sz w:val="14"/>
                <w:szCs w:val="14"/>
                <w:b w:val="1"/>
                <w:bCs w:val="1"/>
                <w:color w:val="E5E5E5"/>
              </w:rPr>
              <w:t>C. Mark Hussey</w:t>
            </w:r>
          </w:p>
        </w:tc>
        <w:tc>
          <w:tcPr>
            <w:tcW w:w="1820" w:type="dxa"/>
            <w:vAlign w:val="bottom"/>
            <w:tcBorders>
              <w:bottom w:val="single" w:sz="8" w:color="00548B"/>
            </w:tcBorders>
            <w:shd w:val="clear" w:color="auto" w:fill="00548B"/>
          </w:tcPr>
          <w:p>
            <w:pPr>
              <w:jc w:val="center"/>
              <w:spacing w:after="0"/>
              <w:rPr>
                <w:sz w:val="20"/>
                <w:szCs w:val="20"/>
                <w:color w:val="auto"/>
              </w:rPr>
            </w:pPr>
            <w:r>
              <w:rPr>
                <w:rFonts w:ascii="Arial" w:cs="Arial" w:eastAsia="Arial" w:hAnsi="Arial"/>
                <w:sz w:val="14"/>
                <w:szCs w:val="14"/>
                <w:b w:val="1"/>
                <w:bCs w:val="1"/>
                <w:color w:val="E5E5E5"/>
              </w:rPr>
              <w:t>John D. Kelly</w:t>
            </w:r>
          </w:p>
        </w:tc>
        <w:tc>
          <w:tcPr>
            <w:tcW w:w="1840" w:type="dxa"/>
            <w:vAlign w:val="bottom"/>
            <w:tcBorders>
              <w:bottom w:val="single" w:sz="8" w:color="00548B"/>
            </w:tcBorders>
            <w:shd w:val="clear" w:color="auto" w:fill="00548B"/>
          </w:tcPr>
          <w:p>
            <w:pPr>
              <w:jc w:val="center"/>
              <w:spacing w:after="0"/>
              <w:rPr>
                <w:sz w:val="20"/>
                <w:szCs w:val="20"/>
                <w:color w:val="auto"/>
              </w:rPr>
            </w:pPr>
            <w:r>
              <w:rPr>
                <w:rFonts w:ascii="Arial" w:cs="Arial" w:eastAsia="Arial" w:hAnsi="Arial"/>
                <w:sz w:val="14"/>
                <w:szCs w:val="14"/>
                <w:b w:val="1"/>
                <w:bCs w:val="1"/>
                <w:color w:val="E5E5E5"/>
              </w:rPr>
              <w:t>Diane E. Ratekin</w:t>
            </w:r>
          </w:p>
        </w:tc>
      </w:tr>
      <w:tr>
        <w:trPr>
          <w:trHeight w:val="189"/>
        </w:trPr>
        <w:tc>
          <w:tcPr>
            <w:tcW w:w="274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color w:val="auto"/>
              </w:rPr>
              <w:t>Base Salary</w:t>
            </w:r>
          </w:p>
        </w:tc>
        <w:tc>
          <w:tcPr>
            <w:tcW w:w="2780" w:type="dxa"/>
            <w:vAlign w:val="bottom"/>
            <w:tcBorders>
              <w:bottom w:val="single" w:sz="8" w:color="999999"/>
            </w:tcBorders>
          </w:tcPr>
          <w:p>
            <w:pPr>
              <w:jc w:val="center"/>
              <w:ind w:left="781"/>
              <w:spacing w:after="0"/>
              <w:rPr>
                <w:sz w:val="20"/>
                <w:szCs w:val="20"/>
                <w:color w:val="auto"/>
              </w:rPr>
            </w:pPr>
            <w:r>
              <w:rPr>
                <w:rFonts w:ascii="Arial" w:cs="Arial" w:eastAsia="Arial" w:hAnsi="Arial"/>
                <w:sz w:val="16"/>
                <w:szCs w:val="16"/>
                <w:color w:val="auto"/>
              </w:rPr>
              <w:t>$900,000</w:t>
            </w:r>
          </w:p>
        </w:tc>
        <w:tc>
          <w:tcPr>
            <w:tcW w:w="186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rPr>
              <w:t>$750,000</w:t>
            </w:r>
          </w:p>
        </w:tc>
        <w:tc>
          <w:tcPr>
            <w:tcW w:w="182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w w:val="98"/>
              </w:rPr>
              <w:t>$400,000</w:t>
            </w:r>
          </w:p>
        </w:tc>
        <w:tc>
          <w:tcPr>
            <w:tcW w:w="184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rPr>
              <w:t>$400,000</w:t>
            </w:r>
          </w:p>
        </w:tc>
      </w:tr>
      <w:tr>
        <w:trPr>
          <w:trHeight w:val="183"/>
        </w:trPr>
        <w:tc>
          <w:tcPr>
            <w:tcW w:w="274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Target AIP Opportunity</w:t>
            </w:r>
          </w:p>
        </w:tc>
        <w:tc>
          <w:tcPr>
            <w:tcW w:w="2780" w:type="dxa"/>
            <w:vAlign w:val="bottom"/>
            <w:tcBorders>
              <w:bottom w:val="single" w:sz="8" w:color="999999"/>
            </w:tcBorders>
          </w:tcPr>
          <w:p>
            <w:pPr>
              <w:jc w:val="center"/>
              <w:ind w:left="781"/>
              <w:spacing w:after="0" w:line="183" w:lineRule="exact"/>
              <w:rPr>
                <w:sz w:val="20"/>
                <w:szCs w:val="20"/>
                <w:color w:val="auto"/>
              </w:rPr>
            </w:pPr>
            <w:r>
              <w:rPr>
                <w:rFonts w:ascii="Arial" w:cs="Arial" w:eastAsia="Arial" w:hAnsi="Arial"/>
                <w:sz w:val="16"/>
                <w:szCs w:val="16"/>
                <w:color w:val="auto"/>
              </w:rPr>
              <w:t>110% of base salary</w:t>
            </w:r>
          </w:p>
        </w:tc>
        <w:tc>
          <w:tcPr>
            <w:tcW w:w="186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rPr>
              <w:t>100% of base salary</w:t>
            </w:r>
          </w:p>
        </w:tc>
        <w:tc>
          <w:tcPr>
            <w:tcW w:w="182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rPr>
              <w:t>70% of base salary</w:t>
            </w:r>
          </w:p>
        </w:tc>
        <w:tc>
          <w:tcPr>
            <w:tcW w:w="184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rPr>
              <w:t>50% of base salary</w:t>
            </w:r>
          </w:p>
        </w:tc>
      </w:tr>
      <w:tr>
        <w:trPr>
          <w:trHeight w:val="183"/>
        </w:trPr>
        <w:tc>
          <w:tcPr>
            <w:tcW w:w="2740" w:type="dxa"/>
            <w:vAlign w:val="bottom"/>
            <w:tcBorders>
              <w:bottom w:val="single" w:sz="8" w:color="00548B"/>
            </w:tcBorders>
            <w:gridSpan w:val="2"/>
          </w:tcPr>
          <w:p>
            <w:pPr>
              <w:spacing w:after="0" w:line="183" w:lineRule="exact"/>
              <w:rPr>
                <w:sz w:val="20"/>
                <w:szCs w:val="20"/>
                <w:color w:val="auto"/>
              </w:rPr>
            </w:pPr>
            <w:r>
              <w:rPr>
                <w:rFonts w:ascii="Arial" w:cs="Arial" w:eastAsia="Arial" w:hAnsi="Arial"/>
                <w:sz w:val="16"/>
                <w:szCs w:val="16"/>
                <w:color w:val="auto"/>
              </w:rPr>
              <w:t>Target LTI Opportunity*</w:t>
            </w:r>
          </w:p>
        </w:tc>
        <w:tc>
          <w:tcPr>
            <w:tcW w:w="2780" w:type="dxa"/>
            <w:vAlign w:val="bottom"/>
            <w:tcBorders>
              <w:bottom w:val="single" w:sz="8" w:color="00548B"/>
            </w:tcBorders>
          </w:tcPr>
          <w:p>
            <w:pPr>
              <w:jc w:val="center"/>
              <w:ind w:left="781"/>
              <w:spacing w:after="0" w:line="183" w:lineRule="exact"/>
              <w:rPr>
                <w:sz w:val="20"/>
                <w:szCs w:val="20"/>
                <w:color w:val="auto"/>
              </w:rPr>
            </w:pPr>
            <w:r>
              <w:rPr>
                <w:rFonts w:ascii="Arial" w:cs="Arial" w:eastAsia="Arial" w:hAnsi="Arial"/>
                <w:sz w:val="16"/>
                <w:szCs w:val="16"/>
                <w:color w:val="auto"/>
              </w:rPr>
              <w:t>300% of base salary</w:t>
            </w:r>
          </w:p>
        </w:tc>
        <w:tc>
          <w:tcPr>
            <w:tcW w:w="1860" w:type="dxa"/>
            <w:vAlign w:val="bottom"/>
            <w:tcBorders>
              <w:bottom w:val="single" w:sz="8" w:color="00548B"/>
            </w:tcBorders>
          </w:tcPr>
          <w:p>
            <w:pPr>
              <w:jc w:val="center"/>
              <w:spacing w:after="0" w:line="183" w:lineRule="exact"/>
              <w:rPr>
                <w:sz w:val="20"/>
                <w:szCs w:val="20"/>
                <w:color w:val="auto"/>
              </w:rPr>
            </w:pPr>
            <w:r>
              <w:rPr>
                <w:rFonts w:ascii="Arial" w:cs="Arial" w:eastAsia="Arial" w:hAnsi="Arial"/>
                <w:sz w:val="16"/>
                <w:szCs w:val="16"/>
                <w:color w:val="auto"/>
              </w:rPr>
              <w:t>175% of base salary</w:t>
            </w:r>
          </w:p>
        </w:tc>
        <w:tc>
          <w:tcPr>
            <w:tcW w:w="1820" w:type="dxa"/>
            <w:vAlign w:val="bottom"/>
            <w:tcBorders>
              <w:bottom w:val="single" w:sz="8" w:color="00548B"/>
            </w:tcBorders>
          </w:tcPr>
          <w:p>
            <w:pPr>
              <w:jc w:val="center"/>
              <w:spacing w:after="0" w:line="183" w:lineRule="exact"/>
              <w:rPr>
                <w:sz w:val="20"/>
                <w:szCs w:val="20"/>
                <w:color w:val="auto"/>
              </w:rPr>
            </w:pPr>
            <w:r>
              <w:rPr>
                <w:rFonts w:ascii="Arial" w:cs="Arial" w:eastAsia="Arial" w:hAnsi="Arial"/>
                <w:sz w:val="16"/>
                <w:szCs w:val="16"/>
                <w:color w:val="auto"/>
              </w:rPr>
              <w:t>120% of base salary</w:t>
            </w:r>
          </w:p>
        </w:tc>
        <w:tc>
          <w:tcPr>
            <w:tcW w:w="1840" w:type="dxa"/>
            <w:vAlign w:val="bottom"/>
            <w:tcBorders>
              <w:bottom w:val="single" w:sz="8" w:color="00548B"/>
            </w:tcBorders>
          </w:tcPr>
          <w:p>
            <w:pPr>
              <w:jc w:val="center"/>
              <w:spacing w:after="0" w:line="183" w:lineRule="exact"/>
              <w:rPr>
                <w:sz w:val="20"/>
                <w:szCs w:val="20"/>
                <w:color w:val="auto"/>
              </w:rPr>
            </w:pPr>
            <w:r>
              <w:rPr>
                <w:rFonts w:ascii="Arial" w:cs="Arial" w:eastAsia="Arial" w:hAnsi="Arial"/>
                <w:sz w:val="16"/>
                <w:szCs w:val="16"/>
                <w:color w:val="auto"/>
              </w:rPr>
              <w:t>115% of base salary</w:t>
            </w:r>
          </w:p>
        </w:tc>
      </w:tr>
    </w:tbl>
    <w:p>
      <w:pPr>
        <w:spacing w:after="0" w:line="21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In 2019, Mr. Roth’s LTI award was reduced to 225% of salary.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2018 Annual Incentive</w:t>
      </w:r>
    </w:p>
    <w:p>
      <w:pPr>
        <w:spacing w:after="0" w:line="25"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The Compensation Committee approved a NEO Annual Incentive Plan for 2018 that included multiple measures of Company performance. Based on the actual results for each of the performance measures, a total annual cash incentive payout of 117% of target was earned.</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2018 Annual Incentive Plan was structured as shown in the table below:</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shd w:val="clear" w:color="auto" w:fill="00548B"/>
          </w:tcPr>
          <w:p>
            <w:pPr>
              <w:spacing w:after="0"/>
              <w:rPr>
                <w:sz w:val="18"/>
                <w:szCs w:val="18"/>
                <w:color w:val="auto"/>
              </w:rPr>
            </w:pPr>
          </w:p>
        </w:tc>
        <w:tc>
          <w:tcPr>
            <w:tcW w:w="1640" w:type="dxa"/>
            <w:vAlign w:val="bottom"/>
            <w:shd w:val="clear" w:color="auto" w:fill="00548B"/>
          </w:tcPr>
          <w:p>
            <w:pPr>
              <w:spacing w:after="0"/>
              <w:rPr>
                <w:sz w:val="18"/>
                <w:szCs w:val="18"/>
                <w:color w:val="auto"/>
              </w:rPr>
            </w:pPr>
          </w:p>
        </w:tc>
        <w:tc>
          <w:tcPr>
            <w:tcW w:w="1440" w:type="dxa"/>
            <w:vAlign w:val="bottom"/>
            <w:shd w:val="clear" w:color="auto" w:fill="00548B"/>
          </w:tcPr>
          <w:p>
            <w:pPr>
              <w:spacing w:after="0"/>
              <w:rPr>
                <w:sz w:val="18"/>
                <w:szCs w:val="18"/>
                <w:color w:val="auto"/>
              </w:rPr>
            </w:pPr>
          </w:p>
        </w:tc>
        <w:tc>
          <w:tcPr>
            <w:tcW w:w="1500" w:type="dxa"/>
            <w:vAlign w:val="bottom"/>
            <w:shd w:val="clear" w:color="auto" w:fill="00548B"/>
          </w:tcPr>
          <w:p>
            <w:pPr>
              <w:ind w:left="360"/>
              <w:spacing w:after="0"/>
              <w:rPr>
                <w:sz w:val="20"/>
                <w:szCs w:val="20"/>
                <w:color w:val="auto"/>
              </w:rPr>
            </w:pPr>
            <w:r>
              <w:rPr>
                <w:rFonts w:ascii="Arial" w:cs="Arial" w:eastAsia="Arial" w:hAnsi="Arial"/>
                <w:sz w:val="14"/>
                <w:szCs w:val="14"/>
                <w:b w:val="1"/>
                <w:bCs w:val="1"/>
                <w:color w:val="D8D8D8"/>
              </w:rPr>
              <w:t>2018 Targets</w:t>
            </w:r>
          </w:p>
        </w:tc>
        <w:tc>
          <w:tcPr>
            <w:tcW w:w="1460" w:type="dxa"/>
            <w:vAlign w:val="bottom"/>
            <w:shd w:val="clear" w:color="auto" w:fill="00548B"/>
          </w:tcPr>
          <w:p>
            <w:pPr>
              <w:spacing w:after="0"/>
              <w:rPr>
                <w:sz w:val="18"/>
                <w:szCs w:val="18"/>
                <w:color w:val="auto"/>
              </w:rPr>
            </w:pPr>
          </w:p>
        </w:tc>
        <w:tc>
          <w:tcPr>
            <w:tcW w:w="1400" w:type="dxa"/>
            <w:vAlign w:val="bottom"/>
            <w:vMerge w:val="restart"/>
            <w:shd w:val="clear" w:color="auto" w:fill="00548B"/>
          </w:tcPr>
          <w:p>
            <w:pPr>
              <w:ind w:left="620"/>
              <w:spacing w:after="0"/>
              <w:rPr>
                <w:sz w:val="20"/>
                <w:szCs w:val="20"/>
                <w:color w:val="auto"/>
              </w:rPr>
            </w:pPr>
            <w:r>
              <w:rPr>
                <w:rFonts w:ascii="Arial" w:cs="Arial" w:eastAsia="Arial" w:hAnsi="Arial"/>
                <w:sz w:val="14"/>
                <w:szCs w:val="14"/>
                <w:b w:val="1"/>
                <w:bCs w:val="1"/>
                <w:color w:val="E5E5E5"/>
              </w:rPr>
              <w:t>Actual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80" w:type="dxa"/>
            <w:vAlign w:val="bottom"/>
            <w:vMerge w:val="restart"/>
            <w:shd w:val="clear" w:color="auto" w:fill="00548B"/>
          </w:tcPr>
          <w:p>
            <w:pPr>
              <w:spacing w:after="0"/>
              <w:rPr>
                <w:sz w:val="20"/>
                <w:szCs w:val="20"/>
                <w:color w:val="auto"/>
              </w:rPr>
            </w:pPr>
            <w:r>
              <w:rPr>
                <w:rFonts w:ascii="Arial" w:cs="Arial" w:eastAsia="Arial" w:hAnsi="Arial"/>
                <w:sz w:val="14"/>
                <w:szCs w:val="14"/>
                <w:b w:val="1"/>
                <w:bCs w:val="1"/>
                <w:color w:val="E5E5E5"/>
              </w:rPr>
              <w:t>Performance Measure</w:t>
            </w:r>
          </w:p>
        </w:tc>
        <w:tc>
          <w:tcPr>
            <w:tcW w:w="1640" w:type="dxa"/>
            <w:vAlign w:val="bottom"/>
            <w:vMerge w:val="restart"/>
            <w:shd w:val="clear" w:color="auto" w:fill="00548B"/>
          </w:tcPr>
          <w:p>
            <w:pPr>
              <w:jc w:val="center"/>
              <w:ind w:left="61"/>
              <w:spacing w:after="0"/>
              <w:rPr>
                <w:sz w:val="20"/>
                <w:szCs w:val="20"/>
                <w:color w:val="auto"/>
              </w:rPr>
            </w:pPr>
            <w:r>
              <w:rPr>
                <w:rFonts w:ascii="Arial" w:cs="Arial" w:eastAsia="Arial" w:hAnsi="Arial"/>
                <w:sz w:val="14"/>
                <w:szCs w:val="14"/>
                <w:b w:val="1"/>
                <w:bCs w:val="1"/>
                <w:color w:val="E5E5E5"/>
              </w:rPr>
              <w:t>Weighting</w:t>
            </w:r>
          </w:p>
        </w:tc>
        <w:tc>
          <w:tcPr>
            <w:tcW w:w="1440" w:type="dxa"/>
            <w:vAlign w:val="bottom"/>
            <w:vMerge w:val="restart"/>
            <w:shd w:val="clear" w:color="auto" w:fill="00548B"/>
          </w:tcPr>
          <w:p>
            <w:pPr>
              <w:ind w:left="400"/>
              <w:spacing w:after="0"/>
              <w:rPr>
                <w:sz w:val="20"/>
                <w:szCs w:val="20"/>
                <w:color w:val="auto"/>
              </w:rPr>
            </w:pPr>
            <w:r>
              <w:rPr>
                <w:rFonts w:ascii="Arial" w:cs="Arial" w:eastAsia="Arial" w:hAnsi="Arial"/>
                <w:sz w:val="14"/>
                <w:szCs w:val="14"/>
                <w:b w:val="1"/>
                <w:bCs w:val="1"/>
                <w:color w:val="E5E5E5"/>
              </w:rPr>
              <w:t>Threshold</w:t>
            </w:r>
          </w:p>
        </w:tc>
        <w:tc>
          <w:tcPr>
            <w:tcW w:w="1500" w:type="dxa"/>
            <w:vAlign w:val="bottom"/>
            <w:vMerge w:val="restart"/>
            <w:shd w:val="clear" w:color="auto" w:fill="00548B"/>
          </w:tcPr>
          <w:p>
            <w:pPr>
              <w:ind w:left="460"/>
              <w:spacing w:after="0"/>
              <w:rPr>
                <w:sz w:val="20"/>
                <w:szCs w:val="20"/>
                <w:color w:val="auto"/>
              </w:rPr>
            </w:pPr>
            <w:r>
              <w:rPr>
                <w:rFonts w:ascii="Arial" w:cs="Arial" w:eastAsia="Arial" w:hAnsi="Arial"/>
                <w:sz w:val="14"/>
                <w:szCs w:val="14"/>
                <w:b w:val="1"/>
                <w:bCs w:val="1"/>
                <w:color w:val="E5E5E5"/>
              </w:rPr>
              <w:t>Target</w:t>
            </w:r>
          </w:p>
        </w:tc>
        <w:tc>
          <w:tcPr>
            <w:tcW w:w="1460" w:type="dxa"/>
            <w:vAlign w:val="bottom"/>
            <w:vMerge w:val="restart"/>
            <w:shd w:val="clear" w:color="auto" w:fill="00548B"/>
          </w:tcPr>
          <w:p>
            <w:pPr>
              <w:ind w:left="300"/>
              <w:spacing w:after="0"/>
              <w:rPr>
                <w:sz w:val="20"/>
                <w:szCs w:val="20"/>
                <w:color w:val="auto"/>
              </w:rPr>
            </w:pPr>
            <w:r>
              <w:rPr>
                <w:rFonts w:ascii="Arial" w:cs="Arial" w:eastAsia="Arial" w:hAnsi="Arial"/>
                <w:sz w:val="14"/>
                <w:szCs w:val="14"/>
                <w:b w:val="1"/>
                <w:bCs w:val="1"/>
                <w:color w:val="E5E5E5"/>
              </w:rPr>
              <w:t>Maximum</w:t>
            </w:r>
          </w:p>
        </w:tc>
        <w:tc>
          <w:tcPr>
            <w:tcW w:w="1400" w:type="dxa"/>
            <w:vAlign w:val="bottom"/>
            <w:vMerge w:val="continue"/>
            <w:shd w:val="clear" w:color="auto" w:fill="00548B"/>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tcBorders>
              <w:bottom w:val="single" w:sz="8" w:color="00548B"/>
            </w:tcBorders>
            <w:vMerge w:val="continue"/>
            <w:shd w:val="clear" w:color="auto" w:fill="00548B"/>
          </w:tcPr>
          <w:p>
            <w:pPr>
              <w:spacing w:after="0"/>
              <w:rPr>
                <w:sz w:val="15"/>
                <w:szCs w:val="15"/>
                <w:color w:val="auto"/>
              </w:rPr>
            </w:pPr>
          </w:p>
        </w:tc>
        <w:tc>
          <w:tcPr>
            <w:tcW w:w="1640" w:type="dxa"/>
            <w:vAlign w:val="bottom"/>
            <w:tcBorders>
              <w:bottom w:val="single" w:sz="8" w:color="00548B"/>
            </w:tcBorders>
            <w:vMerge w:val="continue"/>
            <w:shd w:val="clear" w:color="auto" w:fill="00548B"/>
          </w:tcPr>
          <w:p>
            <w:pPr>
              <w:spacing w:after="0"/>
              <w:rPr>
                <w:sz w:val="15"/>
                <w:szCs w:val="15"/>
                <w:color w:val="auto"/>
              </w:rPr>
            </w:pPr>
          </w:p>
        </w:tc>
        <w:tc>
          <w:tcPr>
            <w:tcW w:w="1440" w:type="dxa"/>
            <w:vAlign w:val="bottom"/>
            <w:tcBorders>
              <w:bottom w:val="single" w:sz="8" w:color="00548B"/>
            </w:tcBorders>
            <w:vMerge w:val="continue"/>
            <w:shd w:val="clear" w:color="auto" w:fill="00548B"/>
          </w:tcPr>
          <w:p>
            <w:pPr>
              <w:spacing w:after="0"/>
              <w:rPr>
                <w:sz w:val="15"/>
                <w:szCs w:val="15"/>
                <w:color w:val="auto"/>
              </w:rPr>
            </w:pPr>
          </w:p>
        </w:tc>
        <w:tc>
          <w:tcPr>
            <w:tcW w:w="1500" w:type="dxa"/>
            <w:vAlign w:val="bottom"/>
            <w:tcBorders>
              <w:bottom w:val="single" w:sz="8" w:color="00548B"/>
            </w:tcBorders>
            <w:vMerge w:val="continue"/>
            <w:shd w:val="clear" w:color="auto" w:fill="00548B"/>
          </w:tcPr>
          <w:p>
            <w:pPr>
              <w:spacing w:after="0"/>
              <w:rPr>
                <w:sz w:val="15"/>
                <w:szCs w:val="15"/>
                <w:color w:val="auto"/>
              </w:rPr>
            </w:pPr>
          </w:p>
        </w:tc>
        <w:tc>
          <w:tcPr>
            <w:tcW w:w="1460" w:type="dxa"/>
            <w:vAlign w:val="bottom"/>
            <w:tcBorders>
              <w:bottom w:val="single" w:sz="8" w:color="00548B"/>
            </w:tcBorders>
            <w:vMerge w:val="continue"/>
            <w:shd w:val="clear" w:color="auto" w:fill="00548B"/>
          </w:tcPr>
          <w:p>
            <w:pPr>
              <w:spacing w:after="0"/>
              <w:rPr>
                <w:sz w:val="15"/>
                <w:szCs w:val="15"/>
                <w:color w:val="auto"/>
              </w:rPr>
            </w:pPr>
          </w:p>
        </w:tc>
        <w:tc>
          <w:tcPr>
            <w:tcW w:w="1400" w:type="dxa"/>
            <w:vAlign w:val="bottom"/>
            <w:tcBorders>
              <w:bottom w:val="single" w:sz="8" w:color="00548B"/>
            </w:tcBorders>
            <w:shd w:val="clear" w:color="auto" w:fill="00548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0" w:type="dxa"/>
            <w:vAlign w:val="bottom"/>
            <w:tcBorders>
              <w:bottom w:val="single" w:sz="8" w:color="AAAAAA"/>
            </w:tcBorders>
            <w:gridSpan w:val="2"/>
          </w:tcPr>
          <w:p>
            <w:pPr>
              <w:spacing w:after="0"/>
              <w:rPr>
                <w:sz w:val="20"/>
                <w:szCs w:val="20"/>
                <w:color w:val="auto"/>
              </w:rPr>
            </w:pPr>
            <w:r>
              <w:rPr>
                <w:rFonts w:ascii="Arial" w:cs="Arial" w:eastAsia="Arial" w:hAnsi="Arial"/>
                <w:sz w:val="16"/>
                <w:szCs w:val="16"/>
                <w:color w:val="auto"/>
              </w:rPr>
              <w:t>Organic Revenue Growth ($M)</w:t>
            </w:r>
          </w:p>
        </w:tc>
        <w:tc>
          <w:tcPr>
            <w:tcW w:w="1640" w:type="dxa"/>
            <w:vAlign w:val="bottom"/>
            <w:tcBorders>
              <w:bottom w:val="single" w:sz="8" w:color="AAAAAA"/>
            </w:tcBorders>
          </w:tcPr>
          <w:p>
            <w:pPr>
              <w:jc w:val="center"/>
              <w:ind w:left="81"/>
              <w:spacing w:after="0"/>
              <w:rPr>
                <w:sz w:val="20"/>
                <w:szCs w:val="20"/>
                <w:color w:val="auto"/>
              </w:rPr>
            </w:pPr>
            <w:r>
              <w:rPr>
                <w:rFonts w:ascii="Arial" w:cs="Arial" w:eastAsia="Arial" w:hAnsi="Arial"/>
                <w:sz w:val="16"/>
                <w:szCs w:val="16"/>
                <w:color w:val="auto"/>
                <w:w w:val="99"/>
              </w:rPr>
              <w:t>40%</w:t>
            </w:r>
          </w:p>
        </w:tc>
        <w:tc>
          <w:tcPr>
            <w:tcW w:w="1440" w:type="dxa"/>
            <w:vAlign w:val="bottom"/>
            <w:tcBorders>
              <w:bottom w:val="single" w:sz="8" w:color="AAAAAA"/>
            </w:tcBorders>
          </w:tcPr>
          <w:p>
            <w:pPr>
              <w:jc w:val="right"/>
              <w:ind w:right="362"/>
              <w:spacing w:after="0"/>
              <w:rPr>
                <w:sz w:val="20"/>
                <w:szCs w:val="20"/>
                <w:color w:val="auto"/>
              </w:rPr>
            </w:pPr>
            <w:r>
              <w:rPr>
                <w:rFonts w:ascii="Arial" w:cs="Arial" w:eastAsia="Arial" w:hAnsi="Arial"/>
                <w:sz w:val="16"/>
                <w:szCs w:val="16"/>
                <w:color w:val="auto"/>
              </w:rPr>
              <w:t>$700.0</w:t>
            </w:r>
          </w:p>
        </w:tc>
        <w:tc>
          <w:tcPr>
            <w:tcW w:w="1500" w:type="dxa"/>
            <w:vAlign w:val="bottom"/>
            <w:tcBorders>
              <w:bottom w:val="single" w:sz="8" w:color="AAAAAA"/>
            </w:tcBorders>
          </w:tcPr>
          <w:p>
            <w:pPr>
              <w:jc w:val="right"/>
              <w:ind w:right="483"/>
              <w:spacing w:after="0"/>
              <w:rPr>
                <w:sz w:val="20"/>
                <w:szCs w:val="20"/>
                <w:color w:val="auto"/>
              </w:rPr>
            </w:pPr>
            <w:r>
              <w:rPr>
                <w:rFonts w:ascii="Arial" w:cs="Arial" w:eastAsia="Arial" w:hAnsi="Arial"/>
                <w:sz w:val="16"/>
                <w:szCs w:val="16"/>
                <w:color w:val="auto"/>
              </w:rPr>
              <w:t>$740.0</w:t>
            </w:r>
          </w:p>
        </w:tc>
        <w:tc>
          <w:tcPr>
            <w:tcW w:w="1460" w:type="dxa"/>
            <w:vAlign w:val="bottom"/>
            <w:tcBorders>
              <w:bottom w:val="single" w:sz="8" w:color="AAAAAA"/>
            </w:tcBorders>
          </w:tcPr>
          <w:p>
            <w:pPr>
              <w:jc w:val="right"/>
              <w:ind w:right="502"/>
              <w:spacing w:after="0"/>
              <w:rPr>
                <w:sz w:val="20"/>
                <w:szCs w:val="20"/>
                <w:color w:val="auto"/>
              </w:rPr>
            </w:pPr>
            <w:r>
              <w:rPr>
                <w:rFonts w:ascii="Arial" w:cs="Arial" w:eastAsia="Arial" w:hAnsi="Arial"/>
                <w:sz w:val="16"/>
                <w:szCs w:val="16"/>
                <w:color w:val="auto"/>
              </w:rPr>
              <w:t>$825.0</w:t>
            </w:r>
          </w:p>
        </w:tc>
        <w:tc>
          <w:tcPr>
            <w:tcW w:w="1400" w:type="dxa"/>
            <w:vAlign w:val="bottom"/>
            <w:tcBorders>
              <w:bottom w:val="single" w:sz="8" w:color="AAAAAA"/>
            </w:tcBorders>
          </w:tcPr>
          <w:p>
            <w:pPr>
              <w:jc w:val="right"/>
              <w:ind w:right="302"/>
              <w:spacing w:after="0"/>
              <w:rPr>
                <w:sz w:val="20"/>
                <w:szCs w:val="20"/>
                <w:color w:val="auto"/>
              </w:rPr>
            </w:pPr>
            <w:r>
              <w:rPr>
                <w:rFonts w:ascii="Arial" w:cs="Arial" w:eastAsia="Arial" w:hAnsi="Arial"/>
                <w:sz w:val="16"/>
                <w:szCs w:val="16"/>
                <w:color w:val="auto"/>
              </w:rPr>
              <w:t>$795.1</w:t>
            </w:r>
          </w:p>
        </w:tc>
        <w:tc>
          <w:tcPr>
            <w:tcW w:w="0" w:type="dxa"/>
            <w:vAlign w:val="bottom"/>
          </w:tcPr>
          <w:p>
            <w:pPr>
              <w:spacing w:after="0"/>
              <w:rPr>
                <w:sz w:val="1"/>
                <w:szCs w:val="1"/>
                <w:color w:val="auto"/>
              </w:rPr>
            </w:pPr>
          </w:p>
        </w:tc>
      </w:tr>
      <w:tr>
        <w:trPr>
          <w:trHeight w:val="183"/>
        </w:trPr>
        <w:tc>
          <w:tcPr>
            <w:tcW w:w="3600" w:type="dxa"/>
            <w:vAlign w:val="bottom"/>
            <w:tcBorders>
              <w:bottom w:val="single" w:sz="8" w:color="AAAAAA"/>
            </w:tcBorders>
            <w:gridSpan w:val="2"/>
          </w:tcPr>
          <w:p>
            <w:pPr>
              <w:spacing w:after="0" w:line="183" w:lineRule="exact"/>
              <w:rPr>
                <w:sz w:val="20"/>
                <w:szCs w:val="20"/>
                <w:color w:val="auto"/>
              </w:rPr>
            </w:pPr>
            <w:r>
              <w:rPr>
                <w:rFonts w:ascii="Arial" w:cs="Arial" w:eastAsia="Arial" w:hAnsi="Arial"/>
                <w:sz w:val="16"/>
                <w:szCs w:val="16"/>
                <w:color w:val="auto"/>
              </w:rPr>
              <w:t>Adjusted EBITDA Margin</w:t>
            </w:r>
          </w:p>
        </w:tc>
        <w:tc>
          <w:tcPr>
            <w:tcW w:w="1640" w:type="dxa"/>
            <w:vAlign w:val="bottom"/>
            <w:tcBorders>
              <w:bottom w:val="single" w:sz="8" w:color="AAAAAA"/>
            </w:tcBorders>
          </w:tcPr>
          <w:p>
            <w:pPr>
              <w:jc w:val="center"/>
              <w:ind w:left="81"/>
              <w:spacing w:after="0" w:line="183" w:lineRule="exact"/>
              <w:rPr>
                <w:sz w:val="20"/>
                <w:szCs w:val="20"/>
                <w:color w:val="auto"/>
              </w:rPr>
            </w:pPr>
            <w:r>
              <w:rPr>
                <w:rFonts w:ascii="Arial" w:cs="Arial" w:eastAsia="Arial" w:hAnsi="Arial"/>
                <w:sz w:val="16"/>
                <w:szCs w:val="16"/>
                <w:color w:val="auto"/>
                <w:w w:val="99"/>
              </w:rPr>
              <w:t>30%</w:t>
            </w:r>
          </w:p>
        </w:tc>
        <w:tc>
          <w:tcPr>
            <w:tcW w:w="1440" w:type="dxa"/>
            <w:vAlign w:val="bottom"/>
            <w:tcBorders>
              <w:bottom w:val="single" w:sz="8" w:color="AAAAAA"/>
            </w:tcBorders>
          </w:tcPr>
          <w:p>
            <w:pPr>
              <w:jc w:val="right"/>
              <w:ind w:right="382"/>
              <w:spacing w:after="0" w:line="183" w:lineRule="exact"/>
              <w:rPr>
                <w:sz w:val="20"/>
                <w:szCs w:val="20"/>
                <w:color w:val="auto"/>
              </w:rPr>
            </w:pPr>
            <w:r>
              <w:rPr>
                <w:rFonts w:ascii="Arial" w:cs="Arial" w:eastAsia="Arial" w:hAnsi="Arial"/>
                <w:sz w:val="16"/>
                <w:szCs w:val="16"/>
                <w:color w:val="auto"/>
              </w:rPr>
              <w:t>10.6%</w:t>
            </w:r>
          </w:p>
        </w:tc>
        <w:tc>
          <w:tcPr>
            <w:tcW w:w="1500" w:type="dxa"/>
            <w:vAlign w:val="bottom"/>
            <w:tcBorders>
              <w:bottom w:val="single" w:sz="8" w:color="AAAAAA"/>
            </w:tcBorders>
          </w:tcPr>
          <w:p>
            <w:pPr>
              <w:jc w:val="right"/>
              <w:ind w:right="503"/>
              <w:spacing w:after="0" w:line="183" w:lineRule="exact"/>
              <w:rPr>
                <w:sz w:val="20"/>
                <w:szCs w:val="20"/>
                <w:color w:val="auto"/>
              </w:rPr>
            </w:pPr>
            <w:r>
              <w:rPr>
                <w:rFonts w:ascii="Arial" w:cs="Arial" w:eastAsia="Arial" w:hAnsi="Arial"/>
                <w:sz w:val="16"/>
                <w:szCs w:val="16"/>
                <w:color w:val="auto"/>
              </w:rPr>
              <w:t>12.5%</w:t>
            </w:r>
          </w:p>
        </w:tc>
        <w:tc>
          <w:tcPr>
            <w:tcW w:w="1460" w:type="dxa"/>
            <w:vAlign w:val="bottom"/>
            <w:tcBorders>
              <w:bottom w:val="single" w:sz="8" w:color="AAAAAA"/>
            </w:tcBorders>
          </w:tcPr>
          <w:p>
            <w:pPr>
              <w:jc w:val="right"/>
              <w:ind w:right="522"/>
              <w:spacing w:after="0" w:line="183" w:lineRule="exact"/>
              <w:rPr>
                <w:sz w:val="20"/>
                <w:szCs w:val="20"/>
                <w:color w:val="auto"/>
              </w:rPr>
            </w:pPr>
            <w:r>
              <w:rPr>
                <w:rFonts w:ascii="Arial" w:cs="Arial" w:eastAsia="Arial" w:hAnsi="Arial"/>
                <w:sz w:val="16"/>
                <w:szCs w:val="16"/>
                <w:color w:val="auto"/>
              </w:rPr>
              <w:t>14.4%</w:t>
            </w:r>
          </w:p>
        </w:tc>
        <w:tc>
          <w:tcPr>
            <w:tcW w:w="1400" w:type="dxa"/>
            <w:vAlign w:val="bottom"/>
            <w:tcBorders>
              <w:bottom w:val="single" w:sz="8" w:color="AAAAAA"/>
            </w:tcBorders>
          </w:tcPr>
          <w:p>
            <w:pPr>
              <w:jc w:val="right"/>
              <w:ind w:right="322"/>
              <w:spacing w:after="0" w:line="183"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3"/>
        </w:trPr>
        <w:tc>
          <w:tcPr>
            <w:tcW w:w="3600" w:type="dxa"/>
            <w:vAlign w:val="bottom"/>
            <w:tcBorders>
              <w:bottom w:val="single" w:sz="8" w:color="00548B"/>
            </w:tcBorders>
            <w:gridSpan w:val="2"/>
          </w:tcPr>
          <w:p>
            <w:pPr>
              <w:spacing w:after="0" w:line="183" w:lineRule="exact"/>
              <w:rPr>
                <w:sz w:val="20"/>
                <w:szCs w:val="20"/>
                <w:color w:val="auto"/>
              </w:rPr>
            </w:pPr>
            <w:r>
              <w:rPr>
                <w:rFonts w:ascii="Arial" w:cs="Arial" w:eastAsia="Arial" w:hAnsi="Arial"/>
                <w:sz w:val="16"/>
                <w:szCs w:val="16"/>
                <w:color w:val="auto"/>
              </w:rPr>
              <w:t>Strategic Measures*</w:t>
            </w:r>
          </w:p>
        </w:tc>
        <w:tc>
          <w:tcPr>
            <w:tcW w:w="1640" w:type="dxa"/>
            <w:vAlign w:val="bottom"/>
            <w:tcBorders>
              <w:bottom w:val="single" w:sz="8" w:color="00548B"/>
            </w:tcBorders>
          </w:tcPr>
          <w:p>
            <w:pPr>
              <w:jc w:val="center"/>
              <w:ind w:left="81"/>
              <w:spacing w:after="0" w:line="183" w:lineRule="exact"/>
              <w:rPr>
                <w:sz w:val="20"/>
                <w:szCs w:val="20"/>
                <w:color w:val="auto"/>
              </w:rPr>
            </w:pPr>
            <w:r>
              <w:rPr>
                <w:rFonts w:ascii="Arial" w:cs="Arial" w:eastAsia="Arial" w:hAnsi="Arial"/>
                <w:sz w:val="16"/>
                <w:szCs w:val="16"/>
                <w:color w:val="auto"/>
                <w:w w:val="99"/>
              </w:rPr>
              <w:t>30%</w:t>
            </w:r>
          </w:p>
        </w:tc>
        <w:tc>
          <w:tcPr>
            <w:tcW w:w="1440" w:type="dxa"/>
            <w:vAlign w:val="bottom"/>
            <w:tcBorders>
              <w:bottom w:val="single" w:sz="8" w:color="00548B"/>
            </w:tcBorders>
          </w:tcPr>
          <w:p>
            <w:pPr>
              <w:spacing w:after="0"/>
              <w:rPr>
                <w:sz w:val="15"/>
                <w:szCs w:val="15"/>
                <w:color w:val="auto"/>
              </w:rPr>
            </w:pPr>
          </w:p>
        </w:tc>
        <w:tc>
          <w:tcPr>
            <w:tcW w:w="2960" w:type="dxa"/>
            <w:vAlign w:val="bottom"/>
            <w:tcBorders>
              <w:bottom w:val="single" w:sz="8" w:color="00548B"/>
            </w:tcBorders>
            <w:gridSpan w:val="2"/>
          </w:tcPr>
          <w:p>
            <w:pPr>
              <w:ind w:left="760"/>
              <w:spacing w:after="0" w:line="183" w:lineRule="exact"/>
              <w:rPr>
                <w:sz w:val="20"/>
                <w:szCs w:val="20"/>
                <w:color w:val="auto"/>
              </w:rPr>
            </w:pPr>
            <w:r>
              <w:rPr>
                <w:rFonts w:ascii="Arial" w:cs="Arial" w:eastAsia="Arial" w:hAnsi="Arial"/>
                <w:sz w:val="16"/>
                <w:szCs w:val="16"/>
                <w:color w:val="auto"/>
              </w:rPr>
              <w:t>See supporting table</w:t>
            </w:r>
          </w:p>
        </w:tc>
        <w:tc>
          <w:tcPr>
            <w:tcW w:w="1400" w:type="dxa"/>
            <w:vAlign w:val="bottom"/>
            <w:tcBorders>
              <w:bottom w:val="single" w:sz="8" w:color="00548B"/>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320" w:right="20" w:hanging="116"/>
        <w:spacing w:after="0" w:line="253"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structure of the Strategic Measures was enhanced for 2018 to balance objective, quantifiable metrics with qualitative goals. The Compensation Committee approved the goals and assessed performance against predefined measures of success. The following chart outlines the goals as well as their weighting, description and actual level of achievement:</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27</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0548B"/>
        </w:rPr>
        <w:t>Strategic Measures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12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Quantitative</w:t>
            </w:r>
          </w:p>
        </w:tc>
        <w:tc>
          <w:tcPr>
            <w:tcW w:w="960" w:type="dxa"/>
            <w:vAlign w:val="bottom"/>
            <w:shd w:val="clear" w:color="auto" w:fill="00548B"/>
          </w:tcPr>
          <w:p>
            <w:pPr>
              <w:spacing w:after="0"/>
              <w:rPr>
                <w:sz w:val="22"/>
                <w:szCs w:val="22"/>
                <w:color w:val="auto"/>
              </w:rPr>
            </w:pPr>
          </w:p>
        </w:tc>
        <w:tc>
          <w:tcPr>
            <w:tcW w:w="43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Alignment of Strategic Priorities with</w:t>
            </w:r>
          </w:p>
        </w:tc>
        <w:tc>
          <w:tcPr>
            <w:tcW w:w="580" w:type="dxa"/>
            <w:vAlign w:val="bottom"/>
            <w:shd w:val="clear" w:color="auto" w:fill="00548B"/>
          </w:tcPr>
          <w:p>
            <w:pPr>
              <w:spacing w:after="0"/>
              <w:rPr>
                <w:sz w:val="22"/>
                <w:szCs w:val="22"/>
                <w:color w:val="auto"/>
              </w:rPr>
            </w:pPr>
          </w:p>
        </w:tc>
        <w:tc>
          <w:tcPr>
            <w:tcW w:w="3940" w:type="dxa"/>
            <w:vAlign w:val="bottom"/>
            <w:shd w:val="clear" w:color="auto" w:fill="00548B"/>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12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Goals</w:t>
            </w:r>
          </w:p>
        </w:tc>
        <w:tc>
          <w:tcPr>
            <w:tcW w:w="960" w:type="dxa"/>
            <w:vAlign w:val="bottom"/>
            <w:shd w:val="clear" w:color="auto" w:fill="00548B"/>
          </w:tcPr>
          <w:p>
            <w:pPr>
              <w:ind w:left="220"/>
              <w:spacing w:after="0"/>
              <w:rPr>
                <w:sz w:val="20"/>
                <w:szCs w:val="20"/>
                <w:color w:val="auto"/>
              </w:rPr>
            </w:pPr>
            <w:r>
              <w:rPr>
                <w:rFonts w:ascii="Arial" w:cs="Arial" w:eastAsia="Arial" w:hAnsi="Arial"/>
                <w:sz w:val="14"/>
                <w:szCs w:val="14"/>
                <w:b w:val="1"/>
                <w:bCs w:val="1"/>
                <w:color w:val="D8D8D8"/>
              </w:rPr>
              <w:t>Weighting</w:t>
            </w:r>
          </w:p>
        </w:tc>
        <w:tc>
          <w:tcPr>
            <w:tcW w:w="434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Shareholder Value</w:t>
            </w:r>
          </w:p>
        </w:tc>
        <w:tc>
          <w:tcPr>
            <w:tcW w:w="580" w:type="dxa"/>
            <w:vAlign w:val="bottom"/>
            <w:shd w:val="clear" w:color="auto" w:fill="00548B"/>
          </w:tcPr>
          <w:p>
            <w:pPr>
              <w:spacing w:after="0"/>
              <w:rPr>
                <w:sz w:val="15"/>
                <w:szCs w:val="15"/>
                <w:color w:val="auto"/>
              </w:rPr>
            </w:pPr>
          </w:p>
        </w:tc>
        <w:tc>
          <w:tcPr>
            <w:tcW w:w="3940" w:type="dxa"/>
            <w:vAlign w:val="bottom"/>
            <w:shd w:val="clear" w:color="auto" w:fill="00548B"/>
          </w:tcPr>
          <w:p>
            <w:pPr>
              <w:ind w:left="1320"/>
              <w:spacing w:after="0"/>
              <w:rPr>
                <w:sz w:val="20"/>
                <w:szCs w:val="20"/>
                <w:color w:val="auto"/>
              </w:rPr>
            </w:pPr>
            <w:r>
              <w:rPr>
                <w:rFonts w:ascii="Arial" w:cs="Arial" w:eastAsia="Arial" w:hAnsi="Arial"/>
                <w:sz w:val="14"/>
                <w:szCs w:val="14"/>
                <w:b w:val="1"/>
                <w:bCs w:val="1"/>
                <w:color w:val="D8D8D8"/>
              </w:rPr>
              <w:t>Level of Achievement</w:t>
            </w:r>
          </w:p>
        </w:tc>
      </w:tr>
      <w:tr>
        <w:trPr>
          <w:trHeight w:val="191"/>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jc w:val="center"/>
              <w:spacing w:after="0"/>
              <w:rPr>
                <w:sz w:val="20"/>
                <w:szCs w:val="20"/>
                <w:color w:val="auto"/>
              </w:rPr>
            </w:pPr>
            <w:r>
              <w:rPr>
                <w:rFonts w:ascii="Arial" w:cs="Arial" w:eastAsia="Arial" w:hAnsi="Arial"/>
                <w:sz w:val="16"/>
                <w:szCs w:val="16"/>
                <w:color w:val="auto"/>
              </w:rPr>
              <w:t>Focused on the deployment of capital and maintaining a</w:t>
            </w:r>
          </w:p>
        </w:tc>
        <w:tc>
          <w:tcPr>
            <w:tcW w:w="580" w:type="dxa"/>
            <w:vAlign w:val="bottom"/>
          </w:tcPr>
          <w:p>
            <w:pPr>
              <w:spacing w:after="0"/>
              <w:rPr>
                <w:sz w:val="16"/>
                <w:szCs w:val="16"/>
                <w:color w:val="auto"/>
              </w:rPr>
            </w:pPr>
          </w:p>
        </w:tc>
        <w:tc>
          <w:tcPr>
            <w:tcW w:w="3940" w:type="dxa"/>
            <w:vAlign w:val="bottom"/>
          </w:tcPr>
          <w:p>
            <w:pPr>
              <w:ind w:left="180"/>
              <w:spacing w:after="0"/>
              <w:rPr>
                <w:sz w:val="20"/>
                <w:szCs w:val="20"/>
                <w:color w:val="auto"/>
              </w:rPr>
            </w:pPr>
            <w:r>
              <w:rPr>
                <w:rFonts w:ascii="Arial" w:cs="Arial" w:eastAsia="Arial" w:hAnsi="Arial"/>
                <w:sz w:val="16"/>
                <w:szCs w:val="16"/>
                <w:color w:val="auto"/>
              </w:rPr>
              <w:t>Executed  Huron’s  debt  pay  down  strategy  to</w:t>
            </w: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jc w:val="center"/>
              <w:spacing w:after="0"/>
              <w:rPr>
                <w:sz w:val="20"/>
                <w:szCs w:val="20"/>
                <w:color w:val="auto"/>
              </w:rPr>
            </w:pPr>
            <w:r>
              <w:rPr>
                <w:rFonts w:ascii="Arial" w:cs="Arial" w:eastAsia="Arial" w:hAnsi="Arial"/>
                <w:sz w:val="16"/>
                <w:szCs w:val="16"/>
                <w:color w:val="auto"/>
              </w:rPr>
              <w:t>strong  balance  sheet  with  appropriate  leverage  and</w:t>
            </w:r>
          </w:p>
        </w:tc>
        <w:tc>
          <w:tcPr>
            <w:tcW w:w="580" w:type="dxa"/>
            <w:vAlign w:val="bottom"/>
          </w:tcPr>
          <w:p>
            <w:pPr>
              <w:spacing w:after="0"/>
              <w:rPr>
                <w:sz w:val="16"/>
                <w:szCs w:val="16"/>
                <w:color w:val="auto"/>
              </w:rPr>
            </w:pPr>
          </w:p>
        </w:tc>
        <w:tc>
          <w:tcPr>
            <w:tcW w:w="3940" w:type="dxa"/>
            <w:vAlign w:val="bottom"/>
          </w:tcPr>
          <w:p>
            <w:pPr>
              <w:ind w:left="180"/>
              <w:spacing w:after="0"/>
              <w:rPr>
                <w:sz w:val="20"/>
                <w:szCs w:val="20"/>
                <w:color w:val="auto"/>
              </w:rPr>
            </w:pPr>
            <w:r>
              <w:rPr>
                <w:rFonts w:ascii="Arial" w:cs="Arial" w:eastAsia="Arial" w:hAnsi="Arial"/>
                <w:sz w:val="16"/>
                <w:szCs w:val="16"/>
                <w:color w:val="auto"/>
              </w:rPr>
              <w:t>deleverage to our target of less than 3.0x Adjusted</w:t>
            </w:r>
          </w:p>
        </w:tc>
      </w:tr>
      <w:tr>
        <w:trPr>
          <w:trHeight w:val="189"/>
        </w:trPr>
        <w:tc>
          <w:tcPr>
            <w:tcW w:w="1220" w:type="dxa"/>
            <w:vAlign w:val="bottom"/>
            <w:gridSpan w:val="2"/>
          </w:tcPr>
          <w:p>
            <w:pPr>
              <w:spacing w:after="0"/>
              <w:rPr>
                <w:sz w:val="20"/>
                <w:szCs w:val="20"/>
                <w:color w:val="auto"/>
              </w:rPr>
            </w:pPr>
            <w:r>
              <w:rPr>
                <w:rFonts w:ascii="Arial" w:cs="Arial" w:eastAsia="Arial" w:hAnsi="Arial"/>
                <w:sz w:val="16"/>
                <w:szCs w:val="16"/>
                <w:color w:val="auto"/>
              </w:rPr>
              <w:t>Enterprise</w:t>
            </w:r>
          </w:p>
        </w:tc>
        <w:tc>
          <w:tcPr>
            <w:tcW w:w="960" w:type="dxa"/>
            <w:vAlign w:val="bottom"/>
          </w:tcPr>
          <w:p>
            <w:pPr>
              <w:ind w:left="200"/>
              <w:spacing w:after="0"/>
              <w:rPr>
                <w:sz w:val="20"/>
                <w:szCs w:val="20"/>
                <w:color w:val="auto"/>
              </w:rPr>
            </w:pPr>
            <w:r>
              <w:rPr>
                <w:rFonts w:ascii="Arial" w:cs="Arial" w:eastAsia="Arial" w:hAnsi="Arial"/>
                <w:sz w:val="16"/>
                <w:szCs w:val="16"/>
                <w:color w:val="auto"/>
              </w:rPr>
              <w:t>10%</w:t>
            </w:r>
          </w:p>
        </w:tc>
        <w:tc>
          <w:tcPr>
            <w:tcW w:w="4340" w:type="dxa"/>
            <w:vAlign w:val="bottom"/>
          </w:tcPr>
          <w:p>
            <w:pPr>
              <w:ind w:left="60"/>
              <w:spacing w:after="0"/>
              <w:rPr>
                <w:sz w:val="20"/>
                <w:szCs w:val="20"/>
                <w:color w:val="auto"/>
              </w:rPr>
            </w:pPr>
            <w:r>
              <w:rPr>
                <w:rFonts w:ascii="Arial" w:cs="Arial" w:eastAsia="Arial" w:hAnsi="Arial"/>
                <w:sz w:val="16"/>
                <w:szCs w:val="16"/>
                <w:color w:val="auto"/>
              </w:rPr>
              <w:t>flexibility to support Huron’s growth strategy.</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3940" w:type="dxa"/>
            <w:vAlign w:val="bottom"/>
          </w:tcPr>
          <w:p>
            <w:pPr>
              <w:ind w:left="180"/>
              <w:spacing w:after="0"/>
              <w:rPr>
                <w:sz w:val="20"/>
                <w:szCs w:val="20"/>
                <w:color w:val="auto"/>
              </w:rPr>
            </w:pPr>
            <w:r>
              <w:rPr>
                <w:rFonts w:ascii="Arial" w:cs="Arial" w:eastAsia="Arial" w:hAnsi="Arial"/>
                <w:sz w:val="16"/>
                <w:szCs w:val="16"/>
                <w:color w:val="auto"/>
              </w:rPr>
              <w:t>EBITDA and refinanced our credit facility in March</w:t>
            </w: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40" w:type="dxa"/>
            <w:vAlign w:val="bottom"/>
          </w:tcPr>
          <w:p>
            <w:pPr>
              <w:ind w:left="180"/>
              <w:spacing w:after="0"/>
              <w:rPr>
                <w:sz w:val="20"/>
                <w:szCs w:val="20"/>
                <w:color w:val="auto"/>
              </w:rPr>
            </w:pPr>
            <w:r>
              <w:rPr>
                <w:rFonts w:ascii="Arial" w:cs="Arial" w:eastAsia="Arial" w:hAnsi="Arial"/>
                <w:sz w:val="16"/>
                <w:szCs w:val="16"/>
                <w:color w:val="auto"/>
              </w:rPr>
              <w:t>2018  to  provide  flexibility  in  refinancing  our</w:t>
            </w: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40" w:type="dxa"/>
            <w:vAlign w:val="bottom"/>
          </w:tcPr>
          <w:p>
            <w:pPr>
              <w:ind w:left="180"/>
              <w:spacing w:after="0"/>
              <w:rPr>
                <w:sz w:val="20"/>
                <w:szCs w:val="20"/>
                <w:color w:val="auto"/>
              </w:rPr>
            </w:pPr>
            <w:r>
              <w:rPr>
                <w:rFonts w:ascii="Arial" w:cs="Arial" w:eastAsia="Arial" w:hAnsi="Arial"/>
                <w:sz w:val="16"/>
                <w:szCs w:val="16"/>
                <w:color w:val="auto"/>
              </w:rPr>
              <w:t>convertible notes in 2019. (1 measure)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wp:posOffset>
            </wp:positionV>
            <wp:extent cx="6997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8"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920" w:type="dxa"/>
            <w:vAlign w:val="bottom"/>
          </w:tcPr>
          <w:p>
            <w:pPr>
              <w:ind w:left="240"/>
              <w:spacing w:after="0"/>
              <w:rPr>
                <w:sz w:val="20"/>
                <w:szCs w:val="20"/>
                <w:color w:val="auto"/>
              </w:rPr>
            </w:pPr>
            <w:r>
              <w:rPr>
                <w:rFonts w:ascii="Arial" w:cs="Arial" w:eastAsia="Arial" w:hAnsi="Arial"/>
                <w:sz w:val="16"/>
                <w:szCs w:val="16"/>
                <w:color w:val="auto"/>
              </w:rPr>
              <w:t>Focused on returning Huron to sustainable organic growth</w:t>
            </w:r>
          </w:p>
        </w:tc>
      </w:tr>
      <w:tr>
        <w:trPr>
          <w:trHeight w:val="189"/>
        </w:trPr>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920" w:type="dxa"/>
            <w:vAlign w:val="bottom"/>
          </w:tcPr>
          <w:p>
            <w:pPr>
              <w:ind w:left="240"/>
              <w:spacing w:after="0"/>
              <w:rPr>
                <w:sz w:val="20"/>
                <w:szCs w:val="20"/>
                <w:color w:val="auto"/>
              </w:rPr>
            </w:pPr>
            <w:r>
              <w:rPr>
                <w:rFonts w:ascii="Arial" w:cs="Arial" w:eastAsia="Arial" w:hAnsi="Arial"/>
                <w:sz w:val="16"/>
                <w:szCs w:val="16"/>
                <w:color w:val="auto"/>
              </w:rPr>
              <w:t>while also driving margin expansion over time. Measures</w:t>
            </w:r>
          </w:p>
        </w:tc>
      </w:tr>
      <w:tr>
        <w:trPr>
          <w:trHeight w:val="189"/>
        </w:trPr>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920" w:type="dxa"/>
            <w:vAlign w:val="bottom"/>
          </w:tcPr>
          <w:p>
            <w:pPr>
              <w:ind w:left="240"/>
              <w:spacing w:after="0"/>
              <w:rPr>
                <w:sz w:val="20"/>
                <w:szCs w:val="20"/>
                <w:color w:val="auto"/>
              </w:rPr>
            </w:pPr>
            <w:r>
              <w:rPr>
                <w:rFonts w:ascii="Arial" w:cs="Arial" w:eastAsia="Arial" w:hAnsi="Arial"/>
                <w:sz w:val="16"/>
                <w:szCs w:val="16"/>
                <w:color w:val="auto"/>
              </w:rPr>
              <w:t>included business unit-level revenue and EBITDA growth</w:t>
            </w:r>
          </w:p>
        </w:tc>
      </w:tr>
      <w:tr>
        <w:trPr>
          <w:trHeight w:val="189"/>
        </w:trPr>
        <w:tc>
          <w:tcPr>
            <w:tcW w:w="1200" w:type="dxa"/>
            <w:vAlign w:val="bottom"/>
          </w:tcPr>
          <w:p>
            <w:pPr>
              <w:spacing w:after="0"/>
              <w:rPr>
                <w:sz w:val="20"/>
                <w:szCs w:val="20"/>
                <w:color w:val="auto"/>
              </w:rPr>
            </w:pPr>
            <w:r>
              <w:rPr>
                <w:rFonts w:ascii="Arial" w:cs="Arial" w:eastAsia="Arial" w:hAnsi="Arial"/>
                <w:sz w:val="16"/>
                <w:szCs w:val="16"/>
                <w:color w:val="auto"/>
              </w:rPr>
              <w:t>Business Unit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50%</w:t>
            </w:r>
          </w:p>
        </w:tc>
        <w:tc>
          <w:tcPr>
            <w:tcW w:w="4920" w:type="dxa"/>
            <w:vAlign w:val="bottom"/>
          </w:tcPr>
          <w:p>
            <w:pPr>
              <w:ind w:left="240"/>
              <w:spacing w:after="0"/>
              <w:rPr>
                <w:sz w:val="20"/>
                <w:szCs w:val="20"/>
                <w:color w:val="auto"/>
              </w:rPr>
            </w:pPr>
            <w:r>
              <w:rPr>
                <w:rFonts w:ascii="Arial" w:cs="Arial" w:eastAsia="Arial" w:hAnsi="Arial"/>
                <w:sz w:val="16"/>
                <w:szCs w:val="16"/>
                <w:color w:val="auto"/>
              </w:rPr>
              <w:t>targets, new service line revenue growth targets and  67%</w:t>
            </w:r>
          </w:p>
        </w:tc>
      </w:tr>
      <w:tr>
        <w:trPr>
          <w:trHeight w:val="195"/>
        </w:trPr>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920" w:type="dxa"/>
            <w:vAlign w:val="bottom"/>
          </w:tcPr>
          <w:p>
            <w:pPr>
              <w:ind w:left="240"/>
              <w:spacing w:after="0"/>
              <w:rPr>
                <w:sz w:val="20"/>
                <w:szCs w:val="20"/>
                <w:color w:val="auto"/>
              </w:rPr>
            </w:pPr>
            <w:r>
              <w:rPr>
                <w:rFonts w:ascii="Arial" w:cs="Arial" w:eastAsia="Arial" w:hAnsi="Arial"/>
                <w:sz w:val="16"/>
                <w:szCs w:val="16"/>
                <w:color w:val="auto"/>
              </w:rPr>
              <w:t>collaboration metrics. Specific goals vary by business unit.</w:t>
            </w:r>
          </w:p>
        </w:tc>
      </w:tr>
    </w:tbl>
    <w:p>
      <w:pPr>
        <w:spacing w:after="0" w:line="20" w:lineRule="exact"/>
        <w:rPr>
          <w:sz w:val="20"/>
          <w:szCs w:val="20"/>
          <w:color w:val="auto"/>
        </w:rPr>
      </w:pPr>
      <w:r>
        <w:rPr>
          <w:sz w:val="20"/>
          <w:szCs w:val="20"/>
          <w:color w:val="auto"/>
        </w:rPr>
        <w:br w:type="column"/>
      </w:r>
    </w:p>
    <w:p>
      <w:pPr>
        <w:jc w:val="both"/>
        <w:ind w:right="20"/>
        <w:spacing w:after="0" w:line="247" w:lineRule="auto"/>
        <w:rPr>
          <w:sz w:val="20"/>
          <w:szCs w:val="20"/>
          <w:color w:val="auto"/>
        </w:rPr>
      </w:pPr>
      <w:r>
        <w:rPr>
          <w:rFonts w:ascii="Arial" w:cs="Arial" w:eastAsia="Arial" w:hAnsi="Arial"/>
          <w:sz w:val="16"/>
          <w:szCs w:val="16"/>
          <w:color w:val="auto"/>
        </w:rPr>
        <w:t>Executed Huron’s strategic plan, which included, but is not limited to, a transformation of the Healthcare segment which returned the business to growth, solidified operational infrastructure to drive margin improvement while balancing growth, and advanced strategic and collaborative initiatives to strengthen and expand our offerings. (4 measures)</w:t>
      </w:r>
    </w:p>
    <w:p>
      <w:pPr>
        <w:spacing w:after="0" w:line="16" w:lineRule="exact"/>
        <w:rPr>
          <w:sz w:val="20"/>
          <w:szCs w:val="20"/>
          <w:color w:val="auto"/>
        </w:rPr>
      </w:pPr>
    </w:p>
    <w:p>
      <w:pPr>
        <w:sectPr>
          <w:pgSz w:w="11900" w:h="16838" w:orient="portrait"/>
          <w:cols w:equalWidth="0" w:num="2">
            <w:col w:w="7120" w:space="360"/>
            <w:col w:w="376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Qualitative</w:t>
            </w:r>
          </w:p>
        </w:tc>
        <w:tc>
          <w:tcPr>
            <w:tcW w:w="960" w:type="dxa"/>
            <w:vAlign w:val="bottom"/>
            <w:shd w:val="clear" w:color="auto" w:fill="00548B"/>
          </w:tcPr>
          <w:p>
            <w:pPr>
              <w:spacing w:after="0"/>
              <w:rPr>
                <w:sz w:val="20"/>
                <w:szCs w:val="20"/>
                <w:color w:val="auto"/>
              </w:rPr>
            </w:pPr>
          </w:p>
        </w:tc>
        <w:tc>
          <w:tcPr>
            <w:tcW w:w="4340" w:type="dxa"/>
            <w:vAlign w:val="bottom"/>
            <w:shd w:val="clear" w:color="auto" w:fill="00548B"/>
          </w:tcPr>
          <w:p>
            <w:pPr>
              <w:ind w:left="900"/>
              <w:spacing w:after="0"/>
              <w:rPr>
                <w:sz w:val="20"/>
                <w:szCs w:val="20"/>
                <w:color w:val="auto"/>
              </w:rPr>
            </w:pPr>
            <w:r>
              <w:rPr>
                <w:rFonts w:ascii="Arial" w:cs="Arial" w:eastAsia="Arial" w:hAnsi="Arial"/>
                <w:sz w:val="14"/>
                <w:szCs w:val="14"/>
                <w:b w:val="1"/>
                <w:bCs w:val="1"/>
                <w:color w:val="D8D8D8"/>
              </w:rPr>
              <w:t>Alignment of Strategic Priorities with</w:t>
            </w:r>
          </w:p>
        </w:tc>
        <w:tc>
          <w:tcPr>
            <w:tcW w:w="680" w:type="dxa"/>
            <w:vAlign w:val="bottom"/>
            <w:shd w:val="clear" w:color="auto" w:fill="00548B"/>
          </w:tcPr>
          <w:p>
            <w:pPr>
              <w:spacing w:after="0"/>
              <w:rPr>
                <w:sz w:val="20"/>
                <w:szCs w:val="20"/>
                <w:color w:val="auto"/>
              </w:rPr>
            </w:pPr>
          </w:p>
        </w:tc>
        <w:tc>
          <w:tcPr>
            <w:tcW w:w="3840" w:type="dxa"/>
            <w:vAlign w:val="bottom"/>
            <w:shd w:val="clear" w:color="auto" w:fill="00548B"/>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Goals</w:t>
            </w:r>
          </w:p>
        </w:tc>
        <w:tc>
          <w:tcPr>
            <w:tcW w:w="960" w:type="dxa"/>
            <w:vAlign w:val="bottom"/>
            <w:shd w:val="clear" w:color="auto" w:fill="00548B"/>
          </w:tcPr>
          <w:p>
            <w:pPr>
              <w:ind w:left="220"/>
              <w:spacing w:after="0"/>
              <w:rPr>
                <w:sz w:val="20"/>
                <w:szCs w:val="20"/>
                <w:color w:val="auto"/>
              </w:rPr>
            </w:pPr>
            <w:r>
              <w:rPr>
                <w:rFonts w:ascii="Arial" w:cs="Arial" w:eastAsia="Arial" w:hAnsi="Arial"/>
                <w:sz w:val="14"/>
                <w:szCs w:val="14"/>
                <w:b w:val="1"/>
                <w:bCs w:val="1"/>
                <w:color w:val="D8D8D8"/>
              </w:rPr>
              <w:t>Weighting</w:t>
            </w:r>
          </w:p>
        </w:tc>
        <w:tc>
          <w:tcPr>
            <w:tcW w:w="4340" w:type="dxa"/>
            <w:vAlign w:val="bottom"/>
            <w:shd w:val="clear" w:color="auto" w:fill="00548B"/>
          </w:tcPr>
          <w:p>
            <w:pPr>
              <w:ind w:left="1540"/>
              <w:spacing w:after="0"/>
              <w:rPr>
                <w:sz w:val="20"/>
                <w:szCs w:val="20"/>
                <w:color w:val="auto"/>
              </w:rPr>
            </w:pPr>
            <w:r>
              <w:rPr>
                <w:rFonts w:ascii="Arial" w:cs="Arial" w:eastAsia="Arial" w:hAnsi="Arial"/>
                <w:sz w:val="14"/>
                <w:szCs w:val="14"/>
                <w:b w:val="1"/>
                <w:bCs w:val="1"/>
                <w:color w:val="D8D8D8"/>
              </w:rPr>
              <w:t>Shareholder Value</w:t>
            </w:r>
          </w:p>
        </w:tc>
        <w:tc>
          <w:tcPr>
            <w:tcW w:w="680" w:type="dxa"/>
            <w:vAlign w:val="bottom"/>
            <w:shd w:val="clear" w:color="auto" w:fill="00548B"/>
          </w:tcPr>
          <w:p>
            <w:pPr>
              <w:spacing w:after="0"/>
              <w:rPr>
                <w:sz w:val="15"/>
                <w:szCs w:val="15"/>
                <w:color w:val="auto"/>
              </w:rPr>
            </w:pPr>
          </w:p>
        </w:tc>
        <w:tc>
          <w:tcPr>
            <w:tcW w:w="3840" w:type="dxa"/>
            <w:vAlign w:val="bottom"/>
            <w:shd w:val="clear" w:color="auto" w:fill="00548B"/>
          </w:tcPr>
          <w:p>
            <w:pPr>
              <w:ind w:left="1220"/>
              <w:spacing w:after="0"/>
              <w:rPr>
                <w:sz w:val="20"/>
                <w:szCs w:val="20"/>
                <w:color w:val="auto"/>
              </w:rPr>
            </w:pPr>
            <w:r>
              <w:rPr>
                <w:rFonts w:ascii="Arial" w:cs="Arial" w:eastAsia="Arial" w:hAnsi="Arial"/>
                <w:sz w:val="14"/>
                <w:szCs w:val="14"/>
                <w:b w:val="1"/>
                <w:bCs w:val="1"/>
                <w:color w:val="D8D8D8"/>
              </w:rPr>
              <w:t>Level of Achievement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6"/>
                <w:szCs w:val="16"/>
                <w:color w:val="auto"/>
              </w:rPr>
              <w:t>Focused on returning Huron to sustainable organic growth</w:t>
            </w:r>
          </w:p>
        </w:tc>
        <w:tc>
          <w:tcPr>
            <w:tcW w:w="6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6"/>
                <w:szCs w:val="16"/>
                <w:color w:val="auto"/>
              </w:rPr>
              <w:t>Strengthened   executive   and   business   unit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6"/>
                <w:szCs w:val="16"/>
                <w:color w:val="auto"/>
              </w:rPr>
              <w:t>over time through the advancement and execution of</w:t>
            </w:r>
          </w:p>
        </w:tc>
        <w:tc>
          <w:tcPr>
            <w:tcW w:w="6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6"/>
                <w:szCs w:val="16"/>
                <w:color w:val="auto"/>
              </w:rPr>
              <w:t>governance structures to further align with Huron’s</w:t>
            </w: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rPr>
                <w:sz w:val="20"/>
                <w:szCs w:val="20"/>
                <w:color w:val="auto"/>
              </w:rPr>
            </w:pPr>
            <w:r>
              <w:rPr>
                <w:rFonts w:ascii="Arial" w:cs="Arial" w:eastAsia="Arial" w:hAnsi="Arial"/>
                <w:sz w:val="16"/>
                <w:szCs w:val="16"/>
                <w:color w:val="auto"/>
              </w:rPr>
              <w:t>Enterprise</w:t>
            </w:r>
          </w:p>
        </w:tc>
        <w:tc>
          <w:tcPr>
            <w:tcW w:w="960" w:type="dxa"/>
            <w:vAlign w:val="bottom"/>
          </w:tcPr>
          <w:p>
            <w:pPr>
              <w:ind w:left="200"/>
              <w:spacing w:after="0"/>
              <w:rPr>
                <w:sz w:val="20"/>
                <w:szCs w:val="20"/>
                <w:color w:val="auto"/>
              </w:rPr>
            </w:pPr>
            <w:r>
              <w:rPr>
                <w:rFonts w:ascii="Arial" w:cs="Arial" w:eastAsia="Arial" w:hAnsi="Arial"/>
                <w:sz w:val="16"/>
                <w:szCs w:val="16"/>
                <w:color w:val="auto"/>
              </w:rPr>
              <w:t>15%</w:t>
            </w:r>
          </w:p>
        </w:tc>
        <w:tc>
          <w:tcPr>
            <w:tcW w:w="4340" w:type="dxa"/>
            <w:vAlign w:val="bottom"/>
          </w:tcPr>
          <w:p>
            <w:pPr>
              <w:ind w:left="60"/>
              <w:spacing w:after="0"/>
              <w:rPr>
                <w:sz w:val="20"/>
                <w:szCs w:val="20"/>
                <w:color w:val="auto"/>
              </w:rPr>
            </w:pPr>
            <w:r>
              <w:rPr>
                <w:rFonts w:ascii="Arial" w:cs="Arial" w:eastAsia="Arial" w:hAnsi="Arial"/>
                <w:sz w:val="16"/>
                <w:szCs w:val="16"/>
                <w:color w:val="auto"/>
              </w:rPr>
              <w:t>Huron’s  five-year  strategic  plan,  including  evolving</w:t>
            </w:r>
          </w:p>
        </w:tc>
        <w:tc>
          <w:tcPr>
            <w:tcW w:w="680" w:type="dxa"/>
            <w:vAlign w:val="bottom"/>
          </w:tcPr>
          <w:p>
            <w:pPr>
              <w:jc w:val="right"/>
              <w:ind w:right="199"/>
              <w:spacing w:after="0"/>
              <w:rPr>
                <w:sz w:val="20"/>
                <w:szCs w:val="20"/>
                <w:color w:val="auto"/>
              </w:rPr>
            </w:pPr>
            <w:r>
              <w:rPr>
                <w:rFonts w:ascii="Arial" w:cs="Arial" w:eastAsia="Arial" w:hAnsi="Arial"/>
                <w:sz w:val="16"/>
                <w:szCs w:val="16"/>
                <w:color w:val="auto"/>
              </w:rPr>
              <w:t>15%</w:t>
            </w:r>
          </w:p>
        </w:tc>
        <w:tc>
          <w:tcPr>
            <w:tcW w:w="3840" w:type="dxa"/>
            <w:vAlign w:val="bottom"/>
          </w:tcPr>
          <w:p>
            <w:pPr>
              <w:ind w:left="80"/>
              <w:spacing w:after="0"/>
              <w:rPr>
                <w:sz w:val="20"/>
                <w:szCs w:val="20"/>
                <w:color w:val="auto"/>
              </w:rPr>
            </w:pPr>
            <w:r>
              <w:rPr>
                <w:rFonts w:ascii="Arial" w:cs="Arial" w:eastAsia="Arial" w:hAnsi="Arial"/>
                <w:sz w:val="16"/>
                <w:szCs w:val="16"/>
                <w:color w:val="auto"/>
              </w:rPr>
              <w:t>strategy, with a strong focus on the execution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6"/>
                <w:szCs w:val="16"/>
                <w:color w:val="auto"/>
              </w:rPr>
              <w:t>organizational  governance  and  the  strategic  planning</w:t>
            </w:r>
          </w:p>
        </w:tc>
        <w:tc>
          <w:tcPr>
            <w:tcW w:w="6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6"/>
                <w:szCs w:val="16"/>
                <w:color w:val="auto"/>
              </w:rPr>
              <w:t>continued  evolution  of  the  strategic  plan.  (1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00" w:type="dxa"/>
            <w:vAlign w:val="bottom"/>
            <w:tcBorders>
              <w:bottom w:val="single" w:sz="8" w:color="999999"/>
            </w:tcBorders>
          </w:tcPr>
          <w:p>
            <w:pPr>
              <w:spacing w:after="0"/>
              <w:rPr>
                <w:sz w:val="16"/>
                <w:szCs w:val="16"/>
                <w:color w:val="auto"/>
              </w:rPr>
            </w:pPr>
          </w:p>
        </w:tc>
        <w:tc>
          <w:tcPr>
            <w:tcW w:w="960" w:type="dxa"/>
            <w:vAlign w:val="bottom"/>
            <w:tcBorders>
              <w:bottom w:val="single" w:sz="8" w:color="999999"/>
            </w:tcBorders>
          </w:tcPr>
          <w:p>
            <w:pPr>
              <w:spacing w:after="0"/>
              <w:rPr>
                <w:sz w:val="16"/>
                <w:szCs w:val="16"/>
                <w:color w:val="auto"/>
              </w:rPr>
            </w:pPr>
          </w:p>
        </w:tc>
        <w:tc>
          <w:tcPr>
            <w:tcW w:w="4340" w:type="dxa"/>
            <w:vAlign w:val="bottom"/>
            <w:tcBorders>
              <w:bottom w:val="single" w:sz="8" w:color="999999"/>
            </w:tcBorders>
          </w:tcPr>
          <w:p>
            <w:pPr>
              <w:ind w:left="60"/>
              <w:spacing w:after="0"/>
              <w:rPr>
                <w:sz w:val="20"/>
                <w:szCs w:val="20"/>
                <w:color w:val="auto"/>
              </w:rPr>
            </w:pPr>
            <w:r>
              <w:rPr>
                <w:rFonts w:ascii="Arial" w:cs="Arial" w:eastAsia="Arial" w:hAnsi="Arial"/>
                <w:sz w:val="16"/>
                <w:szCs w:val="16"/>
                <w:color w:val="auto"/>
              </w:rPr>
              <w:t>process.</w:t>
            </w:r>
          </w:p>
        </w:tc>
        <w:tc>
          <w:tcPr>
            <w:tcW w:w="680" w:type="dxa"/>
            <w:vAlign w:val="bottom"/>
            <w:tcBorders>
              <w:bottom w:val="single" w:sz="8" w:color="999999"/>
            </w:tcBorders>
          </w:tcPr>
          <w:p>
            <w:pPr>
              <w:spacing w:after="0"/>
              <w:rPr>
                <w:sz w:val="16"/>
                <w:szCs w:val="16"/>
                <w:color w:val="auto"/>
              </w:rPr>
            </w:pPr>
          </w:p>
        </w:tc>
        <w:tc>
          <w:tcPr>
            <w:tcW w:w="384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measure)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6"/>
                <w:szCs w:val="16"/>
                <w:color w:val="auto"/>
              </w:rPr>
              <w:t>Focused on returning Huron to sustainable organic growth</w:t>
            </w:r>
          </w:p>
        </w:tc>
        <w:tc>
          <w:tcPr>
            <w:tcW w:w="6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6"/>
                <w:szCs w:val="16"/>
                <w:color w:val="auto"/>
              </w:rPr>
              <w:t>Invested in areas focused on growth, collaboration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6"/>
                <w:szCs w:val="16"/>
                <w:color w:val="auto"/>
              </w:rPr>
              <w:t>over  time  through  the  execution  of  Huron’s  five-year</w:t>
            </w:r>
          </w:p>
        </w:tc>
        <w:tc>
          <w:tcPr>
            <w:tcW w:w="6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6"/>
                <w:szCs w:val="16"/>
                <w:color w:val="auto"/>
              </w:rPr>
              <w:t>and  efficiency,  including,  but  not  limited  to,</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6"/>
                <w:szCs w:val="16"/>
                <w:color w:val="auto"/>
              </w:rPr>
              <w:t>strategic  plan,  including  increased  collaboration  and</w:t>
            </w:r>
          </w:p>
        </w:tc>
        <w:tc>
          <w:tcPr>
            <w:tcW w:w="6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6"/>
                <w:szCs w:val="16"/>
                <w:color w:val="auto"/>
              </w:rPr>
              <w:t>investments in our broker-dealer solution to build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6"/>
                <w:szCs w:val="16"/>
                <w:color w:val="auto"/>
              </w:rPr>
              <w:t>profitable expansion of Huron’s business units. Specific</w:t>
            </w:r>
          </w:p>
        </w:tc>
        <w:tc>
          <w:tcPr>
            <w:tcW w:w="6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6"/>
                <w:szCs w:val="16"/>
                <w:color w:val="auto"/>
              </w:rPr>
              <w:t>greater depth in our healthcare M&amp;A offerings,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6"/>
                <w:szCs w:val="16"/>
                <w:color w:val="auto"/>
              </w:rPr>
              <w:t>goals vary by business unit.</w:t>
            </w:r>
          </w:p>
        </w:tc>
        <w:tc>
          <w:tcPr>
            <w:tcW w:w="6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6"/>
                <w:szCs w:val="16"/>
                <w:color w:val="auto"/>
              </w:rPr>
              <w:t>expansion  and  advancement  of  our  technology</w:t>
            </w:r>
          </w:p>
        </w:tc>
        <w:tc>
          <w:tcPr>
            <w:tcW w:w="0" w:type="dxa"/>
            <w:vAlign w:val="bottom"/>
          </w:tcPr>
          <w:p>
            <w:pPr>
              <w:spacing w:after="0"/>
              <w:rPr>
                <w:sz w:val="1"/>
                <w:szCs w:val="1"/>
                <w:color w:val="auto"/>
              </w:rPr>
            </w:pPr>
          </w:p>
        </w:tc>
      </w:tr>
      <w:tr>
        <w:trPr>
          <w:trHeight w:val="189"/>
        </w:trPr>
        <w:tc>
          <w:tcPr>
            <w:tcW w:w="1220" w:type="dxa"/>
            <w:vAlign w:val="bottom"/>
            <w:gridSpan w:val="2"/>
            <w:vMerge w:val="restart"/>
          </w:tcPr>
          <w:p>
            <w:pPr>
              <w:spacing w:after="0"/>
              <w:rPr>
                <w:sz w:val="20"/>
                <w:szCs w:val="20"/>
                <w:color w:val="auto"/>
              </w:rPr>
            </w:pPr>
            <w:r>
              <w:rPr>
                <w:rFonts w:ascii="Arial" w:cs="Arial" w:eastAsia="Arial" w:hAnsi="Arial"/>
                <w:sz w:val="16"/>
                <w:szCs w:val="16"/>
                <w:color w:val="auto"/>
              </w:rPr>
              <w:t>Business Unit</w:t>
            </w:r>
          </w:p>
        </w:tc>
        <w:tc>
          <w:tcPr>
            <w:tcW w:w="960" w:type="dxa"/>
            <w:vAlign w:val="bottom"/>
            <w:vMerge w:val="restart"/>
          </w:tcPr>
          <w:p>
            <w:pPr>
              <w:ind w:left="200"/>
              <w:spacing w:after="0"/>
              <w:rPr>
                <w:sz w:val="20"/>
                <w:szCs w:val="20"/>
                <w:color w:val="auto"/>
              </w:rPr>
            </w:pPr>
            <w:r>
              <w:rPr>
                <w:rFonts w:ascii="Arial" w:cs="Arial" w:eastAsia="Arial" w:hAnsi="Arial"/>
                <w:sz w:val="16"/>
                <w:szCs w:val="16"/>
                <w:color w:val="auto"/>
              </w:rPr>
              <w:t>25%</w:t>
            </w:r>
          </w:p>
        </w:tc>
        <w:tc>
          <w:tcPr>
            <w:tcW w:w="4340" w:type="dxa"/>
            <w:vAlign w:val="bottom"/>
          </w:tcPr>
          <w:p>
            <w:pPr>
              <w:spacing w:after="0"/>
              <w:rPr>
                <w:sz w:val="16"/>
                <w:szCs w:val="16"/>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6"/>
                <w:szCs w:val="16"/>
                <w:color w:val="auto"/>
              </w:rPr>
              <w:t>20%</w:t>
            </w:r>
          </w:p>
        </w:tc>
        <w:tc>
          <w:tcPr>
            <w:tcW w:w="3840" w:type="dxa"/>
            <w:vAlign w:val="bottom"/>
          </w:tcPr>
          <w:p>
            <w:pPr>
              <w:ind w:left="80"/>
              <w:spacing w:after="0"/>
              <w:rPr>
                <w:sz w:val="20"/>
                <w:szCs w:val="20"/>
                <w:color w:val="auto"/>
              </w:rPr>
            </w:pPr>
            <w:r>
              <w:rPr>
                <w:rFonts w:ascii="Arial" w:cs="Arial" w:eastAsia="Arial" w:hAnsi="Arial"/>
                <w:sz w:val="16"/>
                <w:szCs w:val="16"/>
                <w:color w:val="auto"/>
              </w:rPr>
              <w:t>offerings,  such  as  Robotic  Process  Automation</w:t>
            </w:r>
          </w:p>
        </w:tc>
        <w:tc>
          <w:tcPr>
            <w:tcW w:w="0" w:type="dxa"/>
            <w:vAlign w:val="bottom"/>
          </w:tcPr>
          <w:p>
            <w:pPr>
              <w:spacing w:after="0"/>
              <w:rPr>
                <w:sz w:val="1"/>
                <w:szCs w:val="1"/>
                <w:color w:val="auto"/>
              </w:rPr>
            </w:pPr>
          </w:p>
        </w:tc>
      </w:tr>
      <w:tr>
        <w:trPr>
          <w:trHeight w:val="100"/>
        </w:trPr>
        <w:tc>
          <w:tcPr>
            <w:tcW w:w="122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3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3840" w:type="dxa"/>
            <w:vAlign w:val="bottom"/>
            <w:vMerge w:val="restart"/>
          </w:tcPr>
          <w:p>
            <w:pPr>
              <w:ind w:left="80"/>
              <w:spacing w:after="0"/>
              <w:rPr>
                <w:sz w:val="20"/>
                <w:szCs w:val="20"/>
                <w:color w:val="auto"/>
              </w:rPr>
            </w:pPr>
            <w:r>
              <w:rPr>
                <w:rFonts w:ascii="Arial" w:cs="Arial" w:eastAsia="Arial" w:hAnsi="Arial"/>
                <w:sz w:val="16"/>
                <w:szCs w:val="16"/>
                <w:color w:val="auto"/>
              </w:rPr>
              <w:t>(RPA), and next-level operations in the Healthcare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6"/>
                <w:szCs w:val="16"/>
                <w:color w:val="auto"/>
              </w:rPr>
              <w:t>and Business Advisory segments to enable our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6"/>
                <w:szCs w:val="16"/>
                <w:color w:val="auto"/>
              </w:rPr>
              <w:t>business to efficiently scale and deliver high-quality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6"/>
                <w:szCs w:val="16"/>
                <w:color w:val="auto"/>
              </w:rPr>
              <w:t>services to our clients. Did not achieve all of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6"/>
                <w:szCs w:val="16"/>
                <w:color w:val="auto"/>
              </w:rPr>
              <w:t>aggressive service line growth and collaboration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00" w:type="dxa"/>
            <w:vAlign w:val="bottom"/>
            <w:tcBorders>
              <w:bottom w:val="single" w:sz="8" w:color="999999"/>
            </w:tcBorders>
          </w:tcPr>
          <w:p>
            <w:pPr>
              <w:spacing w:after="0"/>
              <w:rPr>
                <w:sz w:val="16"/>
                <w:szCs w:val="16"/>
                <w:color w:val="auto"/>
              </w:rPr>
            </w:pPr>
          </w:p>
        </w:tc>
        <w:tc>
          <w:tcPr>
            <w:tcW w:w="960" w:type="dxa"/>
            <w:vAlign w:val="bottom"/>
            <w:tcBorders>
              <w:bottom w:val="single" w:sz="8" w:color="999999"/>
            </w:tcBorders>
          </w:tcPr>
          <w:p>
            <w:pPr>
              <w:spacing w:after="0"/>
              <w:rPr>
                <w:sz w:val="16"/>
                <w:szCs w:val="16"/>
                <w:color w:val="auto"/>
              </w:rPr>
            </w:pPr>
          </w:p>
        </w:tc>
        <w:tc>
          <w:tcPr>
            <w:tcW w:w="4340" w:type="dxa"/>
            <w:vAlign w:val="bottom"/>
            <w:tcBorders>
              <w:bottom w:val="single" w:sz="8" w:color="999999"/>
            </w:tcBorders>
          </w:tcPr>
          <w:p>
            <w:pPr>
              <w:spacing w:after="0"/>
              <w:rPr>
                <w:sz w:val="16"/>
                <w:szCs w:val="16"/>
                <w:color w:val="auto"/>
              </w:rPr>
            </w:pPr>
          </w:p>
        </w:tc>
        <w:tc>
          <w:tcPr>
            <w:tcW w:w="680" w:type="dxa"/>
            <w:vAlign w:val="bottom"/>
            <w:tcBorders>
              <w:bottom w:val="single" w:sz="8" w:color="999999"/>
            </w:tcBorders>
          </w:tcPr>
          <w:p>
            <w:pPr>
              <w:spacing w:after="0"/>
              <w:rPr>
                <w:sz w:val="16"/>
                <w:szCs w:val="16"/>
                <w:color w:val="auto"/>
              </w:rPr>
            </w:pPr>
          </w:p>
        </w:tc>
        <w:tc>
          <w:tcPr>
            <w:tcW w:w="384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measures. (4 measures)</w:t>
            </w:r>
          </w:p>
        </w:tc>
        <w:tc>
          <w:tcPr>
            <w:tcW w:w="0" w:type="dxa"/>
            <w:vAlign w:val="bottom"/>
          </w:tcPr>
          <w:p>
            <w:pPr>
              <w:spacing w:after="0"/>
              <w:rPr>
                <w:sz w:val="1"/>
                <w:szCs w:val="1"/>
                <w:color w:val="auto"/>
              </w:rPr>
            </w:pPr>
          </w:p>
        </w:tc>
      </w:tr>
      <w:tr>
        <w:trPr>
          <w:trHeight w:val="183"/>
        </w:trPr>
        <w:tc>
          <w:tcPr>
            <w:tcW w:w="20" w:type="dxa"/>
            <w:vAlign w:val="bottom"/>
            <w:tcBorders>
              <w:bottom w:val="single" w:sz="8" w:color="00548B"/>
            </w:tcBorders>
          </w:tcPr>
          <w:p>
            <w:pPr>
              <w:spacing w:after="0"/>
              <w:rPr>
                <w:sz w:val="15"/>
                <w:szCs w:val="15"/>
                <w:color w:val="auto"/>
              </w:rPr>
            </w:pPr>
          </w:p>
        </w:tc>
        <w:tc>
          <w:tcPr>
            <w:tcW w:w="120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00548B"/>
            </w:tcBorders>
          </w:tcPr>
          <w:p>
            <w:pPr>
              <w:ind w:left="200"/>
              <w:spacing w:after="0" w:line="183" w:lineRule="exact"/>
              <w:rPr>
                <w:sz w:val="20"/>
                <w:szCs w:val="20"/>
                <w:color w:val="auto"/>
              </w:rPr>
            </w:pPr>
            <w:r>
              <w:rPr>
                <w:rFonts w:ascii="Arial" w:cs="Arial" w:eastAsia="Arial" w:hAnsi="Arial"/>
                <w:sz w:val="16"/>
                <w:szCs w:val="16"/>
                <w:b w:val="1"/>
                <w:bCs w:val="1"/>
                <w:color w:val="auto"/>
              </w:rPr>
              <w:t>100%</w:t>
            </w:r>
          </w:p>
        </w:tc>
        <w:tc>
          <w:tcPr>
            <w:tcW w:w="4340" w:type="dxa"/>
            <w:vAlign w:val="bottom"/>
            <w:tcBorders>
              <w:bottom w:val="single" w:sz="8" w:color="00548B"/>
            </w:tcBorders>
          </w:tcPr>
          <w:p>
            <w:pPr>
              <w:spacing w:after="0"/>
              <w:rPr>
                <w:sz w:val="15"/>
                <w:szCs w:val="15"/>
                <w:color w:val="auto"/>
              </w:rPr>
            </w:pPr>
          </w:p>
        </w:tc>
        <w:tc>
          <w:tcPr>
            <w:tcW w:w="680" w:type="dxa"/>
            <w:vAlign w:val="bottom"/>
            <w:tcBorders>
              <w:bottom w:val="single" w:sz="8" w:color="00548B"/>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112%</w:t>
            </w:r>
          </w:p>
        </w:tc>
        <w:tc>
          <w:tcPr>
            <w:tcW w:w="3840" w:type="dxa"/>
            <w:vAlign w:val="bottom"/>
            <w:tcBorders>
              <w:bottom w:val="single" w:sz="8" w:color="00548B"/>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28</w:t>
      </w:r>
    </w:p>
    <w:p>
      <w:pPr>
        <w:sectPr>
          <w:pgSz w:w="11900" w:h="16838" w:orient="portrait"/>
          <w:cols w:equalWidth="0" w:num="1">
            <w:col w:w="11240"/>
          </w:cols>
          <w:pgMar w:left="240" w:top="459" w:right="41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2018 Long-Term Incentive</w:t>
      </w:r>
    </w:p>
    <w:p>
      <w:pPr>
        <w:spacing w:after="0" w:line="25"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On March 1, 2018, the Compensation Committee granted NEOs long-term incentive awards that were structured as 70% performance units and 30% restricted shares.</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shd w:val="clear" w:color="auto" w:fill="00548B"/>
          </w:tcPr>
          <w:p>
            <w:pPr>
              <w:spacing w:after="0"/>
              <w:rPr>
                <w:sz w:val="14"/>
                <w:szCs w:val="14"/>
                <w:color w:val="auto"/>
              </w:rPr>
            </w:pPr>
          </w:p>
        </w:tc>
        <w:tc>
          <w:tcPr>
            <w:tcW w:w="4780" w:type="dxa"/>
            <w:vAlign w:val="bottom"/>
            <w:shd w:val="clear" w:color="auto" w:fill="00548B"/>
          </w:tcPr>
          <w:p>
            <w:pPr>
              <w:jc w:val="center"/>
              <w:ind w:left="2943"/>
              <w:spacing w:after="0"/>
              <w:rPr>
                <w:sz w:val="20"/>
                <w:szCs w:val="20"/>
                <w:color w:val="auto"/>
              </w:rPr>
            </w:pPr>
            <w:r>
              <w:rPr>
                <w:rFonts w:ascii="Arial" w:cs="Arial" w:eastAsia="Arial" w:hAnsi="Arial"/>
                <w:sz w:val="14"/>
                <w:szCs w:val="14"/>
                <w:b w:val="1"/>
                <w:bCs w:val="1"/>
                <w:color w:val="D8D8D8"/>
              </w:rPr>
              <w:t>Performance</w:t>
            </w:r>
          </w:p>
        </w:tc>
        <w:tc>
          <w:tcPr>
            <w:tcW w:w="15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Restricted</w:t>
            </w:r>
          </w:p>
        </w:tc>
      </w:tr>
      <w:tr>
        <w:trPr>
          <w:trHeight w:val="162"/>
        </w:trPr>
        <w:tc>
          <w:tcPr>
            <w:tcW w:w="20" w:type="dxa"/>
            <w:vAlign w:val="bottom"/>
          </w:tcPr>
          <w:p>
            <w:pPr>
              <w:spacing w:after="0"/>
              <w:rPr>
                <w:sz w:val="14"/>
                <w:szCs w:val="14"/>
                <w:color w:val="auto"/>
              </w:rPr>
            </w:pPr>
          </w:p>
        </w:tc>
        <w:tc>
          <w:tcPr>
            <w:tcW w:w="4680" w:type="dxa"/>
            <w:vAlign w:val="bottom"/>
            <w:shd w:val="clear" w:color="auto" w:fill="00548B"/>
          </w:tcPr>
          <w:p>
            <w:pPr>
              <w:spacing w:after="0"/>
              <w:rPr>
                <w:sz w:val="14"/>
                <w:szCs w:val="14"/>
                <w:color w:val="auto"/>
              </w:rPr>
            </w:pPr>
          </w:p>
        </w:tc>
        <w:tc>
          <w:tcPr>
            <w:tcW w:w="4780" w:type="dxa"/>
            <w:vAlign w:val="bottom"/>
            <w:shd w:val="clear" w:color="auto" w:fill="00548B"/>
          </w:tcPr>
          <w:p>
            <w:pPr>
              <w:jc w:val="center"/>
              <w:ind w:left="2943"/>
              <w:spacing w:after="0"/>
              <w:rPr>
                <w:sz w:val="20"/>
                <w:szCs w:val="20"/>
                <w:color w:val="auto"/>
              </w:rPr>
            </w:pPr>
            <w:r>
              <w:rPr>
                <w:rFonts w:ascii="Arial" w:cs="Arial" w:eastAsia="Arial" w:hAnsi="Arial"/>
                <w:sz w:val="14"/>
                <w:szCs w:val="14"/>
                <w:b w:val="1"/>
                <w:bCs w:val="1"/>
                <w:color w:val="D8D8D8"/>
              </w:rPr>
              <w:t>Units</w:t>
            </w:r>
          </w:p>
        </w:tc>
        <w:tc>
          <w:tcPr>
            <w:tcW w:w="15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Shares</w:t>
            </w:r>
          </w:p>
        </w:tc>
      </w:tr>
      <w:tr>
        <w:trPr>
          <w:trHeight w:val="175"/>
        </w:trPr>
        <w:tc>
          <w:tcPr>
            <w:tcW w:w="20" w:type="dxa"/>
            <w:vAlign w:val="bottom"/>
          </w:tcPr>
          <w:p>
            <w:pPr>
              <w:spacing w:after="0"/>
              <w:rPr>
                <w:sz w:val="15"/>
                <w:szCs w:val="15"/>
                <w:color w:val="auto"/>
              </w:rPr>
            </w:pPr>
          </w:p>
        </w:tc>
        <w:tc>
          <w:tcPr>
            <w:tcW w:w="46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Executive</w:t>
            </w:r>
          </w:p>
        </w:tc>
        <w:tc>
          <w:tcPr>
            <w:tcW w:w="4780" w:type="dxa"/>
            <w:vAlign w:val="bottom"/>
            <w:shd w:val="clear" w:color="auto" w:fill="00548B"/>
          </w:tcPr>
          <w:p>
            <w:pPr>
              <w:jc w:val="center"/>
              <w:ind w:left="2963"/>
              <w:spacing w:after="0"/>
              <w:rPr>
                <w:sz w:val="20"/>
                <w:szCs w:val="20"/>
                <w:color w:val="auto"/>
              </w:rPr>
            </w:pPr>
            <w:r>
              <w:rPr>
                <w:rFonts w:ascii="Arial" w:cs="Arial" w:eastAsia="Arial" w:hAnsi="Arial"/>
                <w:sz w:val="14"/>
                <w:szCs w:val="14"/>
                <w:b w:val="1"/>
                <w:bCs w:val="1"/>
                <w:color w:val="D8D8D8"/>
              </w:rPr>
              <w:t>Granted*</w:t>
            </w:r>
          </w:p>
        </w:tc>
        <w:tc>
          <w:tcPr>
            <w:tcW w:w="15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Granted</w:t>
            </w:r>
          </w:p>
        </w:tc>
      </w:tr>
      <w:tr>
        <w:trPr>
          <w:trHeight w:val="189"/>
        </w:trPr>
        <w:tc>
          <w:tcPr>
            <w:tcW w:w="470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color w:val="auto"/>
              </w:rPr>
              <w:t>James H. Roth</w:t>
            </w:r>
          </w:p>
        </w:tc>
        <w:tc>
          <w:tcPr>
            <w:tcW w:w="4780" w:type="dxa"/>
            <w:vAlign w:val="bottom"/>
            <w:tcBorders>
              <w:bottom w:val="single" w:sz="8" w:color="999999"/>
            </w:tcBorders>
          </w:tcPr>
          <w:p>
            <w:pPr>
              <w:jc w:val="right"/>
              <w:ind w:right="343"/>
              <w:spacing w:after="0"/>
              <w:rPr>
                <w:sz w:val="20"/>
                <w:szCs w:val="20"/>
                <w:color w:val="auto"/>
              </w:rPr>
            </w:pPr>
            <w:r>
              <w:rPr>
                <w:rFonts w:ascii="Arial" w:cs="Arial" w:eastAsia="Arial" w:hAnsi="Arial"/>
                <w:sz w:val="16"/>
                <w:szCs w:val="16"/>
                <w:color w:val="auto"/>
              </w:rPr>
              <w:t>53,617</w:t>
            </w:r>
          </w:p>
        </w:tc>
        <w:tc>
          <w:tcPr>
            <w:tcW w:w="1560" w:type="dxa"/>
            <w:vAlign w:val="bottom"/>
            <w:tcBorders>
              <w:bottom w:val="single" w:sz="8" w:color="999999"/>
            </w:tcBorders>
          </w:tcPr>
          <w:p>
            <w:pPr>
              <w:jc w:val="right"/>
              <w:ind w:right="363"/>
              <w:spacing w:after="0"/>
              <w:rPr>
                <w:sz w:val="20"/>
                <w:szCs w:val="20"/>
                <w:color w:val="auto"/>
              </w:rPr>
            </w:pPr>
            <w:r>
              <w:rPr>
                <w:rFonts w:ascii="Arial" w:cs="Arial" w:eastAsia="Arial" w:hAnsi="Arial"/>
                <w:sz w:val="16"/>
                <w:szCs w:val="16"/>
                <w:color w:val="auto"/>
              </w:rPr>
              <w:t>22,979</w:t>
            </w:r>
          </w:p>
        </w:tc>
      </w:tr>
      <w:tr>
        <w:trPr>
          <w:trHeight w:val="183"/>
        </w:trPr>
        <w:tc>
          <w:tcPr>
            <w:tcW w:w="470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C. Mark Hussey</w:t>
            </w:r>
          </w:p>
        </w:tc>
        <w:tc>
          <w:tcPr>
            <w:tcW w:w="4780" w:type="dxa"/>
            <w:vAlign w:val="bottom"/>
            <w:tcBorders>
              <w:bottom w:val="single" w:sz="8" w:color="999999"/>
            </w:tcBorders>
          </w:tcPr>
          <w:p>
            <w:pPr>
              <w:jc w:val="right"/>
              <w:ind w:right="343"/>
              <w:spacing w:after="0" w:line="183" w:lineRule="exact"/>
              <w:rPr>
                <w:sz w:val="20"/>
                <w:szCs w:val="20"/>
                <w:color w:val="auto"/>
              </w:rPr>
            </w:pPr>
            <w:r>
              <w:rPr>
                <w:rFonts w:ascii="Arial" w:cs="Arial" w:eastAsia="Arial" w:hAnsi="Arial"/>
                <w:sz w:val="16"/>
                <w:szCs w:val="16"/>
                <w:color w:val="auto"/>
              </w:rPr>
              <w:t>26,064</w:t>
            </w:r>
          </w:p>
        </w:tc>
        <w:tc>
          <w:tcPr>
            <w:tcW w:w="1560" w:type="dxa"/>
            <w:vAlign w:val="bottom"/>
            <w:tcBorders>
              <w:bottom w:val="single" w:sz="8" w:color="999999"/>
            </w:tcBorders>
          </w:tcPr>
          <w:p>
            <w:pPr>
              <w:jc w:val="right"/>
              <w:ind w:right="363"/>
              <w:spacing w:after="0" w:line="183" w:lineRule="exact"/>
              <w:rPr>
                <w:sz w:val="20"/>
                <w:szCs w:val="20"/>
                <w:color w:val="auto"/>
              </w:rPr>
            </w:pPr>
            <w:r>
              <w:rPr>
                <w:rFonts w:ascii="Arial" w:cs="Arial" w:eastAsia="Arial" w:hAnsi="Arial"/>
                <w:sz w:val="16"/>
                <w:szCs w:val="16"/>
                <w:color w:val="auto"/>
              </w:rPr>
              <w:t>11,170</w:t>
            </w:r>
          </w:p>
        </w:tc>
      </w:tr>
      <w:tr>
        <w:trPr>
          <w:trHeight w:val="183"/>
        </w:trPr>
        <w:tc>
          <w:tcPr>
            <w:tcW w:w="470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John D. Kelly</w:t>
            </w:r>
          </w:p>
        </w:tc>
        <w:tc>
          <w:tcPr>
            <w:tcW w:w="4780" w:type="dxa"/>
            <w:vAlign w:val="bottom"/>
            <w:tcBorders>
              <w:bottom w:val="single" w:sz="8" w:color="999999"/>
            </w:tcBorders>
          </w:tcPr>
          <w:p>
            <w:pPr>
              <w:jc w:val="right"/>
              <w:ind w:right="343"/>
              <w:spacing w:after="0" w:line="183" w:lineRule="exact"/>
              <w:rPr>
                <w:sz w:val="20"/>
                <w:szCs w:val="20"/>
                <w:color w:val="auto"/>
              </w:rPr>
            </w:pPr>
            <w:r>
              <w:rPr>
                <w:rFonts w:ascii="Arial" w:cs="Arial" w:eastAsia="Arial" w:hAnsi="Arial"/>
                <w:sz w:val="16"/>
                <w:szCs w:val="16"/>
                <w:color w:val="auto"/>
              </w:rPr>
              <w:t>9,532</w:t>
            </w:r>
          </w:p>
        </w:tc>
        <w:tc>
          <w:tcPr>
            <w:tcW w:w="1560" w:type="dxa"/>
            <w:vAlign w:val="bottom"/>
            <w:tcBorders>
              <w:bottom w:val="single" w:sz="8" w:color="999999"/>
            </w:tcBorders>
          </w:tcPr>
          <w:p>
            <w:pPr>
              <w:jc w:val="right"/>
              <w:ind w:right="363"/>
              <w:spacing w:after="0" w:line="183" w:lineRule="exact"/>
              <w:rPr>
                <w:sz w:val="20"/>
                <w:szCs w:val="20"/>
                <w:color w:val="auto"/>
              </w:rPr>
            </w:pPr>
            <w:r>
              <w:rPr>
                <w:rFonts w:ascii="Arial" w:cs="Arial" w:eastAsia="Arial" w:hAnsi="Arial"/>
                <w:sz w:val="16"/>
                <w:szCs w:val="16"/>
                <w:color w:val="auto"/>
              </w:rPr>
              <w:t>4,085</w:t>
            </w:r>
          </w:p>
        </w:tc>
      </w:tr>
      <w:tr>
        <w:trPr>
          <w:trHeight w:val="190"/>
        </w:trPr>
        <w:tc>
          <w:tcPr>
            <w:tcW w:w="4700" w:type="dxa"/>
            <w:vAlign w:val="bottom"/>
            <w:gridSpan w:val="2"/>
          </w:tcPr>
          <w:p>
            <w:pPr>
              <w:spacing w:after="0"/>
              <w:rPr>
                <w:sz w:val="20"/>
                <w:szCs w:val="20"/>
                <w:color w:val="auto"/>
              </w:rPr>
            </w:pPr>
            <w:r>
              <w:rPr>
                <w:rFonts w:ascii="Arial" w:cs="Arial" w:eastAsia="Arial" w:hAnsi="Arial"/>
                <w:sz w:val="16"/>
                <w:szCs w:val="16"/>
                <w:color w:val="auto"/>
              </w:rPr>
              <w:t>Diane E. Ratekin</w:t>
            </w:r>
          </w:p>
        </w:tc>
        <w:tc>
          <w:tcPr>
            <w:tcW w:w="4780" w:type="dxa"/>
            <w:vAlign w:val="bottom"/>
          </w:tcPr>
          <w:p>
            <w:pPr>
              <w:jc w:val="right"/>
              <w:ind w:right="343"/>
              <w:spacing w:after="0"/>
              <w:rPr>
                <w:sz w:val="20"/>
                <w:szCs w:val="20"/>
                <w:color w:val="auto"/>
              </w:rPr>
            </w:pPr>
            <w:r>
              <w:rPr>
                <w:rFonts w:ascii="Arial" w:cs="Arial" w:eastAsia="Arial" w:hAnsi="Arial"/>
                <w:sz w:val="16"/>
                <w:szCs w:val="16"/>
                <w:color w:val="auto"/>
              </w:rPr>
              <w:t>9,135</w:t>
            </w:r>
          </w:p>
        </w:tc>
        <w:tc>
          <w:tcPr>
            <w:tcW w:w="1560" w:type="dxa"/>
            <w:vAlign w:val="bottom"/>
          </w:tcPr>
          <w:p>
            <w:pPr>
              <w:jc w:val="right"/>
              <w:ind w:right="363"/>
              <w:spacing w:after="0"/>
              <w:rPr>
                <w:sz w:val="20"/>
                <w:szCs w:val="20"/>
                <w:color w:val="auto"/>
              </w:rPr>
            </w:pPr>
            <w:r>
              <w:rPr>
                <w:rFonts w:ascii="Arial" w:cs="Arial" w:eastAsia="Arial" w:hAnsi="Arial"/>
                <w:sz w:val="16"/>
                <w:szCs w:val="16"/>
                <w:color w:val="auto"/>
              </w:rPr>
              <w:t>3,915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wp:posOffset>
            </wp:positionV>
            <wp:extent cx="6997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 Reflects target award levels. Payouts, if any, on the performance units will be determined at the end of the three-year performance period in 2020.</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Performance Unit Awards</w:t>
      </w:r>
    </w:p>
    <w:p>
      <w:pPr>
        <w:spacing w:after="0" w:line="2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performance unit plan was redesigned for 2018 to measure performance over a three-year period and to add revenue growth as a measure. The one-year measurement period used in prior years was eliminated. Payout opportunity remains 25% of target for threshold performance and 200% of target for maximum performance. No shares are earned for performance below threshold.</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020" w:type="dxa"/>
            <w:vAlign w:val="bottom"/>
            <w:tcBorders>
              <w:bottom w:val="single" w:sz="8" w:color="00548B"/>
            </w:tcBorders>
            <w:shd w:val="clear" w:color="auto" w:fill="00548B"/>
          </w:tcPr>
          <w:p>
            <w:pPr>
              <w:spacing w:after="0"/>
              <w:rPr>
                <w:sz w:val="20"/>
                <w:szCs w:val="20"/>
                <w:color w:val="auto"/>
              </w:rPr>
            </w:pPr>
            <w:r>
              <w:rPr>
                <w:rFonts w:ascii="Arial" w:cs="Arial" w:eastAsia="Arial" w:hAnsi="Arial"/>
                <w:sz w:val="16"/>
                <w:szCs w:val="16"/>
                <w:b w:val="1"/>
                <w:bCs w:val="1"/>
                <w:color w:val="D8D8D8"/>
              </w:rPr>
              <w:t>Vehicle</w:t>
            </w:r>
          </w:p>
        </w:tc>
        <w:tc>
          <w:tcPr>
            <w:tcW w:w="1460" w:type="dxa"/>
            <w:vAlign w:val="bottom"/>
            <w:tcBorders>
              <w:bottom w:val="single" w:sz="8" w:color="00548B"/>
            </w:tcBorders>
            <w:shd w:val="clear" w:color="auto" w:fill="00548B"/>
          </w:tcPr>
          <w:p>
            <w:pPr>
              <w:ind w:left="680"/>
              <w:spacing w:after="0"/>
              <w:rPr>
                <w:sz w:val="20"/>
                <w:szCs w:val="20"/>
                <w:color w:val="auto"/>
              </w:rPr>
            </w:pPr>
            <w:r>
              <w:rPr>
                <w:rFonts w:ascii="Arial" w:cs="Arial" w:eastAsia="Arial" w:hAnsi="Arial"/>
                <w:sz w:val="16"/>
                <w:szCs w:val="16"/>
                <w:b w:val="1"/>
                <w:bCs w:val="1"/>
                <w:color w:val="D8D8D8"/>
                <w:w w:val="98"/>
              </w:rPr>
              <w:t>Weighting</w:t>
            </w:r>
          </w:p>
        </w:tc>
        <w:tc>
          <w:tcPr>
            <w:tcW w:w="540" w:type="dxa"/>
            <w:vAlign w:val="bottom"/>
            <w:tcBorders>
              <w:bottom w:val="single" w:sz="8" w:color="00548B"/>
            </w:tcBorders>
            <w:shd w:val="clear" w:color="auto" w:fill="00548B"/>
          </w:tcPr>
          <w:p>
            <w:pPr>
              <w:spacing w:after="0"/>
              <w:rPr>
                <w:sz w:val="22"/>
                <w:szCs w:val="22"/>
                <w:color w:val="auto"/>
              </w:rPr>
            </w:pPr>
          </w:p>
        </w:tc>
        <w:tc>
          <w:tcPr>
            <w:tcW w:w="3020" w:type="dxa"/>
            <w:vAlign w:val="bottom"/>
            <w:tcBorders>
              <w:bottom w:val="single" w:sz="8" w:color="00548B"/>
            </w:tcBorders>
            <w:shd w:val="clear" w:color="auto" w:fill="00548B"/>
          </w:tcPr>
          <w:p>
            <w:pPr>
              <w:ind w:left="200"/>
              <w:spacing w:after="0"/>
              <w:rPr>
                <w:sz w:val="20"/>
                <w:szCs w:val="20"/>
                <w:color w:val="auto"/>
              </w:rPr>
            </w:pPr>
            <w:r>
              <w:rPr>
                <w:rFonts w:ascii="Arial" w:cs="Arial" w:eastAsia="Arial" w:hAnsi="Arial"/>
                <w:sz w:val="16"/>
                <w:szCs w:val="16"/>
                <w:b w:val="1"/>
                <w:bCs w:val="1"/>
                <w:color w:val="D8D8D8"/>
              </w:rPr>
              <w:t>Performance Measure</w:t>
            </w:r>
          </w:p>
        </w:tc>
        <w:tc>
          <w:tcPr>
            <w:tcW w:w="3980" w:type="dxa"/>
            <w:vAlign w:val="bottom"/>
            <w:tcBorders>
              <w:bottom w:val="single" w:sz="8" w:color="00548B"/>
            </w:tcBorders>
            <w:shd w:val="clear" w:color="auto" w:fill="00548B"/>
          </w:tcPr>
          <w:p>
            <w:pPr>
              <w:jc w:val="center"/>
              <w:ind w:left="39"/>
              <w:spacing w:after="0"/>
              <w:rPr>
                <w:sz w:val="20"/>
                <w:szCs w:val="20"/>
                <w:color w:val="auto"/>
              </w:rPr>
            </w:pPr>
            <w:r>
              <w:rPr>
                <w:rFonts w:ascii="Arial" w:cs="Arial" w:eastAsia="Arial" w:hAnsi="Arial"/>
                <w:sz w:val="16"/>
                <w:szCs w:val="16"/>
                <w:b w:val="1"/>
                <w:bCs w:val="1"/>
                <w:color w:val="D8D8D8"/>
              </w:rPr>
              <w:t>Performance/Vesting Timeline</w:t>
            </w:r>
          </w:p>
        </w:tc>
        <w:tc>
          <w:tcPr>
            <w:tcW w:w="0" w:type="dxa"/>
            <w:vAlign w:val="bottom"/>
          </w:tcPr>
          <w:p>
            <w:pPr>
              <w:spacing w:after="0"/>
              <w:rPr>
                <w:sz w:val="1"/>
                <w:szCs w:val="1"/>
                <w:color w:val="auto"/>
              </w:rPr>
            </w:pPr>
          </w:p>
        </w:tc>
      </w:tr>
      <w:tr>
        <w:trPr>
          <w:trHeight w:val="191"/>
        </w:trPr>
        <w:tc>
          <w:tcPr>
            <w:tcW w:w="2040" w:type="dxa"/>
            <w:vAlign w:val="bottom"/>
            <w:gridSpan w:val="2"/>
            <w:vMerge w:val="restart"/>
          </w:tcPr>
          <w:p>
            <w:pPr>
              <w:spacing w:after="0"/>
              <w:rPr>
                <w:sz w:val="20"/>
                <w:szCs w:val="20"/>
                <w:color w:val="auto"/>
              </w:rPr>
            </w:pPr>
            <w:r>
              <w:rPr>
                <w:rFonts w:ascii="Arial" w:cs="Arial" w:eastAsia="Arial" w:hAnsi="Arial"/>
                <w:sz w:val="16"/>
                <w:szCs w:val="16"/>
                <w:color w:val="auto"/>
              </w:rPr>
              <w:t>Performance Units</w:t>
            </w:r>
          </w:p>
        </w:tc>
        <w:tc>
          <w:tcPr>
            <w:tcW w:w="1460" w:type="dxa"/>
            <w:vAlign w:val="bottom"/>
          </w:tcPr>
          <w:p>
            <w:pPr>
              <w:spacing w:after="0"/>
              <w:rPr>
                <w:sz w:val="16"/>
                <w:szCs w:val="16"/>
                <w:color w:val="auto"/>
              </w:rPr>
            </w:pPr>
          </w:p>
        </w:tc>
        <w:tc>
          <w:tcPr>
            <w:tcW w:w="540" w:type="dxa"/>
            <w:vAlign w:val="bottom"/>
            <w:vMerge w:val="restart"/>
          </w:tcPr>
          <w:p>
            <w:pPr>
              <w:jc w:val="right"/>
              <w:ind w:right="119"/>
              <w:spacing w:after="0"/>
              <w:rPr>
                <w:sz w:val="20"/>
                <w:szCs w:val="20"/>
                <w:color w:val="auto"/>
              </w:rPr>
            </w:pPr>
            <w:r>
              <w:rPr>
                <w:rFonts w:ascii="Arial" w:cs="Arial" w:eastAsia="Arial" w:hAnsi="Arial"/>
                <w:sz w:val="16"/>
                <w:szCs w:val="16"/>
                <w:color w:val="auto"/>
                <w:w w:val="99"/>
              </w:rPr>
              <w:t>70%</w:t>
            </w:r>
          </w:p>
        </w:tc>
        <w:tc>
          <w:tcPr>
            <w:tcW w:w="3020" w:type="dxa"/>
            <w:vAlign w:val="bottom"/>
          </w:tcPr>
          <w:p>
            <w:pPr>
              <w:ind w:left="200"/>
              <w:spacing w:after="0"/>
              <w:rPr>
                <w:sz w:val="20"/>
                <w:szCs w:val="20"/>
                <w:color w:val="auto"/>
              </w:rPr>
            </w:pPr>
            <w:r>
              <w:rPr>
                <w:rFonts w:ascii="Arial" w:cs="Arial" w:eastAsia="Arial" w:hAnsi="Arial"/>
                <w:sz w:val="16"/>
                <w:szCs w:val="16"/>
                <w:color w:val="auto"/>
              </w:rPr>
              <w:t>40% Adjusted Diluted EPS</w:t>
            </w:r>
          </w:p>
        </w:tc>
        <w:tc>
          <w:tcPr>
            <w:tcW w:w="3980" w:type="dxa"/>
            <w:vAlign w:val="bottom"/>
            <w:vMerge w:val="restart"/>
          </w:tcPr>
          <w:p>
            <w:pPr>
              <w:jc w:val="center"/>
              <w:ind w:left="19"/>
              <w:spacing w:after="0"/>
              <w:rPr>
                <w:sz w:val="20"/>
                <w:szCs w:val="20"/>
                <w:color w:val="auto"/>
              </w:rPr>
            </w:pPr>
            <w:r>
              <w:rPr>
                <w:rFonts w:ascii="Arial" w:cs="Arial" w:eastAsia="Arial" w:hAnsi="Arial"/>
                <w:sz w:val="16"/>
                <w:szCs w:val="16"/>
                <w:color w:val="auto"/>
                <w:w w:val="99"/>
              </w:rPr>
              <w:t>Three-Year (cliff)</w:t>
            </w:r>
          </w:p>
        </w:tc>
        <w:tc>
          <w:tcPr>
            <w:tcW w:w="0" w:type="dxa"/>
            <w:vAlign w:val="bottom"/>
          </w:tcPr>
          <w:p>
            <w:pPr>
              <w:spacing w:after="0"/>
              <w:rPr>
                <w:sz w:val="1"/>
                <w:szCs w:val="1"/>
                <w:color w:val="auto"/>
              </w:rPr>
            </w:pPr>
          </w:p>
        </w:tc>
      </w:tr>
      <w:tr>
        <w:trPr>
          <w:trHeight w:val="100"/>
        </w:trPr>
        <w:tc>
          <w:tcPr>
            <w:tcW w:w="2040" w:type="dxa"/>
            <w:vAlign w:val="bottom"/>
            <w:gridSpan w:val="2"/>
            <w:vMerge w:val="continue"/>
          </w:tcPr>
          <w:p>
            <w:pPr>
              <w:spacing w:after="0"/>
              <w:rPr>
                <w:sz w:val="8"/>
                <w:szCs w:val="8"/>
                <w:color w:val="auto"/>
              </w:rPr>
            </w:pPr>
          </w:p>
        </w:tc>
        <w:tc>
          <w:tcPr>
            <w:tcW w:w="14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020" w:type="dxa"/>
            <w:vAlign w:val="bottom"/>
            <w:vMerge w:val="restart"/>
          </w:tcPr>
          <w:p>
            <w:pPr>
              <w:ind w:left="200"/>
              <w:spacing w:after="0"/>
              <w:rPr>
                <w:sz w:val="20"/>
                <w:szCs w:val="20"/>
                <w:color w:val="auto"/>
              </w:rPr>
            </w:pPr>
            <w:r>
              <w:rPr>
                <w:rFonts w:ascii="Arial" w:cs="Arial" w:eastAsia="Arial" w:hAnsi="Arial"/>
                <w:sz w:val="16"/>
                <w:szCs w:val="16"/>
                <w:color w:val="auto"/>
              </w:rPr>
              <w:t>30% Revenue Growth</w:t>
            </w:r>
          </w:p>
        </w:tc>
        <w:tc>
          <w:tcPr>
            <w:tcW w:w="3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20" w:type="dxa"/>
            <w:vAlign w:val="bottom"/>
            <w:tcBorders>
              <w:bottom w:val="single" w:sz="8" w:color="00548B"/>
            </w:tcBorders>
          </w:tcPr>
          <w:p>
            <w:pPr>
              <w:spacing w:after="0"/>
              <w:rPr>
                <w:sz w:val="8"/>
                <w:szCs w:val="8"/>
                <w:color w:val="auto"/>
              </w:rPr>
            </w:pPr>
          </w:p>
        </w:tc>
        <w:tc>
          <w:tcPr>
            <w:tcW w:w="1460" w:type="dxa"/>
            <w:vAlign w:val="bottom"/>
            <w:tcBorders>
              <w:bottom w:val="single" w:sz="8" w:color="00548B"/>
            </w:tcBorders>
          </w:tcPr>
          <w:p>
            <w:pPr>
              <w:spacing w:after="0"/>
              <w:rPr>
                <w:sz w:val="8"/>
                <w:szCs w:val="8"/>
                <w:color w:val="auto"/>
              </w:rPr>
            </w:pPr>
          </w:p>
        </w:tc>
        <w:tc>
          <w:tcPr>
            <w:tcW w:w="540" w:type="dxa"/>
            <w:vAlign w:val="bottom"/>
            <w:tcBorders>
              <w:bottom w:val="single" w:sz="8" w:color="00548B"/>
            </w:tcBorders>
          </w:tcPr>
          <w:p>
            <w:pPr>
              <w:spacing w:after="0"/>
              <w:rPr>
                <w:sz w:val="8"/>
                <w:szCs w:val="8"/>
                <w:color w:val="auto"/>
              </w:rPr>
            </w:pPr>
          </w:p>
        </w:tc>
        <w:tc>
          <w:tcPr>
            <w:tcW w:w="3020" w:type="dxa"/>
            <w:vAlign w:val="bottom"/>
            <w:tcBorders>
              <w:bottom w:val="single" w:sz="8" w:color="00548B"/>
            </w:tcBorders>
            <w:vMerge w:val="continue"/>
          </w:tcPr>
          <w:p>
            <w:pPr>
              <w:spacing w:after="0"/>
              <w:rPr>
                <w:sz w:val="8"/>
                <w:szCs w:val="8"/>
                <w:color w:val="auto"/>
              </w:rPr>
            </w:pPr>
          </w:p>
        </w:tc>
        <w:tc>
          <w:tcPr>
            <w:tcW w:w="3980" w:type="dxa"/>
            <w:vAlign w:val="bottom"/>
            <w:tcBorders>
              <w:bottom w:val="single" w:sz="8" w:color="00548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Restricted Stock Awards</w:t>
      </w:r>
    </w:p>
    <w:p>
      <w:pPr>
        <w:spacing w:after="0" w:line="25"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The restricted stock granted to our NEOs vests 1/3 per year over three years, based on continued service to enhance retention and maintain alignment with share price performance.</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1980" w:type="dxa"/>
            <w:vAlign w:val="bottom"/>
            <w:tcBorders>
              <w:bottom w:val="single" w:sz="8" w:color="00548B"/>
            </w:tcBorders>
            <w:shd w:val="clear" w:color="auto" w:fill="00548B"/>
          </w:tcPr>
          <w:p>
            <w:pPr>
              <w:spacing w:after="0"/>
              <w:rPr>
                <w:sz w:val="20"/>
                <w:szCs w:val="20"/>
                <w:color w:val="auto"/>
              </w:rPr>
            </w:pPr>
            <w:r>
              <w:rPr>
                <w:rFonts w:ascii="Arial" w:cs="Arial" w:eastAsia="Arial" w:hAnsi="Arial"/>
                <w:sz w:val="16"/>
                <w:szCs w:val="16"/>
                <w:b w:val="1"/>
                <w:bCs w:val="1"/>
                <w:color w:val="D8D8D8"/>
              </w:rPr>
              <w:t>Vehicle</w:t>
            </w:r>
          </w:p>
        </w:tc>
        <w:tc>
          <w:tcPr>
            <w:tcW w:w="2040" w:type="dxa"/>
            <w:vAlign w:val="bottom"/>
            <w:tcBorders>
              <w:bottom w:val="single" w:sz="8" w:color="00548B"/>
            </w:tcBorders>
            <w:shd w:val="clear" w:color="auto" w:fill="00548B"/>
          </w:tcPr>
          <w:p>
            <w:pPr>
              <w:jc w:val="right"/>
              <w:ind w:right="459"/>
              <w:spacing w:after="0"/>
              <w:rPr>
                <w:sz w:val="20"/>
                <w:szCs w:val="20"/>
                <w:color w:val="auto"/>
              </w:rPr>
            </w:pPr>
            <w:r>
              <w:rPr>
                <w:rFonts w:ascii="Arial" w:cs="Arial" w:eastAsia="Arial" w:hAnsi="Arial"/>
                <w:sz w:val="16"/>
                <w:szCs w:val="16"/>
                <w:b w:val="1"/>
                <w:bCs w:val="1"/>
                <w:color w:val="D8D8D8"/>
              </w:rPr>
              <w:t>Weighting</w:t>
            </w:r>
          </w:p>
        </w:tc>
        <w:tc>
          <w:tcPr>
            <w:tcW w:w="2900" w:type="dxa"/>
            <w:vAlign w:val="bottom"/>
            <w:tcBorders>
              <w:bottom w:val="single" w:sz="8" w:color="00548B"/>
            </w:tcBorders>
            <w:shd w:val="clear" w:color="auto" w:fill="00548B"/>
          </w:tcPr>
          <w:p>
            <w:pPr>
              <w:ind w:left="200"/>
              <w:spacing w:after="0"/>
              <w:rPr>
                <w:sz w:val="20"/>
                <w:szCs w:val="20"/>
                <w:color w:val="auto"/>
              </w:rPr>
            </w:pPr>
            <w:r>
              <w:rPr>
                <w:rFonts w:ascii="Arial" w:cs="Arial" w:eastAsia="Arial" w:hAnsi="Arial"/>
                <w:sz w:val="16"/>
                <w:szCs w:val="16"/>
                <w:b w:val="1"/>
                <w:bCs w:val="1"/>
                <w:color w:val="D8D8D8"/>
              </w:rPr>
              <w:t>Performance Measure</w:t>
            </w:r>
          </w:p>
        </w:tc>
        <w:tc>
          <w:tcPr>
            <w:tcW w:w="4100" w:type="dxa"/>
            <w:vAlign w:val="bottom"/>
            <w:tcBorders>
              <w:bottom w:val="single" w:sz="8" w:color="00548B"/>
            </w:tcBorders>
            <w:shd w:val="clear" w:color="auto" w:fill="00548B"/>
          </w:tcPr>
          <w:p>
            <w:pPr>
              <w:jc w:val="center"/>
              <w:ind w:left="159"/>
              <w:spacing w:after="0"/>
              <w:rPr>
                <w:sz w:val="20"/>
                <w:szCs w:val="20"/>
                <w:color w:val="auto"/>
              </w:rPr>
            </w:pPr>
            <w:r>
              <w:rPr>
                <w:rFonts w:ascii="Arial" w:cs="Arial" w:eastAsia="Arial" w:hAnsi="Arial"/>
                <w:sz w:val="16"/>
                <w:szCs w:val="16"/>
                <w:b w:val="1"/>
                <w:bCs w:val="1"/>
                <w:color w:val="D8D8D8"/>
              </w:rPr>
              <w:t>Performance/Vesting Timeline</w:t>
            </w:r>
          </w:p>
        </w:tc>
      </w:tr>
      <w:tr>
        <w:trPr>
          <w:trHeight w:val="200"/>
        </w:trPr>
        <w:tc>
          <w:tcPr>
            <w:tcW w:w="2000" w:type="dxa"/>
            <w:vAlign w:val="bottom"/>
            <w:tcBorders>
              <w:bottom w:val="single" w:sz="8" w:color="00548B"/>
            </w:tcBorders>
            <w:gridSpan w:val="2"/>
          </w:tcPr>
          <w:p>
            <w:pPr>
              <w:spacing w:after="0"/>
              <w:rPr>
                <w:sz w:val="20"/>
                <w:szCs w:val="20"/>
                <w:color w:val="auto"/>
              </w:rPr>
            </w:pPr>
            <w:r>
              <w:rPr>
                <w:rFonts w:ascii="Arial" w:cs="Arial" w:eastAsia="Arial" w:hAnsi="Arial"/>
                <w:sz w:val="16"/>
                <w:szCs w:val="16"/>
                <w:color w:val="auto"/>
              </w:rPr>
              <w:t>Restricted Shares</w:t>
            </w:r>
          </w:p>
        </w:tc>
        <w:tc>
          <w:tcPr>
            <w:tcW w:w="2040" w:type="dxa"/>
            <w:vAlign w:val="bottom"/>
            <w:tcBorders>
              <w:bottom w:val="single" w:sz="8" w:color="00548B"/>
            </w:tcBorders>
          </w:tcPr>
          <w:p>
            <w:pPr>
              <w:jc w:val="right"/>
              <w:ind w:right="119"/>
              <w:spacing w:after="0"/>
              <w:rPr>
                <w:sz w:val="20"/>
                <w:szCs w:val="20"/>
                <w:color w:val="auto"/>
              </w:rPr>
            </w:pPr>
            <w:r>
              <w:rPr>
                <w:rFonts w:ascii="Arial" w:cs="Arial" w:eastAsia="Arial" w:hAnsi="Arial"/>
                <w:sz w:val="16"/>
                <w:szCs w:val="16"/>
                <w:color w:val="auto"/>
              </w:rPr>
              <w:t>30%</w:t>
            </w:r>
          </w:p>
        </w:tc>
        <w:tc>
          <w:tcPr>
            <w:tcW w:w="2900" w:type="dxa"/>
            <w:vAlign w:val="bottom"/>
            <w:tcBorders>
              <w:bottom w:val="single" w:sz="8" w:color="00548B"/>
            </w:tcBorders>
          </w:tcPr>
          <w:p>
            <w:pPr>
              <w:ind w:left="200"/>
              <w:spacing w:after="0"/>
              <w:rPr>
                <w:sz w:val="20"/>
                <w:szCs w:val="20"/>
                <w:color w:val="auto"/>
              </w:rPr>
            </w:pPr>
            <w:r>
              <w:rPr>
                <w:rFonts w:ascii="Arial" w:cs="Arial" w:eastAsia="Arial" w:hAnsi="Arial"/>
                <w:sz w:val="16"/>
                <w:szCs w:val="16"/>
                <w:color w:val="auto"/>
              </w:rPr>
              <w:t>Continued employment</w:t>
            </w:r>
          </w:p>
        </w:tc>
        <w:tc>
          <w:tcPr>
            <w:tcW w:w="4100" w:type="dxa"/>
            <w:vAlign w:val="bottom"/>
            <w:tcBorders>
              <w:bottom w:val="single" w:sz="8" w:color="00548B"/>
            </w:tcBorders>
          </w:tcPr>
          <w:p>
            <w:pPr>
              <w:jc w:val="center"/>
              <w:ind w:left="159"/>
              <w:spacing w:after="0"/>
              <w:rPr>
                <w:sz w:val="20"/>
                <w:szCs w:val="20"/>
                <w:color w:val="auto"/>
              </w:rPr>
            </w:pPr>
            <w:r>
              <w:rPr>
                <w:rFonts w:ascii="Arial" w:cs="Arial" w:eastAsia="Arial" w:hAnsi="Arial"/>
                <w:sz w:val="16"/>
                <w:szCs w:val="16"/>
                <w:color w:val="auto"/>
              </w:rPr>
              <w:t>Three-Year (ratable)</w:t>
            </w:r>
          </w:p>
        </w:tc>
      </w:tr>
    </w:tbl>
    <w:p>
      <w:pPr>
        <w:spacing w:after="0" w:line="15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2019 NEO Compensation Program</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2019, the Compensation Committee made the following compensation adjustments:</w:t>
      </w:r>
    </w:p>
    <w:p>
      <w:pPr>
        <w:spacing w:after="0" w:line="5" w:lineRule="exact"/>
        <w:rPr>
          <w:sz w:val="20"/>
          <w:szCs w:val="20"/>
          <w:color w:val="auto"/>
        </w:rPr>
      </w:pPr>
    </w:p>
    <w:p>
      <w:pPr>
        <w:ind w:left="960" w:right="20" w:hanging="432"/>
        <w:spacing w:after="0" w:line="246" w:lineRule="auto"/>
        <w:tabs>
          <w:tab w:leader="none" w:pos="960" w:val="left"/>
        </w:tabs>
        <w:numPr>
          <w:ilvl w:val="0"/>
          <w:numId w:val="32"/>
        </w:numPr>
        <w:rPr>
          <w:rFonts w:ascii="Arial" w:cs="Arial" w:eastAsia="Arial" w:hAnsi="Arial"/>
          <w:sz w:val="16"/>
          <w:szCs w:val="16"/>
          <w:color w:val="00548B"/>
        </w:rPr>
      </w:pPr>
      <w:r>
        <w:rPr>
          <w:rFonts w:ascii="Arial" w:cs="Arial" w:eastAsia="Arial" w:hAnsi="Arial"/>
          <w:sz w:val="16"/>
          <w:szCs w:val="16"/>
          <w:color w:val="auto"/>
        </w:rPr>
        <w:t>Mr. Roth’s LTI award was reduced to 225% of salary, reducing his target total compensation opportunity by nearly 15% in response to shareholder concerns.</w:t>
      </w:r>
    </w:p>
    <w:p>
      <w:pPr>
        <w:ind w:left="960" w:right="20" w:hanging="432"/>
        <w:spacing w:after="0" w:line="246" w:lineRule="auto"/>
        <w:tabs>
          <w:tab w:leader="none" w:pos="960" w:val="left"/>
        </w:tabs>
        <w:numPr>
          <w:ilvl w:val="0"/>
          <w:numId w:val="32"/>
        </w:numPr>
        <w:rPr>
          <w:rFonts w:ascii="Arial" w:cs="Arial" w:eastAsia="Arial" w:hAnsi="Arial"/>
          <w:sz w:val="16"/>
          <w:szCs w:val="16"/>
          <w:color w:val="00548B"/>
        </w:rPr>
      </w:pPr>
      <w:r>
        <w:rPr>
          <w:rFonts w:ascii="Arial" w:cs="Arial" w:eastAsia="Arial" w:hAnsi="Arial"/>
          <w:sz w:val="16"/>
          <w:szCs w:val="16"/>
          <w:color w:val="auto"/>
        </w:rPr>
        <w:t>Mr. Kelly’s base salary increased from $400,000 to $460,000 and long-term incentive opportunity increased from 125% to 150%. This change was part of a multi-year strategy to position his pay closer to market median as this is his third year in the role.</w:t>
      </w:r>
    </w:p>
    <w:p>
      <w:pPr>
        <w:ind w:left="960" w:hanging="432"/>
        <w:spacing w:after="0"/>
        <w:tabs>
          <w:tab w:leader="none" w:pos="960" w:val="left"/>
        </w:tabs>
        <w:numPr>
          <w:ilvl w:val="0"/>
          <w:numId w:val="32"/>
        </w:numPr>
        <w:rPr>
          <w:rFonts w:ascii="Arial" w:cs="Arial" w:eastAsia="Arial" w:hAnsi="Arial"/>
          <w:sz w:val="16"/>
          <w:szCs w:val="16"/>
          <w:color w:val="00548B"/>
        </w:rPr>
      </w:pPr>
      <w:r>
        <w:rPr>
          <w:rFonts w:ascii="Arial" w:cs="Arial" w:eastAsia="Arial" w:hAnsi="Arial"/>
          <w:sz w:val="16"/>
          <w:szCs w:val="16"/>
          <w:color w:val="auto"/>
        </w:rPr>
        <w:t>There were no other compensation changes for 2019.</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2019 Annual Incentive Program design is summarized in the table below. Changes to the design from 2018 include:</w:t>
      </w:r>
    </w:p>
    <w:p>
      <w:pPr>
        <w:spacing w:after="0" w:line="5" w:lineRule="exact"/>
        <w:rPr>
          <w:sz w:val="20"/>
          <w:szCs w:val="20"/>
          <w:color w:val="auto"/>
        </w:rPr>
      </w:pPr>
    </w:p>
    <w:p>
      <w:pPr>
        <w:ind w:left="960" w:hanging="432"/>
        <w:spacing w:after="0"/>
        <w:tabs>
          <w:tab w:leader="none" w:pos="960" w:val="left"/>
        </w:tabs>
        <w:numPr>
          <w:ilvl w:val="0"/>
          <w:numId w:val="33"/>
        </w:numPr>
        <w:rPr>
          <w:rFonts w:ascii="Arial" w:cs="Arial" w:eastAsia="Arial" w:hAnsi="Arial"/>
          <w:sz w:val="16"/>
          <w:szCs w:val="16"/>
          <w:color w:val="00548B"/>
        </w:rPr>
      </w:pPr>
      <w:r>
        <w:rPr>
          <w:rFonts w:ascii="Arial" w:cs="Arial" w:eastAsia="Arial" w:hAnsi="Arial"/>
          <w:sz w:val="16"/>
          <w:szCs w:val="16"/>
          <w:color w:val="auto"/>
        </w:rPr>
        <w:t>Reducing the weighting of the Strategic Measures from 30% to 20% at target.</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3"/>
        </w:numPr>
        <w:rPr>
          <w:rFonts w:ascii="Arial" w:cs="Arial" w:eastAsia="Arial" w:hAnsi="Arial"/>
          <w:sz w:val="16"/>
          <w:szCs w:val="16"/>
          <w:color w:val="00548B"/>
        </w:rPr>
      </w:pPr>
      <w:r>
        <w:rPr>
          <w:rFonts w:ascii="Arial" w:cs="Arial" w:eastAsia="Arial" w:hAnsi="Arial"/>
          <w:sz w:val="16"/>
          <w:szCs w:val="16"/>
          <w:color w:val="auto"/>
        </w:rPr>
        <w:t>Increasing the weighting of Adjusted EBITDA Margin from 30% to 40%.</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29</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The Compensation Committee has also implemented a cap under the annual incentive program, limiting actual awards to target payout if TSR is not positive for 2019.</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20" w:type="dxa"/>
            <w:vAlign w:val="bottom"/>
            <w:shd w:val="clear" w:color="auto" w:fill="00548B"/>
          </w:tcPr>
          <w:p>
            <w:pPr>
              <w:spacing w:after="0"/>
              <w:rPr>
                <w:sz w:val="16"/>
                <w:szCs w:val="16"/>
                <w:color w:val="auto"/>
              </w:rPr>
            </w:pPr>
          </w:p>
        </w:tc>
        <w:tc>
          <w:tcPr>
            <w:tcW w:w="1180" w:type="dxa"/>
            <w:vAlign w:val="bottom"/>
            <w:shd w:val="clear" w:color="auto" w:fill="00548B"/>
          </w:tcPr>
          <w:p>
            <w:pPr>
              <w:spacing w:after="0"/>
              <w:rPr>
                <w:sz w:val="16"/>
                <w:szCs w:val="16"/>
                <w:color w:val="auto"/>
              </w:rPr>
            </w:pPr>
          </w:p>
        </w:tc>
        <w:tc>
          <w:tcPr>
            <w:tcW w:w="2100" w:type="dxa"/>
            <w:vAlign w:val="bottom"/>
            <w:gridSpan w:val="2"/>
            <w:shd w:val="clear" w:color="auto" w:fill="00548B"/>
          </w:tcPr>
          <w:p>
            <w:pPr>
              <w:jc w:val="center"/>
              <w:spacing w:after="0"/>
              <w:rPr>
                <w:sz w:val="20"/>
                <w:szCs w:val="20"/>
                <w:color w:val="auto"/>
              </w:rPr>
            </w:pPr>
            <w:r>
              <w:rPr>
                <w:rFonts w:ascii="Arial" w:cs="Arial" w:eastAsia="Arial" w:hAnsi="Arial"/>
                <w:sz w:val="16"/>
                <w:szCs w:val="16"/>
                <w:b w:val="1"/>
                <w:bCs w:val="1"/>
                <w:color w:val="D8D8D8"/>
              </w:rPr>
              <w:t>Threshold</w:t>
            </w:r>
          </w:p>
        </w:tc>
        <w:tc>
          <w:tcPr>
            <w:tcW w:w="1380" w:type="dxa"/>
            <w:vAlign w:val="bottom"/>
            <w:shd w:val="clear" w:color="auto" w:fill="00548B"/>
          </w:tcPr>
          <w:p>
            <w:pPr>
              <w:spacing w:after="0"/>
              <w:rPr>
                <w:sz w:val="16"/>
                <w:szCs w:val="16"/>
                <w:color w:val="auto"/>
              </w:rPr>
            </w:pPr>
          </w:p>
        </w:tc>
        <w:tc>
          <w:tcPr>
            <w:tcW w:w="740" w:type="dxa"/>
            <w:vAlign w:val="bottom"/>
            <w:shd w:val="clear" w:color="auto" w:fill="00548B"/>
          </w:tcPr>
          <w:p>
            <w:pPr>
              <w:spacing w:after="0"/>
              <w:rPr>
                <w:sz w:val="16"/>
                <w:szCs w:val="16"/>
                <w:color w:val="auto"/>
              </w:rPr>
            </w:pPr>
          </w:p>
        </w:tc>
        <w:tc>
          <w:tcPr>
            <w:tcW w:w="2000" w:type="dxa"/>
            <w:vAlign w:val="bottom"/>
            <w:gridSpan w:val="2"/>
            <w:shd w:val="clear" w:color="auto" w:fill="00548B"/>
          </w:tcPr>
          <w:p>
            <w:pPr>
              <w:jc w:val="center"/>
              <w:ind w:left="59"/>
              <w:spacing w:after="0"/>
              <w:rPr>
                <w:sz w:val="20"/>
                <w:szCs w:val="20"/>
                <w:color w:val="auto"/>
              </w:rPr>
            </w:pPr>
            <w:r>
              <w:rPr>
                <w:rFonts w:ascii="Arial" w:cs="Arial" w:eastAsia="Arial" w:hAnsi="Arial"/>
                <w:sz w:val="16"/>
                <w:szCs w:val="16"/>
                <w:b w:val="1"/>
                <w:bCs w:val="1"/>
                <w:color w:val="D8D8D8"/>
              </w:rPr>
              <w:t>Maximum</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20" w:type="dxa"/>
            <w:vAlign w:val="bottom"/>
            <w:vMerge w:val="restart"/>
            <w:shd w:val="clear" w:color="auto" w:fill="00548B"/>
          </w:tcPr>
          <w:p>
            <w:pPr>
              <w:spacing w:after="0"/>
              <w:rPr>
                <w:sz w:val="20"/>
                <w:szCs w:val="20"/>
                <w:color w:val="auto"/>
              </w:rPr>
            </w:pPr>
            <w:r>
              <w:rPr>
                <w:rFonts w:ascii="Arial" w:cs="Arial" w:eastAsia="Arial" w:hAnsi="Arial"/>
                <w:sz w:val="16"/>
                <w:szCs w:val="16"/>
                <w:b w:val="1"/>
                <w:bCs w:val="1"/>
                <w:color w:val="D8D8D8"/>
              </w:rPr>
              <w:t>Short-Term</w:t>
            </w:r>
          </w:p>
        </w:tc>
        <w:tc>
          <w:tcPr>
            <w:tcW w:w="1180" w:type="dxa"/>
            <w:vAlign w:val="bottom"/>
            <w:shd w:val="clear" w:color="auto" w:fill="00548B"/>
          </w:tcPr>
          <w:p>
            <w:pPr>
              <w:spacing w:after="0"/>
              <w:rPr>
                <w:sz w:val="19"/>
                <w:szCs w:val="19"/>
                <w:color w:val="auto"/>
              </w:rPr>
            </w:pPr>
          </w:p>
        </w:tc>
        <w:tc>
          <w:tcPr>
            <w:tcW w:w="2100" w:type="dxa"/>
            <w:vAlign w:val="bottom"/>
            <w:gridSpan w:val="2"/>
            <w:shd w:val="clear" w:color="auto" w:fill="00548B"/>
          </w:tcPr>
          <w:p>
            <w:pPr>
              <w:jc w:val="center"/>
              <w:spacing w:after="0"/>
              <w:rPr>
                <w:sz w:val="20"/>
                <w:szCs w:val="20"/>
                <w:color w:val="auto"/>
              </w:rPr>
            </w:pPr>
            <w:r>
              <w:rPr>
                <w:rFonts w:ascii="Arial" w:cs="Arial" w:eastAsia="Arial" w:hAnsi="Arial"/>
                <w:sz w:val="16"/>
                <w:szCs w:val="16"/>
                <w:b w:val="1"/>
                <w:bCs w:val="1"/>
                <w:color w:val="D8D8D8"/>
              </w:rPr>
              <w:t>(as a % of target)</w:t>
            </w:r>
          </w:p>
        </w:tc>
        <w:tc>
          <w:tcPr>
            <w:tcW w:w="1380" w:type="dxa"/>
            <w:vAlign w:val="bottom"/>
            <w:shd w:val="clear" w:color="auto" w:fill="00548B"/>
          </w:tcPr>
          <w:p>
            <w:pPr>
              <w:ind w:left="820"/>
              <w:spacing w:after="0"/>
              <w:rPr>
                <w:sz w:val="20"/>
                <w:szCs w:val="20"/>
                <w:color w:val="auto"/>
              </w:rPr>
            </w:pPr>
            <w:r>
              <w:rPr>
                <w:rFonts w:ascii="Arial" w:cs="Arial" w:eastAsia="Arial" w:hAnsi="Arial"/>
                <w:sz w:val="16"/>
                <w:szCs w:val="16"/>
                <w:b w:val="1"/>
                <w:bCs w:val="1"/>
                <w:color w:val="D8D8D8"/>
              </w:rPr>
              <w:t>Target</w:t>
            </w:r>
          </w:p>
        </w:tc>
        <w:tc>
          <w:tcPr>
            <w:tcW w:w="740" w:type="dxa"/>
            <w:vAlign w:val="bottom"/>
            <w:shd w:val="clear" w:color="auto" w:fill="00548B"/>
          </w:tcPr>
          <w:p>
            <w:pPr>
              <w:spacing w:after="0"/>
              <w:rPr>
                <w:sz w:val="19"/>
                <w:szCs w:val="19"/>
                <w:color w:val="auto"/>
              </w:rPr>
            </w:pPr>
          </w:p>
        </w:tc>
        <w:tc>
          <w:tcPr>
            <w:tcW w:w="2000" w:type="dxa"/>
            <w:vAlign w:val="bottom"/>
            <w:gridSpan w:val="2"/>
            <w:shd w:val="clear" w:color="auto" w:fill="00548B"/>
          </w:tcPr>
          <w:p>
            <w:pPr>
              <w:jc w:val="center"/>
              <w:ind w:left="59"/>
              <w:spacing w:after="0"/>
              <w:rPr>
                <w:sz w:val="20"/>
                <w:szCs w:val="20"/>
                <w:color w:val="auto"/>
              </w:rPr>
            </w:pPr>
            <w:r>
              <w:rPr>
                <w:rFonts w:ascii="Arial" w:cs="Arial" w:eastAsia="Arial" w:hAnsi="Arial"/>
                <w:sz w:val="16"/>
                <w:szCs w:val="16"/>
                <w:b w:val="1"/>
                <w:bCs w:val="1"/>
                <w:color w:val="D8D8D8"/>
              </w:rPr>
              <w:t>(as a % of 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vMerge w:val="continue"/>
            <w:shd w:val="clear" w:color="auto" w:fill="00548B"/>
          </w:tcPr>
          <w:p>
            <w:pPr>
              <w:spacing w:after="0"/>
              <w:rPr>
                <w:sz w:val="14"/>
                <w:szCs w:val="14"/>
                <w:color w:val="auto"/>
              </w:rPr>
            </w:pPr>
          </w:p>
        </w:tc>
        <w:tc>
          <w:tcPr>
            <w:tcW w:w="1180" w:type="dxa"/>
            <w:vAlign w:val="bottom"/>
            <w:shd w:val="clear" w:color="auto" w:fill="00548B"/>
          </w:tcPr>
          <w:p>
            <w:pPr>
              <w:spacing w:after="0"/>
              <w:rPr>
                <w:sz w:val="14"/>
                <w:szCs w:val="14"/>
                <w:color w:val="auto"/>
              </w:rPr>
            </w:pPr>
          </w:p>
        </w:tc>
        <w:tc>
          <w:tcPr>
            <w:tcW w:w="1280" w:type="dxa"/>
            <w:vAlign w:val="bottom"/>
            <w:shd w:val="clear" w:color="auto" w:fill="00548B"/>
          </w:tcPr>
          <w:p>
            <w:pPr>
              <w:spacing w:after="0"/>
              <w:rPr>
                <w:sz w:val="14"/>
                <w:szCs w:val="14"/>
                <w:color w:val="auto"/>
              </w:rPr>
            </w:pPr>
          </w:p>
        </w:tc>
        <w:tc>
          <w:tcPr>
            <w:tcW w:w="820" w:type="dxa"/>
            <w:vAlign w:val="bottom"/>
            <w:shd w:val="clear" w:color="auto" w:fill="00548B"/>
          </w:tcPr>
          <w:p>
            <w:pPr>
              <w:spacing w:after="0"/>
              <w:rPr>
                <w:sz w:val="14"/>
                <w:szCs w:val="14"/>
                <w:color w:val="auto"/>
              </w:rPr>
            </w:pPr>
          </w:p>
        </w:tc>
        <w:tc>
          <w:tcPr>
            <w:tcW w:w="1380" w:type="dxa"/>
            <w:vAlign w:val="bottom"/>
            <w:shd w:val="clear" w:color="auto" w:fill="00548B"/>
          </w:tcPr>
          <w:p>
            <w:pPr>
              <w:spacing w:after="0"/>
              <w:rPr>
                <w:sz w:val="14"/>
                <w:szCs w:val="14"/>
                <w:color w:val="auto"/>
              </w:rPr>
            </w:pPr>
          </w:p>
        </w:tc>
        <w:tc>
          <w:tcPr>
            <w:tcW w:w="740" w:type="dxa"/>
            <w:vAlign w:val="bottom"/>
            <w:shd w:val="clear" w:color="auto" w:fill="00548B"/>
          </w:tcPr>
          <w:p>
            <w:pPr>
              <w:spacing w:after="0"/>
              <w:rPr>
                <w:sz w:val="14"/>
                <w:szCs w:val="14"/>
                <w:color w:val="auto"/>
              </w:rPr>
            </w:pPr>
          </w:p>
        </w:tc>
        <w:tc>
          <w:tcPr>
            <w:tcW w:w="1280" w:type="dxa"/>
            <w:vAlign w:val="bottom"/>
            <w:shd w:val="clear" w:color="auto" w:fill="00548B"/>
          </w:tcPr>
          <w:p>
            <w:pPr>
              <w:spacing w:after="0"/>
              <w:rPr>
                <w:sz w:val="14"/>
                <w:szCs w:val="14"/>
                <w:color w:val="auto"/>
              </w:rPr>
            </w:pPr>
          </w:p>
        </w:tc>
        <w:tc>
          <w:tcPr>
            <w:tcW w:w="720" w:type="dxa"/>
            <w:vAlign w:val="bottom"/>
            <w:shd w:val="clear" w:color="auto" w:fill="00548B"/>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20" w:type="dxa"/>
            <w:vAlign w:val="bottom"/>
            <w:shd w:val="clear" w:color="auto" w:fill="00548B"/>
          </w:tcPr>
          <w:p>
            <w:pPr>
              <w:spacing w:after="0"/>
              <w:rPr>
                <w:sz w:val="20"/>
                <w:szCs w:val="20"/>
                <w:color w:val="auto"/>
              </w:rPr>
            </w:pPr>
            <w:r>
              <w:rPr>
                <w:rFonts w:ascii="Arial" w:cs="Arial" w:eastAsia="Arial" w:hAnsi="Arial"/>
                <w:sz w:val="16"/>
                <w:szCs w:val="16"/>
                <w:b w:val="1"/>
                <w:bCs w:val="1"/>
                <w:color w:val="D8D8D8"/>
              </w:rPr>
              <w:t>Performance Measure</w:t>
            </w:r>
          </w:p>
        </w:tc>
        <w:tc>
          <w:tcPr>
            <w:tcW w:w="1180" w:type="dxa"/>
            <w:vAlign w:val="bottom"/>
            <w:shd w:val="clear" w:color="auto" w:fill="00548B"/>
          </w:tcPr>
          <w:p>
            <w:pPr>
              <w:jc w:val="center"/>
              <w:ind w:left="39"/>
              <w:spacing w:after="0"/>
              <w:rPr>
                <w:sz w:val="20"/>
                <w:szCs w:val="20"/>
                <w:color w:val="auto"/>
              </w:rPr>
            </w:pPr>
            <w:r>
              <w:rPr>
                <w:rFonts w:ascii="Arial" w:cs="Arial" w:eastAsia="Arial" w:hAnsi="Arial"/>
                <w:sz w:val="16"/>
                <w:szCs w:val="16"/>
                <w:b w:val="1"/>
                <w:bCs w:val="1"/>
                <w:color w:val="D8D8D8"/>
              </w:rPr>
              <w:t>Weighting</w:t>
            </w:r>
          </w:p>
        </w:tc>
        <w:tc>
          <w:tcPr>
            <w:tcW w:w="1280" w:type="dxa"/>
            <w:vAlign w:val="bottom"/>
            <w:shd w:val="clear" w:color="auto" w:fill="00548B"/>
          </w:tcPr>
          <w:p>
            <w:pPr>
              <w:ind w:left="140"/>
              <w:spacing w:after="0"/>
              <w:rPr>
                <w:sz w:val="20"/>
                <w:szCs w:val="20"/>
                <w:color w:val="auto"/>
              </w:rPr>
            </w:pPr>
            <w:r>
              <w:rPr>
                <w:rFonts w:ascii="Arial" w:cs="Arial" w:eastAsia="Arial" w:hAnsi="Arial"/>
                <w:sz w:val="16"/>
                <w:szCs w:val="16"/>
                <w:b w:val="1"/>
                <w:bCs w:val="1"/>
                <w:color w:val="D8D8D8"/>
              </w:rPr>
              <w:t>Performance</w:t>
            </w:r>
          </w:p>
        </w:tc>
        <w:tc>
          <w:tcPr>
            <w:tcW w:w="820" w:type="dxa"/>
            <w:vAlign w:val="bottom"/>
            <w:shd w:val="clear" w:color="auto" w:fill="00548B"/>
          </w:tcPr>
          <w:p>
            <w:pPr>
              <w:jc w:val="center"/>
              <w:spacing w:after="0"/>
              <w:rPr>
                <w:sz w:val="20"/>
                <w:szCs w:val="20"/>
                <w:color w:val="auto"/>
              </w:rPr>
            </w:pPr>
            <w:r>
              <w:rPr>
                <w:rFonts w:ascii="Arial" w:cs="Arial" w:eastAsia="Arial" w:hAnsi="Arial"/>
                <w:sz w:val="16"/>
                <w:szCs w:val="16"/>
                <w:b w:val="1"/>
                <w:bCs w:val="1"/>
                <w:color w:val="D8D8D8"/>
              </w:rPr>
              <w:t>Payout</w:t>
            </w:r>
          </w:p>
        </w:tc>
        <w:tc>
          <w:tcPr>
            <w:tcW w:w="1380" w:type="dxa"/>
            <w:vAlign w:val="bottom"/>
            <w:shd w:val="clear" w:color="auto" w:fill="00548B"/>
          </w:tcPr>
          <w:p>
            <w:pPr>
              <w:jc w:val="center"/>
              <w:spacing w:after="0"/>
              <w:rPr>
                <w:sz w:val="20"/>
                <w:szCs w:val="20"/>
                <w:color w:val="auto"/>
              </w:rPr>
            </w:pPr>
            <w:r>
              <w:rPr>
                <w:rFonts w:ascii="Arial" w:cs="Arial" w:eastAsia="Arial" w:hAnsi="Arial"/>
                <w:sz w:val="16"/>
                <w:szCs w:val="16"/>
                <w:b w:val="1"/>
                <w:bCs w:val="1"/>
                <w:color w:val="D8D8D8"/>
              </w:rPr>
              <w:t>Performance</w:t>
            </w:r>
          </w:p>
        </w:tc>
        <w:tc>
          <w:tcPr>
            <w:tcW w:w="740" w:type="dxa"/>
            <w:vAlign w:val="bottom"/>
            <w:shd w:val="clear" w:color="auto" w:fill="00548B"/>
          </w:tcPr>
          <w:p>
            <w:pPr>
              <w:jc w:val="center"/>
              <w:spacing w:after="0"/>
              <w:rPr>
                <w:sz w:val="20"/>
                <w:szCs w:val="20"/>
                <w:color w:val="auto"/>
              </w:rPr>
            </w:pPr>
            <w:r>
              <w:rPr>
                <w:rFonts w:ascii="Arial" w:cs="Arial" w:eastAsia="Arial" w:hAnsi="Arial"/>
                <w:sz w:val="16"/>
                <w:szCs w:val="16"/>
                <w:b w:val="1"/>
                <w:bCs w:val="1"/>
                <w:color w:val="D8D8D8"/>
              </w:rPr>
              <w:t>Payout</w:t>
            </w:r>
          </w:p>
        </w:tc>
        <w:tc>
          <w:tcPr>
            <w:tcW w:w="1280" w:type="dxa"/>
            <w:vAlign w:val="bottom"/>
            <w:shd w:val="clear" w:color="auto" w:fill="00548B"/>
          </w:tcPr>
          <w:p>
            <w:pPr>
              <w:jc w:val="center"/>
              <w:spacing w:after="0"/>
              <w:rPr>
                <w:sz w:val="20"/>
                <w:szCs w:val="20"/>
                <w:color w:val="auto"/>
              </w:rPr>
            </w:pPr>
            <w:r>
              <w:rPr>
                <w:rFonts w:ascii="Arial" w:cs="Arial" w:eastAsia="Arial" w:hAnsi="Arial"/>
                <w:sz w:val="16"/>
                <w:szCs w:val="16"/>
                <w:b w:val="1"/>
                <w:bCs w:val="1"/>
                <w:color w:val="D8D8D8"/>
              </w:rPr>
              <w:t>Performance</w:t>
            </w:r>
          </w:p>
        </w:tc>
        <w:tc>
          <w:tcPr>
            <w:tcW w:w="720" w:type="dxa"/>
            <w:vAlign w:val="bottom"/>
            <w:shd w:val="clear" w:color="auto" w:fill="00548B"/>
          </w:tcPr>
          <w:p>
            <w:pPr>
              <w:jc w:val="center"/>
              <w:ind w:left="59"/>
              <w:spacing w:after="0"/>
              <w:rPr>
                <w:sz w:val="20"/>
                <w:szCs w:val="20"/>
                <w:color w:val="auto"/>
              </w:rPr>
            </w:pPr>
            <w:r>
              <w:rPr>
                <w:rFonts w:ascii="Arial" w:cs="Arial" w:eastAsia="Arial" w:hAnsi="Arial"/>
                <w:sz w:val="16"/>
                <w:szCs w:val="16"/>
                <w:b w:val="1"/>
                <w:bCs w:val="1"/>
                <w:color w:val="D8D8D8"/>
              </w:rPr>
              <w:t>Payout</w:t>
            </w:r>
          </w:p>
        </w:tc>
        <w:tc>
          <w:tcPr>
            <w:tcW w:w="0" w:type="dxa"/>
            <w:vAlign w:val="bottom"/>
          </w:tcPr>
          <w:p>
            <w:pPr>
              <w:spacing w:after="0"/>
              <w:rPr>
                <w:sz w:val="1"/>
                <w:szCs w:val="1"/>
                <w:color w:val="auto"/>
              </w:rPr>
            </w:pPr>
          </w:p>
        </w:tc>
      </w:tr>
      <w:tr>
        <w:trPr>
          <w:trHeight w:val="189"/>
        </w:trPr>
        <w:tc>
          <w:tcPr>
            <w:tcW w:w="364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color w:val="auto"/>
              </w:rPr>
              <w:t>Organic Revenue Growth</w:t>
            </w:r>
          </w:p>
        </w:tc>
        <w:tc>
          <w:tcPr>
            <w:tcW w:w="1180" w:type="dxa"/>
            <w:vAlign w:val="bottom"/>
            <w:tcBorders>
              <w:bottom w:val="single" w:sz="8" w:color="999999"/>
            </w:tcBorders>
          </w:tcPr>
          <w:p>
            <w:pPr>
              <w:jc w:val="center"/>
              <w:ind w:left="59"/>
              <w:spacing w:after="0"/>
              <w:rPr>
                <w:sz w:val="20"/>
                <w:szCs w:val="20"/>
                <w:color w:val="auto"/>
              </w:rPr>
            </w:pPr>
            <w:r>
              <w:rPr>
                <w:rFonts w:ascii="Arial" w:cs="Arial" w:eastAsia="Arial" w:hAnsi="Arial"/>
                <w:sz w:val="16"/>
                <w:szCs w:val="16"/>
                <w:color w:val="auto"/>
                <w:w w:val="99"/>
              </w:rPr>
              <w:t>40%</w:t>
            </w:r>
          </w:p>
        </w:tc>
        <w:tc>
          <w:tcPr>
            <w:tcW w:w="1280" w:type="dxa"/>
            <w:vAlign w:val="bottom"/>
            <w:tcBorders>
              <w:bottom w:val="single" w:sz="8" w:color="999999"/>
            </w:tcBorders>
          </w:tcPr>
          <w:p>
            <w:pPr>
              <w:jc w:val="right"/>
              <w:ind w:right="399"/>
              <w:spacing w:after="0"/>
              <w:rPr>
                <w:sz w:val="20"/>
                <w:szCs w:val="20"/>
                <w:color w:val="auto"/>
              </w:rPr>
            </w:pPr>
            <w:r>
              <w:rPr>
                <w:rFonts w:ascii="Arial" w:cs="Arial" w:eastAsia="Arial" w:hAnsi="Arial"/>
                <w:sz w:val="16"/>
                <w:szCs w:val="16"/>
                <w:color w:val="auto"/>
              </w:rPr>
              <w:t>94%</w:t>
            </w:r>
          </w:p>
        </w:tc>
        <w:tc>
          <w:tcPr>
            <w:tcW w:w="82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w w:val="99"/>
              </w:rPr>
              <w:t>25%</w:t>
            </w:r>
          </w:p>
        </w:tc>
        <w:tc>
          <w:tcPr>
            <w:tcW w:w="138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rPr>
              <w:t>100%</w:t>
            </w:r>
          </w:p>
        </w:tc>
        <w:tc>
          <w:tcPr>
            <w:tcW w:w="74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rPr>
              <w:t>100%</w:t>
            </w:r>
          </w:p>
        </w:tc>
        <w:tc>
          <w:tcPr>
            <w:tcW w:w="128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rPr>
              <w:t>106%</w:t>
            </w:r>
          </w:p>
        </w:tc>
        <w:tc>
          <w:tcPr>
            <w:tcW w:w="720" w:type="dxa"/>
            <w:vAlign w:val="bottom"/>
            <w:tcBorders>
              <w:bottom w:val="single" w:sz="8" w:color="999999"/>
            </w:tcBorders>
          </w:tcPr>
          <w:p>
            <w:pPr>
              <w:jc w:val="center"/>
              <w:ind w:left="5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3"/>
        </w:trPr>
        <w:tc>
          <w:tcPr>
            <w:tcW w:w="364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Adjusted EBITDA Margin</w:t>
            </w:r>
          </w:p>
        </w:tc>
        <w:tc>
          <w:tcPr>
            <w:tcW w:w="1180" w:type="dxa"/>
            <w:vAlign w:val="bottom"/>
            <w:tcBorders>
              <w:bottom w:val="single" w:sz="8" w:color="999999"/>
            </w:tcBorders>
          </w:tcPr>
          <w:p>
            <w:pPr>
              <w:jc w:val="center"/>
              <w:ind w:left="59"/>
              <w:spacing w:after="0" w:line="183" w:lineRule="exact"/>
              <w:rPr>
                <w:sz w:val="20"/>
                <w:szCs w:val="20"/>
                <w:color w:val="auto"/>
              </w:rPr>
            </w:pPr>
            <w:r>
              <w:rPr>
                <w:rFonts w:ascii="Arial" w:cs="Arial" w:eastAsia="Arial" w:hAnsi="Arial"/>
                <w:sz w:val="16"/>
                <w:szCs w:val="16"/>
                <w:color w:val="auto"/>
                <w:w w:val="99"/>
              </w:rPr>
              <w:t>40%</w:t>
            </w:r>
          </w:p>
        </w:tc>
        <w:tc>
          <w:tcPr>
            <w:tcW w:w="1280" w:type="dxa"/>
            <w:vAlign w:val="bottom"/>
            <w:tcBorders>
              <w:bottom w:val="single" w:sz="8" w:color="999999"/>
            </w:tcBorders>
          </w:tcPr>
          <w:p>
            <w:pPr>
              <w:jc w:val="right"/>
              <w:ind w:right="399"/>
              <w:spacing w:after="0" w:line="183" w:lineRule="exact"/>
              <w:rPr>
                <w:sz w:val="20"/>
                <w:szCs w:val="20"/>
                <w:color w:val="auto"/>
              </w:rPr>
            </w:pPr>
            <w:r>
              <w:rPr>
                <w:rFonts w:ascii="Arial" w:cs="Arial" w:eastAsia="Arial" w:hAnsi="Arial"/>
                <w:sz w:val="16"/>
                <w:szCs w:val="16"/>
                <w:color w:val="auto"/>
              </w:rPr>
              <w:t>90%</w:t>
            </w:r>
          </w:p>
        </w:tc>
        <w:tc>
          <w:tcPr>
            <w:tcW w:w="82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w w:val="99"/>
              </w:rPr>
              <w:t>25%</w:t>
            </w:r>
          </w:p>
        </w:tc>
        <w:tc>
          <w:tcPr>
            <w:tcW w:w="138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rPr>
              <w:t>100%</w:t>
            </w:r>
          </w:p>
        </w:tc>
        <w:tc>
          <w:tcPr>
            <w:tcW w:w="74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rPr>
              <w:t>100%</w:t>
            </w:r>
          </w:p>
        </w:tc>
        <w:tc>
          <w:tcPr>
            <w:tcW w:w="128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rPr>
              <w:t>110%</w:t>
            </w:r>
          </w:p>
        </w:tc>
        <w:tc>
          <w:tcPr>
            <w:tcW w:w="720" w:type="dxa"/>
            <w:vAlign w:val="bottom"/>
            <w:tcBorders>
              <w:bottom w:val="single" w:sz="8" w:color="999999"/>
            </w:tcBorders>
          </w:tcPr>
          <w:p>
            <w:pPr>
              <w:jc w:val="center"/>
              <w:ind w:left="59"/>
              <w:spacing w:after="0" w:line="183"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4"/>
        </w:trPr>
        <w:tc>
          <w:tcPr>
            <w:tcW w:w="3640" w:type="dxa"/>
            <w:vAlign w:val="bottom"/>
            <w:gridSpan w:val="2"/>
          </w:tcPr>
          <w:p>
            <w:pPr>
              <w:spacing w:after="0"/>
              <w:rPr>
                <w:sz w:val="20"/>
                <w:szCs w:val="20"/>
                <w:color w:val="auto"/>
              </w:rPr>
            </w:pPr>
            <w:r>
              <w:rPr>
                <w:rFonts w:ascii="Arial" w:cs="Arial" w:eastAsia="Arial" w:hAnsi="Arial"/>
                <w:sz w:val="16"/>
                <w:szCs w:val="16"/>
                <w:color w:val="auto"/>
              </w:rPr>
              <w:t>Strategic Measures</w:t>
            </w:r>
          </w:p>
        </w:tc>
        <w:tc>
          <w:tcPr>
            <w:tcW w:w="1180" w:type="dxa"/>
            <w:vAlign w:val="bottom"/>
          </w:tcPr>
          <w:p>
            <w:pPr>
              <w:jc w:val="center"/>
              <w:ind w:left="59"/>
              <w:spacing w:after="0"/>
              <w:rPr>
                <w:sz w:val="20"/>
                <w:szCs w:val="20"/>
                <w:color w:val="auto"/>
              </w:rPr>
            </w:pPr>
            <w:r>
              <w:rPr>
                <w:rFonts w:ascii="Arial" w:cs="Arial" w:eastAsia="Arial" w:hAnsi="Arial"/>
                <w:sz w:val="16"/>
                <w:szCs w:val="16"/>
                <w:color w:val="auto"/>
                <w:w w:val="99"/>
              </w:rPr>
              <w:t>20%</w:t>
            </w:r>
          </w:p>
        </w:tc>
        <w:tc>
          <w:tcPr>
            <w:tcW w:w="6220" w:type="dxa"/>
            <w:vAlign w:val="bottom"/>
            <w:gridSpan w:val="6"/>
          </w:tcPr>
          <w:p>
            <w:pPr>
              <w:ind w:left="140"/>
              <w:spacing w:after="0"/>
              <w:rPr>
                <w:sz w:val="20"/>
                <w:szCs w:val="20"/>
                <w:color w:val="auto"/>
              </w:rPr>
            </w:pPr>
            <w:r>
              <w:rPr>
                <w:rFonts w:ascii="Arial" w:cs="Arial" w:eastAsia="Arial" w:hAnsi="Arial"/>
                <w:sz w:val="16"/>
                <w:szCs w:val="16"/>
                <w:color w:val="auto"/>
              </w:rPr>
              <w:t>Performance is assessed by the Compensation Committee. Payouts may range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20" w:type="dxa"/>
            <w:vAlign w:val="bottom"/>
            <w:tcBorders>
              <w:bottom w:val="single" w:sz="8" w:color="00548B"/>
            </w:tcBorders>
          </w:tcPr>
          <w:p>
            <w:pPr>
              <w:spacing w:after="0"/>
              <w:rPr>
                <w:sz w:val="16"/>
                <w:szCs w:val="16"/>
                <w:color w:val="auto"/>
              </w:rPr>
            </w:pPr>
          </w:p>
        </w:tc>
        <w:tc>
          <w:tcPr>
            <w:tcW w:w="1180" w:type="dxa"/>
            <w:vAlign w:val="bottom"/>
            <w:tcBorders>
              <w:bottom w:val="single" w:sz="8" w:color="00548B"/>
            </w:tcBorders>
          </w:tcPr>
          <w:p>
            <w:pPr>
              <w:spacing w:after="0"/>
              <w:rPr>
                <w:sz w:val="16"/>
                <w:szCs w:val="16"/>
                <w:color w:val="auto"/>
              </w:rPr>
            </w:pPr>
          </w:p>
        </w:tc>
        <w:tc>
          <w:tcPr>
            <w:tcW w:w="2100" w:type="dxa"/>
            <w:vAlign w:val="bottom"/>
            <w:tcBorders>
              <w:bottom w:val="single" w:sz="8" w:color="00548B"/>
            </w:tcBorders>
            <w:gridSpan w:val="2"/>
          </w:tcPr>
          <w:p>
            <w:pPr>
              <w:ind w:left="140"/>
              <w:spacing w:after="0"/>
              <w:rPr>
                <w:sz w:val="20"/>
                <w:szCs w:val="20"/>
                <w:color w:val="auto"/>
              </w:rPr>
            </w:pPr>
            <w:r>
              <w:rPr>
                <w:rFonts w:ascii="Arial" w:cs="Arial" w:eastAsia="Arial" w:hAnsi="Arial"/>
                <w:sz w:val="16"/>
                <w:szCs w:val="16"/>
                <w:color w:val="auto"/>
              </w:rPr>
              <w:t>from 0-200% of Target.</w:t>
            </w:r>
          </w:p>
        </w:tc>
        <w:tc>
          <w:tcPr>
            <w:tcW w:w="1380" w:type="dxa"/>
            <w:vAlign w:val="bottom"/>
            <w:tcBorders>
              <w:bottom w:val="single" w:sz="8" w:color="00548B"/>
            </w:tcBorders>
          </w:tcPr>
          <w:p>
            <w:pPr>
              <w:spacing w:after="0"/>
              <w:rPr>
                <w:sz w:val="16"/>
                <w:szCs w:val="16"/>
                <w:color w:val="auto"/>
              </w:rPr>
            </w:pPr>
          </w:p>
        </w:tc>
        <w:tc>
          <w:tcPr>
            <w:tcW w:w="740" w:type="dxa"/>
            <w:vAlign w:val="bottom"/>
            <w:tcBorders>
              <w:bottom w:val="single" w:sz="8" w:color="00548B"/>
            </w:tcBorders>
          </w:tcPr>
          <w:p>
            <w:pPr>
              <w:spacing w:after="0"/>
              <w:rPr>
                <w:sz w:val="16"/>
                <w:szCs w:val="16"/>
                <w:color w:val="auto"/>
              </w:rPr>
            </w:pPr>
          </w:p>
        </w:tc>
        <w:tc>
          <w:tcPr>
            <w:tcW w:w="1280" w:type="dxa"/>
            <w:vAlign w:val="bottom"/>
            <w:tcBorders>
              <w:bottom w:val="single" w:sz="8" w:color="00548B"/>
            </w:tcBorders>
          </w:tcPr>
          <w:p>
            <w:pPr>
              <w:spacing w:after="0"/>
              <w:rPr>
                <w:sz w:val="16"/>
                <w:szCs w:val="16"/>
                <w:color w:val="auto"/>
              </w:rPr>
            </w:pPr>
          </w:p>
        </w:tc>
        <w:tc>
          <w:tcPr>
            <w:tcW w:w="720" w:type="dxa"/>
            <w:vAlign w:val="bottom"/>
            <w:tcBorders>
              <w:bottom w:val="single" w:sz="8" w:color="00548B"/>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changes were made to the Long-Term Incentive Program for 2019.</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30</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33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D8D8D8"/>
        </w:rPr>
        <w:t>SECTION 4 - ADDITIONAL DISCLOSURES RELATED TO COMPENSATION PROGRAM</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Executive Pay Peer Group</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peer group for 2018 was identified based on the following process:</w:t>
      </w:r>
    </w:p>
    <w:p>
      <w:pPr>
        <w:spacing w:after="0" w:line="221" w:lineRule="exact"/>
        <w:rPr>
          <w:sz w:val="20"/>
          <w:szCs w:val="20"/>
          <w:color w:val="auto"/>
        </w:rPr>
      </w:pPr>
    </w:p>
    <w:p>
      <w:pPr>
        <w:ind w:left="960" w:hanging="432"/>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companies were identified that met the following criteria:</w:t>
      </w:r>
    </w:p>
    <w:p>
      <w:pPr>
        <w:spacing w:after="0" w:line="5" w:lineRule="exact"/>
        <w:rPr>
          <w:rFonts w:ascii="Arial" w:cs="Arial" w:eastAsia="Arial" w:hAnsi="Arial"/>
          <w:sz w:val="16"/>
          <w:szCs w:val="16"/>
          <w:color w:val="auto"/>
        </w:rPr>
      </w:pPr>
    </w:p>
    <w:p>
      <w:pPr>
        <w:ind w:left="1400" w:hanging="426"/>
        <w:spacing w:after="0"/>
        <w:tabs>
          <w:tab w:leader="none" w:pos="1400" w:val="left"/>
        </w:tabs>
        <w:numPr>
          <w:ilvl w:val="1"/>
          <w:numId w:val="34"/>
        </w:numPr>
        <w:rPr>
          <w:rFonts w:ascii="Arial" w:cs="Arial" w:eastAsia="Arial" w:hAnsi="Arial"/>
          <w:sz w:val="16"/>
          <w:szCs w:val="16"/>
          <w:color w:val="00548B"/>
        </w:rPr>
      </w:pPr>
      <w:r>
        <w:rPr>
          <w:rFonts w:ascii="Arial" w:cs="Arial" w:eastAsia="Arial" w:hAnsi="Arial"/>
          <w:sz w:val="16"/>
          <w:szCs w:val="16"/>
          <w:color w:val="auto"/>
        </w:rPr>
        <w:t>U.S. headquartered and publicly traded.</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34"/>
        </w:numPr>
        <w:rPr>
          <w:rFonts w:ascii="Arial" w:cs="Arial" w:eastAsia="Arial" w:hAnsi="Arial"/>
          <w:sz w:val="16"/>
          <w:szCs w:val="16"/>
          <w:color w:val="00548B"/>
        </w:rPr>
      </w:pPr>
      <w:r>
        <w:rPr>
          <w:rFonts w:ascii="Arial" w:cs="Arial" w:eastAsia="Arial" w:hAnsi="Arial"/>
          <w:sz w:val="16"/>
          <w:szCs w:val="16"/>
          <w:color w:val="auto"/>
        </w:rPr>
        <w:t>Revenue between one-half to two times Huron’s trailing 12 months’ revenue.</w:t>
      </w:r>
    </w:p>
    <w:p>
      <w:pPr>
        <w:spacing w:after="0" w:line="5" w:lineRule="exact"/>
        <w:rPr>
          <w:rFonts w:ascii="Arial" w:cs="Arial" w:eastAsia="Arial" w:hAnsi="Arial"/>
          <w:sz w:val="16"/>
          <w:szCs w:val="16"/>
          <w:color w:val="00548B"/>
        </w:rPr>
      </w:pPr>
    </w:p>
    <w:p>
      <w:pPr>
        <w:ind w:left="1400" w:hanging="426"/>
        <w:spacing w:after="0" w:line="260" w:lineRule="auto"/>
        <w:tabs>
          <w:tab w:leader="none" w:pos="1400" w:val="left"/>
        </w:tabs>
        <w:numPr>
          <w:ilvl w:val="1"/>
          <w:numId w:val="34"/>
        </w:numPr>
        <w:rPr>
          <w:rFonts w:ascii="Arial" w:cs="Arial" w:eastAsia="Arial" w:hAnsi="Arial"/>
          <w:sz w:val="16"/>
          <w:szCs w:val="16"/>
          <w:color w:val="00548B"/>
        </w:rPr>
      </w:pPr>
      <w:r>
        <w:rPr>
          <w:rFonts w:ascii="Arial" w:cs="Arial" w:eastAsia="Arial" w:hAnsi="Arial"/>
          <w:sz w:val="16"/>
          <w:szCs w:val="16"/>
          <w:color w:val="auto"/>
        </w:rPr>
        <w:t>Global Industry Classification Standard (GICS) codes: Research and Consulting Services, Human Resource &amp; Employment Services, Application Software, Health Care Services or Technology, or Data Processing and Outsourced Services.</w:t>
      </w:r>
    </w:p>
    <w:p>
      <w:pPr>
        <w:spacing w:after="0" w:line="195" w:lineRule="exact"/>
        <w:rPr>
          <w:rFonts w:ascii="Arial" w:cs="Arial" w:eastAsia="Arial" w:hAnsi="Arial"/>
          <w:sz w:val="16"/>
          <w:szCs w:val="16"/>
          <w:color w:val="00548B"/>
        </w:rPr>
      </w:pPr>
    </w:p>
    <w:p>
      <w:pPr>
        <w:ind w:left="960" w:hanging="432"/>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Companies were then screened and selected that best met the following set of factors:</w:t>
      </w:r>
    </w:p>
    <w:p>
      <w:pPr>
        <w:spacing w:after="0" w:line="5" w:lineRule="exact"/>
        <w:rPr>
          <w:rFonts w:ascii="Arial" w:cs="Arial" w:eastAsia="Arial" w:hAnsi="Arial"/>
          <w:sz w:val="16"/>
          <w:szCs w:val="16"/>
          <w:color w:val="auto"/>
        </w:rPr>
      </w:pPr>
    </w:p>
    <w:p>
      <w:pPr>
        <w:ind w:left="1400" w:hanging="426"/>
        <w:spacing w:after="0"/>
        <w:tabs>
          <w:tab w:leader="none" w:pos="1400" w:val="left"/>
        </w:tabs>
        <w:numPr>
          <w:ilvl w:val="1"/>
          <w:numId w:val="34"/>
        </w:numPr>
        <w:rPr>
          <w:rFonts w:ascii="Arial" w:cs="Arial" w:eastAsia="Arial" w:hAnsi="Arial"/>
          <w:sz w:val="16"/>
          <w:szCs w:val="16"/>
          <w:color w:val="00548B"/>
        </w:rPr>
      </w:pPr>
      <w:r>
        <w:rPr>
          <w:rFonts w:ascii="Arial" w:cs="Arial" w:eastAsia="Arial" w:hAnsi="Arial"/>
          <w:sz w:val="16"/>
          <w:szCs w:val="16"/>
          <w:color w:val="auto"/>
        </w:rPr>
        <w:t>Business and/or labor market competitor to Huron.</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34"/>
        </w:numPr>
        <w:rPr>
          <w:rFonts w:ascii="Arial" w:cs="Arial" w:eastAsia="Arial" w:hAnsi="Arial"/>
          <w:sz w:val="16"/>
          <w:szCs w:val="16"/>
          <w:color w:val="00548B"/>
        </w:rPr>
      </w:pPr>
      <w:r>
        <w:rPr>
          <w:rFonts w:ascii="Arial" w:cs="Arial" w:eastAsia="Arial" w:hAnsi="Arial"/>
          <w:sz w:val="16"/>
          <w:szCs w:val="16"/>
          <w:color w:val="auto"/>
        </w:rPr>
        <w:t>Similar revenue per employee.</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34"/>
        </w:numPr>
        <w:rPr>
          <w:rFonts w:ascii="Arial" w:cs="Arial" w:eastAsia="Arial" w:hAnsi="Arial"/>
          <w:sz w:val="16"/>
          <w:szCs w:val="16"/>
          <w:color w:val="00548B"/>
        </w:rPr>
      </w:pPr>
      <w:r>
        <w:rPr>
          <w:rFonts w:ascii="Arial" w:cs="Arial" w:eastAsia="Arial" w:hAnsi="Arial"/>
          <w:sz w:val="16"/>
          <w:szCs w:val="16"/>
          <w:color w:val="auto"/>
        </w:rPr>
        <w:t>Predominantly U.S. revenue.</w:t>
      </w:r>
    </w:p>
    <w:p>
      <w:pPr>
        <w:spacing w:after="0" w:line="5" w:lineRule="exact"/>
        <w:rPr>
          <w:rFonts w:ascii="Arial" w:cs="Arial" w:eastAsia="Arial" w:hAnsi="Arial"/>
          <w:sz w:val="16"/>
          <w:szCs w:val="16"/>
          <w:color w:val="00548B"/>
        </w:rPr>
      </w:pPr>
    </w:p>
    <w:p>
      <w:pPr>
        <w:ind w:left="1400" w:hanging="426"/>
        <w:spacing w:after="0"/>
        <w:tabs>
          <w:tab w:leader="none" w:pos="1400" w:val="left"/>
        </w:tabs>
        <w:numPr>
          <w:ilvl w:val="1"/>
          <w:numId w:val="34"/>
        </w:numPr>
        <w:rPr>
          <w:rFonts w:ascii="Arial" w:cs="Arial" w:eastAsia="Arial" w:hAnsi="Arial"/>
          <w:sz w:val="16"/>
          <w:szCs w:val="16"/>
          <w:color w:val="00548B"/>
        </w:rPr>
      </w:pPr>
      <w:r>
        <w:rPr>
          <w:rFonts w:ascii="Arial" w:cs="Arial" w:eastAsia="Arial" w:hAnsi="Arial"/>
          <w:sz w:val="16"/>
          <w:szCs w:val="16"/>
          <w:color w:val="auto"/>
        </w:rPr>
        <w:t>Principal business was to provide value-added consulting or advisory services to companies and organizations.</w:t>
      </w:r>
    </w:p>
    <w:p>
      <w:pPr>
        <w:spacing w:after="0" w:line="181"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As a result of the review and application of these criteria, the Compensation Committee approved modifications for the 2018 peer group—removing Gartner and MAXIMUS to better reflect our scope and reduce the median revenues of the peer sample to be closer to those of Huron. The 2018 peer group consisted of the following 15 companies:</w:t>
      </w:r>
    </w:p>
    <w:p>
      <w:pPr>
        <w:sectPr>
          <w:pgSz w:w="11900" w:h="16838" w:orient="portrait"/>
          <w:cols w:equalWidth="0" w:num="1">
            <w:col w:w="11220"/>
          </w:cols>
          <w:pgMar w:left="240" w:top="459" w:right="439" w:bottom="1440" w:gutter="0" w:footer="0" w:header="0"/>
        </w:sect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Acxiom Corporation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Heidrick &amp; Struggles International, Inc.</w:t>
      </w:r>
    </w:p>
    <w:p>
      <w:pPr>
        <w:spacing w:after="0" w:line="100" w:lineRule="exact"/>
        <w:rPr>
          <w:sz w:val="20"/>
          <w:szCs w:val="20"/>
          <w:color w:val="auto"/>
        </w:rPr>
      </w:pPr>
    </w:p>
    <w:p>
      <w:pPr>
        <w:sectPr>
          <w:pgSz w:w="11900" w:h="16838" w:orient="portrait"/>
          <w:cols w:equalWidth="0" w:num="2">
            <w:col w:w="5380" w:space="720"/>
            <w:col w:w="51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The Advisory Board Company</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6"/>
          <w:szCs w:val="16"/>
          <w:color w:val="auto"/>
        </w:rPr>
        <w:t>HMS Holdings Corp.</w:t>
      </w:r>
    </w:p>
    <w:p>
      <w:pPr>
        <w:spacing w:after="0" w:line="100" w:lineRule="exact"/>
        <w:rPr>
          <w:sz w:val="20"/>
          <w:szCs w:val="20"/>
          <w:color w:val="auto"/>
        </w:rPr>
      </w:pPr>
    </w:p>
    <w:p>
      <w:pPr>
        <w:sectPr>
          <w:pgSz w:w="11900" w:h="16838" w:orient="portrait"/>
          <w:cols w:equalWidth="0" w:num="2">
            <w:col w:w="5380" w:space="720"/>
            <w:col w:w="51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Allscripts Healthcare Solutions, Inc.</w:t>
      </w:r>
    </w:p>
    <w:p>
      <w:pPr>
        <w:spacing w:after="0" w:line="20" w:lineRule="exact"/>
        <w:rPr>
          <w:sz w:val="20"/>
          <w:szCs w:val="20"/>
          <w:color w:val="auto"/>
        </w:rPr>
      </w:pPr>
      <w:r>
        <w:rPr>
          <w:sz w:val="20"/>
          <w:szCs w:val="20"/>
          <w:color w:val="auto"/>
        </w:rPr>
        <w:br w:type="column"/>
      </w:r>
    </w:p>
    <w:p>
      <w:pPr>
        <w:jc w:val="center"/>
        <w:ind w:right="3580"/>
        <w:spacing w:after="0"/>
        <w:rPr>
          <w:sz w:val="20"/>
          <w:szCs w:val="20"/>
          <w:color w:val="auto"/>
        </w:rPr>
      </w:pPr>
      <w:r>
        <w:rPr>
          <w:rFonts w:ascii="Arial" w:cs="Arial" w:eastAsia="Arial" w:hAnsi="Arial"/>
          <w:sz w:val="16"/>
          <w:szCs w:val="16"/>
          <w:color w:val="auto"/>
        </w:rPr>
        <w:t>ICF International, Inc.</w:t>
      </w:r>
    </w:p>
    <w:p>
      <w:pPr>
        <w:spacing w:after="0" w:line="100" w:lineRule="exact"/>
        <w:rPr>
          <w:sz w:val="20"/>
          <w:szCs w:val="20"/>
          <w:color w:val="auto"/>
        </w:rPr>
      </w:pPr>
    </w:p>
    <w:p>
      <w:pPr>
        <w:sectPr>
          <w:pgSz w:w="11900" w:h="16838" w:orient="portrait"/>
          <w:cols w:equalWidth="0" w:num="2">
            <w:col w:w="5380" w:space="720"/>
            <w:col w:w="51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athenahealth,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Korn/Ferry International</w:t>
      </w:r>
    </w:p>
    <w:p>
      <w:pPr>
        <w:spacing w:after="0" w:line="100" w:lineRule="exact"/>
        <w:rPr>
          <w:sz w:val="20"/>
          <w:szCs w:val="20"/>
          <w:color w:val="auto"/>
        </w:rPr>
      </w:pPr>
    </w:p>
    <w:p>
      <w:pPr>
        <w:sectPr>
          <w:pgSz w:w="11900" w:h="16838" w:orient="portrait"/>
          <w:cols w:equalWidth="0" w:num="2">
            <w:col w:w="5380" w:space="720"/>
            <w:col w:w="51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CBIZ,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Navigant Consulting, Inc.</w:t>
      </w:r>
    </w:p>
    <w:p>
      <w:pPr>
        <w:spacing w:after="0" w:line="100" w:lineRule="exact"/>
        <w:rPr>
          <w:sz w:val="20"/>
          <w:szCs w:val="20"/>
          <w:color w:val="auto"/>
        </w:rPr>
      </w:pPr>
    </w:p>
    <w:p>
      <w:pPr>
        <w:sectPr>
          <w:pgSz w:w="11900" w:h="16838" w:orient="portrait"/>
          <w:cols w:equalWidth="0" w:num="2">
            <w:col w:w="5380" w:space="720"/>
            <w:col w:w="51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The Dun &amp; Bradstreet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Premier, Inc.</w:t>
      </w:r>
    </w:p>
    <w:p>
      <w:pPr>
        <w:spacing w:after="0" w:line="111" w:lineRule="exact"/>
        <w:rPr>
          <w:sz w:val="20"/>
          <w:szCs w:val="20"/>
          <w:color w:val="auto"/>
        </w:rPr>
      </w:pPr>
    </w:p>
    <w:p>
      <w:pPr>
        <w:sectPr>
          <w:pgSz w:w="11900" w:h="16838" w:orient="portrait"/>
          <w:cols w:equalWidth="0" w:num="2">
            <w:col w:w="5380" w:space="720"/>
            <w:col w:w="51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Exponent,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Resources Connection, Inc.</w:t>
      </w:r>
    </w:p>
    <w:p>
      <w:pPr>
        <w:spacing w:after="0" w:line="100" w:lineRule="exact"/>
        <w:rPr>
          <w:sz w:val="20"/>
          <w:szCs w:val="20"/>
          <w:color w:val="auto"/>
        </w:rPr>
      </w:pPr>
    </w:p>
    <w:p>
      <w:pPr>
        <w:sectPr>
          <w:pgSz w:w="11900" w:h="16838" w:orient="portrait"/>
          <w:cols w:equalWidth="0" w:num="2">
            <w:col w:w="5380" w:space="720"/>
            <w:col w:w="51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FTI Consulting, Inc.</w:t>
      </w:r>
    </w:p>
    <w:p>
      <w:pPr>
        <w:sectPr>
          <w:pgSz w:w="11900" w:h="16838" w:orient="portrait"/>
          <w:cols w:equalWidth="0" w:num="1">
            <w:col w:w="11220"/>
          </w:cols>
          <w:pgMar w:left="240" w:top="459" w:right="439" w:bottom="1440" w:gutter="0" w:footer="0" w:header="0"/>
          <w:type w:val="continuous"/>
        </w:sectPr>
      </w:pPr>
    </w:p>
    <w:p>
      <w:pPr>
        <w:spacing w:after="0" w:line="181"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In addition to peer group data, the Compensation Committee also reviews survey data for companies with revenues between $500M and $1B from the Radford Global Technology Survey. The Compensation Committee considers Huron’s competition for talent to be broader than just the peer group companies, including other public and private consulting, strategy and also technology organizations, for the NEOs as well as our managing directors. When making compensation determinations, the Compensation Committee applies its judgment in incorporating these various factors.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Employment Agreements with Mr. Roth, Mr. Hussey, Mr. Kelly and Ms. Ratekin</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shareholder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he or she resigns for good reason, the executive will receive enhanced severance benefits. Huron provides these enhanced severance benefits only with a “double trigger” because the Company believes that the executive officers would be materially harmed in a change of control only if it results in reduced responsibilities or compensation or loss of employment for the executive. Huron employment agreements do not provide for any gross-ups.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31</w:t>
      </w:r>
    </w:p>
    <w:p>
      <w:pPr>
        <w:sectPr>
          <w:pgSz w:w="11900" w:h="16838" w:orient="portrait"/>
          <w:cols w:equalWidth="0" w:num="1">
            <w:col w:w="11220"/>
          </w:cols>
          <w:pgMar w:left="240" w:top="459"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More information on our use of employment agreements, including the estimated payments and benefits payable to the named executive officers, is provided under the “Potential Payments Upon Termination or Change of Control” section of this Proxy Statement.</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Role of Compensation Committee</w:t>
      </w:r>
    </w:p>
    <w:p>
      <w:pPr>
        <w:spacing w:after="0" w:line="25"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The Compensation Committee is primarily responsible for administering our executive compensation program in a manner consistent with our compensation philosophy and objectives. The principal functions of the Compensation Committee are to:</w:t>
      </w:r>
    </w:p>
    <w:p>
      <w:pPr>
        <w:spacing w:after="0" w:line="196" w:lineRule="exact"/>
        <w:rPr>
          <w:sz w:val="20"/>
          <w:szCs w:val="20"/>
          <w:color w:val="auto"/>
        </w:rPr>
      </w:pPr>
    </w:p>
    <w:p>
      <w:pPr>
        <w:ind w:left="960" w:hanging="432"/>
        <w:spacing w:after="0" w:line="246" w:lineRule="auto"/>
        <w:tabs>
          <w:tab w:leader="none" w:pos="960" w:val="left"/>
        </w:tabs>
        <w:numPr>
          <w:ilvl w:val="0"/>
          <w:numId w:val="35"/>
        </w:numPr>
        <w:rPr>
          <w:rFonts w:ascii="Arial" w:cs="Arial" w:eastAsia="Arial" w:hAnsi="Arial"/>
          <w:sz w:val="16"/>
          <w:szCs w:val="16"/>
          <w:color w:val="00548B"/>
        </w:rPr>
      </w:pPr>
      <w:r>
        <w:rPr>
          <w:rFonts w:ascii="Arial" w:cs="Arial" w:eastAsia="Arial" w:hAnsi="Arial"/>
          <w:sz w:val="16"/>
          <w:szCs w:val="16"/>
          <w:color w:val="auto"/>
        </w:rPr>
        <w:t>set salaries and annual and long-term incentive levels for the CEO and other named executive officers, so that the program is promoting shareholder value;</w:t>
      </w:r>
    </w:p>
    <w:p>
      <w:pPr>
        <w:ind w:left="960" w:hanging="432"/>
        <w:spacing w:after="0" w:line="246" w:lineRule="auto"/>
        <w:tabs>
          <w:tab w:leader="none" w:pos="960" w:val="left"/>
        </w:tabs>
        <w:numPr>
          <w:ilvl w:val="0"/>
          <w:numId w:val="35"/>
        </w:numPr>
        <w:rPr>
          <w:rFonts w:ascii="Arial" w:cs="Arial" w:eastAsia="Arial" w:hAnsi="Arial"/>
          <w:sz w:val="16"/>
          <w:szCs w:val="16"/>
          <w:color w:val="00548B"/>
        </w:rPr>
      </w:pPr>
      <w:r>
        <w:rPr>
          <w:rFonts w:ascii="Arial" w:cs="Arial" w:eastAsia="Arial" w:hAnsi="Arial"/>
          <w:sz w:val="16"/>
          <w:szCs w:val="16"/>
          <w:color w:val="auto"/>
        </w:rPr>
        <w:t>evaluate annually the performance of the CEO (in coordination with the full board) and review the CEO evaluations of the other named executive officers;</w:t>
      </w:r>
    </w:p>
    <w:p>
      <w:pPr>
        <w:ind w:left="960" w:hanging="432"/>
        <w:spacing w:after="0"/>
        <w:tabs>
          <w:tab w:leader="none" w:pos="960" w:val="left"/>
        </w:tabs>
        <w:numPr>
          <w:ilvl w:val="0"/>
          <w:numId w:val="35"/>
        </w:numPr>
        <w:rPr>
          <w:rFonts w:ascii="Arial" w:cs="Arial" w:eastAsia="Arial" w:hAnsi="Arial"/>
          <w:sz w:val="16"/>
          <w:szCs w:val="16"/>
          <w:color w:val="00548B"/>
        </w:rPr>
      </w:pPr>
      <w:r>
        <w:rPr>
          <w:rFonts w:ascii="Arial" w:cs="Arial" w:eastAsia="Arial" w:hAnsi="Arial"/>
          <w:sz w:val="16"/>
          <w:szCs w:val="16"/>
          <w:color w:val="auto"/>
        </w:rPr>
        <w:t>review and approve the design and competitiveness of our compensation plans, executive benefits and perquisites;</w:t>
      </w:r>
    </w:p>
    <w:p>
      <w:pPr>
        <w:spacing w:after="0" w:line="5" w:lineRule="exact"/>
        <w:rPr>
          <w:rFonts w:ascii="Arial" w:cs="Arial" w:eastAsia="Arial" w:hAnsi="Arial"/>
          <w:sz w:val="16"/>
          <w:szCs w:val="16"/>
          <w:color w:val="00548B"/>
        </w:rPr>
      </w:pPr>
    </w:p>
    <w:p>
      <w:pPr>
        <w:ind w:left="960" w:hanging="432"/>
        <w:spacing w:after="0" w:line="246" w:lineRule="auto"/>
        <w:tabs>
          <w:tab w:leader="none" w:pos="960" w:val="left"/>
        </w:tabs>
        <w:numPr>
          <w:ilvl w:val="0"/>
          <w:numId w:val="35"/>
        </w:numPr>
        <w:rPr>
          <w:rFonts w:ascii="Arial" w:cs="Arial" w:eastAsia="Arial" w:hAnsi="Arial"/>
          <w:sz w:val="16"/>
          <w:szCs w:val="16"/>
          <w:color w:val="00548B"/>
        </w:rPr>
      </w:pPr>
      <w:r>
        <w:rPr>
          <w:rFonts w:ascii="Arial" w:cs="Arial" w:eastAsia="Arial" w:hAnsi="Arial"/>
          <w:sz w:val="16"/>
          <w:szCs w:val="16"/>
          <w:color w:val="auto"/>
        </w:rPr>
        <w:t>review and approve the total cash and stock bonus pools for the organization, and approve the individual incentive payout awards for the named executive officers;</w:t>
      </w:r>
    </w:p>
    <w:p>
      <w:pPr>
        <w:ind w:left="960" w:hanging="432"/>
        <w:spacing w:after="0"/>
        <w:tabs>
          <w:tab w:leader="none" w:pos="960" w:val="left"/>
        </w:tabs>
        <w:numPr>
          <w:ilvl w:val="0"/>
          <w:numId w:val="35"/>
        </w:numPr>
        <w:rPr>
          <w:rFonts w:ascii="Arial" w:cs="Arial" w:eastAsia="Arial" w:hAnsi="Arial"/>
          <w:sz w:val="16"/>
          <w:szCs w:val="16"/>
          <w:color w:val="00548B"/>
        </w:rPr>
      </w:pPr>
      <w:r>
        <w:rPr>
          <w:rFonts w:ascii="Arial" w:cs="Arial" w:eastAsia="Arial" w:hAnsi="Arial"/>
          <w:sz w:val="16"/>
          <w:szCs w:val="16"/>
          <w:color w:val="auto"/>
        </w:rPr>
        <w:t>review director compensation and make recommendations to the board;</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5"/>
        </w:numPr>
        <w:rPr>
          <w:rFonts w:ascii="Arial" w:cs="Arial" w:eastAsia="Arial" w:hAnsi="Arial"/>
          <w:sz w:val="16"/>
          <w:szCs w:val="16"/>
          <w:color w:val="00548B"/>
        </w:rPr>
      </w:pPr>
      <w:r>
        <w:rPr>
          <w:rFonts w:ascii="Arial" w:cs="Arial" w:eastAsia="Arial" w:hAnsi="Arial"/>
          <w:sz w:val="16"/>
          <w:szCs w:val="16"/>
          <w:color w:val="auto"/>
        </w:rPr>
        <w:t>review and approve goals used for the annual and long-term incentive plans;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5"/>
        </w:numPr>
        <w:rPr>
          <w:rFonts w:ascii="Arial" w:cs="Arial" w:eastAsia="Arial" w:hAnsi="Arial"/>
          <w:sz w:val="16"/>
          <w:szCs w:val="16"/>
          <w:color w:val="00548B"/>
        </w:rPr>
      </w:pPr>
      <w:r>
        <w:rPr>
          <w:rFonts w:ascii="Arial" w:cs="Arial" w:eastAsia="Arial" w:hAnsi="Arial"/>
          <w:sz w:val="16"/>
          <w:szCs w:val="16"/>
          <w:color w:val="auto"/>
        </w:rPr>
        <w:t>retain or terminate, in its sole discretion, any independent compensation consultant used to assist the Compensation Committee;</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5"/>
        </w:numPr>
        <w:rPr>
          <w:rFonts w:ascii="Arial" w:cs="Arial" w:eastAsia="Arial" w:hAnsi="Arial"/>
          <w:sz w:val="16"/>
          <w:szCs w:val="16"/>
          <w:color w:val="00548B"/>
        </w:rPr>
      </w:pPr>
      <w:r>
        <w:rPr>
          <w:rFonts w:ascii="Arial" w:cs="Arial" w:eastAsia="Arial" w:hAnsi="Arial"/>
          <w:sz w:val="16"/>
          <w:szCs w:val="16"/>
          <w:color w:val="auto"/>
        </w:rPr>
        <w:t>review and evaluate compensation arrangements to assess whether they could encourage undue risk taking; and</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5"/>
        </w:numPr>
        <w:rPr>
          <w:rFonts w:ascii="Arial" w:cs="Arial" w:eastAsia="Arial" w:hAnsi="Arial"/>
          <w:sz w:val="16"/>
          <w:szCs w:val="16"/>
          <w:color w:val="00548B"/>
        </w:rPr>
      </w:pPr>
      <w:r>
        <w:rPr>
          <w:rFonts w:ascii="Arial" w:cs="Arial" w:eastAsia="Arial" w:hAnsi="Arial"/>
          <w:sz w:val="16"/>
          <w:szCs w:val="16"/>
          <w:color w:val="auto"/>
        </w:rPr>
        <w:t>create a Compensation Committee report on executive compensation for inclusion in the Proxy Statement.</w:t>
      </w:r>
    </w:p>
    <w:p>
      <w:pPr>
        <w:spacing w:after="0" w:line="181"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Compensation Committee acts independently, and works closely with our board of directors and the executive management team, in making many of its decisions. To support its decision making, the Compensation Committee has retained the services of an independent compensation consultant. The Compensation Committee has the sole authority to amend or terminate the services of its independent consultant.</w:t>
      </w:r>
    </w:p>
    <w:p>
      <w:pPr>
        <w:spacing w:after="0" w:line="161"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In 2018, the Compensation Committee was comprised entirely of independent directors, none of whom has at any time been an officer or employee of the Company.</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Role of Management</w:t>
      </w:r>
    </w:p>
    <w:p>
      <w:pPr>
        <w:spacing w:after="0" w:line="2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Our CEO works together with the Chief Human Resources Officer and the Compensation Committee of our board to establish, review and evaluate compensation packages and policies for our executive officers. Our CEO reviews the performance of each named executive officer and makes recommendations to the Compensation Committee based on his review. Our CEO, COO, CFO and General Counsel provide input into our strategic goals for future performance periods. The Compensation Committee carefully reviews all information before finalizing incentive goals, however, as we believe such a process is consistent with good governance. Prior to determining the size of the bonus pool for all employees other than NEOs, management reviews Company and practice-level performance with the board so that the bonus pool and Company profitability strike the right balance between shareholder returns and retention of employees. Our CEO does not participate in any discussions related to his own compensation.</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Role of Compensation Advisor</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Compensation Committee retains an independent advisor to assist in the ongoing assessment of our executive compensation strategy and program. The Committee’s independent advisor reports directly to the Compensation Committee and serves at its sole discretion and does not perform any services for the Company other than those in connection with its work for the Compensation Committee. Pay Governance served as the Compensation Committee’s independent advisor for the second half of 2017, during which 2018 pay decisions were made, and in 2018, during which 2019 pay decisions were made.</w:t>
      </w:r>
    </w:p>
    <w:p>
      <w:pPr>
        <w:spacing w:after="0" w:line="354"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Compensation Committee annually assesses whether the independent advisor’s work has raised any conflict of interest. The Compensation Committee has determined, based on its analysis of NASDAQ requirements, that the work of Pay Governance and the individual compensation advisors employed by Pay Governance as compensation consultants to the Company has not created any conflict of interest.</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32</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2018 Say on Pay Vote</w:t>
      </w:r>
    </w:p>
    <w:p>
      <w:pPr>
        <w:spacing w:after="0" w:line="25" w:lineRule="exact"/>
        <w:rPr>
          <w:sz w:val="20"/>
          <w:szCs w:val="20"/>
          <w:color w:val="auto"/>
        </w:rPr>
      </w:pPr>
    </w:p>
    <w:p>
      <w:pPr>
        <w:jc w:val="both"/>
        <w:ind w:left="200" w:right="20"/>
        <w:spacing w:after="0" w:line="250" w:lineRule="auto"/>
        <w:rPr>
          <w:sz w:val="20"/>
          <w:szCs w:val="20"/>
          <w:color w:val="auto"/>
        </w:rPr>
      </w:pPr>
      <w:r>
        <w:rPr>
          <w:rFonts w:ascii="Arial" w:cs="Arial" w:eastAsia="Arial" w:hAnsi="Arial"/>
          <w:sz w:val="16"/>
          <w:szCs w:val="16"/>
          <w:color w:val="auto"/>
        </w:rPr>
        <w:t>At the 2018 Annual Meeting, approximately 40% of shareholder votes were cast in support of the named executive officer compensation. As we have discussed herein, we took this response from our shareholders very seriously. We engaged with many shareholders and made program design changes to incorporate their feedback. We will continue to listen carefully to our shareholders and incorporate their feedback into our deliberations about executive compensation. Between 2011 to 2017, an average of 98.5% of the votes cast on Say on Pay were in favor of the fiscal year compensation of our named executive officers.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Health and Welfare Benefits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named executive officers are eligible for the same health and welfare benefits generally available to Huron employees.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Deferred Compensation</w:t>
      </w:r>
    </w:p>
    <w:p>
      <w:pPr>
        <w:spacing w:after="0" w:line="25"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The Company also offers a nonqualified deferred compensation plan (the “DCP”) to all managing directors, corporate vice presidents, named executive officers and non-employee directors. The DCP allows participants to elect to defer up to 75% of their base salary and 100% of their annual cash incentive into a deferred compensation account and to choose from a number of investment alternatives. Non-employee directors may elect to defer up to 100% of their board fees into the DCP.</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Perquisites</w:t>
      </w:r>
    </w:p>
    <w:p>
      <w:pPr>
        <w:spacing w:after="0" w:line="2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Huron did not provide material perquisites that are not provided widely within Huron to any named executive officer in 2018. The Company provides enhanced disability and life insurance benefits to all of its managing directors, corporate vice presidents and executive officers. Named executive officers and practice leaders are also offered reimbursement of the cost of an annual executive physical examination.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Clawback Provisions</w:t>
      </w:r>
    </w:p>
    <w:p>
      <w:pPr>
        <w:spacing w:after="0" w:line="25"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In 2014, we adopted an incentive compensation recoupment policy (commonly referred to as a “clawback policy”) that provides for the potential recoupment of bonuses or awards paid to executive officers and such other individuals designated by our non-employee directors under our short-term and long-term incentive compensation plans, where the payout or actual award received was determined based in part on the financial performance of the Company. In the event of a material restatement of our quarterly or annual financial results, our non-employee directors will review all incentive compensation awarded to those individuals covered by the policy based upon the achievement of financial results that were the subject of the restatement. The non-employee directors have the authority to recoup all or a portion of the incentive compensation to the extent that the amount of such compensation would have been lower than the amount actually awarded, granted, paid, earned, deferred or vested based on the achievement of financial results that were subsequently reduced due to such restatement.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Stock Ownership Guidelines and Holding Requirements</w:t>
      </w:r>
    </w:p>
    <w:p>
      <w:pPr>
        <w:spacing w:after="0" w:line="2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In 2018, the Compensation Committee revised stock ownership guidelines for Huron’s named executive officers and non-employee directors. The guidelines, set forth below, are consistent with peer practices and designed to promote alignment with the interests of stockholders and the Company’s commitment to sound corporate governance.</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Compensation Committee made three changes to the guidelines in 2018:</w:t>
      </w:r>
    </w:p>
    <w:p>
      <w:pPr>
        <w:spacing w:after="0" w:line="5" w:lineRule="exact"/>
        <w:rPr>
          <w:sz w:val="20"/>
          <w:szCs w:val="20"/>
          <w:color w:val="auto"/>
        </w:rPr>
      </w:pPr>
    </w:p>
    <w:p>
      <w:pPr>
        <w:ind w:left="960" w:hanging="432"/>
        <w:spacing w:after="0"/>
        <w:tabs>
          <w:tab w:leader="none" w:pos="96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Increased the required CEO guideline from 3X to 5X base salary</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Increased the required non-employee director guideline from 3X to 5X annual retainer for all non-employee directors</w:t>
      </w:r>
    </w:p>
    <w:p>
      <w:pPr>
        <w:spacing w:after="0" w:line="5" w:lineRule="exact"/>
        <w:rPr>
          <w:rFonts w:ascii="Arial" w:cs="Arial" w:eastAsia="Arial" w:hAnsi="Arial"/>
          <w:sz w:val="16"/>
          <w:szCs w:val="16"/>
          <w:color w:val="00548B"/>
        </w:rPr>
      </w:pPr>
    </w:p>
    <w:p>
      <w:pPr>
        <w:ind w:left="960" w:right="20" w:hanging="432"/>
        <w:spacing w:after="0" w:line="260" w:lineRule="auto"/>
        <w:tabs>
          <w:tab w:leader="none" w:pos="96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Removed the “lesser of” provision, which had previously required ownership of a multiple of salary or a defined number of shares - whichever was less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Position</w:t>
            </w:r>
          </w:p>
        </w:tc>
        <w:tc>
          <w:tcPr>
            <w:tcW w:w="7240" w:type="dxa"/>
            <w:vAlign w:val="bottom"/>
            <w:shd w:val="clear" w:color="auto" w:fill="00548B"/>
          </w:tcPr>
          <w:p>
            <w:pPr>
              <w:ind w:left="2040"/>
              <w:spacing w:after="0"/>
              <w:rPr>
                <w:sz w:val="20"/>
                <w:szCs w:val="20"/>
                <w:color w:val="auto"/>
              </w:rPr>
            </w:pPr>
            <w:r>
              <w:rPr>
                <w:rFonts w:ascii="Arial" w:cs="Arial" w:eastAsia="Arial" w:hAnsi="Arial"/>
                <w:sz w:val="14"/>
                <w:szCs w:val="14"/>
                <w:b w:val="1"/>
                <w:bCs w:val="1"/>
                <w:color w:val="D8D8D8"/>
              </w:rPr>
              <w:t>Stock Ownership Guideline</w:t>
            </w:r>
          </w:p>
        </w:tc>
      </w:tr>
      <w:tr>
        <w:trPr>
          <w:trHeight w:val="189"/>
        </w:trPr>
        <w:tc>
          <w:tcPr>
            <w:tcW w:w="380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color w:val="auto"/>
              </w:rPr>
              <w:t>CEO</w:t>
            </w:r>
          </w:p>
        </w:tc>
        <w:tc>
          <w:tcPr>
            <w:tcW w:w="7240" w:type="dxa"/>
            <w:vAlign w:val="bottom"/>
            <w:tcBorders>
              <w:bottom w:val="single" w:sz="8" w:color="999999"/>
            </w:tcBorders>
          </w:tcPr>
          <w:p>
            <w:pPr>
              <w:ind w:left="2040"/>
              <w:spacing w:after="0"/>
              <w:rPr>
                <w:sz w:val="20"/>
                <w:szCs w:val="20"/>
                <w:color w:val="auto"/>
              </w:rPr>
            </w:pPr>
            <w:r>
              <w:rPr>
                <w:rFonts w:ascii="Arial" w:cs="Arial" w:eastAsia="Arial" w:hAnsi="Arial"/>
                <w:sz w:val="16"/>
                <w:szCs w:val="16"/>
                <w:color w:val="auto"/>
              </w:rPr>
              <w:t>5x salary</w:t>
            </w:r>
          </w:p>
        </w:tc>
      </w:tr>
      <w:tr>
        <w:trPr>
          <w:trHeight w:val="183"/>
        </w:trPr>
        <w:tc>
          <w:tcPr>
            <w:tcW w:w="380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COO and CFO</w:t>
            </w:r>
          </w:p>
        </w:tc>
        <w:tc>
          <w:tcPr>
            <w:tcW w:w="7240" w:type="dxa"/>
            <w:vAlign w:val="bottom"/>
            <w:tcBorders>
              <w:bottom w:val="single" w:sz="8" w:color="999999"/>
            </w:tcBorders>
          </w:tcPr>
          <w:p>
            <w:pPr>
              <w:ind w:left="2040"/>
              <w:spacing w:after="0" w:line="183" w:lineRule="exact"/>
              <w:rPr>
                <w:sz w:val="20"/>
                <w:szCs w:val="20"/>
                <w:color w:val="auto"/>
              </w:rPr>
            </w:pPr>
            <w:r>
              <w:rPr>
                <w:rFonts w:ascii="Arial" w:cs="Arial" w:eastAsia="Arial" w:hAnsi="Arial"/>
                <w:sz w:val="16"/>
                <w:szCs w:val="16"/>
                <w:color w:val="auto"/>
              </w:rPr>
              <w:t>2x salary</w:t>
            </w:r>
          </w:p>
        </w:tc>
      </w:tr>
      <w:tr>
        <w:trPr>
          <w:trHeight w:val="183"/>
        </w:trPr>
        <w:tc>
          <w:tcPr>
            <w:tcW w:w="380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Other Executive Officers</w:t>
            </w:r>
          </w:p>
        </w:tc>
        <w:tc>
          <w:tcPr>
            <w:tcW w:w="7240" w:type="dxa"/>
            <w:vAlign w:val="bottom"/>
            <w:tcBorders>
              <w:bottom w:val="single" w:sz="8" w:color="999999"/>
            </w:tcBorders>
          </w:tcPr>
          <w:p>
            <w:pPr>
              <w:ind w:left="2040"/>
              <w:spacing w:after="0" w:line="183" w:lineRule="exact"/>
              <w:rPr>
                <w:sz w:val="20"/>
                <w:szCs w:val="20"/>
                <w:color w:val="auto"/>
              </w:rPr>
            </w:pPr>
            <w:r>
              <w:rPr>
                <w:rFonts w:ascii="Arial" w:cs="Arial" w:eastAsia="Arial" w:hAnsi="Arial"/>
                <w:sz w:val="16"/>
                <w:szCs w:val="16"/>
                <w:color w:val="auto"/>
              </w:rPr>
              <w:t>1x salary</w:t>
            </w:r>
          </w:p>
        </w:tc>
      </w:tr>
      <w:tr>
        <w:trPr>
          <w:trHeight w:val="183"/>
        </w:trPr>
        <w:tc>
          <w:tcPr>
            <w:tcW w:w="3800" w:type="dxa"/>
            <w:vAlign w:val="bottom"/>
            <w:tcBorders>
              <w:bottom w:val="single" w:sz="8" w:color="00548B"/>
            </w:tcBorders>
            <w:gridSpan w:val="2"/>
          </w:tcPr>
          <w:p>
            <w:pPr>
              <w:spacing w:after="0" w:line="183" w:lineRule="exact"/>
              <w:rPr>
                <w:sz w:val="20"/>
                <w:szCs w:val="20"/>
                <w:color w:val="auto"/>
              </w:rPr>
            </w:pPr>
            <w:r>
              <w:rPr>
                <w:rFonts w:ascii="Arial" w:cs="Arial" w:eastAsia="Arial" w:hAnsi="Arial"/>
                <w:sz w:val="16"/>
                <w:szCs w:val="16"/>
                <w:color w:val="auto"/>
              </w:rPr>
              <w:t>Non-employee Directors</w:t>
            </w:r>
          </w:p>
        </w:tc>
        <w:tc>
          <w:tcPr>
            <w:tcW w:w="7240" w:type="dxa"/>
            <w:vAlign w:val="bottom"/>
            <w:tcBorders>
              <w:bottom w:val="single" w:sz="8" w:color="00548B"/>
            </w:tcBorders>
          </w:tcPr>
          <w:p>
            <w:pPr>
              <w:ind w:left="2040"/>
              <w:spacing w:after="0" w:line="183" w:lineRule="exact"/>
              <w:rPr>
                <w:sz w:val="20"/>
                <w:szCs w:val="20"/>
                <w:color w:val="auto"/>
              </w:rPr>
            </w:pPr>
            <w:r>
              <w:rPr>
                <w:rFonts w:ascii="Arial" w:cs="Arial" w:eastAsia="Arial" w:hAnsi="Arial"/>
                <w:sz w:val="16"/>
                <w:szCs w:val="16"/>
                <w:color w:val="auto"/>
              </w:rPr>
              <w:t>5x annual retainer</w:t>
            </w: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33</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Until the relevant stock ownership target is achieved, executive officers and non-employee directors are required to retain a number of shares equal to at least 60% of the net after tax proceeds from the exercise of stock options or vesting of restricted stock and performance units. Only shares owned outright count towards ownership requirements. Unexercised stock options and unvested performance units or unvested restricted stock do not count. All of our NEOs and non-employee directors are in compliance with the terms of our share ownership guidelines.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Hedging and Pledging</w:t>
      </w:r>
    </w:p>
    <w:p>
      <w:pPr>
        <w:spacing w:after="0" w:line="2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Company has an insider trading policy that prohibits directors, officers, employees and contractors from entering into transactions in publicly traded puts, calls or other derivative securities with respect to Huron’s stock and prohibits any other transaction that “hedges” the ownership in Huron’s stock or holding Company securities in a margin account or pledging Company securities as collateral for a loan.</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Tax Considerations</w:t>
      </w:r>
    </w:p>
    <w:p>
      <w:pPr>
        <w:spacing w:after="0" w:line="25"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b w:val="1"/>
          <w:bCs w:val="1"/>
          <w:i w:val="1"/>
          <w:iCs w:val="1"/>
          <w:color w:val="00548B"/>
        </w:rPr>
        <w:t>Section 162(m)</w:t>
      </w:r>
      <w:r>
        <w:rPr>
          <w:rFonts w:ascii="Arial" w:cs="Arial" w:eastAsia="Arial" w:hAnsi="Arial"/>
          <w:sz w:val="16"/>
          <w:szCs w:val="16"/>
          <w:color w:val="000000"/>
        </w:rPr>
        <w:t>. Section 162(m) of the Code generally disallows a tax deduction to public companies for compensation paid in excess of $1 million for</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any fiscal year to a company’s chief executive officer or other named executive officers (excluding the company’s principal financial officer, in the case of tax years commencing before 2018). However, in the case of tax years commencing before 2018, the statute exempted qualifying performance-based compensation from the deduction limit if certain requirements were met. Section 162(m) was amended in December 2017 by the Tax Cuts and Jobs Act to eliminate the exemption for performance-based compensation (other than with respect to payments made pursuant to certain “grandfathered” arrangements entered into prior to November 2, 2017) and to expand the group of current and former executive officers who may be covered by the deduction limit under Section 162(m). While the Company’s shareholder approved incentive plans were previously structured to provide that certain awards could be made in a manner intended to qualify for the performance-based compensation exemption, that exemption will no longer be available for future tax years (other than with respect to certain “grandfathered” arrangements as noted above). In addition, while the Compensation Committee intended that certain incentive awards granted to our NEOs on or prior to November 2, 2017 be deductible as “performance-based compensation” and has assessed the possibility that certain awards will be grandfathered from the changes made by the Tax Cuts and Jobs Act, it cannot guarantee that result. The Compensation Committee has taken the potential impact of the Tax Cuts and Jobs Act into consideration when approving payout amounts for performance periods ending on December 31, 2018. The Compensation Committee expects in the future to authorize compensation in excess of $1 million to named executive officers that will not be deductible under Section 162(m) when it believes doing so is in the best interests of the Company and its shareholders.</w:t>
      </w:r>
    </w:p>
    <w:p>
      <w:pPr>
        <w:spacing w:after="0" w:line="341" w:lineRule="exact"/>
        <w:rPr>
          <w:sz w:val="20"/>
          <w:szCs w:val="20"/>
          <w:color w:val="auto"/>
        </w:rPr>
      </w:pPr>
    </w:p>
    <w:p>
      <w:pPr>
        <w:jc w:val="both"/>
        <w:ind w:left="200"/>
        <w:spacing w:after="0" w:line="259" w:lineRule="auto"/>
        <w:rPr>
          <w:sz w:val="20"/>
          <w:szCs w:val="20"/>
          <w:color w:val="auto"/>
        </w:rPr>
      </w:pPr>
      <w:r>
        <w:rPr>
          <w:rFonts w:ascii="Arial" w:cs="Arial" w:eastAsia="Arial" w:hAnsi="Arial"/>
          <w:sz w:val="16"/>
          <w:szCs w:val="16"/>
          <w:b w:val="1"/>
          <w:bCs w:val="1"/>
          <w:i w:val="1"/>
          <w:iCs w:val="1"/>
          <w:color w:val="00548B"/>
        </w:rPr>
        <w:t>Section 280G</w:t>
      </w:r>
      <w:r>
        <w:rPr>
          <w:rFonts w:ascii="Arial" w:cs="Arial" w:eastAsia="Arial" w:hAnsi="Arial"/>
          <w:sz w:val="16"/>
          <w:szCs w:val="16"/>
          <w:color w:val="000000"/>
        </w:rPr>
        <w:t>. Section 280G of the Code disallows a company’s tax deduction for certain payments in connection with a change of control defined as</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“excess parachute payments,” and Section 4999 of the Code imposes a 20% excise tax on certain persons who receive excess parachute payments. The Compensation Committee amended Senior Management Agreements in 2010 to ensure that any covered payments would be reduced to the extent necessary so that no portion of such payments is subject to the excise tax.</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EPORT</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 and incorporated by reference into our 2018 Annual Report on Form 10-K.</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Debra Zumwalt, Chair</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 Eugene Lockhart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John S. Moody</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34</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3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D8D8D8"/>
        </w:rPr>
        <w:t>REQUIRED COMPENSATION DISCLOSURES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2018 S</w:t>
      </w:r>
      <w:r>
        <w:rPr>
          <w:rFonts w:ascii="Arial" w:cs="Arial" w:eastAsia="Arial" w:hAnsi="Arial"/>
          <w:sz w:val="15"/>
          <w:szCs w:val="15"/>
          <w:b w:val="1"/>
          <w:bCs w:val="1"/>
          <w:color w:val="00548B"/>
        </w:rPr>
        <w:t>UMMARY</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T</w:t>
      </w:r>
      <w:r>
        <w:rPr>
          <w:rFonts w:ascii="Arial" w:cs="Arial" w:eastAsia="Arial" w:hAnsi="Arial"/>
          <w:sz w:val="15"/>
          <w:szCs w:val="15"/>
          <w:b w:val="1"/>
          <w:bCs w:val="1"/>
          <w:color w:val="00548B"/>
        </w:rPr>
        <w:t>ABLE</w:t>
      </w:r>
    </w:p>
    <w:p>
      <w:pPr>
        <w:spacing w:after="0" w:line="374"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60" w:type="dxa"/>
            <w:vAlign w:val="bottom"/>
            <w:shd w:val="clear" w:color="auto" w:fill="00548B"/>
          </w:tcPr>
          <w:p>
            <w:pPr>
              <w:spacing w:after="0"/>
              <w:rPr>
                <w:sz w:val="13"/>
                <w:szCs w:val="13"/>
                <w:color w:val="auto"/>
              </w:rPr>
            </w:pPr>
          </w:p>
        </w:tc>
        <w:tc>
          <w:tcPr>
            <w:tcW w:w="1620" w:type="dxa"/>
            <w:vAlign w:val="bottom"/>
            <w:shd w:val="clear" w:color="auto" w:fill="00548B"/>
          </w:tcPr>
          <w:p>
            <w:pPr>
              <w:spacing w:after="0"/>
              <w:rPr>
                <w:sz w:val="13"/>
                <w:szCs w:val="13"/>
                <w:color w:val="auto"/>
              </w:rPr>
            </w:pPr>
          </w:p>
        </w:tc>
        <w:tc>
          <w:tcPr>
            <w:tcW w:w="660" w:type="dxa"/>
            <w:vAlign w:val="bottom"/>
            <w:shd w:val="clear" w:color="auto" w:fill="00548B"/>
          </w:tcPr>
          <w:p>
            <w:pPr>
              <w:spacing w:after="0"/>
              <w:rPr>
                <w:sz w:val="13"/>
                <w:szCs w:val="13"/>
                <w:color w:val="auto"/>
              </w:rPr>
            </w:pPr>
          </w:p>
        </w:tc>
        <w:tc>
          <w:tcPr>
            <w:tcW w:w="1120" w:type="dxa"/>
            <w:vAlign w:val="bottom"/>
            <w:shd w:val="clear" w:color="auto" w:fill="00548B"/>
          </w:tcPr>
          <w:p>
            <w:pPr>
              <w:spacing w:after="0"/>
              <w:rPr>
                <w:sz w:val="13"/>
                <w:szCs w:val="13"/>
                <w:color w:val="auto"/>
              </w:rPr>
            </w:pPr>
          </w:p>
        </w:tc>
        <w:tc>
          <w:tcPr>
            <w:tcW w:w="840" w:type="dxa"/>
            <w:vAlign w:val="bottom"/>
            <w:shd w:val="clear" w:color="auto" w:fill="00548B"/>
          </w:tcPr>
          <w:p>
            <w:pPr>
              <w:spacing w:after="0"/>
              <w:rPr>
                <w:sz w:val="13"/>
                <w:szCs w:val="13"/>
                <w:color w:val="auto"/>
              </w:rPr>
            </w:pPr>
          </w:p>
        </w:tc>
        <w:tc>
          <w:tcPr>
            <w:tcW w:w="110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5"/>
              </w:rPr>
              <w:t>Change in</w:t>
            </w:r>
          </w:p>
        </w:tc>
        <w:tc>
          <w:tcPr>
            <w:tcW w:w="1120" w:type="dxa"/>
            <w:vAlign w:val="bottom"/>
            <w:shd w:val="clear" w:color="auto" w:fill="00548B"/>
          </w:tcPr>
          <w:p>
            <w:pPr>
              <w:spacing w:after="0"/>
              <w:rPr>
                <w:sz w:val="13"/>
                <w:szCs w:val="13"/>
                <w:color w:val="auto"/>
              </w:rPr>
            </w:pPr>
          </w:p>
        </w:tc>
        <w:tc>
          <w:tcPr>
            <w:tcW w:w="1100" w:type="dxa"/>
            <w:vAlign w:val="bottom"/>
            <w:shd w:val="clear" w:color="auto" w:fill="00548B"/>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00548B"/>
          </w:tcPr>
          <w:p>
            <w:pPr>
              <w:spacing w:after="0"/>
              <w:rPr>
                <w:sz w:val="11"/>
                <w:szCs w:val="11"/>
                <w:color w:val="auto"/>
              </w:rPr>
            </w:pPr>
          </w:p>
        </w:tc>
        <w:tc>
          <w:tcPr>
            <w:tcW w:w="1620" w:type="dxa"/>
            <w:vAlign w:val="bottom"/>
            <w:shd w:val="clear" w:color="auto" w:fill="00548B"/>
          </w:tcPr>
          <w:p>
            <w:pPr>
              <w:spacing w:after="0"/>
              <w:rPr>
                <w:sz w:val="11"/>
                <w:szCs w:val="11"/>
                <w:color w:val="auto"/>
              </w:rPr>
            </w:pPr>
          </w:p>
        </w:tc>
        <w:tc>
          <w:tcPr>
            <w:tcW w:w="660" w:type="dxa"/>
            <w:vAlign w:val="bottom"/>
            <w:shd w:val="clear" w:color="auto" w:fill="00548B"/>
          </w:tcPr>
          <w:p>
            <w:pPr>
              <w:spacing w:after="0"/>
              <w:rPr>
                <w:sz w:val="11"/>
                <w:szCs w:val="11"/>
                <w:color w:val="auto"/>
              </w:rPr>
            </w:pPr>
          </w:p>
        </w:tc>
        <w:tc>
          <w:tcPr>
            <w:tcW w:w="1120" w:type="dxa"/>
            <w:vAlign w:val="bottom"/>
            <w:shd w:val="clear" w:color="auto" w:fill="00548B"/>
          </w:tcPr>
          <w:p>
            <w:pPr>
              <w:spacing w:after="0"/>
              <w:rPr>
                <w:sz w:val="11"/>
                <w:szCs w:val="11"/>
                <w:color w:val="auto"/>
              </w:rPr>
            </w:pPr>
          </w:p>
        </w:tc>
        <w:tc>
          <w:tcPr>
            <w:tcW w:w="840" w:type="dxa"/>
            <w:vAlign w:val="bottom"/>
            <w:shd w:val="clear" w:color="auto" w:fill="00548B"/>
          </w:tcPr>
          <w:p>
            <w:pPr>
              <w:spacing w:after="0"/>
              <w:rPr>
                <w:sz w:val="11"/>
                <w:szCs w:val="11"/>
                <w:color w:val="auto"/>
              </w:rPr>
            </w:pP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4"/>
              </w:rPr>
              <w:t>Pension</w:t>
            </w:r>
          </w:p>
        </w:tc>
        <w:tc>
          <w:tcPr>
            <w:tcW w:w="1120" w:type="dxa"/>
            <w:vAlign w:val="bottom"/>
            <w:shd w:val="clear" w:color="auto" w:fill="00548B"/>
          </w:tcPr>
          <w:p>
            <w:pPr>
              <w:spacing w:after="0"/>
              <w:rPr>
                <w:sz w:val="11"/>
                <w:szCs w:val="11"/>
                <w:color w:val="auto"/>
              </w:rPr>
            </w:pPr>
          </w:p>
        </w:tc>
        <w:tc>
          <w:tcPr>
            <w:tcW w:w="1100" w:type="dxa"/>
            <w:vAlign w:val="bottom"/>
            <w:shd w:val="clear" w:color="auto" w:fill="00548B"/>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00548B"/>
          </w:tcPr>
          <w:p>
            <w:pPr>
              <w:spacing w:after="0"/>
              <w:rPr>
                <w:sz w:val="11"/>
                <w:szCs w:val="11"/>
                <w:color w:val="auto"/>
              </w:rPr>
            </w:pPr>
          </w:p>
        </w:tc>
        <w:tc>
          <w:tcPr>
            <w:tcW w:w="1620" w:type="dxa"/>
            <w:vAlign w:val="bottom"/>
            <w:shd w:val="clear" w:color="auto" w:fill="00548B"/>
          </w:tcPr>
          <w:p>
            <w:pPr>
              <w:spacing w:after="0"/>
              <w:rPr>
                <w:sz w:val="11"/>
                <w:szCs w:val="11"/>
                <w:color w:val="auto"/>
              </w:rPr>
            </w:pPr>
          </w:p>
        </w:tc>
        <w:tc>
          <w:tcPr>
            <w:tcW w:w="660" w:type="dxa"/>
            <w:vAlign w:val="bottom"/>
            <w:shd w:val="clear" w:color="auto" w:fill="00548B"/>
          </w:tcPr>
          <w:p>
            <w:pPr>
              <w:spacing w:after="0"/>
              <w:rPr>
                <w:sz w:val="11"/>
                <w:szCs w:val="11"/>
                <w:color w:val="auto"/>
              </w:rPr>
            </w:pPr>
          </w:p>
        </w:tc>
        <w:tc>
          <w:tcPr>
            <w:tcW w:w="1120" w:type="dxa"/>
            <w:vAlign w:val="bottom"/>
            <w:shd w:val="clear" w:color="auto" w:fill="00548B"/>
          </w:tcPr>
          <w:p>
            <w:pPr>
              <w:spacing w:after="0"/>
              <w:rPr>
                <w:sz w:val="11"/>
                <w:szCs w:val="11"/>
                <w:color w:val="auto"/>
              </w:rPr>
            </w:pPr>
          </w:p>
        </w:tc>
        <w:tc>
          <w:tcPr>
            <w:tcW w:w="840" w:type="dxa"/>
            <w:vAlign w:val="bottom"/>
            <w:shd w:val="clear" w:color="auto" w:fill="00548B"/>
          </w:tcPr>
          <w:p>
            <w:pPr>
              <w:spacing w:after="0"/>
              <w:rPr>
                <w:sz w:val="11"/>
                <w:szCs w:val="11"/>
                <w:color w:val="auto"/>
              </w:rPr>
            </w:pP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4"/>
              </w:rPr>
              <w:t>Value and</w:t>
            </w:r>
          </w:p>
        </w:tc>
        <w:tc>
          <w:tcPr>
            <w:tcW w:w="1120" w:type="dxa"/>
            <w:vAlign w:val="bottom"/>
            <w:shd w:val="clear" w:color="auto" w:fill="00548B"/>
          </w:tcPr>
          <w:p>
            <w:pPr>
              <w:spacing w:after="0"/>
              <w:rPr>
                <w:sz w:val="11"/>
                <w:szCs w:val="11"/>
                <w:color w:val="auto"/>
              </w:rPr>
            </w:pPr>
          </w:p>
        </w:tc>
        <w:tc>
          <w:tcPr>
            <w:tcW w:w="1100" w:type="dxa"/>
            <w:vAlign w:val="bottom"/>
            <w:shd w:val="clear" w:color="auto" w:fill="00548B"/>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00548B"/>
          </w:tcPr>
          <w:p>
            <w:pPr>
              <w:spacing w:after="0"/>
              <w:rPr>
                <w:sz w:val="11"/>
                <w:szCs w:val="11"/>
                <w:color w:val="auto"/>
              </w:rPr>
            </w:pPr>
          </w:p>
        </w:tc>
        <w:tc>
          <w:tcPr>
            <w:tcW w:w="1620" w:type="dxa"/>
            <w:vAlign w:val="bottom"/>
            <w:shd w:val="clear" w:color="auto" w:fill="00548B"/>
          </w:tcPr>
          <w:p>
            <w:pPr>
              <w:spacing w:after="0"/>
              <w:rPr>
                <w:sz w:val="11"/>
                <w:szCs w:val="11"/>
                <w:color w:val="auto"/>
              </w:rPr>
            </w:pPr>
          </w:p>
        </w:tc>
        <w:tc>
          <w:tcPr>
            <w:tcW w:w="660" w:type="dxa"/>
            <w:vAlign w:val="bottom"/>
            <w:shd w:val="clear" w:color="auto" w:fill="00548B"/>
          </w:tcPr>
          <w:p>
            <w:pPr>
              <w:spacing w:after="0"/>
              <w:rPr>
                <w:sz w:val="11"/>
                <w:szCs w:val="11"/>
                <w:color w:val="auto"/>
              </w:rPr>
            </w:pPr>
          </w:p>
        </w:tc>
        <w:tc>
          <w:tcPr>
            <w:tcW w:w="1120" w:type="dxa"/>
            <w:vAlign w:val="bottom"/>
            <w:shd w:val="clear" w:color="auto" w:fill="00548B"/>
          </w:tcPr>
          <w:p>
            <w:pPr>
              <w:spacing w:after="0"/>
              <w:rPr>
                <w:sz w:val="11"/>
                <w:szCs w:val="11"/>
                <w:color w:val="auto"/>
              </w:rPr>
            </w:pPr>
          </w:p>
        </w:tc>
        <w:tc>
          <w:tcPr>
            <w:tcW w:w="840" w:type="dxa"/>
            <w:vAlign w:val="bottom"/>
            <w:shd w:val="clear" w:color="auto" w:fill="00548B"/>
          </w:tcPr>
          <w:p>
            <w:pPr>
              <w:spacing w:after="0"/>
              <w:rPr>
                <w:sz w:val="11"/>
                <w:szCs w:val="11"/>
                <w:color w:val="auto"/>
              </w:rPr>
            </w:pP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Nonqualified</w:t>
            </w:r>
          </w:p>
        </w:tc>
        <w:tc>
          <w:tcPr>
            <w:tcW w:w="1120" w:type="dxa"/>
            <w:vAlign w:val="bottom"/>
            <w:shd w:val="clear" w:color="auto" w:fill="00548B"/>
          </w:tcPr>
          <w:p>
            <w:pPr>
              <w:spacing w:after="0"/>
              <w:rPr>
                <w:sz w:val="11"/>
                <w:szCs w:val="11"/>
                <w:color w:val="auto"/>
              </w:rPr>
            </w:pPr>
          </w:p>
        </w:tc>
        <w:tc>
          <w:tcPr>
            <w:tcW w:w="1100" w:type="dxa"/>
            <w:vAlign w:val="bottom"/>
            <w:shd w:val="clear" w:color="auto" w:fill="00548B"/>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00548B"/>
          </w:tcPr>
          <w:p>
            <w:pPr>
              <w:spacing w:after="0"/>
              <w:rPr>
                <w:sz w:val="11"/>
                <w:szCs w:val="11"/>
                <w:color w:val="auto"/>
              </w:rPr>
            </w:pPr>
          </w:p>
        </w:tc>
        <w:tc>
          <w:tcPr>
            <w:tcW w:w="1620" w:type="dxa"/>
            <w:vAlign w:val="bottom"/>
            <w:shd w:val="clear" w:color="auto" w:fill="00548B"/>
          </w:tcPr>
          <w:p>
            <w:pPr>
              <w:spacing w:after="0"/>
              <w:rPr>
                <w:sz w:val="11"/>
                <w:szCs w:val="11"/>
                <w:color w:val="auto"/>
              </w:rPr>
            </w:pPr>
          </w:p>
        </w:tc>
        <w:tc>
          <w:tcPr>
            <w:tcW w:w="660" w:type="dxa"/>
            <w:vAlign w:val="bottom"/>
            <w:shd w:val="clear" w:color="auto" w:fill="00548B"/>
          </w:tcPr>
          <w:p>
            <w:pPr>
              <w:spacing w:after="0"/>
              <w:rPr>
                <w:sz w:val="11"/>
                <w:szCs w:val="11"/>
                <w:color w:val="auto"/>
              </w:rPr>
            </w:pPr>
          </w:p>
        </w:tc>
        <w:tc>
          <w:tcPr>
            <w:tcW w:w="11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Non Equity</w:t>
            </w:r>
          </w:p>
        </w:tc>
        <w:tc>
          <w:tcPr>
            <w:tcW w:w="840" w:type="dxa"/>
            <w:vAlign w:val="bottom"/>
            <w:shd w:val="clear" w:color="auto" w:fill="00548B"/>
          </w:tcPr>
          <w:p>
            <w:pPr>
              <w:spacing w:after="0"/>
              <w:rPr>
                <w:sz w:val="11"/>
                <w:szCs w:val="11"/>
                <w:color w:val="auto"/>
              </w:rPr>
            </w:pP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Deferred</w:t>
            </w:r>
          </w:p>
        </w:tc>
        <w:tc>
          <w:tcPr>
            <w:tcW w:w="1120" w:type="dxa"/>
            <w:vAlign w:val="bottom"/>
            <w:shd w:val="clear" w:color="auto" w:fill="00548B"/>
          </w:tcPr>
          <w:p>
            <w:pPr>
              <w:spacing w:after="0"/>
              <w:rPr>
                <w:sz w:val="11"/>
                <w:szCs w:val="11"/>
                <w:color w:val="auto"/>
              </w:rPr>
            </w:pPr>
          </w:p>
        </w:tc>
        <w:tc>
          <w:tcPr>
            <w:tcW w:w="1100" w:type="dxa"/>
            <w:vAlign w:val="bottom"/>
            <w:shd w:val="clear" w:color="auto" w:fill="00548B"/>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00548B"/>
          </w:tcPr>
          <w:p>
            <w:pPr>
              <w:spacing w:after="0"/>
              <w:rPr>
                <w:sz w:val="12"/>
                <w:szCs w:val="12"/>
                <w:color w:val="auto"/>
              </w:rPr>
            </w:pPr>
          </w:p>
        </w:tc>
        <w:tc>
          <w:tcPr>
            <w:tcW w:w="1620" w:type="dxa"/>
            <w:vAlign w:val="bottom"/>
            <w:shd w:val="clear" w:color="auto" w:fill="00548B"/>
          </w:tcPr>
          <w:p>
            <w:pPr>
              <w:spacing w:after="0"/>
              <w:rPr>
                <w:sz w:val="12"/>
                <w:szCs w:val="12"/>
                <w:color w:val="auto"/>
              </w:rPr>
            </w:pPr>
          </w:p>
        </w:tc>
        <w:tc>
          <w:tcPr>
            <w:tcW w:w="660" w:type="dxa"/>
            <w:vAlign w:val="bottom"/>
            <w:shd w:val="clear" w:color="auto" w:fill="00548B"/>
          </w:tcPr>
          <w:p>
            <w:pPr>
              <w:spacing w:after="0"/>
              <w:rPr>
                <w:sz w:val="12"/>
                <w:szCs w:val="12"/>
                <w:color w:val="auto"/>
              </w:rPr>
            </w:pPr>
          </w:p>
        </w:tc>
        <w:tc>
          <w:tcPr>
            <w:tcW w:w="112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D8D8D8"/>
                <w:w w:val="96"/>
              </w:rPr>
              <w:t>Incentive Plan</w:t>
            </w:r>
          </w:p>
        </w:tc>
        <w:tc>
          <w:tcPr>
            <w:tcW w:w="84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D8D8D8"/>
                <w:w w:val="95"/>
              </w:rPr>
              <w:t>Stock</w:t>
            </w:r>
          </w:p>
        </w:tc>
        <w:tc>
          <w:tcPr>
            <w:tcW w:w="110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D8D8D8"/>
                <w:w w:val="97"/>
              </w:rPr>
              <w:t>Compensation</w:t>
            </w:r>
          </w:p>
        </w:tc>
        <w:tc>
          <w:tcPr>
            <w:tcW w:w="112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D8D8D8"/>
                <w:w w:val="94"/>
              </w:rPr>
              <w:t>All Other</w:t>
            </w:r>
          </w:p>
        </w:tc>
        <w:tc>
          <w:tcPr>
            <w:tcW w:w="110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D8D8D8"/>
                <w:w w:val="96"/>
              </w:rPr>
              <w:t>Total</w:t>
            </w:r>
          </w:p>
        </w:tc>
      </w:tr>
      <w:tr>
        <w:trPr>
          <w:trHeight w:val="135"/>
        </w:trPr>
        <w:tc>
          <w:tcPr>
            <w:tcW w:w="20" w:type="dxa"/>
            <w:vAlign w:val="bottom"/>
          </w:tcPr>
          <w:p>
            <w:pPr>
              <w:spacing w:after="0"/>
              <w:rPr>
                <w:sz w:val="11"/>
                <w:szCs w:val="11"/>
                <w:color w:val="auto"/>
              </w:rPr>
            </w:pPr>
          </w:p>
        </w:tc>
        <w:tc>
          <w:tcPr>
            <w:tcW w:w="3460" w:type="dxa"/>
            <w:vAlign w:val="bottom"/>
            <w:shd w:val="clear" w:color="auto" w:fill="00548B"/>
          </w:tcPr>
          <w:p>
            <w:pPr>
              <w:spacing w:after="0"/>
              <w:rPr>
                <w:sz w:val="11"/>
                <w:szCs w:val="11"/>
                <w:color w:val="auto"/>
              </w:rPr>
            </w:pPr>
          </w:p>
        </w:tc>
        <w:tc>
          <w:tcPr>
            <w:tcW w:w="1620" w:type="dxa"/>
            <w:vAlign w:val="bottom"/>
            <w:shd w:val="clear" w:color="auto" w:fill="00548B"/>
          </w:tcPr>
          <w:p>
            <w:pPr>
              <w:spacing w:after="0"/>
              <w:rPr>
                <w:sz w:val="11"/>
                <w:szCs w:val="11"/>
                <w:color w:val="auto"/>
              </w:rPr>
            </w:pPr>
          </w:p>
        </w:tc>
        <w:tc>
          <w:tcPr>
            <w:tcW w:w="660" w:type="dxa"/>
            <w:vAlign w:val="bottom"/>
            <w:shd w:val="clear" w:color="auto" w:fill="00548B"/>
          </w:tcPr>
          <w:p>
            <w:pPr>
              <w:ind w:left="140"/>
              <w:spacing w:after="0" w:line="135" w:lineRule="exact"/>
              <w:rPr>
                <w:sz w:val="20"/>
                <w:szCs w:val="20"/>
                <w:color w:val="auto"/>
              </w:rPr>
            </w:pPr>
            <w:r>
              <w:rPr>
                <w:rFonts w:ascii="Arial" w:cs="Arial" w:eastAsia="Arial" w:hAnsi="Arial"/>
                <w:sz w:val="13"/>
                <w:szCs w:val="13"/>
                <w:b w:val="1"/>
                <w:bCs w:val="1"/>
                <w:color w:val="D8D8D8"/>
              </w:rPr>
              <w:t>Salary</w:t>
            </w:r>
          </w:p>
        </w:tc>
        <w:tc>
          <w:tcPr>
            <w:tcW w:w="11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Compensation</w:t>
            </w:r>
          </w:p>
        </w:tc>
        <w:tc>
          <w:tcPr>
            <w:tcW w:w="8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Awards</w:t>
            </w: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Earnings</w:t>
            </w:r>
          </w:p>
        </w:tc>
        <w:tc>
          <w:tcPr>
            <w:tcW w:w="11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Compensation</w:t>
            </w: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Compensation</w:t>
            </w:r>
          </w:p>
        </w:tc>
      </w:tr>
      <w:tr>
        <w:trPr>
          <w:trHeight w:val="162"/>
        </w:trPr>
        <w:tc>
          <w:tcPr>
            <w:tcW w:w="20" w:type="dxa"/>
            <w:vAlign w:val="bottom"/>
          </w:tcPr>
          <w:p>
            <w:pPr>
              <w:spacing w:after="0"/>
              <w:rPr>
                <w:sz w:val="14"/>
                <w:szCs w:val="14"/>
                <w:color w:val="auto"/>
              </w:rPr>
            </w:pPr>
          </w:p>
        </w:tc>
        <w:tc>
          <w:tcPr>
            <w:tcW w:w="3460" w:type="dxa"/>
            <w:vAlign w:val="bottom"/>
            <w:shd w:val="clear" w:color="auto" w:fill="00548B"/>
          </w:tcPr>
          <w:p>
            <w:pPr>
              <w:spacing w:after="0"/>
              <w:rPr>
                <w:sz w:val="20"/>
                <w:szCs w:val="20"/>
                <w:color w:val="auto"/>
              </w:rPr>
            </w:pPr>
            <w:r>
              <w:rPr>
                <w:rFonts w:ascii="Arial" w:cs="Arial" w:eastAsia="Arial" w:hAnsi="Arial"/>
                <w:sz w:val="13"/>
                <w:szCs w:val="13"/>
                <w:b w:val="1"/>
                <w:bCs w:val="1"/>
                <w:color w:val="D8D8D8"/>
              </w:rPr>
              <w:t>Name and Principal Position</w:t>
            </w:r>
          </w:p>
        </w:tc>
        <w:tc>
          <w:tcPr>
            <w:tcW w:w="1620" w:type="dxa"/>
            <w:vAlign w:val="bottom"/>
            <w:shd w:val="clear" w:color="auto" w:fill="00548B"/>
          </w:tcPr>
          <w:p>
            <w:pPr>
              <w:ind w:left="1240"/>
              <w:spacing w:after="0"/>
              <w:rPr>
                <w:sz w:val="20"/>
                <w:szCs w:val="20"/>
                <w:color w:val="auto"/>
              </w:rPr>
            </w:pPr>
            <w:r>
              <w:rPr>
                <w:rFonts w:ascii="Arial" w:cs="Arial" w:eastAsia="Arial" w:hAnsi="Arial"/>
                <w:sz w:val="13"/>
                <w:szCs w:val="13"/>
                <w:b w:val="1"/>
                <w:bCs w:val="1"/>
                <w:color w:val="D8D8D8"/>
              </w:rPr>
              <w:t>Year</w:t>
            </w:r>
          </w:p>
        </w:tc>
        <w:tc>
          <w:tcPr>
            <w:tcW w:w="66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w:t>
            </w:r>
          </w:p>
        </w:tc>
        <w:tc>
          <w:tcPr>
            <w:tcW w:w="11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w:t>
            </w:r>
          </w:p>
        </w:tc>
        <w:tc>
          <w:tcPr>
            <w:tcW w:w="84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($)(1)</w:t>
            </w:r>
          </w:p>
        </w:tc>
        <w:tc>
          <w:tcPr>
            <w:tcW w:w="110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($)(2)</w:t>
            </w:r>
          </w:p>
        </w:tc>
        <w:tc>
          <w:tcPr>
            <w:tcW w:w="11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($)(3)</w:t>
            </w:r>
          </w:p>
        </w:tc>
        <w:tc>
          <w:tcPr>
            <w:tcW w:w="110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87"/>
              </w:rPr>
              <w:t>($)</w:t>
            </w:r>
          </w:p>
        </w:tc>
      </w:tr>
      <w:tr>
        <w:trPr>
          <w:trHeight w:val="129"/>
        </w:trPr>
        <w:tc>
          <w:tcPr>
            <w:tcW w:w="20" w:type="dxa"/>
            <w:vAlign w:val="bottom"/>
          </w:tcPr>
          <w:p>
            <w:pPr>
              <w:spacing w:after="0"/>
              <w:rPr>
                <w:sz w:val="11"/>
                <w:szCs w:val="11"/>
                <w:color w:val="auto"/>
              </w:rPr>
            </w:pPr>
          </w:p>
        </w:tc>
        <w:tc>
          <w:tcPr>
            <w:tcW w:w="3460" w:type="dxa"/>
            <w:vAlign w:val="bottom"/>
          </w:tcPr>
          <w:p>
            <w:pPr>
              <w:spacing w:after="0" w:line="129" w:lineRule="exact"/>
              <w:rPr>
                <w:sz w:val="20"/>
                <w:szCs w:val="20"/>
                <w:color w:val="auto"/>
              </w:rPr>
            </w:pPr>
            <w:r>
              <w:rPr>
                <w:rFonts w:ascii="Arial" w:cs="Arial" w:eastAsia="Arial" w:hAnsi="Arial"/>
                <w:sz w:val="13"/>
                <w:szCs w:val="13"/>
                <w:b w:val="1"/>
                <w:bCs w:val="1"/>
                <w:color w:val="00548B"/>
              </w:rPr>
              <w:t>James H. Roth</w:t>
            </w:r>
            <w:r>
              <w:rPr>
                <w:rFonts w:ascii="Arial" w:cs="Arial" w:eastAsia="Arial" w:hAnsi="Arial"/>
                <w:sz w:val="10"/>
                <w:szCs w:val="10"/>
                <w:b w:val="1"/>
                <w:bCs w:val="1"/>
                <w:color w:val="00548B"/>
              </w:rPr>
              <w:t>5</w:t>
            </w:r>
          </w:p>
        </w:tc>
        <w:tc>
          <w:tcPr>
            <w:tcW w:w="1620" w:type="dxa"/>
            <w:vAlign w:val="bottom"/>
          </w:tcPr>
          <w:p>
            <w:pPr>
              <w:ind w:left="1240"/>
              <w:spacing w:after="0" w:line="129" w:lineRule="exact"/>
              <w:rPr>
                <w:sz w:val="20"/>
                <w:szCs w:val="20"/>
                <w:color w:val="auto"/>
              </w:rPr>
            </w:pPr>
            <w:r>
              <w:rPr>
                <w:rFonts w:ascii="Arial" w:cs="Arial" w:eastAsia="Arial" w:hAnsi="Arial"/>
                <w:sz w:val="13"/>
                <w:szCs w:val="13"/>
                <w:color w:val="auto"/>
              </w:rPr>
              <w:t>2018</w:t>
            </w:r>
          </w:p>
        </w:tc>
        <w:tc>
          <w:tcPr>
            <w:tcW w:w="660" w:type="dxa"/>
            <w:vAlign w:val="bottom"/>
          </w:tcPr>
          <w:p>
            <w:pPr>
              <w:jc w:val="center"/>
              <w:spacing w:after="0" w:line="129" w:lineRule="exact"/>
              <w:rPr>
                <w:sz w:val="20"/>
                <w:szCs w:val="20"/>
                <w:color w:val="auto"/>
              </w:rPr>
            </w:pPr>
            <w:r>
              <w:rPr>
                <w:rFonts w:ascii="Arial" w:cs="Arial" w:eastAsia="Arial" w:hAnsi="Arial"/>
                <w:sz w:val="13"/>
                <w:szCs w:val="13"/>
                <w:color w:val="auto"/>
                <w:w w:val="97"/>
              </w:rPr>
              <w:t>900,000</w:t>
            </w:r>
          </w:p>
        </w:tc>
        <w:tc>
          <w:tcPr>
            <w:tcW w:w="112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1,158,597</w:t>
            </w:r>
          </w:p>
        </w:tc>
        <w:tc>
          <w:tcPr>
            <w:tcW w:w="84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2,700,010</w:t>
            </w:r>
          </w:p>
        </w:tc>
        <w:tc>
          <w:tcPr>
            <w:tcW w:w="1100" w:type="dxa"/>
            <w:vAlign w:val="bottom"/>
          </w:tcPr>
          <w:p>
            <w:pPr>
              <w:jc w:val="right"/>
              <w:ind w:right="77"/>
              <w:spacing w:after="0" w:line="129"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77"/>
              <w:spacing w:after="0" w:line="129" w:lineRule="exact"/>
              <w:rPr>
                <w:sz w:val="20"/>
                <w:szCs w:val="20"/>
                <w:color w:val="auto"/>
              </w:rPr>
            </w:pPr>
            <w:r>
              <w:rPr>
                <w:rFonts w:ascii="Arial" w:cs="Arial" w:eastAsia="Arial" w:hAnsi="Arial"/>
                <w:sz w:val="13"/>
                <w:szCs w:val="13"/>
                <w:color w:val="auto"/>
              </w:rPr>
              <w:t>32,654</w:t>
            </w:r>
          </w:p>
        </w:tc>
        <w:tc>
          <w:tcPr>
            <w:tcW w:w="1100" w:type="dxa"/>
            <w:vAlign w:val="bottom"/>
          </w:tcPr>
          <w:p>
            <w:pPr>
              <w:jc w:val="right"/>
              <w:spacing w:after="0" w:line="129" w:lineRule="exact"/>
              <w:rPr>
                <w:sz w:val="20"/>
                <w:szCs w:val="20"/>
                <w:color w:val="auto"/>
              </w:rPr>
            </w:pPr>
            <w:r>
              <w:rPr>
                <w:rFonts w:ascii="Arial" w:cs="Arial" w:eastAsia="Arial" w:hAnsi="Arial"/>
                <w:sz w:val="13"/>
                <w:szCs w:val="13"/>
                <w:color w:val="auto"/>
              </w:rPr>
              <w:t>4,791,261</w:t>
            </w:r>
          </w:p>
        </w:tc>
      </w:tr>
      <w:tr>
        <w:trPr>
          <w:trHeight w:val="135"/>
        </w:trPr>
        <w:tc>
          <w:tcPr>
            <w:tcW w:w="20" w:type="dxa"/>
            <w:vAlign w:val="bottom"/>
          </w:tcPr>
          <w:p>
            <w:pPr>
              <w:spacing w:after="0"/>
              <w:rPr>
                <w:sz w:val="11"/>
                <w:szCs w:val="11"/>
                <w:color w:val="auto"/>
              </w:rPr>
            </w:pPr>
          </w:p>
        </w:tc>
        <w:tc>
          <w:tcPr>
            <w:tcW w:w="3460" w:type="dxa"/>
            <w:vAlign w:val="bottom"/>
          </w:tcPr>
          <w:p>
            <w:pPr>
              <w:ind w:left="160"/>
              <w:spacing w:after="0" w:line="135" w:lineRule="exact"/>
              <w:rPr>
                <w:sz w:val="20"/>
                <w:szCs w:val="20"/>
                <w:color w:val="auto"/>
              </w:rPr>
            </w:pPr>
            <w:r>
              <w:rPr>
                <w:rFonts w:ascii="Arial" w:cs="Arial" w:eastAsia="Arial" w:hAnsi="Arial"/>
                <w:sz w:val="13"/>
                <w:szCs w:val="13"/>
                <w:color w:val="auto"/>
              </w:rPr>
              <w:t>Chief Executive Officer</w:t>
            </w:r>
          </w:p>
        </w:tc>
        <w:tc>
          <w:tcPr>
            <w:tcW w:w="1620" w:type="dxa"/>
            <w:vAlign w:val="bottom"/>
          </w:tcPr>
          <w:p>
            <w:pPr>
              <w:ind w:left="1240"/>
              <w:spacing w:after="0" w:line="135" w:lineRule="exact"/>
              <w:rPr>
                <w:sz w:val="20"/>
                <w:szCs w:val="20"/>
                <w:color w:val="auto"/>
              </w:rPr>
            </w:pPr>
            <w:r>
              <w:rPr>
                <w:rFonts w:ascii="Arial" w:cs="Arial" w:eastAsia="Arial" w:hAnsi="Arial"/>
                <w:sz w:val="13"/>
                <w:szCs w:val="13"/>
                <w:color w:val="auto"/>
              </w:rPr>
              <w:t>2017</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7"/>
              </w:rPr>
              <w:t>900,000</w:t>
            </w:r>
          </w:p>
        </w:tc>
        <w:tc>
          <w:tcPr>
            <w:tcW w:w="11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595,980</w:t>
            </w:r>
          </w:p>
        </w:tc>
        <w:tc>
          <w:tcPr>
            <w:tcW w:w="8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2,699,973</w:t>
            </w:r>
          </w:p>
        </w:tc>
        <w:tc>
          <w:tcPr>
            <w:tcW w:w="11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308,563</w:t>
            </w:r>
          </w:p>
        </w:tc>
        <w:tc>
          <w:tcPr>
            <w:tcW w:w="11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31,434</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4,535,950</w:t>
            </w:r>
          </w:p>
        </w:tc>
      </w:tr>
      <w:tr>
        <w:trPr>
          <w:trHeight w:val="141"/>
        </w:trPr>
        <w:tc>
          <w:tcPr>
            <w:tcW w:w="20" w:type="dxa"/>
            <w:vAlign w:val="bottom"/>
          </w:tcPr>
          <w:p>
            <w:pPr>
              <w:spacing w:after="0"/>
              <w:rPr>
                <w:sz w:val="12"/>
                <w:szCs w:val="12"/>
                <w:color w:val="auto"/>
              </w:rPr>
            </w:pPr>
          </w:p>
        </w:tc>
        <w:tc>
          <w:tcPr>
            <w:tcW w:w="3460" w:type="dxa"/>
            <w:vAlign w:val="bottom"/>
            <w:tcBorders>
              <w:bottom w:val="single" w:sz="8" w:color="999999"/>
            </w:tcBorders>
          </w:tcPr>
          <w:p>
            <w:pPr>
              <w:spacing w:after="0"/>
              <w:rPr>
                <w:sz w:val="12"/>
                <w:szCs w:val="12"/>
                <w:color w:val="auto"/>
              </w:rPr>
            </w:pPr>
          </w:p>
        </w:tc>
        <w:tc>
          <w:tcPr>
            <w:tcW w:w="1620" w:type="dxa"/>
            <w:vAlign w:val="bottom"/>
            <w:tcBorders>
              <w:bottom w:val="single" w:sz="8" w:color="999999"/>
            </w:tcBorders>
          </w:tcPr>
          <w:p>
            <w:pPr>
              <w:ind w:left="1240"/>
              <w:spacing w:after="0" w:line="141" w:lineRule="exact"/>
              <w:rPr>
                <w:sz w:val="20"/>
                <w:szCs w:val="20"/>
                <w:color w:val="auto"/>
              </w:rPr>
            </w:pPr>
            <w:r>
              <w:rPr>
                <w:rFonts w:ascii="Arial" w:cs="Arial" w:eastAsia="Arial" w:hAnsi="Arial"/>
                <w:sz w:val="13"/>
                <w:szCs w:val="13"/>
                <w:color w:val="auto"/>
              </w:rPr>
              <w:t>2016</w:t>
            </w:r>
          </w:p>
        </w:tc>
        <w:tc>
          <w:tcPr>
            <w:tcW w:w="660" w:type="dxa"/>
            <w:vAlign w:val="bottom"/>
            <w:tcBorders>
              <w:bottom w:val="single" w:sz="8" w:color="999999"/>
            </w:tcBorders>
          </w:tcPr>
          <w:p>
            <w:pPr>
              <w:jc w:val="center"/>
              <w:spacing w:after="0" w:line="141" w:lineRule="exact"/>
              <w:rPr>
                <w:sz w:val="20"/>
                <w:szCs w:val="20"/>
                <w:color w:val="auto"/>
              </w:rPr>
            </w:pPr>
            <w:r>
              <w:rPr>
                <w:rFonts w:ascii="Arial" w:cs="Arial" w:eastAsia="Arial" w:hAnsi="Arial"/>
                <w:sz w:val="13"/>
                <w:szCs w:val="13"/>
                <w:color w:val="auto"/>
                <w:w w:val="97"/>
              </w:rPr>
              <w:t>900,000</w:t>
            </w:r>
          </w:p>
        </w:tc>
        <w:tc>
          <w:tcPr>
            <w:tcW w:w="1120" w:type="dxa"/>
            <w:vAlign w:val="bottom"/>
            <w:tcBorders>
              <w:bottom w:val="single" w:sz="8" w:color="999999"/>
            </w:tcBorders>
          </w:tcPr>
          <w:p>
            <w:pPr>
              <w:jc w:val="right"/>
              <w:ind w:right="117"/>
              <w:spacing w:after="0" w:line="141" w:lineRule="exact"/>
              <w:rPr>
                <w:sz w:val="20"/>
                <w:szCs w:val="20"/>
                <w:color w:val="auto"/>
              </w:rPr>
            </w:pPr>
            <w:r>
              <w:rPr>
                <w:rFonts w:ascii="Arial" w:cs="Arial" w:eastAsia="Arial" w:hAnsi="Arial"/>
                <w:sz w:val="13"/>
                <w:szCs w:val="13"/>
                <w:color w:val="auto"/>
              </w:rPr>
              <w:t>207,900</w:t>
            </w:r>
          </w:p>
        </w:tc>
        <w:tc>
          <w:tcPr>
            <w:tcW w:w="840" w:type="dxa"/>
            <w:vAlign w:val="bottom"/>
            <w:tcBorders>
              <w:bottom w:val="single" w:sz="8" w:color="999999"/>
            </w:tcBorders>
          </w:tcPr>
          <w:p>
            <w:pPr>
              <w:jc w:val="right"/>
              <w:ind w:right="57"/>
              <w:spacing w:after="0" w:line="141" w:lineRule="exact"/>
              <w:rPr>
                <w:sz w:val="20"/>
                <w:szCs w:val="20"/>
                <w:color w:val="auto"/>
              </w:rPr>
            </w:pPr>
            <w:r>
              <w:rPr>
                <w:rFonts w:ascii="Arial" w:cs="Arial" w:eastAsia="Arial" w:hAnsi="Arial"/>
                <w:sz w:val="13"/>
                <w:szCs w:val="13"/>
                <w:color w:val="auto"/>
              </w:rPr>
              <w:t>1,939,930</w:t>
            </w:r>
          </w:p>
        </w:tc>
        <w:tc>
          <w:tcPr>
            <w:tcW w:w="1100" w:type="dxa"/>
            <w:vAlign w:val="bottom"/>
            <w:tcBorders>
              <w:bottom w:val="single" w:sz="8" w:color="999999"/>
            </w:tcBorders>
          </w:tcPr>
          <w:p>
            <w:pPr>
              <w:jc w:val="right"/>
              <w:ind w:right="77"/>
              <w:spacing w:after="0" w:line="141" w:lineRule="exact"/>
              <w:rPr>
                <w:sz w:val="20"/>
                <w:szCs w:val="20"/>
                <w:color w:val="auto"/>
              </w:rPr>
            </w:pPr>
            <w:r>
              <w:rPr>
                <w:rFonts w:ascii="Arial" w:cs="Arial" w:eastAsia="Arial" w:hAnsi="Arial"/>
                <w:sz w:val="13"/>
                <w:szCs w:val="13"/>
                <w:color w:val="auto"/>
              </w:rPr>
              <w:t>83,903</w:t>
            </w:r>
          </w:p>
        </w:tc>
        <w:tc>
          <w:tcPr>
            <w:tcW w:w="1120" w:type="dxa"/>
            <w:vAlign w:val="bottom"/>
            <w:tcBorders>
              <w:bottom w:val="single" w:sz="8" w:color="999999"/>
            </w:tcBorders>
          </w:tcPr>
          <w:p>
            <w:pPr>
              <w:jc w:val="right"/>
              <w:ind w:right="177"/>
              <w:spacing w:after="0" w:line="141" w:lineRule="exact"/>
              <w:rPr>
                <w:sz w:val="20"/>
                <w:szCs w:val="20"/>
                <w:color w:val="auto"/>
              </w:rPr>
            </w:pPr>
            <w:r>
              <w:rPr>
                <w:rFonts w:ascii="Arial" w:cs="Arial" w:eastAsia="Arial" w:hAnsi="Arial"/>
                <w:sz w:val="13"/>
                <w:szCs w:val="13"/>
                <w:color w:val="auto"/>
              </w:rPr>
              <w:t>27,109</w:t>
            </w:r>
          </w:p>
        </w:tc>
        <w:tc>
          <w:tcPr>
            <w:tcW w:w="1100" w:type="dxa"/>
            <w:vAlign w:val="bottom"/>
            <w:tcBorders>
              <w:bottom w:val="single" w:sz="8" w:color="999999"/>
            </w:tcBorders>
          </w:tcPr>
          <w:p>
            <w:pPr>
              <w:jc w:val="right"/>
              <w:spacing w:after="0" w:line="141" w:lineRule="exact"/>
              <w:rPr>
                <w:sz w:val="20"/>
                <w:szCs w:val="20"/>
                <w:color w:val="auto"/>
              </w:rPr>
            </w:pPr>
            <w:r>
              <w:rPr>
                <w:rFonts w:ascii="Arial" w:cs="Arial" w:eastAsia="Arial" w:hAnsi="Arial"/>
                <w:sz w:val="13"/>
                <w:szCs w:val="13"/>
                <w:color w:val="auto"/>
              </w:rPr>
              <w:t>3,158,842</w:t>
            </w:r>
          </w:p>
        </w:tc>
      </w:tr>
      <w:tr>
        <w:trPr>
          <w:trHeight w:val="177"/>
        </w:trPr>
        <w:tc>
          <w:tcPr>
            <w:tcW w:w="3480" w:type="dxa"/>
            <w:vAlign w:val="bottom"/>
            <w:gridSpan w:val="2"/>
          </w:tcPr>
          <w:p>
            <w:pPr>
              <w:spacing w:after="0"/>
              <w:rPr>
                <w:sz w:val="20"/>
                <w:szCs w:val="20"/>
                <w:color w:val="auto"/>
              </w:rPr>
            </w:pPr>
            <w:r>
              <w:rPr>
                <w:rFonts w:ascii="Arial" w:cs="Arial" w:eastAsia="Arial" w:hAnsi="Arial"/>
                <w:sz w:val="13"/>
                <w:szCs w:val="13"/>
                <w:b w:val="1"/>
                <w:bCs w:val="1"/>
                <w:color w:val="00548B"/>
              </w:rPr>
              <w:t>C. Mark Hussey</w:t>
            </w:r>
            <w:r>
              <w:rPr>
                <w:rFonts w:ascii="Arial" w:cs="Arial" w:eastAsia="Arial" w:hAnsi="Arial"/>
                <w:sz w:val="10"/>
                <w:szCs w:val="10"/>
                <w:b w:val="1"/>
                <w:bCs w:val="1"/>
                <w:color w:val="00548B"/>
              </w:rPr>
              <w:t>6</w:t>
            </w:r>
          </w:p>
        </w:tc>
        <w:tc>
          <w:tcPr>
            <w:tcW w:w="1620" w:type="dxa"/>
            <w:vAlign w:val="bottom"/>
          </w:tcPr>
          <w:p>
            <w:pPr>
              <w:ind w:left="1240"/>
              <w:spacing w:after="0"/>
              <w:rPr>
                <w:sz w:val="20"/>
                <w:szCs w:val="20"/>
                <w:color w:val="auto"/>
              </w:rPr>
            </w:pPr>
            <w:r>
              <w:rPr>
                <w:rFonts w:ascii="Arial" w:cs="Arial" w:eastAsia="Arial" w:hAnsi="Arial"/>
                <w:sz w:val="13"/>
                <w:szCs w:val="13"/>
                <w:color w:val="auto"/>
              </w:rPr>
              <w:t>2018</w:t>
            </w:r>
          </w:p>
        </w:tc>
        <w:tc>
          <w:tcPr>
            <w:tcW w:w="660" w:type="dxa"/>
            <w:vAlign w:val="bottom"/>
          </w:tcPr>
          <w:p>
            <w:pPr>
              <w:jc w:val="center"/>
              <w:spacing w:after="0"/>
              <w:rPr>
                <w:sz w:val="20"/>
                <w:szCs w:val="20"/>
                <w:color w:val="auto"/>
              </w:rPr>
            </w:pPr>
            <w:r>
              <w:rPr>
                <w:rFonts w:ascii="Arial" w:cs="Arial" w:eastAsia="Arial" w:hAnsi="Arial"/>
                <w:sz w:val="13"/>
                <w:szCs w:val="13"/>
                <w:color w:val="auto"/>
                <w:w w:val="97"/>
              </w:rPr>
              <w:t>750,000</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877,725</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1,312,500</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0</w:t>
            </w: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31,750</w:t>
            </w:r>
          </w:p>
        </w:tc>
        <w:tc>
          <w:tcPr>
            <w:tcW w:w="1100" w:type="dxa"/>
            <w:vAlign w:val="bottom"/>
          </w:tcPr>
          <w:p>
            <w:pPr>
              <w:jc w:val="right"/>
              <w:spacing w:after="0"/>
              <w:rPr>
                <w:sz w:val="20"/>
                <w:szCs w:val="20"/>
                <w:color w:val="auto"/>
              </w:rPr>
            </w:pPr>
            <w:r>
              <w:rPr>
                <w:rFonts w:ascii="Arial" w:cs="Arial" w:eastAsia="Arial" w:hAnsi="Arial"/>
                <w:sz w:val="13"/>
                <w:szCs w:val="13"/>
                <w:color w:val="auto"/>
              </w:rPr>
              <w:t>2,971,975</w:t>
            </w:r>
          </w:p>
        </w:tc>
      </w:tr>
      <w:tr>
        <w:trPr>
          <w:trHeight w:val="135"/>
        </w:trPr>
        <w:tc>
          <w:tcPr>
            <w:tcW w:w="20" w:type="dxa"/>
            <w:vAlign w:val="bottom"/>
          </w:tcPr>
          <w:p>
            <w:pPr>
              <w:spacing w:after="0"/>
              <w:rPr>
                <w:sz w:val="11"/>
                <w:szCs w:val="11"/>
                <w:color w:val="auto"/>
              </w:rPr>
            </w:pPr>
          </w:p>
        </w:tc>
        <w:tc>
          <w:tcPr>
            <w:tcW w:w="3460" w:type="dxa"/>
            <w:vAlign w:val="bottom"/>
          </w:tcPr>
          <w:p>
            <w:pPr>
              <w:ind w:left="160"/>
              <w:spacing w:after="0" w:line="135" w:lineRule="exact"/>
              <w:rPr>
                <w:sz w:val="20"/>
                <w:szCs w:val="20"/>
                <w:color w:val="auto"/>
              </w:rPr>
            </w:pPr>
            <w:r>
              <w:rPr>
                <w:rFonts w:ascii="Arial" w:cs="Arial" w:eastAsia="Arial" w:hAnsi="Arial"/>
                <w:sz w:val="13"/>
                <w:szCs w:val="13"/>
                <w:color w:val="auto"/>
              </w:rPr>
              <w:t>President and</w:t>
            </w:r>
          </w:p>
        </w:tc>
        <w:tc>
          <w:tcPr>
            <w:tcW w:w="1620" w:type="dxa"/>
            <w:vAlign w:val="bottom"/>
          </w:tcPr>
          <w:p>
            <w:pPr>
              <w:ind w:left="1240"/>
              <w:spacing w:after="0" w:line="135" w:lineRule="exact"/>
              <w:rPr>
                <w:sz w:val="20"/>
                <w:szCs w:val="20"/>
                <w:color w:val="auto"/>
              </w:rPr>
            </w:pPr>
            <w:r>
              <w:rPr>
                <w:rFonts w:ascii="Arial" w:cs="Arial" w:eastAsia="Arial" w:hAnsi="Arial"/>
                <w:sz w:val="13"/>
                <w:szCs w:val="13"/>
                <w:color w:val="auto"/>
              </w:rPr>
              <w:t>2017</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7"/>
              </w:rPr>
              <w:t>743,750</w:t>
            </w:r>
          </w:p>
        </w:tc>
        <w:tc>
          <w:tcPr>
            <w:tcW w:w="11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451,500</w:t>
            </w:r>
          </w:p>
        </w:tc>
        <w:tc>
          <w:tcPr>
            <w:tcW w:w="8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2,312,472</w:t>
            </w:r>
          </w:p>
        </w:tc>
        <w:tc>
          <w:tcPr>
            <w:tcW w:w="11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150,059</w:t>
            </w:r>
          </w:p>
        </w:tc>
        <w:tc>
          <w:tcPr>
            <w:tcW w:w="11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30,985</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3,688,766</w:t>
            </w:r>
          </w:p>
        </w:tc>
      </w:tr>
      <w:tr>
        <w:trPr>
          <w:trHeight w:val="155"/>
        </w:trPr>
        <w:tc>
          <w:tcPr>
            <w:tcW w:w="20" w:type="dxa"/>
            <w:vAlign w:val="bottom"/>
          </w:tcPr>
          <w:p>
            <w:pPr>
              <w:spacing w:after="0"/>
              <w:rPr>
                <w:sz w:val="13"/>
                <w:szCs w:val="13"/>
                <w:color w:val="auto"/>
              </w:rPr>
            </w:pPr>
          </w:p>
        </w:tc>
        <w:tc>
          <w:tcPr>
            <w:tcW w:w="3460" w:type="dxa"/>
            <w:vAlign w:val="bottom"/>
            <w:tcBorders>
              <w:bottom w:val="single" w:sz="8" w:color="999999"/>
            </w:tcBorders>
          </w:tcPr>
          <w:p>
            <w:pPr>
              <w:ind w:left="160"/>
              <w:spacing w:after="0"/>
              <w:rPr>
                <w:sz w:val="20"/>
                <w:szCs w:val="20"/>
                <w:color w:val="auto"/>
              </w:rPr>
            </w:pPr>
            <w:r>
              <w:rPr>
                <w:rFonts w:ascii="Arial" w:cs="Arial" w:eastAsia="Arial" w:hAnsi="Arial"/>
                <w:sz w:val="13"/>
                <w:szCs w:val="13"/>
                <w:color w:val="auto"/>
              </w:rPr>
              <w:t>Chief Operating Officer</w:t>
            </w:r>
          </w:p>
        </w:tc>
        <w:tc>
          <w:tcPr>
            <w:tcW w:w="1620" w:type="dxa"/>
            <w:vAlign w:val="bottom"/>
            <w:tcBorders>
              <w:bottom w:val="single" w:sz="8" w:color="999999"/>
            </w:tcBorders>
          </w:tcPr>
          <w:p>
            <w:pPr>
              <w:ind w:left="1240"/>
              <w:spacing w:after="0"/>
              <w:rPr>
                <w:sz w:val="20"/>
                <w:szCs w:val="20"/>
                <w:color w:val="auto"/>
              </w:rPr>
            </w:pPr>
            <w:r>
              <w:rPr>
                <w:rFonts w:ascii="Arial" w:cs="Arial" w:eastAsia="Arial" w:hAnsi="Arial"/>
                <w:sz w:val="13"/>
                <w:szCs w:val="13"/>
                <w:color w:val="auto"/>
              </w:rPr>
              <w:t>2016</w:t>
            </w:r>
          </w:p>
        </w:tc>
        <w:tc>
          <w:tcPr>
            <w:tcW w:w="660" w:type="dxa"/>
            <w:vAlign w:val="bottom"/>
            <w:tcBorders>
              <w:bottom w:val="single" w:sz="8" w:color="999999"/>
            </w:tcBorders>
          </w:tcPr>
          <w:p>
            <w:pPr>
              <w:jc w:val="center"/>
              <w:spacing w:after="0"/>
              <w:rPr>
                <w:sz w:val="20"/>
                <w:szCs w:val="20"/>
                <w:color w:val="auto"/>
              </w:rPr>
            </w:pPr>
            <w:r>
              <w:rPr>
                <w:rFonts w:ascii="Arial" w:cs="Arial" w:eastAsia="Arial" w:hAnsi="Arial"/>
                <w:sz w:val="13"/>
                <w:szCs w:val="13"/>
                <w:color w:val="auto"/>
                <w:w w:val="97"/>
              </w:rPr>
              <w:t>600,000</w:t>
            </w:r>
          </w:p>
        </w:tc>
        <w:tc>
          <w:tcPr>
            <w:tcW w:w="1120" w:type="dxa"/>
            <w:vAlign w:val="bottom"/>
            <w:tcBorders>
              <w:bottom w:val="single" w:sz="8" w:color="999999"/>
            </w:tcBorders>
          </w:tcPr>
          <w:p>
            <w:pPr>
              <w:jc w:val="right"/>
              <w:ind w:right="117"/>
              <w:spacing w:after="0"/>
              <w:rPr>
                <w:sz w:val="20"/>
                <w:szCs w:val="20"/>
                <w:color w:val="auto"/>
              </w:rPr>
            </w:pPr>
            <w:r>
              <w:rPr>
                <w:rFonts w:ascii="Arial" w:cs="Arial" w:eastAsia="Arial" w:hAnsi="Arial"/>
                <w:sz w:val="13"/>
                <w:szCs w:val="13"/>
                <w:color w:val="auto"/>
              </w:rPr>
              <w:t>126,000</w:t>
            </w:r>
          </w:p>
        </w:tc>
        <w:tc>
          <w:tcPr>
            <w:tcW w:w="840" w:type="dxa"/>
            <w:vAlign w:val="bottom"/>
            <w:tcBorders>
              <w:bottom w:val="single" w:sz="8" w:color="999999"/>
            </w:tcBorders>
          </w:tcPr>
          <w:p>
            <w:pPr>
              <w:jc w:val="right"/>
              <w:ind w:right="57"/>
              <w:spacing w:after="0"/>
              <w:rPr>
                <w:sz w:val="20"/>
                <w:szCs w:val="20"/>
                <w:color w:val="auto"/>
              </w:rPr>
            </w:pPr>
            <w:r>
              <w:rPr>
                <w:rFonts w:ascii="Arial" w:cs="Arial" w:eastAsia="Arial" w:hAnsi="Arial"/>
                <w:sz w:val="13"/>
                <w:szCs w:val="13"/>
                <w:color w:val="auto"/>
              </w:rPr>
              <w:t>1,005,895</w:t>
            </w:r>
          </w:p>
        </w:tc>
        <w:tc>
          <w:tcPr>
            <w:tcW w:w="1100" w:type="dxa"/>
            <w:vAlign w:val="bottom"/>
            <w:tcBorders>
              <w:bottom w:val="single" w:sz="8" w:color="999999"/>
            </w:tcBorders>
          </w:tcPr>
          <w:p>
            <w:pPr>
              <w:jc w:val="right"/>
              <w:ind w:right="77"/>
              <w:spacing w:after="0"/>
              <w:rPr>
                <w:sz w:val="20"/>
                <w:szCs w:val="20"/>
                <w:color w:val="auto"/>
              </w:rPr>
            </w:pPr>
            <w:r>
              <w:rPr>
                <w:rFonts w:ascii="Arial" w:cs="Arial" w:eastAsia="Arial" w:hAnsi="Arial"/>
                <w:sz w:val="13"/>
                <w:szCs w:val="13"/>
                <w:color w:val="auto"/>
              </w:rPr>
              <w:t>60,624</w:t>
            </w:r>
          </w:p>
        </w:tc>
        <w:tc>
          <w:tcPr>
            <w:tcW w:w="1120" w:type="dxa"/>
            <w:vAlign w:val="bottom"/>
            <w:tcBorders>
              <w:bottom w:val="single" w:sz="8" w:color="999999"/>
            </w:tcBorders>
          </w:tcPr>
          <w:p>
            <w:pPr>
              <w:jc w:val="right"/>
              <w:ind w:right="177"/>
              <w:spacing w:after="0"/>
              <w:rPr>
                <w:sz w:val="20"/>
                <w:szCs w:val="20"/>
                <w:color w:val="auto"/>
              </w:rPr>
            </w:pPr>
            <w:r>
              <w:rPr>
                <w:rFonts w:ascii="Arial" w:cs="Arial" w:eastAsia="Arial" w:hAnsi="Arial"/>
                <w:sz w:val="13"/>
                <w:szCs w:val="13"/>
                <w:color w:val="auto"/>
              </w:rPr>
              <w:t>26,435</w:t>
            </w:r>
          </w:p>
        </w:tc>
        <w:tc>
          <w:tcPr>
            <w:tcW w:w="1100" w:type="dxa"/>
            <w:vAlign w:val="bottom"/>
            <w:tcBorders>
              <w:bottom w:val="single" w:sz="8" w:color="999999"/>
            </w:tcBorders>
          </w:tcPr>
          <w:p>
            <w:pPr>
              <w:jc w:val="right"/>
              <w:spacing w:after="0"/>
              <w:rPr>
                <w:sz w:val="20"/>
                <w:szCs w:val="20"/>
                <w:color w:val="auto"/>
              </w:rPr>
            </w:pPr>
            <w:r>
              <w:rPr>
                <w:rFonts w:ascii="Arial" w:cs="Arial" w:eastAsia="Arial" w:hAnsi="Arial"/>
                <w:sz w:val="13"/>
                <w:szCs w:val="13"/>
                <w:color w:val="auto"/>
              </w:rPr>
              <w:t>1,818,954</w:t>
            </w:r>
          </w:p>
        </w:tc>
      </w:tr>
      <w:tr>
        <w:trPr>
          <w:trHeight w:val="177"/>
        </w:trPr>
        <w:tc>
          <w:tcPr>
            <w:tcW w:w="3480" w:type="dxa"/>
            <w:vAlign w:val="bottom"/>
            <w:gridSpan w:val="2"/>
          </w:tcPr>
          <w:p>
            <w:pPr>
              <w:spacing w:after="0"/>
              <w:rPr>
                <w:sz w:val="20"/>
                <w:szCs w:val="20"/>
                <w:color w:val="auto"/>
              </w:rPr>
            </w:pPr>
            <w:r>
              <w:rPr>
                <w:rFonts w:ascii="Arial" w:cs="Arial" w:eastAsia="Arial" w:hAnsi="Arial"/>
                <w:sz w:val="13"/>
                <w:szCs w:val="13"/>
                <w:b w:val="1"/>
                <w:bCs w:val="1"/>
                <w:color w:val="00548B"/>
              </w:rPr>
              <w:t>John D. Kelly</w:t>
            </w:r>
            <w:r>
              <w:rPr>
                <w:rFonts w:ascii="Arial" w:cs="Arial" w:eastAsia="Arial" w:hAnsi="Arial"/>
                <w:sz w:val="10"/>
                <w:szCs w:val="10"/>
                <w:b w:val="1"/>
                <w:bCs w:val="1"/>
                <w:color w:val="00548B"/>
              </w:rPr>
              <w:t>7</w:t>
            </w:r>
          </w:p>
        </w:tc>
        <w:tc>
          <w:tcPr>
            <w:tcW w:w="1620" w:type="dxa"/>
            <w:vAlign w:val="bottom"/>
          </w:tcPr>
          <w:p>
            <w:pPr>
              <w:ind w:left="1240"/>
              <w:spacing w:after="0"/>
              <w:rPr>
                <w:sz w:val="20"/>
                <w:szCs w:val="20"/>
                <w:color w:val="auto"/>
              </w:rPr>
            </w:pPr>
            <w:r>
              <w:rPr>
                <w:rFonts w:ascii="Arial" w:cs="Arial" w:eastAsia="Arial" w:hAnsi="Arial"/>
                <w:sz w:val="13"/>
                <w:szCs w:val="13"/>
                <w:color w:val="auto"/>
              </w:rPr>
              <w:t>2018</w:t>
            </w:r>
          </w:p>
        </w:tc>
        <w:tc>
          <w:tcPr>
            <w:tcW w:w="660" w:type="dxa"/>
            <w:vAlign w:val="bottom"/>
          </w:tcPr>
          <w:p>
            <w:pPr>
              <w:jc w:val="center"/>
              <w:spacing w:after="0"/>
              <w:rPr>
                <w:sz w:val="20"/>
                <w:szCs w:val="20"/>
                <w:color w:val="auto"/>
              </w:rPr>
            </w:pPr>
            <w:r>
              <w:rPr>
                <w:rFonts w:ascii="Arial" w:cs="Arial" w:eastAsia="Arial" w:hAnsi="Arial"/>
                <w:sz w:val="13"/>
                <w:szCs w:val="13"/>
                <w:color w:val="auto"/>
                <w:w w:val="97"/>
              </w:rPr>
              <w:t>396,875</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327,684</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479,999</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20,156</w:t>
            </w:r>
          </w:p>
        </w:tc>
        <w:tc>
          <w:tcPr>
            <w:tcW w:w="1100" w:type="dxa"/>
            <w:vAlign w:val="bottom"/>
          </w:tcPr>
          <w:p>
            <w:pPr>
              <w:jc w:val="right"/>
              <w:spacing w:after="0"/>
              <w:rPr>
                <w:sz w:val="20"/>
                <w:szCs w:val="20"/>
                <w:color w:val="auto"/>
              </w:rPr>
            </w:pPr>
            <w:r>
              <w:rPr>
                <w:rFonts w:ascii="Arial" w:cs="Arial" w:eastAsia="Arial" w:hAnsi="Arial"/>
                <w:sz w:val="13"/>
                <w:szCs w:val="13"/>
                <w:color w:val="auto"/>
              </w:rPr>
              <w:t>1,224,714</w:t>
            </w:r>
          </w:p>
        </w:tc>
      </w:tr>
      <w:tr>
        <w:trPr>
          <w:trHeight w:val="135"/>
        </w:trPr>
        <w:tc>
          <w:tcPr>
            <w:tcW w:w="20" w:type="dxa"/>
            <w:vAlign w:val="bottom"/>
          </w:tcPr>
          <w:p>
            <w:pPr>
              <w:spacing w:after="0"/>
              <w:rPr>
                <w:sz w:val="11"/>
                <w:szCs w:val="11"/>
                <w:color w:val="auto"/>
              </w:rPr>
            </w:pPr>
          </w:p>
        </w:tc>
        <w:tc>
          <w:tcPr>
            <w:tcW w:w="3460" w:type="dxa"/>
            <w:vAlign w:val="bottom"/>
          </w:tcPr>
          <w:p>
            <w:pPr>
              <w:ind w:left="140"/>
              <w:spacing w:after="0" w:line="135" w:lineRule="exact"/>
              <w:rPr>
                <w:sz w:val="20"/>
                <w:szCs w:val="20"/>
                <w:color w:val="auto"/>
              </w:rPr>
            </w:pPr>
            <w:r>
              <w:rPr>
                <w:rFonts w:ascii="Arial" w:cs="Arial" w:eastAsia="Arial" w:hAnsi="Arial"/>
                <w:sz w:val="13"/>
                <w:szCs w:val="13"/>
                <w:color w:val="auto"/>
              </w:rPr>
              <w:t>Executive Vice President,</w:t>
            </w:r>
          </w:p>
        </w:tc>
        <w:tc>
          <w:tcPr>
            <w:tcW w:w="1620" w:type="dxa"/>
            <w:vAlign w:val="bottom"/>
          </w:tcPr>
          <w:p>
            <w:pPr>
              <w:ind w:left="1240"/>
              <w:spacing w:after="0" w:line="135" w:lineRule="exact"/>
              <w:rPr>
                <w:sz w:val="20"/>
                <w:szCs w:val="20"/>
                <w:color w:val="auto"/>
              </w:rPr>
            </w:pPr>
            <w:r>
              <w:rPr>
                <w:rFonts w:ascii="Arial" w:cs="Arial" w:eastAsia="Arial" w:hAnsi="Arial"/>
                <w:sz w:val="13"/>
                <w:szCs w:val="13"/>
                <w:color w:val="auto"/>
              </w:rPr>
              <w:t>2017</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7"/>
              </w:rPr>
              <w:t>323,333</w:t>
            </w:r>
          </w:p>
        </w:tc>
        <w:tc>
          <w:tcPr>
            <w:tcW w:w="11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136,955</w:t>
            </w:r>
          </w:p>
        </w:tc>
        <w:tc>
          <w:tcPr>
            <w:tcW w:w="8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344,197</w:t>
            </w:r>
          </w:p>
        </w:tc>
        <w:tc>
          <w:tcPr>
            <w:tcW w:w="11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N/A</w:t>
            </w:r>
          </w:p>
        </w:tc>
        <w:tc>
          <w:tcPr>
            <w:tcW w:w="11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23,113</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827,598</w:t>
            </w:r>
          </w:p>
        </w:tc>
      </w:tr>
      <w:tr>
        <w:trPr>
          <w:trHeight w:val="162"/>
        </w:trPr>
        <w:tc>
          <w:tcPr>
            <w:tcW w:w="20" w:type="dxa"/>
            <w:vAlign w:val="bottom"/>
          </w:tcPr>
          <w:p>
            <w:pPr>
              <w:spacing w:after="0"/>
              <w:rPr>
                <w:sz w:val="14"/>
                <w:szCs w:val="14"/>
                <w:color w:val="auto"/>
              </w:rPr>
            </w:pPr>
          </w:p>
        </w:tc>
        <w:tc>
          <w:tcPr>
            <w:tcW w:w="3460" w:type="dxa"/>
            <w:vAlign w:val="bottom"/>
            <w:tcBorders>
              <w:bottom w:val="single" w:sz="8" w:color="999999"/>
            </w:tcBorders>
          </w:tcPr>
          <w:p>
            <w:pPr>
              <w:ind w:left="140"/>
              <w:spacing w:after="0"/>
              <w:rPr>
                <w:sz w:val="20"/>
                <w:szCs w:val="20"/>
                <w:color w:val="auto"/>
              </w:rPr>
            </w:pPr>
            <w:r>
              <w:rPr>
                <w:rFonts w:ascii="Arial" w:cs="Arial" w:eastAsia="Arial" w:hAnsi="Arial"/>
                <w:sz w:val="13"/>
                <w:szCs w:val="13"/>
                <w:color w:val="auto"/>
              </w:rPr>
              <w:t>Chief Financial Officer and Treasurer</w:t>
            </w:r>
          </w:p>
        </w:tc>
        <w:tc>
          <w:tcPr>
            <w:tcW w:w="1620" w:type="dxa"/>
            <w:vAlign w:val="bottom"/>
            <w:tcBorders>
              <w:bottom w:val="single" w:sz="8" w:color="999999"/>
            </w:tcBorders>
          </w:tcPr>
          <w:p>
            <w:pPr>
              <w:spacing w:after="0"/>
              <w:rPr>
                <w:sz w:val="14"/>
                <w:szCs w:val="14"/>
                <w:color w:val="auto"/>
              </w:rPr>
            </w:pPr>
          </w:p>
        </w:tc>
        <w:tc>
          <w:tcPr>
            <w:tcW w:w="660" w:type="dxa"/>
            <w:vAlign w:val="bottom"/>
            <w:tcBorders>
              <w:bottom w:val="single" w:sz="8" w:color="999999"/>
            </w:tcBorders>
          </w:tcPr>
          <w:p>
            <w:pPr>
              <w:spacing w:after="0"/>
              <w:rPr>
                <w:sz w:val="14"/>
                <w:szCs w:val="14"/>
                <w:color w:val="auto"/>
              </w:rPr>
            </w:pPr>
          </w:p>
        </w:tc>
        <w:tc>
          <w:tcPr>
            <w:tcW w:w="1120" w:type="dxa"/>
            <w:vAlign w:val="bottom"/>
            <w:tcBorders>
              <w:bottom w:val="single" w:sz="8" w:color="999999"/>
            </w:tcBorders>
          </w:tcPr>
          <w:p>
            <w:pPr>
              <w:spacing w:after="0"/>
              <w:rPr>
                <w:sz w:val="14"/>
                <w:szCs w:val="14"/>
                <w:color w:val="auto"/>
              </w:rPr>
            </w:pPr>
          </w:p>
        </w:tc>
        <w:tc>
          <w:tcPr>
            <w:tcW w:w="840" w:type="dxa"/>
            <w:vAlign w:val="bottom"/>
            <w:tcBorders>
              <w:bottom w:val="single" w:sz="8" w:color="999999"/>
            </w:tcBorders>
          </w:tcPr>
          <w:p>
            <w:pPr>
              <w:spacing w:after="0"/>
              <w:rPr>
                <w:sz w:val="14"/>
                <w:szCs w:val="14"/>
                <w:color w:val="auto"/>
              </w:rPr>
            </w:pPr>
          </w:p>
        </w:tc>
        <w:tc>
          <w:tcPr>
            <w:tcW w:w="1100" w:type="dxa"/>
            <w:vAlign w:val="bottom"/>
            <w:tcBorders>
              <w:bottom w:val="single" w:sz="8" w:color="999999"/>
            </w:tcBorders>
          </w:tcPr>
          <w:p>
            <w:pPr>
              <w:spacing w:after="0"/>
              <w:rPr>
                <w:sz w:val="14"/>
                <w:szCs w:val="14"/>
                <w:color w:val="auto"/>
              </w:rPr>
            </w:pPr>
          </w:p>
        </w:tc>
        <w:tc>
          <w:tcPr>
            <w:tcW w:w="1120" w:type="dxa"/>
            <w:vAlign w:val="bottom"/>
            <w:tcBorders>
              <w:bottom w:val="single" w:sz="8" w:color="999999"/>
            </w:tcBorders>
          </w:tcPr>
          <w:p>
            <w:pPr>
              <w:spacing w:after="0"/>
              <w:rPr>
                <w:sz w:val="14"/>
                <w:szCs w:val="14"/>
                <w:color w:val="auto"/>
              </w:rPr>
            </w:pPr>
          </w:p>
        </w:tc>
        <w:tc>
          <w:tcPr>
            <w:tcW w:w="1100" w:type="dxa"/>
            <w:vAlign w:val="bottom"/>
            <w:tcBorders>
              <w:bottom w:val="single" w:sz="8" w:color="999999"/>
            </w:tcBorders>
          </w:tcPr>
          <w:p>
            <w:pPr>
              <w:spacing w:after="0"/>
              <w:rPr>
                <w:sz w:val="14"/>
                <w:szCs w:val="14"/>
                <w:color w:val="auto"/>
              </w:rPr>
            </w:pPr>
          </w:p>
        </w:tc>
      </w:tr>
      <w:tr>
        <w:trPr>
          <w:trHeight w:val="183"/>
        </w:trPr>
        <w:tc>
          <w:tcPr>
            <w:tcW w:w="3480" w:type="dxa"/>
            <w:vAlign w:val="bottom"/>
            <w:gridSpan w:val="2"/>
          </w:tcPr>
          <w:p>
            <w:pPr>
              <w:spacing w:after="0"/>
              <w:rPr>
                <w:sz w:val="20"/>
                <w:szCs w:val="20"/>
                <w:color w:val="auto"/>
              </w:rPr>
            </w:pPr>
            <w:r>
              <w:rPr>
                <w:rFonts w:ascii="Arial" w:cs="Arial" w:eastAsia="Arial" w:hAnsi="Arial"/>
                <w:sz w:val="13"/>
                <w:szCs w:val="13"/>
                <w:b w:val="1"/>
                <w:bCs w:val="1"/>
                <w:color w:val="00548B"/>
              </w:rPr>
              <w:t>Diane E. Ratekin</w:t>
            </w:r>
          </w:p>
        </w:tc>
        <w:tc>
          <w:tcPr>
            <w:tcW w:w="1620" w:type="dxa"/>
            <w:vAlign w:val="bottom"/>
          </w:tcPr>
          <w:p>
            <w:pPr>
              <w:ind w:left="1240"/>
              <w:spacing w:after="0"/>
              <w:rPr>
                <w:sz w:val="20"/>
                <w:szCs w:val="20"/>
                <w:color w:val="auto"/>
              </w:rPr>
            </w:pPr>
            <w:r>
              <w:rPr>
                <w:rFonts w:ascii="Arial" w:cs="Arial" w:eastAsia="Arial" w:hAnsi="Arial"/>
                <w:sz w:val="13"/>
                <w:szCs w:val="13"/>
                <w:color w:val="auto"/>
              </w:rPr>
              <w:t>2018</w:t>
            </w:r>
          </w:p>
        </w:tc>
        <w:tc>
          <w:tcPr>
            <w:tcW w:w="660" w:type="dxa"/>
            <w:vAlign w:val="bottom"/>
          </w:tcPr>
          <w:p>
            <w:pPr>
              <w:jc w:val="center"/>
              <w:spacing w:after="0"/>
              <w:rPr>
                <w:sz w:val="20"/>
                <w:szCs w:val="20"/>
                <w:color w:val="auto"/>
              </w:rPr>
            </w:pPr>
            <w:r>
              <w:rPr>
                <w:rFonts w:ascii="Arial" w:cs="Arial" w:eastAsia="Arial" w:hAnsi="Arial"/>
                <w:sz w:val="13"/>
                <w:szCs w:val="13"/>
                <w:color w:val="auto"/>
                <w:w w:val="97"/>
              </w:rPr>
              <w:t>400,000</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234,060</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460,013</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0</w:t>
            </w:r>
          </w:p>
        </w:tc>
        <w:tc>
          <w:tcPr>
            <w:tcW w:w="1120" w:type="dxa"/>
            <w:vAlign w:val="bottom"/>
          </w:tcPr>
          <w:p>
            <w:pPr>
              <w:jc w:val="right"/>
              <w:ind w:right="177"/>
              <w:spacing w:after="0"/>
              <w:rPr>
                <w:sz w:val="20"/>
                <w:szCs w:val="20"/>
                <w:color w:val="auto"/>
              </w:rPr>
            </w:pPr>
            <w:r>
              <w:rPr>
                <w:rFonts w:ascii="Arial" w:cs="Arial" w:eastAsia="Arial" w:hAnsi="Arial"/>
                <w:sz w:val="13"/>
                <w:szCs w:val="13"/>
                <w:color w:val="auto"/>
              </w:rPr>
              <w:t>35,935</w:t>
            </w:r>
          </w:p>
        </w:tc>
        <w:tc>
          <w:tcPr>
            <w:tcW w:w="1100" w:type="dxa"/>
            <w:vAlign w:val="bottom"/>
          </w:tcPr>
          <w:p>
            <w:pPr>
              <w:jc w:val="right"/>
              <w:spacing w:after="0"/>
              <w:rPr>
                <w:sz w:val="20"/>
                <w:szCs w:val="20"/>
                <w:color w:val="auto"/>
              </w:rPr>
            </w:pPr>
            <w:r>
              <w:rPr>
                <w:rFonts w:ascii="Arial" w:cs="Arial" w:eastAsia="Arial" w:hAnsi="Arial"/>
                <w:sz w:val="13"/>
                <w:szCs w:val="13"/>
                <w:color w:val="auto"/>
              </w:rPr>
              <w:t>1,130,008</w:t>
            </w:r>
          </w:p>
        </w:tc>
      </w:tr>
      <w:tr>
        <w:trPr>
          <w:trHeight w:val="135"/>
        </w:trPr>
        <w:tc>
          <w:tcPr>
            <w:tcW w:w="20" w:type="dxa"/>
            <w:vAlign w:val="bottom"/>
          </w:tcPr>
          <w:p>
            <w:pPr>
              <w:spacing w:after="0"/>
              <w:rPr>
                <w:sz w:val="11"/>
                <w:szCs w:val="11"/>
                <w:color w:val="auto"/>
              </w:rPr>
            </w:pPr>
          </w:p>
        </w:tc>
        <w:tc>
          <w:tcPr>
            <w:tcW w:w="3460" w:type="dxa"/>
            <w:vAlign w:val="bottom"/>
          </w:tcPr>
          <w:p>
            <w:pPr>
              <w:ind w:left="140"/>
              <w:spacing w:after="0" w:line="135" w:lineRule="exact"/>
              <w:rPr>
                <w:sz w:val="20"/>
                <w:szCs w:val="20"/>
                <w:color w:val="auto"/>
              </w:rPr>
            </w:pPr>
            <w:r>
              <w:rPr>
                <w:rFonts w:ascii="Arial" w:cs="Arial" w:eastAsia="Arial" w:hAnsi="Arial"/>
                <w:sz w:val="13"/>
                <w:szCs w:val="13"/>
                <w:color w:val="auto"/>
              </w:rPr>
              <w:t>Executive Vice President,</w:t>
            </w:r>
          </w:p>
        </w:tc>
        <w:tc>
          <w:tcPr>
            <w:tcW w:w="1620" w:type="dxa"/>
            <w:vAlign w:val="bottom"/>
          </w:tcPr>
          <w:p>
            <w:pPr>
              <w:ind w:left="1240"/>
              <w:spacing w:after="0" w:line="135" w:lineRule="exact"/>
              <w:rPr>
                <w:sz w:val="20"/>
                <w:szCs w:val="20"/>
                <w:color w:val="auto"/>
              </w:rPr>
            </w:pPr>
            <w:r>
              <w:rPr>
                <w:rFonts w:ascii="Arial" w:cs="Arial" w:eastAsia="Arial" w:hAnsi="Arial"/>
                <w:sz w:val="13"/>
                <w:szCs w:val="13"/>
                <w:color w:val="auto"/>
              </w:rPr>
              <w:t>2017</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7"/>
              </w:rPr>
              <w:t>400,000</w:t>
            </w:r>
          </w:p>
        </w:tc>
        <w:tc>
          <w:tcPr>
            <w:tcW w:w="11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120,400</w:t>
            </w:r>
          </w:p>
        </w:tc>
        <w:tc>
          <w:tcPr>
            <w:tcW w:w="8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460,003</w:t>
            </w:r>
          </w:p>
        </w:tc>
        <w:tc>
          <w:tcPr>
            <w:tcW w:w="11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18,353</w:t>
            </w:r>
          </w:p>
        </w:tc>
        <w:tc>
          <w:tcPr>
            <w:tcW w:w="11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31,719</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1,030,475</w:t>
            </w:r>
          </w:p>
        </w:tc>
      </w:tr>
      <w:tr>
        <w:trPr>
          <w:trHeight w:val="135"/>
        </w:trPr>
        <w:tc>
          <w:tcPr>
            <w:tcW w:w="20" w:type="dxa"/>
            <w:vAlign w:val="bottom"/>
          </w:tcPr>
          <w:p>
            <w:pPr>
              <w:spacing w:after="0"/>
              <w:rPr>
                <w:sz w:val="11"/>
                <w:szCs w:val="11"/>
                <w:color w:val="auto"/>
              </w:rPr>
            </w:pPr>
          </w:p>
        </w:tc>
        <w:tc>
          <w:tcPr>
            <w:tcW w:w="3460" w:type="dxa"/>
            <w:vAlign w:val="bottom"/>
          </w:tcPr>
          <w:p>
            <w:pPr>
              <w:ind w:left="140"/>
              <w:spacing w:after="0" w:line="135" w:lineRule="exact"/>
              <w:rPr>
                <w:sz w:val="20"/>
                <w:szCs w:val="20"/>
                <w:color w:val="auto"/>
              </w:rPr>
            </w:pPr>
            <w:r>
              <w:rPr>
                <w:rFonts w:ascii="Arial" w:cs="Arial" w:eastAsia="Arial" w:hAnsi="Arial"/>
                <w:sz w:val="13"/>
                <w:szCs w:val="13"/>
                <w:color w:val="auto"/>
              </w:rPr>
              <w:t>General Counsel and</w:t>
            </w:r>
          </w:p>
        </w:tc>
        <w:tc>
          <w:tcPr>
            <w:tcW w:w="1620" w:type="dxa"/>
            <w:vAlign w:val="bottom"/>
          </w:tcPr>
          <w:p>
            <w:pPr>
              <w:ind w:left="1240"/>
              <w:spacing w:after="0" w:line="135" w:lineRule="exact"/>
              <w:rPr>
                <w:sz w:val="20"/>
                <w:szCs w:val="20"/>
                <w:color w:val="auto"/>
              </w:rPr>
            </w:pPr>
            <w:r>
              <w:rPr>
                <w:rFonts w:ascii="Arial" w:cs="Arial" w:eastAsia="Arial" w:hAnsi="Arial"/>
                <w:sz w:val="13"/>
                <w:szCs w:val="13"/>
                <w:color w:val="auto"/>
              </w:rPr>
              <w:t>2016</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7"/>
              </w:rPr>
              <w:t>400,000</w:t>
            </w:r>
          </w:p>
        </w:tc>
        <w:tc>
          <w:tcPr>
            <w:tcW w:w="11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42,000</w:t>
            </w:r>
          </w:p>
        </w:tc>
        <w:tc>
          <w:tcPr>
            <w:tcW w:w="8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438,686</w:t>
            </w:r>
          </w:p>
        </w:tc>
        <w:tc>
          <w:tcPr>
            <w:tcW w:w="11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6,411</w:t>
            </w:r>
          </w:p>
        </w:tc>
        <w:tc>
          <w:tcPr>
            <w:tcW w:w="11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35,221</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922,318</w:t>
            </w:r>
          </w:p>
        </w:tc>
      </w:tr>
      <w:tr>
        <w:trPr>
          <w:trHeight w:val="153"/>
        </w:trPr>
        <w:tc>
          <w:tcPr>
            <w:tcW w:w="20" w:type="dxa"/>
            <w:vAlign w:val="bottom"/>
          </w:tcPr>
          <w:p>
            <w:pPr>
              <w:spacing w:after="0"/>
              <w:rPr>
                <w:sz w:val="13"/>
                <w:szCs w:val="13"/>
                <w:color w:val="auto"/>
              </w:rPr>
            </w:pPr>
          </w:p>
        </w:tc>
        <w:tc>
          <w:tcPr>
            <w:tcW w:w="3460" w:type="dxa"/>
            <w:vAlign w:val="bottom"/>
            <w:tcBorders>
              <w:bottom w:val="single" w:sz="8" w:color="00548B"/>
            </w:tcBorders>
          </w:tcPr>
          <w:p>
            <w:pPr>
              <w:ind w:left="140"/>
              <w:spacing w:after="0"/>
              <w:rPr>
                <w:sz w:val="20"/>
                <w:szCs w:val="20"/>
                <w:color w:val="auto"/>
              </w:rPr>
            </w:pPr>
            <w:r>
              <w:rPr>
                <w:rFonts w:ascii="Arial" w:cs="Arial" w:eastAsia="Arial" w:hAnsi="Arial"/>
                <w:sz w:val="13"/>
                <w:szCs w:val="13"/>
                <w:color w:val="auto"/>
              </w:rPr>
              <w:t>Corporate Secretary</w:t>
            </w:r>
          </w:p>
        </w:tc>
        <w:tc>
          <w:tcPr>
            <w:tcW w:w="1620" w:type="dxa"/>
            <w:vAlign w:val="bottom"/>
            <w:tcBorders>
              <w:bottom w:val="single" w:sz="8" w:color="00548B"/>
            </w:tcBorders>
          </w:tcPr>
          <w:p>
            <w:pPr>
              <w:spacing w:after="0"/>
              <w:rPr>
                <w:sz w:val="13"/>
                <w:szCs w:val="13"/>
                <w:color w:val="auto"/>
              </w:rPr>
            </w:pPr>
          </w:p>
        </w:tc>
        <w:tc>
          <w:tcPr>
            <w:tcW w:w="660" w:type="dxa"/>
            <w:vAlign w:val="bottom"/>
            <w:tcBorders>
              <w:bottom w:val="single" w:sz="8" w:color="00548B"/>
            </w:tcBorders>
          </w:tcPr>
          <w:p>
            <w:pPr>
              <w:spacing w:after="0"/>
              <w:rPr>
                <w:sz w:val="13"/>
                <w:szCs w:val="13"/>
                <w:color w:val="auto"/>
              </w:rPr>
            </w:pPr>
          </w:p>
        </w:tc>
        <w:tc>
          <w:tcPr>
            <w:tcW w:w="1120" w:type="dxa"/>
            <w:vAlign w:val="bottom"/>
            <w:tcBorders>
              <w:bottom w:val="single" w:sz="8" w:color="00548B"/>
            </w:tcBorders>
          </w:tcPr>
          <w:p>
            <w:pPr>
              <w:spacing w:after="0"/>
              <w:rPr>
                <w:sz w:val="13"/>
                <w:szCs w:val="13"/>
                <w:color w:val="auto"/>
              </w:rPr>
            </w:pPr>
          </w:p>
        </w:tc>
        <w:tc>
          <w:tcPr>
            <w:tcW w:w="840" w:type="dxa"/>
            <w:vAlign w:val="bottom"/>
            <w:tcBorders>
              <w:bottom w:val="single" w:sz="8" w:color="00548B"/>
            </w:tcBorders>
          </w:tcPr>
          <w:p>
            <w:pPr>
              <w:spacing w:after="0"/>
              <w:rPr>
                <w:sz w:val="13"/>
                <w:szCs w:val="13"/>
                <w:color w:val="auto"/>
              </w:rPr>
            </w:pPr>
          </w:p>
        </w:tc>
        <w:tc>
          <w:tcPr>
            <w:tcW w:w="1100" w:type="dxa"/>
            <w:vAlign w:val="bottom"/>
            <w:tcBorders>
              <w:bottom w:val="single" w:sz="8" w:color="00548B"/>
            </w:tcBorders>
          </w:tcPr>
          <w:p>
            <w:pPr>
              <w:spacing w:after="0"/>
              <w:rPr>
                <w:sz w:val="13"/>
                <w:szCs w:val="13"/>
                <w:color w:val="auto"/>
              </w:rPr>
            </w:pPr>
          </w:p>
        </w:tc>
        <w:tc>
          <w:tcPr>
            <w:tcW w:w="1120" w:type="dxa"/>
            <w:vAlign w:val="bottom"/>
            <w:tcBorders>
              <w:bottom w:val="single" w:sz="8" w:color="00548B"/>
            </w:tcBorders>
          </w:tcPr>
          <w:p>
            <w:pPr>
              <w:spacing w:after="0"/>
              <w:rPr>
                <w:sz w:val="13"/>
                <w:szCs w:val="13"/>
                <w:color w:val="auto"/>
              </w:rPr>
            </w:pPr>
          </w:p>
        </w:tc>
        <w:tc>
          <w:tcPr>
            <w:tcW w:w="1100" w:type="dxa"/>
            <w:vAlign w:val="bottom"/>
            <w:tcBorders>
              <w:bottom w:val="single" w:sz="8" w:color="00548B"/>
            </w:tcBorders>
          </w:tcPr>
          <w:p>
            <w:pPr>
              <w:spacing w:after="0"/>
              <w:rPr>
                <w:sz w:val="13"/>
                <w:szCs w:val="13"/>
                <w:color w:val="auto"/>
              </w:rPr>
            </w:pPr>
          </w:p>
        </w:tc>
      </w:tr>
    </w:tbl>
    <w:p>
      <w:pPr>
        <w:spacing w:after="0" w:line="218" w:lineRule="exact"/>
        <w:rPr>
          <w:sz w:val="20"/>
          <w:szCs w:val="20"/>
          <w:color w:val="auto"/>
        </w:rPr>
      </w:pPr>
    </w:p>
    <w:p>
      <w:pPr>
        <w:jc w:val="both"/>
        <w:ind w:left="740" w:right="20" w:hanging="536"/>
        <w:spacing w:after="0" w:line="253" w:lineRule="auto"/>
        <w:tabs>
          <w:tab w:leader="none" w:pos="7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restricted stock and/or performance share unit awards. The value of the performance share units in the table is consistent with the estimate of aggregate compensation cost to be recognized over the service period determined as of the grant date under FASB ASC Topic 718.</w:t>
      </w:r>
    </w:p>
    <w:p>
      <w:pPr>
        <w:spacing w:after="0" w:line="66" w:lineRule="exact"/>
        <w:rPr>
          <w:rFonts w:ascii="Arial" w:cs="Arial" w:eastAsia="Arial" w:hAnsi="Arial"/>
          <w:sz w:val="16"/>
          <w:szCs w:val="16"/>
          <w:color w:val="auto"/>
        </w:rPr>
      </w:pPr>
    </w:p>
    <w:p>
      <w:pPr>
        <w:jc w:val="both"/>
        <w:ind w:left="740" w:right="20" w:hanging="536"/>
        <w:spacing w:after="0" w:line="250" w:lineRule="auto"/>
        <w:tabs>
          <w:tab w:leader="none" w:pos="7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in this column represent investment gains in the deferred compensation plan. Huron does not offer a pension plan. The amount shown above represents that portion of the account earnings that exceeded the SEC benchmark “market” rate equal to 120% of the long-term applicable federal rate (based on the average rate for 2018, 2017, and 2016 of 3.58%, 2.72% and 2.70%, respectively). For 2018, the actual earnings (losses) for Mr. Roth, Mr. Hussey and Ms. Ratekin were ($275,980), ($45,989) and ($8,487), respectively. Please see the section entitled “2018 Nonqualified Deferred Compensation” below for more detail.</w:t>
      </w:r>
    </w:p>
    <w:p>
      <w:pPr>
        <w:spacing w:after="0" w:line="68" w:lineRule="exact"/>
        <w:rPr>
          <w:rFonts w:ascii="Arial" w:cs="Arial" w:eastAsia="Arial" w:hAnsi="Arial"/>
          <w:sz w:val="16"/>
          <w:szCs w:val="16"/>
          <w:color w:val="auto"/>
        </w:rPr>
      </w:pPr>
    </w:p>
    <w:p>
      <w:pPr>
        <w:ind w:left="740" w:hanging="536"/>
        <w:spacing w:after="0"/>
        <w:tabs>
          <w:tab w:leader="none" w:pos="7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Other Compensation for 2018 is detailed in the table below.</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2018 All Other Compensation</w:t>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shd w:val="clear" w:color="auto" w:fill="00548B"/>
          </w:tcPr>
          <w:p>
            <w:pPr>
              <w:spacing w:after="0"/>
              <w:rPr>
                <w:sz w:val="14"/>
                <w:szCs w:val="14"/>
                <w:color w:val="auto"/>
              </w:rPr>
            </w:pPr>
          </w:p>
        </w:tc>
        <w:tc>
          <w:tcPr>
            <w:tcW w:w="2280" w:type="dxa"/>
            <w:vAlign w:val="bottom"/>
            <w:shd w:val="clear" w:color="auto" w:fill="00548B"/>
          </w:tcPr>
          <w:p>
            <w:pPr>
              <w:spacing w:after="0"/>
              <w:rPr>
                <w:sz w:val="14"/>
                <w:szCs w:val="14"/>
                <w:color w:val="auto"/>
              </w:rPr>
            </w:pPr>
          </w:p>
        </w:tc>
        <w:tc>
          <w:tcPr>
            <w:tcW w:w="17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Executive $1MM</w:t>
            </w:r>
          </w:p>
        </w:tc>
        <w:tc>
          <w:tcPr>
            <w:tcW w:w="1960" w:type="dxa"/>
            <w:vAlign w:val="bottom"/>
            <w:shd w:val="clear" w:color="auto" w:fill="00548B"/>
          </w:tcPr>
          <w:p>
            <w:pPr>
              <w:spacing w:after="0"/>
              <w:rPr>
                <w:sz w:val="14"/>
                <w:szCs w:val="14"/>
                <w:color w:val="auto"/>
              </w:rPr>
            </w:pPr>
          </w:p>
        </w:tc>
        <w:tc>
          <w:tcPr>
            <w:tcW w:w="16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Other Benefits</w:t>
            </w:r>
          </w:p>
        </w:tc>
        <w:tc>
          <w:tcPr>
            <w:tcW w:w="1460" w:type="dxa"/>
            <w:vAlign w:val="bottom"/>
            <w:shd w:val="clear" w:color="auto" w:fill="00548B"/>
          </w:tcPr>
          <w:p>
            <w:pPr>
              <w:jc w:val="center"/>
              <w:ind w:left="188"/>
              <w:spacing w:after="0"/>
              <w:rPr>
                <w:sz w:val="20"/>
                <w:szCs w:val="20"/>
                <w:color w:val="auto"/>
              </w:rPr>
            </w:pPr>
            <w:r>
              <w:rPr>
                <w:rFonts w:ascii="Arial" w:cs="Arial" w:eastAsia="Arial" w:hAnsi="Arial"/>
                <w:sz w:val="14"/>
                <w:szCs w:val="14"/>
                <w:b w:val="1"/>
                <w:bCs w:val="1"/>
                <w:color w:val="D8D8D8"/>
              </w:rPr>
              <w:t>Total All</w:t>
            </w:r>
          </w:p>
        </w:tc>
      </w:tr>
      <w:tr>
        <w:trPr>
          <w:trHeight w:val="162"/>
        </w:trPr>
        <w:tc>
          <w:tcPr>
            <w:tcW w:w="20" w:type="dxa"/>
            <w:vAlign w:val="bottom"/>
          </w:tcPr>
          <w:p>
            <w:pPr>
              <w:spacing w:after="0"/>
              <w:rPr>
                <w:sz w:val="14"/>
                <w:szCs w:val="14"/>
                <w:color w:val="auto"/>
              </w:rPr>
            </w:pPr>
          </w:p>
        </w:tc>
        <w:tc>
          <w:tcPr>
            <w:tcW w:w="1900" w:type="dxa"/>
            <w:vAlign w:val="bottom"/>
            <w:shd w:val="clear" w:color="auto" w:fill="00548B"/>
          </w:tcPr>
          <w:p>
            <w:pPr>
              <w:spacing w:after="0"/>
              <w:rPr>
                <w:sz w:val="14"/>
                <w:szCs w:val="14"/>
                <w:color w:val="auto"/>
              </w:rPr>
            </w:pPr>
          </w:p>
        </w:tc>
        <w:tc>
          <w:tcPr>
            <w:tcW w:w="2280" w:type="dxa"/>
            <w:vAlign w:val="bottom"/>
            <w:shd w:val="clear" w:color="auto" w:fill="00548B"/>
          </w:tcPr>
          <w:p>
            <w:pPr>
              <w:jc w:val="center"/>
              <w:ind w:left="448"/>
              <w:spacing w:after="0"/>
              <w:rPr>
                <w:sz w:val="20"/>
                <w:szCs w:val="20"/>
                <w:color w:val="auto"/>
              </w:rPr>
            </w:pPr>
            <w:r>
              <w:rPr>
                <w:rFonts w:ascii="Arial" w:cs="Arial" w:eastAsia="Arial" w:hAnsi="Arial"/>
                <w:sz w:val="14"/>
                <w:szCs w:val="14"/>
                <w:b w:val="1"/>
                <w:bCs w:val="1"/>
                <w:color w:val="D8D8D8"/>
              </w:rPr>
              <w:t>Executive Long-</w:t>
            </w:r>
          </w:p>
        </w:tc>
        <w:tc>
          <w:tcPr>
            <w:tcW w:w="17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Term Life</w:t>
            </w:r>
          </w:p>
        </w:tc>
        <w:tc>
          <w:tcPr>
            <w:tcW w:w="19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Company Provided</w:t>
            </w:r>
          </w:p>
        </w:tc>
        <w:tc>
          <w:tcPr>
            <w:tcW w:w="16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and</w:t>
            </w:r>
          </w:p>
        </w:tc>
        <w:tc>
          <w:tcPr>
            <w:tcW w:w="1460" w:type="dxa"/>
            <w:vAlign w:val="bottom"/>
            <w:shd w:val="clear" w:color="auto" w:fill="00548B"/>
          </w:tcPr>
          <w:p>
            <w:pPr>
              <w:jc w:val="center"/>
              <w:ind w:left="208"/>
              <w:spacing w:after="0"/>
              <w:rPr>
                <w:sz w:val="20"/>
                <w:szCs w:val="20"/>
                <w:color w:val="auto"/>
              </w:rPr>
            </w:pPr>
            <w:r>
              <w:rPr>
                <w:rFonts w:ascii="Arial" w:cs="Arial" w:eastAsia="Arial" w:hAnsi="Arial"/>
                <w:sz w:val="14"/>
                <w:szCs w:val="14"/>
                <w:b w:val="1"/>
                <w:bCs w:val="1"/>
                <w:color w:val="D8D8D8"/>
              </w:rPr>
              <w:t>Other</w:t>
            </w:r>
          </w:p>
        </w:tc>
      </w:tr>
      <w:tr>
        <w:trPr>
          <w:trHeight w:val="162"/>
        </w:trPr>
        <w:tc>
          <w:tcPr>
            <w:tcW w:w="20" w:type="dxa"/>
            <w:vAlign w:val="bottom"/>
          </w:tcPr>
          <w:p>
            <w:pPr>
              <w:spacing w:after="0"/>
              <w:rPr>
                <w:sz w:val="14"/>
                <w:szCs w:val="14"/>
                <w:color w:val="auto"/>
              </w:rPr>
            </w:pPr>
          </w:p>
        </w:tc>
        <w:tc>
          <w:tcPr>
            <w:tcW w:w="1900" w:type="dxa"/>
            <w:vAlign w:val="bottom"/>
            <w:shd w:val="clear" w:color="auto" w:fill="00548B"/>
          </w:tcPr>
          <w:p>
            <w:pPr>
              <w:spacing w:after="0"/>
              <w:rPr>
                <w:sz w:val="14"/>
                <w:szCs w:val="14"/>
                <w:color w:val="auto"/>
              </w:rPr>
            </w:pPr>
          </w:p>
        </w:tc>
        <w:tc>
          <w:tcPr>
            <w:tcW w:w="2280" w:type="dxa"/>
            <w:vAlign w:val="bottom"/>
            <w:shd w:val="clear" w:color="auto" w:fill="00548B"/>
          </w:tcPr>
          <w:p>
            <w:pPr>
              <w:jc w:val="center"/>
              <w:ind w:left="448"/>
              <w:spacing w:after="0"/>
              <w:rPr>
                <w:sz w:val="20"/>
                <w:szCs w:val="20"/>
                <w:color w:val="auto"/>
              </w:rPr>
            </w:pPr>
            <w:r>
              <w:rPr>
                <w:rFonts w:ascii="Arial" w:cs="Arial" w:eastAsia="Arial" w:hAnsi="Arial"/>
                <w:sz w:val="14"/>
                <w:szCs w:val="14"/>
                <w:b w:val="1"/>
                <w:bCs w:val="1"/>
                <w:color w:val="D8D8D8"/>
              </w:rPr>
              <w:t>Term Disability</w:t>
            </w:r>
          </w:p>
        </w:tc>
        <w:tc>
          <w:tcPr>
            <w:tcW w:w="17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Insurance</w:t>
            </w:r>
          </w:p>
        </w:tc>
        <w:tc>
          <w:tcPr>
            <w:tcW w:w="19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401(k) Match</w:t>
            </w:r>
          </w:p>
        </w:tc>
        <w:tc>
          <w:tcPr>
            <w:tcW w:w="16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Perquisites</w:t>
            </w:r>
          </w:p>
        </w:tc>
        <w:tc>
          <w:tcPr>
            <w:tcW w:w="1460" w:type="dxa"/>
            <w:vAlign w:val="bottom"/>
            <w:shd w:val="clear" w:color="auto" w:fill="00548B"/>
          </w:tcPr>
          <w:p>
            <w:pPr>
              <w:jc w:val="center"/>
              <w:ind w:left="188"/>
              <w:spacing w:after="0"/>
              <w:rPr>
                <w:sz w:val="20"/>
                <w:szCs w:val="20"/>
                <w:color w:val="auto"/>
              </w:rPr>
            </w:pPr>
            <w:r>
              <w:rPr>
                <w:rFonts w:ascii="Arial" w:cs="Arial" w:eastAsia="Arial" w:hAnsi="Arial"/>
                <w:sz w:val="14"/>
                <w:szCs w:val="14"/>
                <w:b w:val="1"/>
                <w:bCs w:val="1"/>
                <w:color w:val="D8D8D8"/>
              </w:rPr>
              <w:t>Compensation</w:t>
            </w:r>
          </w:p>
        </w:tc>
      </w:tr>
      <w:tr>
        <w:trPr>
          <w:trHeight w:val="189"/>
        </w:trPr>
        <w:tc>
          <w:tcPr>
            <w:tcW w:w="20" w:type="dxa"/>
            <w:vAlign w:val="bottom"/>
          </w:tcPr>
          <w:p>
            <w:pPr>
              <w:spacing w:after="0"/>
              <w:rPr>
                <w:sz w:val="16"/>
                <w:szCs w:val="16"/>
                <w:color w:val="auto"/>
              </w:rPr>
            </w:pPr>
          </w:p>
        </w:tc>
        <w:tc>
          <w:tcPr>
            <w:tcW w:w="190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2280" w:type="dxa"/>
            <w:vAlign w:val="bottom"/>
            <w:shd w:val="clear" w:color="auto" w:fill="00548B"/>
          </w:tcPr>
          <w:p>
            <w:pPr>
              <w:jc w:val="center"/>
              <w:ind w:left="448"/>
              <w:spacing w:after="0"/>
              <w:rPr>
                <w:sz w:val="20"/>
                <w:szCs w:val="20"/>
                <w:color w:val="auto"/>
              </w:rPr>
            </w:pPr>
            <w:r>
              <w:rPr>
                <w:rFonts w:ascii="Arial" w:cs="Arial" w:eastAsia="Arial" w:hAnsi="Arial"/>
                <w:sz w:val="14"/>
                <w:szCs w:val="14"/>
                <w:b w:val="1"/>
                <w:bCs w:val="1"/>
                <w:color w:val="D8D8D8"/>
              </w:rPr>
              <w:t>($)(1)</w:t>
            </w:r>
          </w:p>
        </w:tc>
        <w:tc>
          <w:tcPr>
            <w:tcW w:w="17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($)(2)</w:t>
            </w:r>
          </w:p>
        </w:tc>
        <w:tc>
          <w:tcPr>
            <w:tcW w:w="19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9"/>
              </w:rPr>
              <w:t>($)(3)</w:t>
            </w:r>
          </w:p>
        </w:tc>
        <w:tc>
          <w:tcPr>
            <w:tcW w:w="16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9"/>
              </w:rPr>
              <w:t>($)(4)</w:t>
            </w:r>
          </w:p>
        </w:tc>
        <w:tc>
          <w:tcPr>
            <w:tcW w:w="1460" w:type="dxa"/>
            <w:vAlign w:val="bottom"/>
            <w:shd w:val="clear" w:color="auto" w:fill="00548B"/>
          </w:tcPr>
          <w:p>
            <w:pPr>
              <w:jc w:val="center"/>
              <w:ind w:left="208"/>
              <w:spacing w:after="0"/>
              <w:rPr>
                <w:sz w:val="20"/>
                <w:szCs w:val="20"/>
                <w:color w:val="auto"/>
              </w:rPr>
            </w:pPr>
            <w:r>
              <w:rPr>
                <w:rFonts w:ascii="Arial" w:cs="Arial" w:eastAsia="Arial" w:hAnsi="Arial"/>
                <w:sz w:val="14"/>
                <w:szCs w:val="14"/>
                <w:b w:val="1"/>
                <w:bCs w:val="1"/>
                <w:color w:val="D8D8D8"/>
              </w:rPr>
              <w:t>($)</w:t>
            </w:r>
          </w:p>
        </w:tc>
      </w:tr>
      <w:tr>
        <w:trPr>
          <w:trHeight w:val="162"/>
        </w:trPr>
        <w:tc>
          <w:tcPr>
            <w:tcW w:w="1920" w:type="dxa"/>
            <w:vAlign w:val="bottom"/>
            <w:tcBorders>
              <w:bottom w:val="single" w:sz="8" w:color="999999"/>
            </w:tcBorders>
            <w:gridSpan w:val="2"/>
          </w:tcPr>
          <w:p>
            <w:pPr>
              <w:spacing w:after="0"/>
              <w:rPr>
                <w:sz w:val="20"/>
                <w:szCs w:val="20"/>
                <w:color w:val="auto"/>
              </w:rPr>
            </w:pPr>
            <w:r>
              <w:rPr>
                <w:rFonts w:ascii="Arial" w:cs="Arial" w:eastAsia="Arial" w:hAnsi="Arial"/>
                <w:sz w:val="14"/>
                <w:szCs w:val="14"/>
                <w:color w:val="auto"/>
              </w:rPr>
              <w:t>James H. Roth</w:t>
            </w:r>
          </w:p>
        </w:tc>
        <w:tc>
          <w:tcPr>
            <w:tcW w:w="2280" w:type="dxa"/>
            <w:vAlign w:val="bottom"/>
            <w:tcBorders>
              <w:bottom w:val="single" w:sz="8" w:color="999999"/>
            </w:tcBorders>
          </w:tcPr>
          <w:p>
            <w:pPr>
              <w:jc w:val="right"/>
              <w:ind w:right="468"/>
              <w:spacing w:after="0"/>
              <w:rPr>
                <w:sz w:val="20"/>
                <w:szCs w:val="20"/>
                <w:color w:val="auto"/>
              </w:rPr>
            </w:pPr>
            <w:r>
              <w:rPr>
                <w:rFonts w:ascii="Arial" w:cs="Arial" w:eastAsia="Arial" w:hAnsi="Arial"/>
                <w:sz w:val="14"/>
                <w:szCs w:val="14"/>
                <w:color w:val="auto"/>
              </w:rPr>
              <w:t>6,776</w:t>
            </w:r>
          </w:p>
        </w:tc>
        <w:tc>
          <w:tcPr>
            <w:tcW w:w="1760" w:type="dxa"/>
            <w:vAlign w:val="bottom"/>
            <w:tcBorders>
              <w:bottom w:val="single" w:sz="8" w:color="999999"/>
            </w:tcBorders>
          </w:tcPr>
          <w:p>
            <w:pPr>
              <w:jc w:val="right"/>
              <w:ind w:right="528"/>
              <w:spacing w:after="0"/>
              <w:rPr>
                <w:sz w:val="20"/>
                <w:szCs w:val="20"/>
                <w:color w:val="auto"/>
              </w:rPr>
            </w:pPr>
            <w:r>
              <w:rPr>
                <w:rFonts w:ascii="Arial" w:cs="Arial" w:eastAsia="Arial" w:hAnsi="Arial"/>
                <w:sz w:val="14"/>
                <w:szCs w:val="14"/>
                <w:color w:val="auto"/>
              </w:rPr>
              <w:t>4,433</w:t>
            </w:r>
          </w:p>
        </w:tc>
        <w:tc>
          <w:tcPr>
            <w:tcW w:w="1960" w:type="dxa"/>
            <w:vAlign w:val="bottom"/>
            <w:tcBorders>
              <w:bottom w:val="single" w:sz="8" w:color="999999"/>
            </w:tcBorders>
          </w:tcPr>
          <w:p>
            <w:pPr>
              <w:jc w:val="right"/>
              <w:ind w:right="548"/>
              <w:spacing w:after="0"/>
              <w:rPr>
                <w:sz w:val="20"/>
                <w:szCs w:val="20"/>
                <w:color w:val="auto"/>
              </w:rPr>
            </w:pPr>
            <w:r>
              <w:rPr>
                <w:rFonts w:ascii="Arial" w:cs="Arial" w:eastAsia="Arial" w:hAnsi="Arial"/>
                <w:sz w:val="14"/>
                <w:szCs w:val="14"/>
                <w:color w:val="auto"/>
              </w:rPr>
              <w:t>16,500</w:t>
            </w:r>
          </w:p>
        </w:tc>
        <w:tc>
          <w:tcPr>
            <w:tcW w:w="1660" w:type="dxa"/>
            <w:vAlign w:val="bottom"/>
            <w:tcBorders>
              <w:bottom w:val="single" w:sz="8" w:color="999999"/>
            </w:tcBorders>
          </w:tcPr>
          <w:p>
            <w:pPr>
              <w:jc w:val="right"/>
              <w:ind w:right="488"/>
              <w:spacing w:after="0"/>
              <w:rPr>
                <w:sz w:val="20"/>
                <w:szCs w:val="20"/>
                <w:color w:val="auto"/>
              </w:rPr>
            </w:pPr>
            <w:r>
              <w:rPr>
                <w:rFonts w:ascii="Arial" w:cs="Arial" w:eastAsia="Arial" w:hAnsi="Arial"/>
                <w:sz w:val="14"/>
                <w:szCs w:val="14"/>
                <w:color w:val="auto"/>
              </w:rPr>
              <w:t>4,945</w:t>
            </w:r>
          </w:p>
        </w:tc>
        <w:tc>
          <w:tcPr>
            <w:tcW w:w="1460" w:type="dxa"/>
            <w:vAlign w:val="bottom"/>
            <w:tcBorders>
              <w:bottom w:val="single" w:sz="8" w:color="999999"/>
            </w:tcBorders>
          </w:tcPr>
          <w:p>
            <w:pPr>
              <w:jc w:val="right"/>
              <w:ind w:right="208"/>
              <w:spacing w:after="0"/>
              <w:rPr>
                <w:sz w:val="20"/>
                <w:szCs w:val="20"/>
                <w:color w:val="auto"/>
              </w:rPr>
            </w:pPr>
            <w:r>
              <w:rPr>
                <w:rFonts w:ascii="Arial" w:cs="Arial" w:eastAsia="Arial" w:hAnsi="Arial"/>
                <w:sz w:val="14"/>
                <w:szCs w:val="14"/>
                <w:color w:val="auto"/>
              </w:rPr>
              <w:t>32,654</w:t>
            </w:r>
          </w:p>
        </w:tc>
      </w:tr>
      <w:tr>
        <w:trPr>
          <w:trHeight w:val="156"/>
        </w:trPr>
        <w:tc>
          <w:tcPr>
            <w:tcW w:w="1920" w:type="dxa"/>
            <w:vAlign w:val="bottom"/>
            <w:tcBorders>
              <w:bottom w:val="single" w:sz="8" w:color="999999"/>
            </w:tcBorders>
            <w:gridSpan w:val="2"/>
          </w:tcPr>
          <w:p>
            <w:pPr>
              <w:spacing w:after="0" w:line="155" w:lineRule="exact"/>
              <w:rPr>
                <w:sz w:val="20"/>
                <w:szCs w:val="20"/>
                <w:color w:val="auto"/>
              </w:rPr>
            </w:pPr>
            <w:r>
              <w:rPr>
                <w:rFonts w:ascii="Arial" w:cs="Arial" w:eastAsia="Arial" w:hAnsi="Arial"/>
                <w:sz w:val="14"/>
                <w:szCs w:val="14"/>
                <w:color w:val="auto"/>
              </w:rPr>
              <w:t>C. Mark Hussey</w:t>
            </w:r>
          </w:p>
        </w:tc>
        <w:tc>
          <w:tcPr>
            <w:tcW w:w="2280" w:type="dxa"/>
            <w:vAlign w:val="bottom"/>
            <w:tcBorders>
              <w:bottom w:val="single" w:sz="8" w:color="999999"/>
            </w:tcBorders>
          </w:tcPr>
          <w:p>
            <w:pPr>
              <w:jc w:val="right"/>
              <w:ind w:right="468"/>
              <w:spacing w:after="0" w:line="155" w:lineRule="exact"/>
              <w:rPr>
                <w:sz w:val="20"/>
                <w:szCs w:val="20"/>
                <w:color w:val="auto"/>
              </w:rPr>
            </w:pPr>
            <w:r>
              <w:rPr>
                <w:rFonts w:ascii="Arial" w:cs="Arial" w:eastAsia="Arial" w:hAnsi="Arial"/>
                <w:sz w:val="14"/>
                <w:szCs w:val="14"/>
                <w:color w:val="auto"/>
              </w:rPr>
              <w:t>7,101</w:t>
            </w:r>
          </w:p>
        </w:tc>
        <w:tc>
          <w:tcPr>
            <w:tcW w:w="1760" w:type="dxa"/>
            <w:vAlign w:val="bottom"/>
            <w:tcBorders>
              <w:bottom w:val="single" w:sz="8" w:color="999999"/>
            </w:tcBorders>
          </w:tcPr>
          <w:p>
            <w:pPr>
              <w:jc w:val="right"/>
              <w:ind w:right="528"/>
              <w:spacing w:after="0" w:line="155" w:lineRule="exact"/>
              <w:rPr>
                <w:sz w:val="20"/>
                <w:szCs w:val="20"/>
                <w:color w:val="auto"/>
              </w:rPr>
            </w:pPr>
            <w:r>
              <w:rPr>
                <w:rFonts w:ascii="Arial" w:cs="Arial" w:eastAsia="Arial" w:hAnsi="Arial"/>
                <w:sz w:val="14"/>
                <w:szCs w:val="14"/>
                <w:color w:val="auto"/>
              </w:rPr>
              <w:t>3,204</w:t>
            </w:r>
          </w:p>
        </w:tc>
        <w:tc>
          <w:tcPr>
            <w:tcW w:w="1960" w:type="dxa"/>
            <w:vAlign w:val="bottom"/>
            <w:tcBorders>
              <w:bottom w:val="single" w:sz="8" w:color="999999"/>
            </w:tcBorders>
          </w:tcPr>
          <w:p>
            <w:pPr>
              <w:jc w:val="right"/>
              <w:ind w:right="548"/>
              <w:spacing w:after="0" w:line="155" w:lineRule="exact"/>
              <w:rPr>
                <w:sz w:val="20"/>
                <w:szCs w:val="20"/>
                <w:color w:val="auto"/>
              </w:rPr>
            </w:pPr>
            <w:r>
              <w:rPr>
                <w:rFonts w:ascii="Arial" w:cs="Arial" w:eastAsia="Arial" w:hAnsi="Arial"/>
                <w:sz w:val="14"/>
                <w:szCs w:val="14"/>
                <w:color w:val="auto"/>
              </w:rPr>
              <w:t>16,500</w:t>
            </w:r>
          </w:p>
        </w:tc>
        <w:tc>
          <w:tcPr>
            <w:tcW w:w="1660" w:type="dxa"/>
            <w:vAlign w:val="bottom"/>
            <w:tcBorders>
              <w:bottom w:val="single" w:sz="8" w:color="999999"/>
            </w:tcBorders>
          </w:tcPr>
          <w:p>
            <w:pPr>
              <w:jc w:val="right"/>
              <w:ind w:right="488"/>
              <w:spacing w:after="0" w:line="155" w:lineRule="exact"/>
              <w:rPr>
                <w:sz w:val="20"/>
                <w:szCs w:val="20"/>
                <w:color w:val="auto"/>
              </w:rPr>
            </w:pPr>
            <w:r>
              <w:rPr>
                <w:rFonts w:ascii="Arial" w:cs="Arial" w:eastAsia="Arial" w:hAnsi="Arial"/>
                <w:sz w:val="14"/>
                <w:szCs w:val="14"/>
                <w:color w:val="auto"/>
              </w:rPr>
              <w:t>4,945</w:t>
            </w:r>
          </w:p>
        </w:tc>
        <w:tc>
          <w:tcPr>
            <w:tcW w:w="1460" w:type="dxa"/>
            <w:vAlign w:val="bottom"/>
            <w:tcBorders>
              <w:bottom w:val="single" w:sz="8" w:color="999999"/>
            </w:tcBorders>
          </w:tcPr>
          <w:p>
            <w:pPr>
              <w:jc w:val="right"/>
              <w:ind w:right="208"/>
              <w:spacing w:after="0" w:line="155" w:lineRule="exact"/>
              <w:rPr>
                <w:sz w:val="20"/>
                <w:szCs w:val="20"/>
                <w:color w:val="auto"/>
              </w:rPr>
            </w:pPr>
            <w:r>
              <w:rPr>
                <w:rFonts w:ascii="Arial" w:cs="Arial" w:eastAsia="Arial" w:hAnsi="Arial"/>
                <w:sz w:val="14"/>
                <w:szCs w:val="14"/>
                <w:color w:val="auto"/>
              </w:rPr>
              <w:t>31,750</w:t>
            </w:r>
          </w:p>
        </w:tc>
      </w:tr>
      <w:tr>
        <w:trPr>
          <w:trHeight w:val="156"/>
        </w:trPr>
        <w:tc>
          <w:tcPr>
            <w:tcW w:w="1920" w:type="dxa"/>
            <w:vAlign w:val="bottom"/>
            <w:tcBorders>
              <w:bottom w:val="single" w:sz="8" w:color="999999"/>
            </w:tcBorders>
            <w:gridSpan w:val="2"/>
          </w:tcPr>
          <w:p>
            <w:pPr>
              <w:spacing w:after="0" w:line="155" w:lineRule="exact"/>
              <w:rPr>
                <w:sz w:val="20"/>
                <w:szCs w:val="20"/>
                <w:color w:val="auto"/>
              </w:rPr>
            </w:pPr>
            <w:r>
              <w:rPr>
                <w:rFonts w:ascii="Arial" w:cs="Arial" w:eastAsia="Arial" w:hAnsi="Arial"/>
                <w:sz w:val="14"/>
                <w:szCs w:val="14"/>
                <w:color w:val="auto"/>
              </w:rPr>
              <w:t>John D. Kelly</w:t>
            </w:r>
          </w:p>
        </w:tc>
        <w:tc>
          <w:tcPr>
            <w:tcW w:w="2280" w:type="dxa"/>
            <w:vAlign w:val="bottom"/>
            <w:tcBorders>
              <w:bottom w:val="single" w:sz="8" w:color="999999"/>
            </w:tcBorders>
          </w:tcPr>
          <w:p>
            <w:pPr>
              <w:jc w:val="right"/>
              <w:ind w:right="468"/>
              <w:spacing w:after="0" w:line="155" w:lineRule="exact"/>
              <w:rPr>
                <w:sz w:val="20"/>
                <w:szCs w:val="20"/>
                <w:color w:val="auto"/>
              </w:rPr>
            </w:pPr>
            <w:r>
              <w:rPr>
                <w:rFonts w:ascii="Arial" w:cs="Arial" w:eastAsia="Arial" w:hAnsi="Arial"/>
                <w:sz w:val="14"/>
                <w:szCs w:val="14"/>
                <w:color w:val="auto"/>
              </w:rPr>
              <w:t>2,598</w:t>
            </w:r>
          </w:p>
        </w:tc>
        <w:tc>
          <w:tcPr>
            <w:tcW w:w="1760" w:type="dxa"/>
            <w:vAlign w:val="bottom"/>
            <w:tcBorders>
              <w:bottom w:val="single" w:sz="8" w:color="999999"/>
            </w:tcBorders>
          </w:tcPr>
          <w:p>
            <w:pPr>
              <w:jc w:val="right"/>
              <w:ind w:right="528"/>
              <w:spacing w:after="0" w:line="155" w:lineRule="exact"/>
              <w:rPr>
                <w:sz w:val="20"/>
                <w:szCs w:val="20"/>
                <w:color w:val="auto"/>
              </w:rPr>
            </w:pPr>
            <w:r>
              <w:rPr>
                <w:rFonts w:ascii="Arial" w:cs="Arial" w:eastAsia="Arial" w:hAnsi="Arial"/>
                <w:sz w:val="14"/>
                <w:szCs w:val="14"/>
                <w:color w:val="auto"/>
              </w:rPr>
              <w:t>1,058</w:t>
            </w:r>
          </w:p>
        </w:tc>
        <w:tc>
          <w:tcPr>
            <w:tcW w:w="1960" w:type="dxa"/>
            <w:vAlign w:val="bottom"/>
            <w:tcBorders>
              <w:bottom w:val="single" w:sz="8" w:color="999999"/>
            </w:tcBorders>
          </w:tcPr>
          <w:p>
            <w:pPr>
              <w:jc w:val="right"/>
              <w:ind w:right="548"/>
              <w:spacing w:after="0" w:line="155" w:lineRule="exact"/>
              <w:rPr>
                <w:sz w:val="20"/>
                <w:szCs w:val="20"/>
                <w:color w:val="auto"/>
              </w:rPr>
            </w:pPr>
            <w:r>
              <w:rPr>
                <w:rFonts w:ascii="Arial" w:cs="Arial" w:eastAsia="Arial" w:hAnsi="Arial"/>
                <w:sz w:val="14"/>
                <w:szCs w:val="14"/>
                <w:color w:val="auto"/>
              </w:rPr>
              <w:t>16,500</w:t>
            </w:r>
          </w:p>
        </w:tc>
        <w:tc>
          <w:tcPr>
            <w:tcW w:w="1660" w:type="dxa"/>
            <w:vAlign w:val="bottom"/>
            <w:tcBorders>
              <w:bottom w:val="single" w:sz="8" w:color="999999"/>
            </w:tcBorders>
          </w:tcPr>
          <w:p>
            <w:pPr>
              <w:jc w:val="right"/>
              <w:ind w:right="488"/>
              <w:spacing w:after="0" w:line="155" w:lineRule="exact"/>
              <w:rPr>
                <w:sz w:val="20"/>
                <w:szCs w:val="20"/>
                <w:color w:val="auto"/>
              </w:rPr>
            </w:pPr>
            <w:r>
              <w:rPr>
                <w:rFonts w:ascii="Arial" w:cs="Arial" w:eastAsia="Arial" w:hAnsi="Arial"/>
                <w:sz w:val="14"/>
                <w:szCs w:val="14"/>
                <w:color w:val="auto"/>
              </w:rPr>
              <w:t>0</w:t>
            </w:r>
          </w:p>
        </w:tc>
        <w:tc>
          <w:tcPr>
            <w:tcW w:w="1460" w:type="dxa"/>
            <w:vAlign w:val="bottom"/>
            <w:tcBorders>
              <w:bottom w:val="single" w:sz="8" w:color="999999"/>
            </w:tcBorders>
          </w:tcPr>
          <w:p>
            <w:pPr>
              <w:jc w:val="right"/>
              <w:ind w:right="208"/>
              <w:spacing w:after="0" w:line="155" w:lineRule="exact"/>
              <w:rPr>
                <w:sz w:val="20"/>
                <w:szCs w:val="20"/>
                <w:color w:val="auto"/>
              </w:rPr>
            </w:pPr>
            <w:r>
              <w:rPr>
                <w:rFonts w:ascii="Arial" w:cs="Arial" w:eastAsia="Arial" w:hAnsi="Arial"/>
                <w:sz w:val="14"/>
                <w:szCs w:val="14"/>
                <w:color w:val="auto"/>
              </w:rPr>
              <w:t>20,156</w:t>
            </w:r>
          </w:p>
        </w:tc>
      </w:tr>
      <w:tr>
        <w:trPr>
          <w:trHeight w:val="156"/>
        </w:trPr>
        <w:tc>
          <w:tcPr>
            <w:tcW w:w="1920" w:type="dxa"/>
            <w:vAlign w:val="bottom"/>
            <w:tcBorders>
              <w:bottom w:val="single" w:sz="8" w:color="00548B"/>
            </w:tcBorders>
            <w:gridSpan w:val="2"/>
          </w:tcPr>
          <w:p>
            <w:pPr>
              <w:spacing w:after="0" w:line="155" w:lineRule="exact"/>
              <w:rPr>
                <w:sz w:val="20"/>
                <w:szCs w:val="20"/>
                <w:color w:val="auto"/>
              </w:rPr>
            </w:pPr>
            <w:r>
              <w:rPr>
                <w:rFonts w:ascii="Arial" w:cs="Arial" w:eastAsia="Arial" w:hAnsi="Arial"/>
                <w:sz w:val="14"/>
                <w:szCs w:val="14"/>
                <w:color w:val="auto"/>
              </w:rPr>
              <w:t>Diane E. Ratekin</w:t>
            </w:r>
          </w:p>
        </w:tc>
        <w:tc>
          <w:tcPr>
            <w:tcW w:w="2280" w:type="dxa"/>
            <w:vAlign w:val="bottom"/>
            <w:tcBorders>
              <w:bottom w:val="single" w:sz="8" w:color="00548B"/>
            </w:tcBorders>
          </w:tcPr>
          <w:p>
            <w:pPr>
              <w:jc w:val="right"/>
              <w:ind w:right="468"/>
              <w:spacing w:after="0" w:line="155" w:lineRule="exact"/>
              <w:rPr>
                <w:sz w:val="20"/>
                <w:szCs w:val="20"/>
                <w:color w:val="auto"/>
              </w:rPr>
            </w:pPr>
            <w:r>
              <w:rPr>
                <w:rFonts w:ascii="Arial" w:cs="Arial" w:eastAsia="Arial" w:hAnsi="Arial"/>
                <w:sz w:val="14"/>
                <w:szCs w:val="14"/>
                <w:color w:val="auto"/>
              </w:rPr>
              <w:t>7,952</w:t>
            </w:r>
          </w:p>
        </w:tc>
        <w:tc>
          <w:tcPr>
            <w:tcW w:w="1760" w:type="dxa"/>
            <w:vAlign w:val="bottom"/>
            <w:tcBorders>
              <w:bottom w:val="single" w:sz="8" w:color="00548B"/>
            </w:tcBorders>
          </w:tcPr>
          <w:p>
            <w:pPr>
              <w:jc w:val="right"/>
              <w:ind w:right="528"/>
              <w:spacing w:after="0" w:line="155" w:lineRule="exact"/>
              <w:rPr>
                <w:sz w:val="20"/>
                <w:szCs w:val="20"/>
                <w:color w:val="auto"/>
              </w:rPr>
            </w:pPr>
            <w:r>
              <w:rPr>
                <w:rFonts w:ascii="Arial" w:cs="Arial" w:eastAsia="Arial" w:hAnsi="Arial"/>
                <w:sz w:val="14"/>
                <w:szCs w:val="14"/>
                <w:color w:val="auto"/>
              </w:rPr>
              <w:t>7,488</w:t>
            </w:r>
          </w:p>
        </w:tc>
        <w:tc>
          <w:tcPr>
            <w:tcW w:w="1960" w:type="dxa"/>
            <w:vAlign w:val="bottom"/>
            <w:tcBorders>
              <w:bottom w:val="single" w:sz="8" w:color="00548B"/>
            </w:tcBorders>
          </w:tcPr>
          <w:p>
            <w:pPr>
              <w:jc w:val="right"/>
              <w:ind w:right="548"/>
              <w:spacing w:after="0" w:line="155" w:lineRule="exact"/>
              <w:rPr>
                <w:sz w:val="20"/>
                <w:szCs w:val="20"/>
                <w:color w:val="auto"/>
              </w:rPr>
            </w:pPr>
            <w:r>
              <w:rPr>
                <w:rFonts w:ascii="Arial" w:cs="Arial" w:eastAsia="Arial" w:hAnsi="Arial"/>
                <w:sz w:val="14"/>
                <w:szCs w:val="14"/>
                <w:color w:val="auto"/>
              </w:rPr>
              <w:t>16,500</w:t>
            </w:r>
          </w:p>
        </w:tc>
        <w:tc>
          <w:tcPr>
            <w:tcW w:w="1660" w:type="dxa"/>
            <w:vAlign w:val="bottom"/>
            <w:tcBorders>
              <w:bottom w:val="single" w:sz="8" w:color="00548B"/>
            </w:tcBorders>
          </w:tcPr>
          <w:p>
            <w:pPr>
              <w:jc w:val="right"/>
              <w:ind w:right="488"/>
              <w:spacing w:after="0" w:line="155" w:lineRule="exact"/>
              <w:rPr>
                <w:sz w:val="20"/>
                <w:szCs w:val="20"/>
                <w:color w:val="auto"/>
              </w:rPr>
            </w:pPr>
            <w:r>
              <w:rPr>
                <w:rFonts w:ascii="Arial" w:cs="Arial" w:eastAsia="Arial" w:hAnsi="Arial"/>
                <w:sz w:val="14"/>
                <w:szCs w:val="14"/>
                <w:color w:val="auto"/>
              </w:rPr>
              <w:t>3,995</w:t>
            </w:r>
          </w:p>
        </w:tc>
        <w:tc>
          <w:tcPr>
            <w:tcW w:w="1460" w:type="dxa"/>
            <w:vAlign w:val="bottom"/>
            <w:tcBorders>
              <w:bottom w:val="single" w:sz="8" w:color="00548B"/>
            </w:tcBorders>
          </w:tcPr>
          <w:p>
            <w:pPr>
              <w:jc w:val="right"/>
              <w:ind w:right="208"/>
              <w:spacing w:after="0" w:line="155" w:lineRule="exact"/>
              <w:rPr>
                <w:sz w:val="20"/>
                <w:szCs w:val="20"/>
                <w:color w:val="auto"/>
              </w:rPr>
            </w:pPr>
            <w:r>
              <w:rPr>
                <w:rFonts w:ascii="Arial" w:cs="Arial" w:eastAsia="Arial" w:hAnsi="Arial"/>
                <w:sz w:val="14"/>
                <w:szCs w:val="14"/>
                <w:color w:val="auto"/>
              </w:rPr>
              <w:t>35,935</w:t>
            </w:r>
          </w:p>
        </w:tc>
      </w:tr>
    </w:tbl>
    <w:p>
      <w:pPr>
        <w:spacing w:after="0" w:line="218" w:lineRule="exact"/>
        <w:rPr>
          <w:sz w:val="20"/>
          <w:szCs w:val="20"/>
          <w:color w:val="auto"/>
        </w:rPr>
      </w:pPr>
    </w:p>
    <w:p>
      <w:pPr>
        <w:ind w:left="740" w:hanging="536"/>
        <w:spacing w:after="0"/>
        <w:tabs>
          <w:tab w:leader="none" w:pos="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Executive Long-Term Disability is provided to all executives and managing directors.</w:t>
      </w:r>
    </w:p>
    <w:p>
      <w:pPr>
        <w:spacing w:after="0" w:line="86" w:lineRule="exact"/>
        <w:rPr>
          <w:rFonts w:ascii="Arial" w:cs="Arial" w:eastAsia="Arial" w:hAnsi="Arial"/>
          <w:sz w:val="16"/>
          <w:szCs w:val="16"/>
          <w:color w:val="auto"/>
        </w:rPr>
      </w:pPr>
    </w:p>
    <w:p>
      <w:pPr>
        <w:ind w:left="740" w:hanging="536"/>
        <w:spacing w:after="0"/>
        <w:tabs>
          <w:tab w:leader="none" w:pos="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Executive Term Life Insurance is provided to all executives and managing directors.</w:t>
      </w:r>
    </w:p>
    <w:p>
      <w:pPr>
        <w:spacing w:after="0" w:line="86" w:lineRule="exact"/>
        <w:rPr>
          <w:rFonts w:ascii="Arial" w:cs="Arial" w:eastAsia="Arial" w:hAnsi="Arial"/>
          <w:sz w:val="16"/>
          <w:szCs w:val="16"/>
          <w:color w:val="auto"/>
        </w:rPr>
      </w:pPr>
    </w:p>
    <w:p>
      <w:pPr>
        <w:ind w:left="740" w:hanging="536"/>
        <w:spacing w:after="0"/>
        <w:tabs>
          <w:tab w:leader="none" w:pos="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Huron provides a Company 401(k) match to all participating employees.</w:t>
      </w:r>
    </w:p>
    <w:p>
      <w:pPr>
        <w:spacing w:after="0" w:line="86" w:lineRule="exact"/>
        <w:rPr>
          <w:rFonts w:ascii="Arial" w:cs="Arial" w:eastAsia="Arial" w:hAnsi="Arial"/>
          <w:sz w:val="16"/>
          <w:szCs w:val="16"/>
          <w:color w:val="auto"/>
        </w:rPr>
      </w:pPr>
    </w:p>
    <w:p>
      <w:pPr>
        <w:ind w:left="740" w:hanging="536"/>
        <w:spacing w:after="0"/>
        <w:tabs>
          <w:tab w:leader="none" w:pos="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 Benefits and Perquisites includes the cost of an executive physical, which Huron pays for executives and practice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87630</wp:posOffset>
            </wp:positionV>
            <wp:extent cx="10464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62" w:lineRule="exact"/>
        <w:rPr>
          <w:sz w:val="20"/>
          <w:szCs w:val="20"/>
          <w:color w:val="auto"/>
        </w:rPr>
      </w:pPr>
    </w:p>
    <w:p>
      <w:pPr>
        <w:ind w:left="420" w:hanging="216"/>
        <w:spacing w:after="0"/>
        <w:tabs>
          <w:tab w:leader="none" w:pos="420" w:val="left"/>
        </w:tabs>
        <w:numPr>
          <w:ilvl w:val="0"/>
          <w:numId w:val="39"/>
        </w:numPr>
        <w:rPr>
          <w:rFonts w:ascii="Arial" w:cs="Arial" w:eastAsia="Arial" w:hAnsi="Arial"/>
          <w:sz w:val="12"/>
          <w:szCs w:val="12"/>
          <w:i w:val="1"/>
          <w:iCs w:val="1"/>
          <w:color w:val="auto"/>
        </w:rPr>
      </w:pPr>
      <w:r>
        <w:rPr>
          <w:rFonts w:ascii="Arial" w:cs="Arial" w:eastAsia="Arial" w:hAnsi="Arial"/>
          <w:sz w:val="12"/>
          <w:szCs w:val="12"/>
          <w:i w:val="1"/>
          <w:iCs w:val="1"/>
          <w:color w:val="auto"/>
        </w:rPr>
        <w:t>Mr. Roth also served as President until February 2019.</w:t>
      </w:r>
    </w:p>
    <w:p>
      <w:pPr>
        <w:spacing w:after="0" w:line="6" w:lineRule="exact"/>
        <w:rPr>
          <w:sz w:val="20"/>
          <w:szCs w:val="20"/>
          <w:color w:val="auto"/>
        </w:rPr>
      </w:pPr>
    </w:p>
    <w:p>
      <w:pPr>
        <w:ind w:left="420" w:hanging="216"/>
        <w:spacing w:after="0"/>
        <w:tabs>
          <w:tab w:leader="none" w:pos="420" w:val="left"/>
        </w:tabs>
        <w:numPr>
          <w:ilvl w:val="0"/>
          <w:numId w:val="40"/>
        </w:numPr>
        <w:rPr>
          <w:rFonts w:ascii="Arial" w:cs="Arial" w:eastAsia="Arial" w:hAnsi="Arial"/>
          <w:sz w:val="12"/>
          <w:szCs w:val="12"/>
          <w:i w:val="1"/>
          <w:iCs w:val="1"/>
          <w:color w:val="auto"/>
        </w:rPr>
      </w:pPr>
      <w:r>
        <w:rPr>
          <w:rFonts w:ascii="Arial" w:cs="Arial" w:eastAsia="Arial" w:hAnsi="Arial"/>
          <w:sz w:val="12"/>
          <w:szCs w:val="12"/>
          <w:i w:val="1"/>
          <w:iCs w:val="1"/>
          <w:color w:val="auto"/>
        </w:rPr>
        <w:t>Mr. Hussey also served in the interim role of Healthcare Practice Leader during 2017 and 2018, and became President in February 2019.</w:t>
      </w:r>
    </w:p>
    <w:p>
      <w:pPr>
        <w:ind w:left="200"/>
        <w:spacing w:after="0"/>
        <w:rPr>
          <w:rFonts w:ascii="Arial" w:cs="Arial" w:eastAsia="Arial" w:hAnsi="Arial"/>
          <w:sz w:val="12"/>
          <w:szCs w:val="12"/>
          <w:i w:val="1"/>
          <w:iCs w:val="1"/>
          <w:color w:val="auto"/>
        </w:rPr>
      </w:pPr>
      <w:r>
        <w:rPr>
          <w:rFonts w:ascii="Arial" w:cs="Arial" w:eastAsia="Arial" w:hAnsi="Arial"/>
          <w:sz w:val="12"/>
          <w:szCs w:val="12"/>
          <w:i w:val="1"/>
          <w:iCs w:val="1"/>
          <w:color w:val="auto"/>
        </w:rPr>
        <w:t>7   Mr. Kelly was appointed Executive Vice President and Chief Financial Officer effective January 2017.</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35</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CEO Pay Ratio</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As required by Section 953(b) of the Dodd-Frank Wall Street Reform and Consumer Protection Act, the Company is providing the following disclosure about the relationship of the annual total compensation of our median-paid employee to the annual total compensation of Mr. Roth, our CEO. We believe that the pay ratio disclosed below is a reasonable estimate calculated in a manner consistent with Item 402(u) of Regulation S-K. 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2018,</w:t>
      </w:r>
    </w:p>
    <w:p>
      <w:pPr>
        <w:spacing w:after="0" w:line="127" w:lineRule="exact"/>
        <w:rPr>
          <w:sz w:val="20"/>
          <w:szCs w:val="20"/>
          <w:color w:val="auto"/>
        </w:rPr>
      </w:pPr>
    </w:p>
    <w:p>
      <w:pPr>
        <w:ind w:left="960" w:hanging="432"/>
        <w:spacing w:after="0"/>
        <w:tabs>
          <w:tab w:leader="none" w:pos="960" w:val="left"/>
        </w:tabs>
        <w:numPr>
          <w:ilvl w:val="0"/>
          <w:numId w:val="41"/>
        </w:numPr>
        <w:rPr>
          <w:rFonts w:ascii="Arial" w:cs="Arial" w:eastAsia="Arial" w:hAnsi="Arial"/>
          <w:sz w:val="16"/>
          <w:szCs w:val="16"/>
          <w:color w:val="00548B"/>
        </w:rPr>
      </w:pPr>
      <w:r>
        <w:rPr>
          <w:rFonts w:ascii="Arial" w:cs="Arial" w:eastAsia="Arial" w:hAnsi="Arial"/>
          <w:sz w:val="16"/>
          <w:szCs w:val="16"/>
          <w:color w:val="auto"/>
        </w:rPr>
        <w:t>The annual total compensation of our median employee, was $121,004.</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41"/>
        </w:numPr>
        <w:rPr>
          <w:rFonts w:ascii="Arial" w:cs="Arial" w:eastAsia="Arial" w:hAnsi="Arial"/>
          <w:sz w:val="16"/>
          <w:szCs w:val="16"/>
          <w:color w:val="00548B"/>
        </w:rPr>
      </w:pPr>
      <w:r>
        <w:rPr>
          <w:rFonts w:ascii="Arial" w:cs="Arial" w:eastAsia="Arial" w:hAnsi="Arial"/>
          <w:sz w:val="16"/>
          <w:szCs w:val="16"/>
          <w:color w:val="auto"/>
        </w:rPr>
        <w:t>Mr. Roth’s annual total compensation, as reflected in the Summary Compensation Table included in this Proxy Statement, was $4,791,261.</w:t>
      </w:r>
    </w:p>
    <w:p>
      <w:pPr>
        <w:spacing w:after="0" w:line="5" w:lineRule="exact"/>
        <w:rPr>
          <w:rFonts w:ascii="Arial" w:cs="Arial" w:eastAsia="Arial" w:hAnsi="Arial"/>
          <w:sz w:val="16"/>
          <w:szCs w:val="16"/>
          <w:color w:val="00548B"/>
        </w:rPr>
      </w:pPr>
    </w:p>
    <w:p>
      <w:pPr>
        <w:ind w:left="960" w:hanging="432"/>
        <w:spacing w:after="0" w:line="260" w:lineRule="auto"/>
        <w:tabs>
          <w:tab w:leader="none" w:pos="960" w:val="left"/>
        </w:tabs>
        <w:numPr>
          <w:ilvl w:val="0"/>
          <w:numId w:val="41"/>
        </w:numPr>
        <w:rPr>
          <w:rFonts w:ascii="Arial" w:cs="Arial" w:eastAsia="Arial" w:hAnsi="Arial"/>
          <w:sz w:val="16"/>
          <w:szCs w:val="16"/>
          <w:color w:val="00548B"/>
        </w:rPr>
      </w:pPr>
      <w:r>
        <w:rPr>
          <w:rFonts w:ascii="Arial" w:cs="Arial" w:eastAsia="Arial" w:hAnsi="Arial"/>
          <w:sz w:val="16"/>
          <w:szCs w:val="16"/>
          <w:color w:val="auto"/>
        </w:rPr>
        <w:t>Based on this information, the ratio of the annual total compensation of Mr. Roth to the annual total compensation of our median employee is estimated to be 39.6 to 1.</w:t>
      </w:r>
    </w:p>
    <w:p>
      <w:pPr>
        <w:spacing w:after="0" w:line="15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We identified the median employee by examining the 2018 total compensation for all individuals using the same methodology we use for our NEOs as set forth in the 2018 Summary Compensation Table, excluding our CEO, who were employed by us on December 31, 2018. We included all employees, whether employed on a full-time or part-time basis. We annualized the base compensation and bonus for all employees that were not employed by us for all of 2018 unless they were designated as temporary or seasonal positions.</w:t>
      </w:r>
    </w:p>
    <w:p>
      <w:pPr>
        <w:spacing w:after="0" w:line="162"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In addition, in order to identify our median employee, we (i) utilized the exemption permitted under Item 402(u) of Regulation S-K to exclude a total of 142 employees from Canada, the United Kingdom, Singapore, and Switzerland (which, in the aggregate, comprised less than 5% of our total employee population as of December 31, 2018), resulting in a net employee population of 3,195 and (ii) adjusted non-U.S. employee pay applying foreign currency exchange rates as of December 31, 2018.</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identified our median employee for the 2017 Proxy Statement by calculating total compensation exclusive of one-time, special and retention awards.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the 2018 Proxy Statement, we included all forms of compensation, including one-time, special and retention awards to identify our median employee.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resulted in identifying a median employee with compensation substantially similar to that of our median employee in the prior year.</w:t>
      </w:r>
    </w:p>
    <w:p>
      <w:pPr>
        <w:spacing w:after="0" w:line="181"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After identifying the median employee, we calculated annual total compensation for that employee using the same methodology we use for our NEOs as set forth in the 2018 Summary Compensation Table.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36</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2018 G</w:t>
      </w:r>
      <w:r>
        <w:rPr>
          <w:rFonts w:ascii="Arial" w:cs="Arial" w:eastAsia="Arial" w:hAnsi="Arial"/>
          <w:sz w:val="15"/>
          <w:szCs w:val="15"/>
          <w:b w:val="1"/>
          <w:bCs w:val="1"/>
          <w:color w:val="00548B"/>
        </w:rPr>
        <w:t>RANTS OF</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LAN</w:t>
      </w:r>
      <w:r>
        <w:rPr>
          <w:rFonts w:ascii="Arial" w:cs="Arial" w:eastAsia="Arial" w:hAnsi="Arial"/>
          <w:sz w:val="18"/>
          <w:szCs w:val="18"/>
          <w:b w:val="1"/>
          <w:bCs w:val="1"/>
          <w:color w:val="00548B"/>
        </w:rPr>
        <w:t>-B</w:t>
      </w:r>
      <w:r>
        <w:rPr>
          <w:rFonts w:ascii="Arial" w:cs="Arial" w:eastAsia="Arial" w:hAnsi="Arial"/>
          <w:sz w:val="15"/>
          <w:szCs w:val="15"/>
          <w:b w:val="1"/>
          <w:bCs w:val="1"/>
          <w:color w:val="00548B"/>
        </w:rPr>
        <w:t>ASED</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WARDS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grants of equity awards and annual cash incentive awards for 2018 to each named executive officer.</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shd w:val="clear" w:color="auto" w:fill="00548B"/>
          </w:tcPr>
          <w:p>
            <w:pPr>
              <w:spacing w:after="0"/>
              <w:rPr>
                <w:sz w:val="13"/>
                <w:szCs w:val="13"/>
                <w:color w:val="auto"/>
              </w:rPr>
            </w:pPr>
          </w:p>
        </w:tc>
        <w:tc>
          <w:tcPr>
            <w:tcW w:w="780" w:type="dxa"/>
            <w:vAlign w:val="bottom"/>
            <w:shd w:val="clear" w:color="auto" w:fill="00548B"/>
          </w:tcPr>
          <w:p>
            <w:pPr>
              <w:spacing w:after="0"/>
              <w:rPr>
                <w:sz w:val="13"/>
                <w:szCs w:val="13"/>
                <w:color w:val="auto"/>
              </w:rPr>
            </w:pPr>
          </w:p>
        </w:tc>
        <w:tc>
          <w:tcPr>
            <w:tcW w:w="1080" w:type="dxa"/>
            <w:vAlign w:val="bottom"/>
            <w:shd w:val="clear" w:color="auto" w:fill="00548B"/>
          </w:tcPr>
          <w:p>
            <w:pPr>
              <w:spacing w:after="0"/>
              <w:rPr>
                <w:sz w:val="13"/>
                <w:szCs w:val="13"/>
                <w:color w:val="auto"/>
              </w:rPr>
            </w:pPr>
          </w:p>
        </w:tc>
        <w:tc>
          <w:tcPr>
            <w:tcW w:w="2760" w:type="dxa"/>
            <w:vAlign w:val="bottom"/>
            <w:gridSpan w:val="3"/>
            <w:shd w:val="clear" w:color="auto" w:fill="00548B"/>
          </w:tcPr>
          <w:p>
            <w:pPr>
              <w:jc w:val="center"/>
              <w:ind w:right="249"/>
              <w:spacing w:after="0"/>
              <w:rPr>
                <w:sz w:val="20"/>
                <w:szCs w:val="20"/>
                <w:color w:val="auto"/>
              </w:rPr>
            </w:pPr>
            <w:r>
              <w:rPr>
                <w:rFonts w:ascii="Arial" w:cs="Arial" w:eastAsia="Arial" w:hAnsi="Arial"/>
                <w:sz w:val="13"/>
                <w:szCs w:val="13"/>
                <w:b w:val="1"/>
                <w:bCs w:val="1"/>
                <w:color w:val="D8D8D8"/>
                <w:w w:val="97"/>
              </w:rPr>
              <w:t>Estimated Future Payouts</w:t>
            </w:r>
          </w:p>
        </w:tc>
        <w:tc>
          <w:tcPr>
            <w:tcW w:w="2260" w:type="dxa"/>
            <w:vAlign w:val="bottom"/>
            <w:gridSpan w:val="3"/>
            <w:shd w:val="clear" w:color="auto" w:fill="00548B"/>
          </w:tcPr>
          <w:p>
            <w:pPr>
              <w:jc w:val="center"/>
              <w:spacing w:after="0"/>
              <w:rPr>
                <w:sz w:val="20"/>
                <w:szCs w:val="20"/>
                <w:color w:val="auto"/>
              </w:rPr>
            </w:pPr>
            <w:r>
              <w:rPr>
                <w:rFonts w:ascii="Arial" w:cs="Arial" w:eastAsia="Arial" w:hAnsi="Arial"/>
                <w:sz w:val="13"/>
                <w:szCs w:val="13"/>
                <w:b w:val="1"/>
                <w:bCs w:val="1"/>
                <w:color w:val="D8D8D8"/>
                <w:w w:val="97"/>
              </w:rPr>
              <w:t>Estimated Future Payouts</w:t>
            </w:r>
          </w:p>
        </w:tc>
        <w:tc>
          <w:tcPr>
            <w:tcW w:w="840" w:type="dxa"/>
            <w:vAlign w:val="bottom"/>
            <w:shd w:val="clear" w:color="auto" w:fill="00548B"/>
          </w:tcPr>
          <w:p>
            <w:pPr>
              <w:spacing w:after="0"/>
              <w:rPr>
                <w:sz w:val="13"/>
                <w:szCs w:val="13"/>
                <w:color w:val="auto"/>
              </w:rPr>
            </w:pPr>
          </w:p>
        </w:tc>
        <w:tc>
          <w:tcPr>
            <w:tcW w:w="900" w:type="dxa"/>
            <w:vAlign w:val="bottom"/>
            <w:shd w:val="clear" w:color="auto" w:fill="00548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2760" w:type="dxa"/>
            <w:vAlign w:val="bottom"/>
            <w:gridSpan w:val="3"/>
            <w:shd w:val="clear" w:color="auto" w:fill="00548B"/>
          </w:tcPr>
          <w:p>
            <w:pPr>
              <w:jc w:val="center"/>
              <w:ind w:right="249"/>
              <w:spacing w:after="0" w:line="135" w:lineRule="exact"/>
              <w:rPr>
                <w:sz w:val="20"/>
                <w:szCs w:val="20"/>
                <w:color w:val="auto"/>
              </w:rPr>
            </w:pPr>
            <w:r>
              <w:rPr>
                <w:rFonts w:ascii="Arial" w:cs="Arial" w:eastAsia="Arial" w:hAnsi="Arial"/>
                <w:sz w:val="13"/>
                <w:szCs w:val="13"/>
                <w:b w:val="1"/>
                <w:bCs w:val="1"/>
                <w:color w:val="D8D8D8"/>
                <w:w w:val="96"/>
              </w:rPr>
              <w:t>Under Non Equity Incentive</w:t>
            </w:r>
          </w:p>
        </w:tc>
        <w:tc>
          <w:tcPr>
            <w:tcW w:w="2260" w:type="dxa"/>
            <w:vAlign w:val="bottom"/>
            <w:gridSpan w:val="3"/>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Under Equity Incentive</w:t>
            </w:r>
          </w:p>
        </w:tc>
        <w:tc>
          <w:tcPr>
            <w:tcW w:w="840" w:type="dxa"/>
            <w:vAlign w:val="bottom"/>
            <w:shd w:val="clear" w:color="auto" w:fill="00548B"/>
          </w:tcPr>
          <w:p>
            <w:pPr>
              <w:spacing w:after="0"/>
              <w:rPr>
                <w:sz w:val="11"/>
                <w:szCs w:val="11"/>
                <w:color w:val="auto"/>
              </w:rPr>
            </w:pPr>
          </w:p>
        </w:tc>
        <w:tc>
          <w:tcPr>
            <w:tcW w:w="900" w:type="dxa"/>
            <w:vAlign w:val="bottom"/>
            <w:shd w:val="clear" w:color="auto" w:fill="00548B"/>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0" w:type="dxa"/>
            <w:vAlign w:val="bottom"/>
            <w:shd w:val="clear" w:color="auto" w:fill="00548B"/>
          </w:tcPr>
          <w:p>
            <w:pPr>
              <w:spacing w:after="0"/>
              <w:rPr>
                <w:sz w:val="14"/>
                <w:szCs w:val="14"/>
                <w:color w:val="auto"/>
              </w:rPr>
            </w:pPr>
          </w:p>
        </w:tc>
        <w:tc>
          <w:tcPr>
            <w:tcW w:w="780" w:type="dxa"/>
            <w:vAlign w:val="bottom"/>
            <w:shd w:val="clear" w:color="auto" w:fill="00548B"/>
          </w:tcPr>
          <w:p>
            <w:pPr>
              <w:spacing w:after="0"/>
              <w:rPr>
                <w:sz w:val="14"/>
                <w:szCs w:val="14"/>
                <w:color w:val="auto"/>
              </w:rPr>
            </w:pPr>
          </w:p>
        </w:tc>
        <w:tc>
          <w:tcPr>
            <w:tcW w:w="1080" w:type="dxa"/>
            <w:vAlign w:val="bottom"/>
            <w:shd w:val="clear" w:color="auto" w:fill="00548B"/>
          </w:tcPr>
          <w:p>
            <w:pPr>
              <w:spacing w:after="0"/>
              <w:rPr>
                <w:sz w:val="14"/>
                <w:szCs w:val="14"/>
                <w:color w:val="auto"/>
              </w:rPr>
            </w:pPr>
          </w:p>
        </w:tc>
        <w:tc>
          <w:tcPr>
            <w:tcW w:w="720" w:type="dxa"/>
            <w:vAlign w:val="bottom"/>
            <w:shd w:val="clear" w:color="auto" w:fill="00548B"/>
          </w:tcPr>
          <w:p>
            <w:pPr>
              <w:spacing w:after="0"/>
              <w:rPr>
                <w:sz w:val="14"/>
                <w:szCs w:val="14"/>
                <w:color w:val="auto"/>
              </w:rPr>
            </w:pPr>
          </w:p>
        </w:tc>
        <w:tc>
          <w:tcPr>
            <w:tcW w:w="98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6"/>
              </w:rPr>
              <w:t>Plan Awards (1)</w:t>
            </w:r>
          </w:p>
        </w:tc>
        <w:tc>
          <w:tcPr>
            <w:tcW w:w="1060" w:type="dxa"/>
            <w:vAlign w:val="bottom"/>
            <w:shd w:val="clear" w:color="auto" w:fill="00548B"/>
          </w:tcPr>
          <w:p>
            <w:pPr>
              <w:spacing w:after="0"/>
              <w:rPr>
                <w:sz w:val="14"/>
                <w:szCs w:val="14"/>
                <w:color w:val="auto"/>
              </w:rPr>
            </w:pPr>
          </w:p>
        </w:tc>
        <w:tc>
          <w:tcPr>
            <w:tcW w:w="2260" w:type="dxa"/>
            <w:vAlign w:val="bottom"/>
            <w:gridSpan w:val="3"/>
            <w:shd w:val="clear" w:color="auto" w:fill="00548B"/>
          </w:tcPr>
          <w:p>
            <w:pPr>
              <w:jc w:val="center"/>
              <w:spacing w:after="0"/>
              <w:rPr>
                <w:sz w:val="20"/>
                <w:szCs w:val="20"/>
                <w:color w:val="auto"/>
              </w:rPr>
            </w:pPr>
            <w:r>
              <w:rPr>
                <w:rFonts w:ascii="Arial" w:cs="Arial" w:eastAsia="Arial" w:hAnsi="Arial"/>
                <w:sz w:val="13"/>
                <w:szCs w:val="13"/>
                <w:b w:val="1"/>
                <w:bCs w:val="1"/>
                <w:color w:val="D8D8D8"/>
                <w:w w:val="96"/>
              </w:rPr>
              <w:t>Plan Awards (2)</w:t>
            </w:r>
          </w:p>
        </w:tc>
        <w:tc>
          <w:tcPr>
            <w:tcW w:w="840" w:type="dxa"/>
            <w:vAlign w:val="bottom"/>
            <w:vMerge w:val="restart"/>
            <w:shd w:val="clear" w:color="auto" w:fill="00548B"/>
          </w:tcPr>
          <w:p>
            <w:pPr>
              <w:jc w:val="center"/>
              <w:spacing w:after="0"/>
              <w:rPr>
                <w:sz w:val="20"/>
                <w:szCs w:val="20"/>
                <w:color w:val="auto"/>
              </w:rPr>
            </w:pPr>
            <w:r>
              <w:rPr>
                <w:rFonts w:ascii="Arial" w:cs="Arial" w:eastAsia="Arial" w:hAnsi="Arial"/>
                <w:sz w:val="13"/>
                <w:szCs w:val="13"/>
                <w:b w:val="1"/>
                <w:bCs w:val="1"/>
                <w:color w:val="D8D8D8"/>
                <w:w w:val="98"/>
              </w:rPr>
              <w:t>All Other</w:t>
            </w:r>
          </w:p>
        </w:tc>
        <w:tc>
          <w:tcPr>
            <w:tcW w:w="900" w:type="dxa"/>
            <w:vAlign w:val="bottom"/>
            <w:shd w:val="clear" w:color="auto" w:fill="00548B"/>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00" w:type="dxa"/>
            <w:vAlign w:val="bottom"/>
            <w:shd w:val="clear" w:color="auto" w:fill="00548B"/>
          </w:tcPr>
          <w:p>
            <w:pPr>
              <w:spacing w:after="0"/>
              <w:rPr>
                <w:sz w:val="9"/>
                <w:szCs w:val="9"/>
                <w:color w:val="auto"/>
              </w:rPr>
            </w:pPr>
          </w:p>
        </w:tc>
        <w:tc>
          <w:tcPr>
            <w:tcW w:w="780" w:type="dxa"/>
            <w:vAlign w:val="bottom"/>
            <w:shd w:val="clear" w:color="auto" w:fill="00548B"/>
          </w:tcPr>
          <w:p>
            <w:pPr>
              <w:spacing w:after="0"/>
              <w:rPr>
                <w:sz w:val="9"/>
                <w:szCs w:val="9"/>
                <w:color w:val="auto"/>
              </w:rPr>
            </w:pPr>
          </w:p>
        </w:tc>
        <w:tc>
          <w:tcPr>
            <w:tcW w:w="1080" w:type="dxa"/>
            <w:vAlign w:val="bottom"/>
            <w:shd w:val="clear" w:color="auto" w:fill="00548B"/>
          </w:tcPr>
          <w:p>
            <w:pPr>
              <w:spacing w:after="0"/>
              <w:rPr>
                <w:sz w:val="9"/>
                <w:szCs w:val="9"/>
                <w:color w:val="auto"/>
              </w:rPr>
            </w:pPr>
          </w:p>
        </w:tc>
        <w:tc>
          <w:tcPr>
            <w:tcW w:w="720" w:type="dxa"/>
            <w:vAlign w:val="bottom"/>
            <w:shd w:val="clear" w:color="auto" w:fill="00548B"/>
          </w:tcPr>
          <w:p>
            <w:pPr>
              <w:spacing w:after="0"/>
              <w:rPr>
                <w:sz w:val="9"/>
                <w:szCs w:val="9"/>
                <w:color w:val="auto"/>
              </w:rPr>
            </w:pPr>
          </w:p>
        </w:tc>
        <w:tc>
          <w:tcPr>
            <w:tcW w:w="980" w:type="dxa"/>
            <w:vAlign w:val="bottom"/>
            <w:shd w:val="clear" w:color="auto" w:fill="00548B"/>
          </w:tcPr>
          <w:p>
            <w:pPr>
              <w:spacing w:after="0"/>
              <w:rPr>
                <w:sz w:val="9"/>
                <w:szCs w:val="9"/>
                <w:color w:val="auto"/>
              </w:rPr>
            </w:pPr>
          </w:p>
        </w:tc>
        <w:tc>
          <w:tcPr>
            <w:tcW w:w="1060" w:type="dxa"/>
            <w:vAlign w:val="bottom"/>
            <w:shd w:val="clear" w:color="auto" w:fill="00548B"/>
          </w:tcPr>
          <w:p>
            <w:pPr>
              <w:spacing w:after="0"/>
              <w:rPr>
                <w:sz w:val="9"/>
                <w:szCs w:val="9"/>
                <w:color w:val="auto"/>
              </w:rPr>
            </w:pPr>
          </w:p>
        </w:tc>
        <w:tc>
          <w:tcPr>
            <w:tcW w:w="820" w:type="dxa"/>
            <w:vAlign w:val="bottom"/>
            <w:shd w:val="clear" w:color="auto" w:fill="00548B"/>
          </w:tcPr>
          <w:p>
            <w:pPr>
              <w:spacing w:after="0"/>
              <w:rPr>
                <w:sz w:val="9"/>
                <w:szCs w:val="9"/>
                <w:color w:val="auto"/>
              </w:rPr>
            </w:pPr>
          </w:p>
        </w:tc>
        <w:tc>
          <w:tcPr>
            <w:tcW w:w="660" w:type="dxa"/>
            <w:vAlign w:val="bottom"/>
            <w:shd w:val="clear" w:color="auto" w:fill="00548B"/>
          </w:tcPr>
          <w:p>
            <w:pPr>
              <w:spacing w:after="0"/>
              <w:rPr>
                <w:sz w:val="9"/>
                <w:szCs w:val="9"/>
                <w:color w:val="auto"/>
              </w:rPr>
            </w:pPr>
          </w:p>
        </w:tc>
        <w:tc>
          <w:tcPr>
            <w:tcW w:w="780" w:type="dxa"/>
            <w:vAlign w:val="bottom"/>
            <w:shd w:val="clear" w:color="auto" w:fill="00548B"/>
          </w:tcPr>
          <w:p>
            <w:pPr>
              <w:spacing w:after="0"/>
              <w:rPr>
                <w:sz w:val="9"/>
                <w:szCs w:val="9"/>
                <w:color w:val="auto"/>
              </w:rPr>
            </w:pPr>
          </w:p>
        </w:tc>
        <w:tc>
          <w:tcPr>
            <w:tcW w:w="840" w:type="dxa"/>
            <w:vAlign w:val="bottom"/>
            <w:vMerge w:val="continue"/>
            <w:shd w:val="clear" w:color="auto" w:fill="00548B"/>
          </w:tcPr>
          <w:p>
            <w:pPr>
              <w:spacing w:after="0"/>
              <w:rPr>
                <w:sz w:val="9"/>
                <w:szCs w:val="9"/>
                <w:color w:val="auto"/>
              </w:rPr>
            </w:pPr>
          </w:p>
        </w:tc>
        <w:tc>
          <w:tcPr>
            <w:tcW w:w="900" w:type="dxa"/>
            <w:vAlign w:val="bottom"/>
            <w:shd w:val="clear" w:color="auto" w:fill="00548B"/>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720" w:type="dxa"/>
            <w:vAlign w:val="bottom"/>
            <w:shd w:val="clear" w:color="auto" w:fill="00548B"/>
          </w:tcPr>
          <w:p>
            <w:pPr>
              <w:spacing w:after="0"/>
              <w:rPr>
                <w:sz w:val="11"/>
                <w:szCs w:val="11"/>
                <w:color w:val="auto"/>
              </w:rPr>
            </w:pPr>
          </w:p>
        </w:tc>
        <w:tc>
          <w:tcPr>
            <w:tcW w:w="98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820" w:type="dxa"/>
            <w:vAlign w:val="bottom"/>
            <w:shd w:val="clear" w:color="auto" w:fill="00548B"/>
          </w:tcPr>
          <w:p>
            <w:pPr>
              <w:spacing w:after="0"/>
              <w:rPr>
                <w:sz w:val="11"/>
                <w:szCs w:val="11"/>
                <w:color w:val="auto"/>
              </w:rPr>
            </w:pPr>
          </w:p>
        </w:tc>
        <w:tc>
          <w:tcPr>
            <w:tcW w:w="66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8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Stock</w:t>
            </w:r>
          </w:p>
        </w:tc>
        <w:tc>
          <w:tcPr>
            <w:tcW w:w="9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4"/>
              </w:rPr>
              <w:t>Full Grant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720" w:type="dxa"/>
            <w:vAlign w:val="bottom"/>
            <w:shd w:val="clear" w:color="auto" w:fill="00548B"/>
          </w:tcPr>
          <w:p>
            <w:pPr>
              <w:spacing w:after="0"/>
              <w:rPr>
                <w:sz w:val="11"/>
                <w:szCs w:val="11"/>
                <w:color w:val="auto"/>
              </w:rPr>
            </w:pPr>
          </w:p>
        </w:tc>
        <w:tc>
          <w:tcPr>
            <w:tcW w:w="98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820" w:type="dxa"/>
            <w:vAlign w:val="bottom"/>
            <w:shd w:val="clear" w:color="auto" w:fill="00548B"/>
          </w:tcPr>
          <w:p>
            <w:pPr>
              <w:spacing w:after="0"/>
              <w:rPr>
                <w:sz w:val="11"/>
                <w:szCs w:val="11"/>
                <w:color w:val="auto"/>
              </w:rPr>
            </w:pPr>
          </w:p>
        </w:tc>
        <w:tc>
          <w:tcPr>
            <w:tcW w:w="66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8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Awards:</w:t>
            </w:r>
          </w:p>
        </w:tc>
        <w:tc>
          <w:tcPr>
            <w:tcW w:w="9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Date Fair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1080" w:type="dxa"/>
            <w:vAlign w:val="bottom"/>
            <w:shd w:val="clear" w:color="auto" w:fill="00548B"/>
          </w:tcPr>
          <w:p>
            <w:pPr>
              <w:ind w:left="320"/>
              <w:spacing w:after="0" w:line="135" w:lineRule="exact"/>
              <w:rPr>
                <w:sz w:val="20"/>
                <w:szCs w:val="20"/>
                <w:color w:val="auto"/>
              </w:rPr>
            </w:pPr>
            <w:r>
              <w:rPr>
                <w:rFonts w:ascii="Arial" w:cs="Arial" w:eastAsia="Arial" w:hAnsi="Arial"/>
                <w:sz w:val="13"/>
                <w:szCs w:val="13"/>
                <w:b w:val="1"/>
                <w:bCs w:val="1"/>
                <w:color w:val="D8D8D8"/>
              </w:rPr>
              <w:t>Date of</w:t>
            </w:r>
          </w:p>
        </w:tc>
        <w:tc>
          <w:tcPr>
            <w:tcW w:w="720" w:type="dxa"/>
            <w:vAlign w:val="bottom"/>
            <w:shd w:val="clear" w:color="auto" w:fill="00548B"/>
          </w:tcPr>
          <w:p>
            <w:pPr>
              <w:spacing w:after="0"/>
              <w:rPr>
                <w:sz w:val="11"/>
                <w:szCs w:val="11"/>
                <w:color w:val="auto"/>
              </w:rPr>
            </w:pPr>
          </w:p>
        </w:tc>
        <w:tc>
          <w:tcPr>
            <w:tcW w:w="98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820" w:type="dxa"/>
            <w:vAlign w:val="bottom"/>
            <w:shd w:val="clear" w:color="auto" w:fill="00548B"/>
          </w:tcPr>
          <w:p>
            <w:pPr>
              <w:spacing w:after="0"/>
              <w:rPr>
                <w:sz w:val="11"/>
                <w:szCs w:val="11"/>
                <w:color w:val="auto"/>
              </w:rPr>
            </w:pPr>
          </w:p>
        </w:tc>
        <w:tc>
          <w:tcPr>
            <w:tcW w:w="66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8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Number of</w:t>
            </w:r>
          </w:p>
        </w:tc>
        <w:tc>
          <w:tcPr>
            <w:tcW w:w="9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4"/>
              </w:rPr>
              <w:t>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1080" w:type="dxa"/>
            <w:vAlign w:val="bottom"/>
            <w:shd w:val="clear" w:color="auto" w:fill="00548B"/>
          </w:tcPr>
          <w:p>
            <w:pPr>
              <w:ind w:left="100"/>
              <w:spacing w:after="0" w:line="135" w:lineRule="exact"/>
              <w:rPr>
                <w:sz w:val="20"/>
                <w:szCs w:val="20"/>
                <w:color w:val="auto"/>
              </w:rPr>
            </w:pPr>
            <w:r>
              <w:rPr>
                <w:rFonts w:ascii="Arial" w:cs="Arial" w:eastAsia="Arial" w:hAnsi="Arial"/>
                <w:sz w:val="13"/>
                <w:szCs w:val="13"/>
                <w:b w:val="1"/>
                <w:bCs w:val="1"/>
                <w:color w:val="D8D8D8"/>
              </w:rPr>
              <w:t>Compensation</w:t>
            </w:r>
          </w:p>
        </w:tc>
        <w:tc>
          <w:tcPr>
            <w:tcW w:w="720" w:type="dxa"/>
            <w:vAlign w:val="bottom"/>
            <w:shd w:val="clear" w:color="auto" w:fill="00548B"/>
          </w:tcPr>
          <w:p>
            <w:pPr>
              <w:spacing w:after="0"/>
              <w:rPr>
                <w:sz w:val="11"/>
                <w:szCs w:val="11"/>
                <w:color w:val="auto"/>
              </w:rPr>
            </w:pPr>
          </w:p>
        </w:tc>
        <w:tc>
          <w:tcPr>
            <w:tcW w:w="98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820" w:type="dxa"/>
            <w:vAlign w:val="bottom"/>
            <w:shd w:val="clear" w:color="auto" w:fill="00548B"/>
          </w:tcPr>
          <w:p>
            <w:pPr>
              <w:spacing w:after="0"/>
              <w:rPr>
                <w:sz w:val="11"/>
                <w:szCs w:val="11"/>
                <w:color w:val="auto"/>
              </w:rPr>
            </w:pPr>
          </w:p>
        </w:tc>
        <w:tc>
          <w:tcPr>
            <w:tcW w:w="66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8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Shares of</w:t>
            </w:r>
          </w:p>
        </w:tc>
        <w:tc>
          <w:tcPr>
            <w:tcW w:w="9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Each</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00548B"/>
          </w:tcPr>
          <w:p>
            <w:pPr>
              <w:spacing w:after="0"/>
              <w:rPr>
                <w:sz w:val="11"/>
                <w:szCs w:val="11"/>
                <w:color w:val="auto"/>
              </w:rPr>
            </w:pPr>
          </w:p>
        </w:tc>
        <w:tc>
          <w:tcPr>
            <w:tcW w:w="780" w:type="dxa"/>
            <w:vAlign w:val="bottom"/>
            <w:shd w:val="clear" w:color="auto" w:fill="00548B"/>
          </w:tcPr>
          <w:p>
            <w:pPr>
              <w:jc w:val="right"/>
              <w:ind w:right="150"/>
              <w:spacing w:after="0" w:line="135" w:lineRule="exact"/>
              <w:rPr>
                <w:sz w:val="20"/>
                <w:szCs w:val="20"/>
                <w:color w:val="auto"/>
              </w:rPr>
            </w:pPr>
            <w:r>
              <w:rPr>
                <w:rFonts w:ascii="Arial" w:cs="Arial" w:eastAsia="Arial" w:hAnsi="Arial"/>
                <w:sz w:val="13"/>
                <w:szCs w:val="13"/>
                <w:b w:val="1"/>
                <w:bCs w:val="1"/>
                <w:color w:val="D8D8D8"/>
              </w:rPr>
              <w:t>Grant</w:t>
            </w:r>
          </w:p>
        </w:tc>
        <w:tc>
          <w:tcPr>
            <w:tcW w:w="1080" w:type="dxa"/>
            <w:vAlign w:val="bottom"/>
            <w:shd w:val="clear" w:color="auto" w:fill="00548B"/>
          </w:tcPr>
          <w:p>
            <w:pPr>
              <w:ind w:left="220"/>
              <w:spacing w:after="0" w:line="135" w:lineRule="exact"/>
              <w:rPr>
                <w:sz w:val="20"/>
                <w:szCs w:val="20"/>
                <w:color w:val="auto"/>
              </w:rPr>
            </w:pPr>
            <w:r>
              <w:rPr>
                <w:rFonts w:ascii="Arial" w:cs="Arial" w:eastAsia="Arial" w:hAnsi="Arial"/>
                <w:sz w:val="13"/>
                <w:szCs w:val="13"/>
                <w:b w:val="1"/>
                <w:bCs w:val="1"/>
                <w:color w:val="D8D8D8"/>
              </w:rPr>
              <w:t>Committee</w:t>
            </w:r>
          </w:p>
        </w:tc>
        <w:tc>
          <w:tcPr>
            <w:tcW w:w="720" w:type="dxa"/>
            <w:vAlign w:val="bottom"/>
            <w:shd w:val="clear" w:color="auto" w:fill="00548B"/>
          </w:tcPr>
          <w:p>
            <w:pPr>
              <w:jc w:val="center"/>
              <w:ind w:left="10"/>
              <w:spacing w:after="0" w:line="135" w:lineRule="exact"/>
              <w:rPr>
                <w:sz w:val="20"/>
                <w:szCs w:val="20"/>
                <w:color w:val="auto"/>
              </w:rPr>
            </w:pPr>
            <w:r>
              <w:rPr>
                <w:rFonts w:ascii="Arial" w:cs="Arial" w:eastAsia="Arial" w:hAnsi="Arial"/>
                <w:sz w:val="13"/>
                <w:szCs w:val="13"/>
                <w:b w:val="1"/>
                <w:bCs w:val="1"/>
                <w:color w:val="D8D8D8"/>
                <w:w w:val="95"/>
              </w:rPr>
              <w:t>Threshold</w:t>
            </w:r>
          </w:p>
        </w:tc>
        <w:tc>
          <w:tcPr>
            <w:tcW w:w="9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0"/>
              </w:rPr>
              <w:t>Target</w:t>
            </w:r>
          </w:p>
        </w:tc>
        <w:tc>
          <w:tcPr>
            <w:tcW w:w="1060" w:type="dxa"/>
            <w:vAlign w:val="bottom"/>
            <w:shd w:val="clear" w:color="auto" w:fill="00548B"/>
          </w:tcPr>
          <w:p>
            <w:pPr>
              <w:jc w:val="center"/>
              <w:ind w:right="409"/>
              <w:spacing w:after="0" w:line="135" w:lineRule="exact"/>
              <w:rPr>
                <w:sz w:val="20"/>
                <w:szCs w:val="20"/>
                <w:color w:val="auto"/>
              </w:rPr>
            </w:pPr>
            <w:r>
              <w:rPr>
                <w:rFonts w:ascii="Arial" w:cs="Arial" w:eastAsia="Arial" w:hAnsi="Arial"/>
                <w:sz w:val="13"/>
                <w:szCs w:val="13"/>
                <w:b w:val="1"/>
                <w:bCs w:val="1"/>
                <w:color w:val="D8D8D8"/>
                <w:w w:val="96"/>
              </w:rPr>
              <w:t>Maximum</w:t>
            </w:r>
          </w:p>
        </w:tc>
        <w:tc>
          <w:tcPr>
            <w:tcW w:w="8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8"/>
              </w:rPr>
              <w:t>Threshold</w:t>
            </w:r>
          </w:p>
        </w:tc>
        <w:tc>
          <w:tcPr>
            <w:tcW w:w="6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Target</w:t>
            </w:r>
          </w:p>
        </w:tc>
        <w:tc>
          <w:tcPr>
            <w:tcW w:w="780" w:type="dxa"/>
            <w:vAlign w:val="bottom"/>
            <w:shd w:val="clear" w:color="auto" w:fill="00548B"/>
          </w:tcPr>
          <w:p>
            <w:pPr>
              <w:jc w:val="right"/>
              <w:ind w:right="29"/>
              <w:spacing w:after="0" w:line="135" w:lineRule="exact"/>
              <w:rPr>
                <w:sz w:val="20"/>
                <w:szCs w:val="20"/>
                <w:color w:val="auto"/>
              </w:rPr>
            </w:pPr>
            <w:r>
              <w:rPr>
                <w:rFonts w:ascii="Arial" w:cs="Arial" w:eastAsia="Arial" w:hAnsi="Arial"/>
                <w:sz w:val="13"/>
                <w:szCs w:val="13"/>
                <w:b w:val="1"/>
                <w:bCs w:val="1"/>
                <w:color w:val="D8D8D8"/>
              </w:rPr>
              <w:t>Maximum</w:t>
            </w:r>
          </w:p>
        </w:tc>
        <w:tc>
          <w:tcPr>
            <w:tcW w:w="8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Stock</w:t>
            </w:r>
          </w:p>
        </w:tc>
        <w:tc>
          <w:tcPr>
            <w:tcW w:w="9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Award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00548B"/>
          </w:tcPr>
          <w:p>
            <w:pPr>
              <w:spacing w:after="0"/>
              <w:rPr>
                <w:sz w:val="20"/>
                <w:szCs w:val="20"/>
                <w:color w:val="auto"/>
              </w:rPr>
            </w:pPr>
            <w:r>
              <w:rPr>
                <w:rFonts w:ascii="Arial" w:cs="Arial" w:eastAsia="Arial" w:hAnsi="Arial"/>
                <w:sz w:val="13"/>
                <w:szCs w:val="13"/>
                <w:b w:val="1"/>
                <w:bCs w:val="1"/>
                <w:color w:val="D8D8D8"/>
              </w:rPr>
              <w:t>Name</w:t>
            </w:r>
          </w:p>
        </w:tc>
        <w:tc>
          <w:tcPr>
            <w:tcW w:w="780" w:type="dxa"/>
            <w:vAlign w:val="bottom"/>
            <w:shd w:val="clear" w:color="auto" w:fill="00548B"/>
          </w:tcPr>
          <w:p>
            <w:pPr>
              <w:jc w:val="right"/>
              <w:ind w:right="190"/>
              <w:spacing w:after="0"/>
              <w:rPr>
                <w:sz w:val="20"/>
                <w:szCs w:val="20"/>
                <w:color w:val="auto"/>
              </w:rPr>
            </w:pPr>
            <w:r>
              <w:rPr>
                <w:rFonts w:ascii="Arial" w:cs="Arial" w:eastAsia="Arial" w:hAnsi="Arial"/>
                <w:sz w:val="13"/>
                <w:szCs w:val="13"/>
                <w:b w:val="1"/>
                <w:bCs w:val="1"/>
                <w:color w:val="D8D8D8"/>
              </w:rPr>
              <w:t>Date</w:t>
            </w:r>
          </w:p>
        </w:tc>
        <w:tc>
          <w:tcPr>
            <w:tcW w:w="1080" w:type="dxa"/>
            <w:vAlign w:val="bottom"/>
            <w:shd w:val="clear" w:color="auto" w:fill="00548B"/>
          </w:tcPr>
          <w:p>
            <w:pPr>
              <w:ind w:left="340"/>
              <w:spacing w:after="0"/>
              <w:rPr>
                <w:sz w:val="20"/>
                <w:szCs w:val="20"/>
                <w:color w:val="auto"/>
              </w:rPr>
            </w:pPr>
            <w:r>
              <w:rPr>
                <w:rFonts w:ascii="Arial" w:cs="Arial" w:eastAsia="Arial" w:hAnsi="Arial"/>
                <w:sz w:val="13"/>
                <w:szCs w:val="13"/>
                <w:b w:val="1"/>
                <w:bCs w:val="1"/>
                <w:color w:val="D8D8D8"/>
              </w:rPr>
              <w:t>Action</w:t>
            </w:r>
          </w:p>
        </w:tc>
        <w:tc>
          <w:tcPr>
            <w:tcW w:w="720" w:type="dxa"/>
            <w:vAlign w:val="bottom"/>
            <w:shd w:val="clear" w:color="auto" w:fill="00548B"/>
          </w:tcPr>
          <w:p>
            <w:pPr>
              <w:jc w:val="center"/>
              <w:ind w:left="10"/>
              <w:spacing w:after="0"/>
              <w:rPr>
                <w:sz w:val="20"/>
                <w:szCs w:val="20"/>
                <w:color w:val="auto"/>
              </w:rPr>
            </w:pPr>
            <w:r>
              <w:rPr>
                <w:rFonts w:ascii="Arial" w:cs="Arial" w:eastAsia="Arial" w:hAnsi="Arial"/>
                <w:sz w:val="13"/>
                <w:szCs w:val="13"/>
                <w:b w:val="1"/>
                <w:bCs w:val="1"/>
                <w:color w:val="D8D8D8"/>
              </w:rPr>
              <w:t>($)</w:t>
            </w:r>
          </w:p>
        </w:tc>
        <w:tc>
          <w:tcPr>
            <w:tcW w:w="980" w:type="dxa"/>
            <w:vAlign w:val="bottom"/>
            <w:shd w:val="clear" w:color="auto" w:fill="00548B"/>
          </w:tcPr>
          <w:p>
            <w:pPr>
              <w:jc w:val="right"/>
              <w:ind w:right="370"/>
              <w:spacing w:after="0"/>
              <w:rPr>
                <w:sz w:val="20"/>
                <w:szCs w:val="20"/>
                <w:color w:val="auto"/>
              </w:rPr>
            </w:pPr>
            <w:r>
              <w:rPr>
                <w:rFonts w:ascii="Arial" w:cs="Arial" w:eastAsia="Arial" w:hAnsi="Arial"/>
                <w:sz w:val="13"/>
                <w:szCs w:val="13"/>
                <w:b w:val="1"/>
                <w:bCs w:val="1"/>
                <w:color w:val="D8D8D8"/>
              </w:rPr>
              <w:t>($)</w:t>
            </w:r>
          </w:p>
        </w:tc>
        <w:tc>
          <w:tcPr>
            <w:tcW w:w="1060" w:type="dxa"/>
            <w:vAlign w:val="bottom"/>
            <w:shd w:val="clear" w:color="auto" w:fill="00548B"/>
          </w:tcPr>
          <w:p>
            <w:pPr>
              <w:jc w:val="center"/>
              <w:ind w:right="389"/>
              <w:spacing w:after="0"/>
              <w:rPr>
                <w:sz w:val="20"/>
                <w:szCs w:val="20"/>
                <w:color w:val="auto"/>
              </w:rPr>
            </w:pPr>
            <w:r>
              <w:rPr>
                <w:rFonts w:ascii="Arial" w:cs="Arial" w:eastAsia="Arial" w:hAnsi="Arial"/>
                <w:sz w:val="13"/>
                <w:szCs w:val="13"/>
                <w:b w:val="1"/>
                <w:bCs w:val="1"/>
                <w:color w:val="D8D8D8"/>
              </w:rPr>
              <w:t>($)</w:t>
            </w:r>
          </w:p>
        </w:tc>
        <w:tc>
          <w:tcPr>
            <w:tcW w:w="8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87"/>
              </w:rPr>
              <w:t>(#)</w:t>
            </w:r>
          </w:p>
        </w:tc>
        <w:tc>
          <w:tcPr>
            <w:tcW w:w="66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w:t>
            </w:r>
          </w:p>
        </w:tc>
        <w:tc>
          <w:tcPr>
            <w:tcW w:w="780" w:type="dxa"/>
            <w:vAlign w:val="bottom"/>
            <w:shd w:val="clear" w:color="auto" w:fill="00548B"/>
          </w:tcPr>
          <w:p>
            <w:pPr>
              <w:jc w:val="right"/>
              <w:ind w:right="249"/>
              <w:spacing w:after="0"/>
              <w:rPr>
                <w:sz w:val="20"/>
                <w:szCs w:val="20"/>
                <w:color w:val="auto"/>
              </w:rPr>
            </w:pPr>
            <w:r>
              <w:rPr>
                <w:rFonts w:ascii="Arial" w:cs="Arial" w:eastAsia="Arial" w:hAnsi="Arial"/>
                <w:sz w:val="13"/>
                <w:szCs w:val="13"/>
                <w:b w:val="1"/>
                <w:bCs w:val="1"/>
                <w:color w:val="D8D8D8"/>
              </w:rPr>
              <w:t>(#)</w:t>
            </w:r>
          </w:p>
        </w:tc>
        <w:tc>
          <w:tcPr>
            <w:tcW w:w="84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(#)(3)</w:t>
            </w:r>
          </w:p>
        </w:tc>
        <w:tc>
          <w:tcPr>
            <w:tcW w:w="90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($)(4)</w:t>
            </w:r>
          </w:p>
        </w:tc>
        <w:tc>
          <w:tcPr>
            <w:tcW w:w="0" w:type="dxa"/>
            <w:vAlign w:val="bottom"/>
          </w:tcPr>
          <w:p>
            <w:pPr>
              <w:spacing w:after="0"/>
              <w:rPr>
                <w:sz w:val="1"/>
                <w:szCs w:val="1"/>
                <w:color w:val="auto"/>
              </w:rPr>
            </w:pPr>
          </w:p>
        </w:tc>
      </w:tr>
      <w:tr>
        <w:trPr>
          <w:trHeight w:val="167"/>
        </w:trPr>
        <w:tc>
          <w:tcPr>
            <w:tcW w:w="2420" w:type="dxa"/>
            <w:vAlign w:val="bottom"/>
            <w:gridSpan w:val="2"/>
          </w:tcPr>
          <w:p>
            <w:pPr>
              <w:spacing w:after="0"/>
              <w:rPr>
                <w:sz w:val="20"/>
                <w:szCs w:val="20"/>
                <w:color w:val="auto"/>
              </w:rPr>
            </w:pPr>
            <w:r>
              <w:rPr>
                <w:rFonts w:ascii="Arial" w:cs="Arial" w:eastAsia="Arial" w:hAnsi="Arial"/>
                <w:sz w:val="14"/>
                <w:szCs w:val="14"/>
                <w:color w:val="auto"/>
              </w:rPr>
              <w:t>James H. Roth</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3/1/2018</w:t>
            </w:r>
          </w:p>
        </w:tc>
        <w:tc>
          <w:tcPr>
            <w:tcW w:w="1080" w:type="dxa"/>
            <w:vAlign w:val="bottom"/>
          </w:tcPr>
          <w:p>
            <w:pPr>
              <w:ind w:left="340"/>
              <w:spacing w:after="0"/>
              <w:rPr>
                <w:sz w:val="20"/>
                <w:szCs w:val="20"/>
                <w:color w:val="auto"/>
              </w:rPr>
            </w:pPr>
            <w:r>
              <w:rPr>
                <w:rFonts w:ascii="Arial" w:cs="Arial" w:eastAsia="Arial" w:hAnsi="Arial"/>
                <w:sz w:val="14"/>
                <w:szCs w:val="14"/>
                <w:color w:val="auto"/>
              </w:rPr>
              <w:t>2/22/2018</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36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260"/>
              <w:spacing w:after="0"/>
              <w:rPr>
                <w:sz w:val="20"/>
                <w:szCs w:val="20"/>
                <w:color w:val="auto"/>
              </w:rPr>
            </w:pPr>
            <w:r>
              <w:rPr>
                <w:rFonts w:ascii="Arial" w:cs="Arial" w:eastAsia="Arial" w:hAnsi="Arial"/>
                <w:sz w:val="14"/>
                <w:szCs w:val="14"/>
                <w:color w:val="auto"/>
              </w:rPr>
              <w:t>13,405</w:t>
            </w:r>
          </w:p>
        </w:tc>
        <w:tc>
          <w:tcPr>
            <w:tcW w:w="660" w:type="dxa"/>
            <w:vAlign w:val="bottom"/>
          </w:tcPr>
          <w:p>
            <w:pPr>
              <w:jc w:val="center"/>
              <w:spacing w:after="0"/>
              <w:rPr>
                <w:sz w:val="20"/>
                <w:szCs w:val="20"/>
                <w:color w:val="auto"/>
              </w:rPr>
            </w:pPr>
            <w:r>
              <w:rPr>
                <w:rFonts w:ascii="Arial" w:cs="Arial" w:eastAsia="Arial" w:hAnsi="Arial"/>
                <w:sz w:val="14"/>
                <w:szCs w:val="14"/>
                <w:color w:val="auto"/>
              </w:rPr>
              <w:t>53,617</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107,234</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1,889,999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3/1/2018</w:t>
            </w:r>
          </w:p>
        </w:tc>
        <w:tc>
          <w:tcPr>
            <w:tcW w:w="1080" w:type="dxa"/>
            <w:vAlign w:val="bottom"/>
          </w:tcPr>
          <w:p>
            <w:pPr>
              <w:ind w:left="340"/>
              <w:spacing w:after="0"/>
              <w:rPr>
                <w:sz w:val="20"/>
                <w:szCs w:val="20"/>
                <w:color w:val="auto"/>
              </w:rPr>
            </w:pPr>
            <w:r>
              <w:rPr>
                <w:rFonts w:ascii="Arial" w:cs="Arial" w:eastAsia="Arial" w:hAnsi="Arial"/>
                <w:sz w:val="14"/>
                <w:szCs w:val="14"/>
                <w:color w:val="auto"/>
              </w:rPr>
              <w:t>2/22/2018</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36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22,979</w:t>
            </w: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810,010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tcBorders>
              <w:bottom w:val="single" w:sz="8" w:color="999999"/>
            </w:tcBorders>
          </w:tcPr>
          <w:p>
            <w:pPr>
              <w:spacing w:after="0"/>
              <w:rPr>
                <w:sz w:val="13"/>
                <w:szCs w:val="13"/>
                <w:color w:val="auto"/>
              </w:rPr>
            </w:pPr>
          </w:p>
        </w:tc>
        <w:tc>
          <w:tcPr>
            <w:tcW w:w="780" w:type="dxa"/>
            <w:vAlign w:val="bottom"/>
            <w:tcBorders>
              <w:bottom w:val="single" w:sz="8" w:color="999999"/>
            </w:tcBorders>
          </w:tcPr>
          <w:p>
            <w:pPr>
              <w:spacing w:after="0"/>
              <w:rPr>
                <w:sz w:val="13"/>
                <w:szCs w:val="13"/>
                <w:color w:val="auto"/>
              </w:rPr>
            </w:pPr>
          </w:p>
        </w:tc>
        <w:tc>
          <w:tcPr>
            <w:tcW w:w="1080" w:type="dxa"/>
            <w:vAlign w:val="bottom"/>
            <w:tcBorders>
              <w:bottom w:val="single" w:sz="8" w:color="999999"/>
            </w:tcBorders>
          </w:tcPr>
          <w:p>
            <w:pPr>
              <w:spacing w:after="0"/>
              <w:rPr>
                <w:sz w:val="13"/>
                <w:szCs w:val="13"/>
                <w:color w:val="auto"/>
              </w:rPr>
            </w:pPr>
          </w:p>
        </w:tc>
        <w:tc>
          <w:tcPr>
            <w:tcW w:w="72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247,500</w:t>
            </w:r>
          </w:p>
        </w:tc>
        <w:tc>
          <w:tcPr>
            <w:tcW w:w="9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990,000</w:t>
            </w:r>
          </w:p>
        </w:tc>
        <w:tc>
          <w:tcPr>
            <w:tcW w:w="1060" w:type="dxa"/>
            <w:vAlign w:val="bottom"/>
            <w:tcBorders>
              <w:bottom w:val="single" w:sz="8" w:color="999999"/>
            </w:tcBorders>
          </w:tcPr>
          <w:p>
            <w:pPr>
              <w:jc w:val="right"/>
              <w:ind w:right="349"/>
              <w:spacing w:after="0" w:line="157" w:lineRule="exact"/>
              <w:rPr>
                <w:sz w:val="20"/>
                <w:szCs w:val="20"/>
                <w:color w:val="auto"/>
              </w:rPr>
            </w:pPr>
            <w:r>
              <w:rPr>
                <w:rFonts w:ascii="Arial" w:cs="Arial" w:eastAsia="Arial" w:hAnsi="Arial"/>
                <w:sz w:val="14"/>
                <w:szCs w:val="14"/>
                <w:color w:val="auto"/>
                <w:w w:val="99"/>
              </w:rPr>
              <w:t>1,980,000</w:t>
            </w:r>
          </w:p>
        </w:tc>
        <w:tc>
          <w:tcPr>
            <w:tcW w:w="820" w:type="dxa"/>
            <w:vAlign w:val="bottom"/>
            <w:tcBorders>
              <w:bottom w:val="single" w:sz="8" w:color="999999"/>
            </w:tcBorders>
          </w:tcPr>
          <w:p>
            <w:pPr>
              <w:ind w:left="34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0"/>
        </w:trPr>
        <w:tc>
          <w:tcPr>
            <w:tcW w:w="2420" w:type="dxa"/>
            <w:vAlign w:val="bottom"/>
            <w:gridSpan w:val="2"/>
          </w:tcPr>
          <w:p>
            <w:pPr>
              <w:spacing w:after="0"/>
              <w:rPr>
                <w:sz w:val="20"/>
                <w:szCs w:val="20"/>
                <w:color w:val="auto"/>
              </w:rPr>
            </w:pPr>
            <w:r>
              <w:rPr>
                <w:rFonts w:ascii="Arial" w:cs="Arial" w:eastAsia="Arial" w:hAnsi="Arial"/>
                <w:sz w:val="14"/>
                <w:szCs w:val="14"/>
                <w:color w:val="auto"/>
              </w:rPr>
              <w:t>C. Mark Hussey</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3/1/2018</w:t>
            </w:r>
          </w:p>
        </w:tc>
        <w:tc>
          <w:tcPr>
            <w:tcW w:w="1080" w:type="dxa"/>
            <w:vAlign w:val="bottom"/>
          </w:tcPr>
          <w:p>
            <w:pPr>
              <w:ind w:left="340"/>
              <w:spacing w:after="0"/>
              <w:rPr>
                <w:sz w:val="20"/>
                <w:szCs w:val="20"/>
                <w:color w:val="auto"/>
              </w:rPr>
            </w:pPr>
            <w:r>
              <w:rPr>
                <w:rFonts w:ascii="Arial" w:cs="Arial" w:eastAsia="Arial" w:hAnsi="Arial"/>
                <w:sz w:val="14"/>
                <w:szCs w:val="14"/>
                <w:color w:val="auto"/>
              </w:rPr>
              <w:t>2/22/2018</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36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6,516</w:t>
            </w:r>
          </w:p>
        </w:tc>
        <w:tc>
          <w:tcPr>
            <w:tcW w:w="660" w:type="dxa"/>
            <w:vAlign w:val="bottom"/>
          </w:tcPr>
          <w:p>
            <w:pPr>
              <w:jc w:val="center"/>
              <w:spacing w:after="0"/>
              <w:rPr>
                <w:sz w:val="20"/>
                <w:szCs w:val="20"/>
                <w:color w:val="auto"/>
              </w:rPr>
            </w:pPr>
            <w:r>
              <w:rPr>
                <w:rFonts w:ascii="Arial" w:cs="Arial" w:eastAsia="Arial" w:hAnsi="Arial"/>
                <w:sz w:val="14"/>
                <w:szCs w:val="14"/>
                <w:color w:val="auto"/>
              </w:rPr>
              <w:t>26,064</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52,128</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918,756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3/1/2018</w:t>
            </w:r>
          </w:p>
        </w:tc>
        <w:tc>
          <w:tcPr>
            <w:tcW w:w="1080" w:type="dxa"/>
            <w:vAlign w:val="bottom"/>
          </w:tcPr>
          <w:p>
            <w:pPr>
              <w:ind w:left="340"/>
              <w:spacing w:after="0"/>
              <w:rPr>
                <w:sz w:val="20"/>
                <w:szCs w:val="20"/>
                <w:color w:val="auto"/>
              </w:rPr>
            </w:pPr>
            <w:r>
              <w:rPr>
                <w:rFonts w:ascii="Arial" w:cs="Arial" w:eastAsia="Arial" w:hAnsi="Arial"/>
                <w:sz w:val="14"/>
                <w:szCs w:val="14"/>
                <w:color w:val="auto"/>
              </w:rPr>
              <w:t>2/22/2018</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36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rPr>
              <w:t>11,170</w:t>
            </w: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393,744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tcBorders>
              <w:bottom w:val="single" w:sz="8" w:color="999999"/>
            </w:tcBorders>
          </w:tcPr>
          <w:p>
            <w:pPr>
              <w:spacing w:after="0"/>
              <w:rPr>
                <w:sz w:val="13"/>
                <w:szCs w:val="13"/>
                <w:color w:val="auto"/>
              </w:rPr>
            </w:pPr>
          </w:p>
        </w:tc>
        <w:tc>
          <w:tcPr>
            <w:tcW w:w="780" w:type="dxa"/>
            <w:vAlign w:val="bottom"/>
            <w:tcBorders>
              <w:bottom w:val="single" w:sz="8" w:color="999999"/>
            </w:tcBorders>
          </w:tcPr>
          <w:p>
            <w:pPr>
              <w:spacing w:after="0"/>
              <w:rPr>
                <w:sz w:val="13"/>
                <w:szCs w:val="13"/>
                <w:color w:val="auto"/>
              </w:rPr>
            </w:pPr>
          </w:p>
        </w:tc>
        <w:tc>
          <w:tcPr>
            <w:tcW w:w="1080" w:type="dxa"/>
            <w:vAlign w:val="bottom"/>
            <w:tcBorders>
              <w:bottom w:val="single" w:sz="8" w:color="999999"/>
            </w:tcBorders>
          </w:tcPr>
          <w:p>
            <w:pPr>
              <w:spacing w:after="0"/>
              <w:rPr>
                <w:sz w:val="13"/>
                <w:szCs w:val="13"/>
                <w:color w:val="auto"/>
              </w:rPr>
            </w:pPr>
          </w:p>
        </w:tc>
        <w:tc>
          <w:tcPr>
            <w:tcW w:w="72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187,500</w:t>
            </w:r>
          </w:p>
        </w:tc>
        <w:tc>
          <w:tcPr>
            <w:tcW w:w="9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750,000</w:t>
            </w:r>
          </w:p>
        </w:tc>
        <w:tc>
          <w:tcPr>
            <w:tcW w:w="1060" w:type="dxa"/>
            <w:vAlign w:val="bottom"/>
            <w:tcBorders>
              <w:bottom w:val="single" w:sz="8" w:color="999999"/>
            </w:tcBorders>
          </w:tcPr>
          <w:p>
            <w:pPr>
              <w:jc w:val="right"/>
              <w:ind w:right="349"/>
              <w:spacing w:after="0" w:line="157" w:lineRule="exact"/>
              <w:rPr>
                <w:sz w:val="20"/>
                <w:szCs w:val="20"/>
                <w:color w:val="auto"/>
              </w:rPr>
            </w:pPr>
            <w:r>
              <w:rPr>
                <w:rFonts w:ascii="Arial" w:cs="Arial" w:eastAsia="Arial" w:hAnsi="Arial"/>
                <w:sz w:val="14"/>
                <w:szCs w:val="14"/>
                <w:color w:val="auto"/>
                <w:w w:val="99"/>
              </w:rPr>
              <w:t>1,500,000</w:t>
            </w:r>
          </w:p>
        </w:tc>
        <w:tc>
          <w:tcPr>
            <w:tcW w:w="820" w:type="dxa"/>
            <w:vAlign w:val="bottom"/>
            <w:tcBorders>
              <w:bottom w:val="single" w:sz="8" w:color="999999"/>
            </w:tcBorders>
          </w:tcPr>
          <w:p>
            <w:pPr>
              <w:ind w:left="34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0"/>
        </w:trPr>
        <w:tc>
          <w:tcPr>
            <w:tcW w:w="2420" w:type="dxa"/>
            <w:vAlign w:val="bottom"/>
            <w:gridSpan w:val="2"/>
          </w:tcPr>
          <w:p>
            <w:pPr>
              <w:spacing w:after="0"/>
              <w:rPr>
                <w:sz w:val="20"/>
                <w:szCs w:val="20"/>
                <w:color w:val="auto"/>
              </w:rPr>
            </w:pPr>
            <w:r>
              <w:rPr>
                <w:rFonts w:ascii="Arial" w:cs="Arial" w:eastAsia="Arial" w:hAnsi="Arial"/>
                <w:sz w:val="14"/>
                <w:szCs w:val="14"/>
                <w:color w:val="auto"/>
              </w:rPr>
              <w:t>John D. Kelly</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3/1/2018</w:t>
            </w:r>
          </w:p>
        </w:tc>
        <w:tc>
          <w:tcPr>
            <w:tcW w:w="1080" w:type="dxa"/>
            <w:vAlign w:val="bottom"/>
          </w:tcPr>
          <w:p>
            <w:pPr>
              <w:ind w:left="340"/>
              <w:spacing w:after="0"/>
              <w:rPr>
                <w:sz w:val="20"/>
                <w:szCs w:val="20"/>
                <w:color w:val="auto"/>
              </w:rPr>
            </w:pPr>
            <w:r>
              <w:rPr>
                <w:rFonts w:ascii="Arial" w:cs="Arial" w:eastAsia="Arial" w:hAnsi="Arial"/>
                <w:sz w:val="14"/>
                <w:szCs w:val="14"/>
                <w:color w:val="auto"/>
              </w:rPr>
              <w:t>2/22/2018</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369"/>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2,383</w:t>
            </w:r>
          </w:p>
        </w:tc>
        <w:tc>
          <w:tcPr>
            <w:tcW w:w="660" w:type="dxa"/>
            <w:vAlign w:val="bottom"/>
          </w:tcPr>
          <w:p>
            <w:pPr>
              <w:jc w:val="center"/>
              <w:spacing w:after="0"/>
              <w:rPr>
                <w:sz w:val="20"/>
                <w:szCs w:val="20"/>
                <w:color w:val="auto"/>
              </w:rPr>
            </w:pPr>
            <w:r>
              <w:rPr>
                <w:rFonts w:ascii="Arial" w:cs="Arial" w:eastAsia="Arial" w:hAnsi="Arial"/>
                <w:sz w:val="14"/>
                <w:szCs w:val="14"/>
                <w:color w:val="auto"/>
              </w:rPr>
              <w:t>9,532</w:t>
            </w:r>
          </w:p>
        </w:tc>
        <w:tc>
          <w:tcPr>
            <w:tcW w:w="780" w:type="dxa"/>
            <w:vAlign w:val="bottom"/>
          </w:tcPr>
          <w:p>
            <w:pPr>
              <w:jc w:val="center"/>
              <w:spacing w:after="0"/>
              <w:rPr>
                <w:sz w:val="20"/>
                <w:szCs w:val="20"/>
                <w:color w:val="auto"/>
              </w:rPr>
            </w:pPr>
            <w:r>
              <w:rPr>
                <w:rFonts w:ascii="Arial" w:cs="Arial" w:eastAsia="Arial" w:hAnsi="Arial"/>
                <w:sz w:val="14"/>
                <w:szCs w:val="14"/>
                <w:color w:val="auto"/>
              </w:rPr>
              <w:t>19,064</w:t>
            </w:r>
          </w:p>
        </w:tc>
        <w:tc>
          <w:tcPr>
            <w:tcW w:w="840" w:type="dxa"/>
            <w:vAlign w:val="bottom"/>
          </w:tcPr>
          <w:p>
            <w:pPr>
              <w:spacing w:after="0"/>
              <w:rPr>
                <w:sz w:val="13"/>
                <w:szCs w:val="13"/>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336,003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3/1/2018</w:t>
            </w:r>
          </w:p>
        </w:tc>
        <w:tc>
          <w:tcPr>
            <w:tcW w:w="1080" w:type="dxa"/>
            <w:vAlign w:val="bottom"/>
          </w:tcPr>
          <w:p>
            <w:pPr>
              <w:ind w:left="340"/>
              <w:spacing w:after="0"/>
              <w:rPr>
                <w:sz w:val="20"/>
                <w:szCs w:val="20"/>
                <w:color w:val="auto"/>
              </w:rPr>
            </w:pPr>
            <w:r>
              <w:rPr>
                <w:rFonts w:ascii="Arial" w:cs="Arial" w:eastAsia="Arial" w:hAnsi="Arial"/>
                <w:sz w:val="14"/>
                <w:szCs w:val="14"/>
                <w:color w:val="auto"/>
              </w:rPr>
              <w:t>2/22/2018</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36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rPr>
              <w:t>4,085</w:t>
            </w: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143,996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tcBorders>
              <w:bottom w:val="single" w:sz="8" w:color="999999"/>
            </w:tcBorders>
          </w:tcPr>
          <w:p>
            <w:pPr>
              <w:spacing w:after="0"/>
              <w:rPr>
                <w:sz w:val="13"/>
                <w:szCs w:val="13"/>
                <w:color w:val="auto"/>
              </w:rPr>
            </w:pPr>
          </w:p>
        </w:tc>
        <w:tc>
          <w:tcPr>
            <w:tcW w:w="780" w:type="dxa"/>
            <w:vAlign w:val="bottom"/>
            <w:tcBorders>
              <w:bottom w:val="single" w:sz="8" w:color="999999"/>
            </w:tcBorders>
          </w:tcPr>
          <w:p>
            <w:pPr>
              <w:spacing w:after="0"/>
              <w:rPr>
                <w:sz w:val="13"/>
                <w:szCs w:val="13"/>
                <w:color w:val="auto"/>
              </w:rPr>
            </w:pPr>
          </w:p>
        </w:tc>
        <w:tc>
          <w:tcPr>
            <w:tcW w:w="1080" w:type="dxa"/>
            <w:vAlign w:val="bottom"/>
            <w:tcBorders>
              <w:bottom w:val="single" w:sz="8" w:color="999999"/>
            </w:tcBorders>
          </w:tcPr>
          <w:p>
            <w:pPr>
              <w:spacing w:after="0"/>
              <w:rPr>
                <w:sz w:val="13"/>
                <w:szCs w:val="13"/>
                <w:color w:val="auto"/>
              </w:rPr>
            </w:pPr>
          </w:p>
        </w:tc>
        <w:tc>
          <w:tcPr>
            <w:tcW w:w="72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70,000</w:t>
            </w:r>
          </w:p>
        </w:tc>
        <w:tc>
          <w:tcPr>
            <w:tcW w:w="9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280,000</w:t>
            </w:r>
          </w:p>
        </w:tc>
        <w:tc>
          <w:tcPr>
            <w:tcW w:w="1060" w:type="dxa"/>
            <w:vAlign w:val="bottom"/>
            <w:tcBorders>
              <w:bottom w:val="single" w:sz="8" w:color="999999"/>
            </w:tcBorders>
          </w:tcPr>
          <w:p>
            <w:pPr>
              <w:jc w:val="right"/>
              <w:ind w:right="349"/>
              <w:spacing w:after="0" w:line="157" w:lineRule="exact"/>
              <w:rPr>
                <w:sz w:val="20"/>
                <w:szCs w:val="20"/>
                <w:color w:val="auto"/>
              </w:rPr>
            </w:pPr>
            <w:r>
              <w:rPr>
                <w:rFonts w:ascii="Arial" w:cs="Arial" w:eastAsia="Arial" w:hAnsi="Arial"/>
                <w:sz w:val="14"/>
                <w:szCs w:val="14"/>
                <w:color w:val="auto"/>
              </w:rPr>
              <w:t>560,000</w:t>
            </w:r>
          </w:p>
        </w:tc>
        <w:tc>
          <w:tcPr>
            <w:tcW w:w="820" w:type="dxa"/>
            <w:vAlign w:val="bottom"/>
            <w:tcBorders>
              <w:bottom w:val="single" w:sz="8" w:color="999999"/>
            </w:tcBorders>
          </w:tcPr>
          <w:p>
            <w:pPr>
              <w:ind w:left="34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0"/>
        </w:trPr>
        <w:tc>
          <w:tcPr>
            <w:tcW w:w="2420" w:type="dxa"/>
            <w:vAlign w:val="bottom"/>
            <w:gridSpan w:val="2"/>
          </w:tcPr>
          <w:p>
            <w:pPr>
              <w:spacing w:after="0"/>
              <w:rPr>
                <w:sz w:val="20"/>
                <w:szCs w:val="20"/>
                <w:color w:val="auto"/>
              </w:rPr>
            </w:pPr>
            <w:r>
              <w:rPr>
                <w:rFonts w:ascii="Arial" w:cs="Arial" w:eastAsia="Arial" w:hAnsi="Arial"/>
                <w:sz w:val="14"/>
                <w:szCs w:val="14"/>
                <w:color w:val="auto"/>
              </w:rPr>
              <w:t>Diane E. Ratekin</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3/1/2018</w:t>
            </w:r>
          </w:p>
        </w:tc>
        <w:tc>
          <w:tcPr>
            <w:tcW w:w="1080" w:type="dxa"/>
            <w:vAlign w:val="bottom"/>
          </w:tcPr>
          <w:p>
            <w:pPr>
              <w:ind w:left="340"/>
              <w:spacing w:after="0"/>
              <w:rPr>
                <w:sz w:val="20"/>
                <w:szCs w:val="20"/>
                <w:color w:val="auto"/>
              </w:rPr>
            </w:pPr>
            <w:r>
              <w:rPr>
                <w:rFonts w:ascii="Arial" w:cs="Arial" w:eastAsia="Arial" w:hAnsi="Arial"/>
                <w:sz w:val="14"/>
                <w:szCs w:val="14"/>
                <w:color w:val="auto"/>
              </w:rPr>
              <w:t>2/22/2018</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36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2,284</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9,135</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18,270</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322,009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3/1/2018</w:t>
            </w:r>
          </w:p>
        </w:tc>
        <w:tc>
          <w:tcPr>
            <w:tcW w:w="1080" w:type="dxa"/>
            <w:vAlign w:val="bottom"/>
          </w:tcPr>
          <w:p>
            <w:pPr>
              <w:ind w:left="340"/>
              <w:spacing w:after="0"/>
              <w:rPr>
                <w:sz w:val="20"/>
                <w:szCs w:val="20"/>
                <w:color w:val="auto"/>
              </w:rPr>
            </w:pPr>
            <w:r>
              <w:rPr>
                <w:rFonts w:ascii="Arial" w:cs="Arial" w:eastAsia="Arial" w:hAnsi="Arial"/>
                <w:sz w:val="14"/>
                <w:szCs w:val="14"/>
                <w:color w:val="auto"/>
              </w:rPr>
              <w:t>2/22/2018</w:t>
            </w:r>
          </w:p>
        </w:tc>
        <w:tc>
          <w:tcPr>
            <w:tcW w:w="72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369"/>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rPr>
              <w:t>3,915</w:t>
            </w: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138,004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tcBorders>
              <w:bottom w:val="single" w:sz="8" w:color="999999"/>
            </w:tcBorders>
          </w:tcPr>
          <w:p>
            <w:pPr>
              <w:spacing w:after="0"/>
              <w:rPr>
                <w:sz w:val="13"/>
                <w:szCs w:val="13"/>
                <w:color w:val="auto"/>
              </w:rPr>
            </w:pPr>
          </w:p>
        </w:tc>
        <w:tc>
          <w:tcPr>
            <w:tcW w:w="780" w:type="dxa"/>
            <w:vAlign w:val="bottom"/>
            <w:tcBorders>
              <w:bottom w:val="single" w:sz="8" w:color="999999"/>
            </w:tcBorders>
          </w:tcPr>
          <w:p>
            <w:pPr>
              <w:spacing w:after="0"/>
              <w:rPr>
                <w:sz w:val="13"/>
                <w:szCs w:val="13"/>
                <w:color w:val="auto"/>
              </w:rPr>
            </w:pPr>
          </w:p>
        </w:tc>
        <w:tc>
          <w:tcPr>
            <w:tcW w:w="1080" w:type="dxa"/>
            <w:vAlign w:val="bottom"/>
            <w:tcBorders>
              <w:bottom w:val="single" w:sz="8" w:color="999999"/>
            </w:tcBorders>
          </w:tcPr>
          <w:p>
            <w:pPr>
              <w:spacing w:after="0"/>
              <w:rPr>
                <w:sz w:val="13"/>
                <w:szCs w:val="13"/>
                <w:color w:val="auto"/>
              </w:rPr>
            </w:pPr>
          </w:p>
        </w:tc>
        <w:tc>
          <w:tcPr>
            <w:tcW w:w="72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50,000</w:t>
            </w:r>
          </w:p>
        </w:tc>
        <w:tc>
          <w:tcPr>
            <w:tcW w:w="9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200,000</w:t>
            </w:r>
          </w:p>
        </w:tc>
        <w:tc>
          <w:tcPr>
            <w:tcW w:w="1060" w:type="dxa"/>
            <w:vAlign w:val="bottom"/>
            <w:tcBorders>
              <w:bottom w:val="single" w:sz="8" w:color="999999"/>
            </w:tcBorders>
          </w:tcPr>
          <w:p>
            <w:pPr>
              <w:jc w:val="right"/>
              <w:ind w:right="349"/>
              <w:spacing w:after="0" w:line="157" w:lineRule="exact"/>
              <w:rPr>
                <w:sz w:val="20"/>
                <w:szCs w:val="20"/>
                <w:color w:val="auto"/>
              </w:rPr>
            </w:pPr>
            <w:r>
              <w:rPr>
                <w:rFonts w:ascii="Arial" w:cs="Arial" w:eastAsia="Arial" w:hAnsi="Arial"/>
                <w:sz w:val="14"/>
                <w:szCs w:val="14"/>
                <w:color w:val="auto"/>
              </w:rPr>
              <w:t>400,000</w:t>
            </w:r>
          </w:p>
        </w:tc>
        <w:tc>
          <w:tcPr>
            <w:tcW w:w="820" w:type="dxa"/>
            <w:vAlign w:val="bottom"/>
            <w:tcBorders>
              <w:bottom w:val="single" w:sz="8" w:color="999999"/>
            </w:tcBorders>
          </w:tcPr>
          <w:p>
            <w:pPr>
              <w:ind w:left="34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740" w:right="20" w:hanging="536"/>
        <w:spacing w:after="0" w:line="246" w:lineRule="auto"/>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the cash award, the target, threshold and maximum represent the range of cash award that could be earned. There is no payout if a threshold level of performance is not achieved. The minimum amount that could be paid is 25% of target and maximum represents 200% of target. Based on the achievement of specific financial goals, the Compensation Committee determined that 117% of the target award was earned for 2018.</w:t>
      </w:r>
    </w:p>
    <w:p>
      <w:pPr>
        <w:spacing w:after="0" w:line="1" w:lineRule="exact"/>
        <w:rPr>
          <w:rFonts w:ascii="Arial" w:cs="Arial" w:eastAsia="Arial" w:hAnsi="Arial"/>
          <w:sz w:val="16"/>
          <w:szCs w:val="16"/>
          <w:color w:val="auto"/>
        </w:rPr>
      </w:pPr>
    </w:p>
    <w:p>
      <w:pPr>
        <w:jc w:val="both"/>
        <w:ind w:left="740" w:right="20" w:hanging="536"/>
        <w:spacing w:after="0" w:line="246" w:lineRule="auto"/>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2018 grant of Performance Share Units (PSUs) is based on performance (Adjusted Diluted EPS and Revenue Growth) over a three-year period from 2018-2020. The PSUs are earned from 25% of target for threshold performance to 200% of target for maximum performance; however, if threshold performance is not achieved, the award will be forfeited. The PSUs that are earned will vest on March 1, 2021.</w:t>
      </w:r>
    </w:p>
    <w:p>
      <w:pPr>
        <w:spacing w:after="0" w:line="1" w:lineRule="exact"/>
        <w:rPr>
          <w:rFonts w:ascii="Arial" w:cs="Arial" w:eastAsia="Arial" w:hAnsi="Arial"/>
          <w:sz w:val="16"/>
          <w:szCs w:val="16"/>
          <w:color w:val="auto"/>
        </w:rPr>
      </w:pPr>
    </w:p>
    <w:p>
      <w:pPr>
        <w:ind w:left="740" w:hanging="536"/>
        <w:spacing w:after="0"/>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Restricted stock granted under the Company’s 2012 Omnibus Incentive Plan.</w:t>
      </w:r>
    </w:p>
    <w:p>
      <w:pPr>
        <w:spacing w:after="0" w:line="5" w:lineRule="exact"/>
        <w:rPr>
          <w:rFonts w:ascii="Arial" w:cs="Arial" w:eastAsia="Arial" w:hAnsi="Arial"/>
          <w:sz w:val="16"/>
          <w:szCs w:val="16"/>
          <w:color w:val="auto"/>
        </w:rPr>
      </w:pPr>
    </w:p>
    <w:p>
      <w:pPr>
        <w:jc w:val="both"/>
        <w:ind w:left="740" w:right="20" w:hanging="536"/>
        <w:spacing w:after="0" w:line="253" w:lineRule="auto"/>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full grant date fair value of the March 1, 2018 restricted stock and PSU grants are based on the closing price of Huron stock of $35.25 on March 1, 2018. The total number of PSUs earned by recipients of these awards is contingent on meeting Adjusted Diluted EPS and Revenue Growth goals as described in Note (2) above.</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37</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2018 O</w:t>
      </w:r>
      <w:r>
        <w:rPr>
          <w:rFonts w:ascii="Arial" w:cs="Arial" w:eastAsia="Arial" w:hAnsi="Arial"/>
          <w:sz w:val="15"/>
          <w:szCs w:val="15"/>
          <w:b w:val="1"/>
          <w:bCs w:val="1"/>
          <w:color w:val="00548B"/>
        </w:rPr>
        <w:t>UTSTANDING</w:t>
      </w:r>
      <w:r>
        <w:rPr>
          <w:rFonts w:ascii="Arial" w:cs="Arial" w:eastAsia="Arial" w:hAnsi="Arial"/>
          <w:sz w:val="18"/>
          <w:szCs w:val="18"/>
          <w:b w:val="1"/>
          <w:bCs w:val="1"/>
          <w:color w:val="00548B"/>
        </w:rPr>
        <w:t xml:space="preserve"> E</w:t>
      </w:r>
      <w:r>
        <w:rPr>
          <w:rFonts w:ascii="Arial" w:cs="Arial" w:eastAsia="Arial" w:hAnsi="Arial"/>
          <w:sz w:val="15"/>
          <w:szCs w:val="15"/>
          <w:b w:val="1"/>
          <w:bCs w:val="1"/>
          <w:color w:val="00548B"/>
        </w:rPr>
        <w:t>QUITY</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WARDS AT</w:t>
      </w:r>
      <w:r>
        <w:rPr>
          <w:rFonts w:ascii="Arial" w:cs="Arial" w:eastAsia="Arial" w:hAnsi="Arial"/>
          <w:sz w:val="18"/>
          <w:szCs w:val="18"/>
          <w:b w:val="1"/>
          <w:bCs w:val="1"/>
          <w:color w:val="00548B"/>
        </w:rPr>
        <w:t xml:space="preserve"> F</w:t>
      </w:r>
      <w:r>
        <w:rPr>
          <w:rFonts w:ascii="Arial" w:cs="Arial" w:eastAsia="Arial" w:hAnsi="Arial"/>
          <w:sz w:val="15"/>
          <w:szCs w:val="15"/>
          <w:b w:val="1"/>
          <w:bCs w:val="1"/>
          <w:color w:val="00548B"/>
        </w:rPr>
        <w:t>ISCAL</w:t>
      </w:r>
      <w:r>
        <w:rPr>
          <w:rFonts w:ascii="Arial" w:cs="Arial" w:eastAsia="Arial" w:hAnsi="Arial"/>
          <w:sz w:val="18"/>
          <w:szCs w:val="18"/>
          <w:b w:val="1"/>
          <w:bCs w:val="1"/>
          <w:color w:val="00548B"/>
        </w:rPr>
        <w:t xml:space="preserve"> Y</w:t>
      </w:r>
      <w:r>
        <w:rPr>
          <w:rFonts w:ascii="Arial" w:cs="Arial" w:eastAsia="Arial" w:hAnsi="Arial"/>
          <w:sz w:val="15"/>
          <w:szCs w:val="15"/>
          <w:b w:val="1"/>
          <w:bCs w:val="1"/>
          <w:color w:val="00548B"/>
        </w:rPr>
        <w:t>EAR</w:t>
      </w:r>
      <w:r>
        <w:rPr>
          <w:rFonts w:ascii="Arial" w:cs="Arial" w:eastAsia="Arial" w:hAnsi="Arial"/>
          <w:sz w:val="18"/>
          <w:szCs w:val="18"/>
          <w:b w:val="1"/>
          <w:bCs w:val="1"/>
          <w:color w:val="00548B"/>
        </w:rPr>
        <w:t>-</w:t>
      </w:r>
      <w:r>
        <w:rPr>
          <w:rFonts w:ascii="Arial" w:cs="Arial" w:eastAsia="Arial" w:hAnsi="Arial"/>
          <w:sz w:val="15"/>
          <w:szCs w:val="15"/>
          <w:b w:val="1"/>
          <w:bCs w:val="1"/>
          <w:color w:val="00548B"/>
        </w:rPr>
        <w:t>END</w:t>
      </w:r>
    </w:p>
    <w:p>
      <w:pPr>
        <w:spacing w:after="0" w:line="20" w:lineRule="exact"/>
        <w:rPr>
          <w:sz w:val="20"/>
          <w:szCs w:val="20"/>
          <w:color w:val="auto"/>
        </w:rPr>
      </w:pPr>
    </w:p>
    <w:p>
      <w:pPr>
        <w:ind w:left="200" w:right="220"/>
        <w:spacing w:after="0" w:line="260" w:lineRule="auto"/>
        <w:rPr>
          <w:sz w:val="20"/>
          <w:szCs w:val="20"/>
          <w:color w:val="auto"/>
        </w:rPr>
      </w:pPr>
      <w:r>
        <w:rPr>
          <w:rFonts w:ascii="Arial" w:cs="Arial" w:eastAsia="Arial" w:hAnsi="Arial"/>
          <w:sz w:val="16"/>
          <w:szCs w:val="16"/>
          <w:color w:val="auto"/>
        </w:rPr>
        <w:t>The following table sets forth certain information concerning outstanding stock and option awards as of December 31, 2018 for each named executive officer. Market value is based on the closing price of Huron stock of $51.31 on December 31, 2018, the last trading day of the fiscal year.</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shd w:val="clear" w:color="auto" w:fill="00548B"/>
          </w:tcPr>
          <w:p>
            <w:pPr>
              <w:spacing w:after="0"/>
              <w:rPr>
                <w:sz w:val="13"/>
                <w:szCs w:val="13"/>
                <w:color w:val="auto"/>
              </w:rPr>
            </w:pPr>
          </w:p>
        </w:tc>
        <w:tc>
          <w:tcPr>
            <w:tcW w:w="760" w:type="dxa"/>
            <w:vAlign w:val="bottom"/>
            <w:shd w:val="clear" w:color="auto" w:fill="00548B"/>
          </w:tcPr>
          <w:p>
            <w:pPr>
              <w:spacing w:after="0"/>
              <w:rPr>
                <w:sz w:val="13"/>
                <w:szCs w:val="13"/>
                <w:color w:val="auto"/>
              </w:rPr>
            </w:pPr>
          </w:p>
        </w:tc>
        <w:tc>
          <w:tcPr>
            <w:tcW w:w="1140" w:type="dxa"/>
            <w:vAlign w:val="bottom"/>
            <w:shd w:val="clear" w:color="auto" w:fill="00548B"/>
          </w:tcPr>
          <w:p>
            <w:pPr>
              <w:spacing w:after="0"/>
              <w:rPr>
                <w:sz w:val="13"/>
                <w:szCs w:val="13"/>
                <w:color w:val="auto"/>
              </w:rPr>
            </w:pPr>
          </w:p>
        </w:tc>
        <w:tc>
          <w:tcPr>
            <w:tcW w:w="11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7"/>
              </w:rPr>
              <w:t>Option Awards</w:t>
            </w:r>
          </w:p>
        </w:tc>
        <w:tc>
          <w:tcPr>
            <w:tcW w:w="780" w:type="dxa"/>
            <w:vAlign w:val="bottom"/>
            <w:shd w:val="clear" w:color="auto" w:fill="00548B"/>
          </w:tcPr>
          <w:p>
            <w:pPr>
              <w:spacing w:after="0"/>
              <w:rPr>
                <w:sz w:val="13"/>
                <w:szCs w:val="13"/>
                <w:color w:val="auto"/>
              </w:rPr>
            </w:pPr>
          </w:p>
        </w:tc>
        <w:tc>
          <w:tcPr>
            <w:tcW w:w="1020" w:type="dxa"/>
            <w:vAlign w:val="bottom"/>
            <w:shd w:val="clear" w:color="auto" w:fill="00548B"/>
          </w:tcPr>
          <w:p>
            <w:pPr>
              <w:spacing w:after="0"/>
              <w:rPr>
                <w:sz w:val="13"/>
                <w:szCs w:val="13"/>
                <w:color w:val="auto"/>
              </w:rPr>
            </w:pPr>
          </w:p>
        </w:tc>
        <w:tc>
          <w:tcPr>
            <w:tcW w:w="580" w:type="dxa"/>
            <w:vAlign w:val="bottom"/>
            <w:shd w:val="clear" w:color="auto" w:fill="00548B"/>
          </w:tcPr>
          <w:p>
            <w:pPr>
              <w:spacing w:after="0"/>
              <w:rPr>
                <w:sz w:val="13"/>
                <w:szCs w:val="13"/>
                <w:color w:val="auto"/>
              </w:rPr>
            </w:pPr>
          </w:p>
        </w:tc>
        <w:tc>
          <w:tcPr>
            <w:tcW w:w="240" w:type="dxa"/>
            <w:vAlign w:val="bottom"/>
            <w:shd w:val="clear" w:color="auto" w:fill="00548B"/>
          </w:tcPr>
          <w:p>
            <w:pPr>
              <w:spacing w:after="0"/>
              <w:rPr>
                <w:sz w:val="13"/>
                <w:szCs w:val="13"/>
                <w:color w:val="auto"/>
              </w:rPr>
            </w:pPr>
          </w:p>
        </w:tc>
        <w:tc>
          <w:tcPr>
            <w:tcW w:w="940" w:type="dxa"/>
            <w:vAlign w:val="bottom"/>
            <w:shd w:val="clear" w:color="auto" w:fill="00548B"/>
          </w:tcPr>
          <w:p>
            <w:pPr>
              <w:spacing w:after="0"/>
              <w:rPr>
                <w:sz w:val="13"/>
                <w:szCs w:val="13"/>
                <w:color w:val="auto"/>
              </w:rPr>
            </w:pPr>
          </w:p>
        </w:tc>
        <w:tc>
          <w:tcPr>
            <w:tcW w:w="1560" w:type="dxa"/>
            <w:vAlign w:val="bottom"/>
            <w:shd w:val="clear" w:color="auto" w:fill="00548B"/>
          </w:tcPr>
          <w:p>
            <w:pPr>
              <w:jc w:val="right"/>
              <w:ind w:right="150"/>
              <w:spacing w:after="0"/>
              <w:rPr>
                <w:sz w:val="20"/>
                <w:szCs w:val="20"/>
                <w:color w:val="auto"/>
              </w:rPr>
            </w:pPr>
            <w:r>
              <w:rPr>
                <w:rFonts w:ascii="Arial" w:cs="Arial" w:eastAsia="Arial" w:hAnsi="Arial"/>
                <w:sz w:val="13"/>
                <w:szCs w:val="13"/>
                <w:b w:val="1"/>
                <w:bCs w:val="1"/>
                <w:color w:val="E5E5E5"/>
              </w:rPr>
              <w:t>Stock Awards</w:t>
            </w:r>
          </w:p>
        </w:tc>
        <w:tc>
          <w:tcPr>
            <w:tcW w:w="2000" w:type="dxa"/>
            <w:vAlign w:val="bottom"/>
            <w:shd w:val="clear" w:color="auto" w:fill="00548B"/>
          </w:tcPr>
          <w:p>
            <w:pPr>
              <w:spacing w:after="0"/>
              <w:rPr>
                <w:sz w:val="13"/>
                <w:szCs w:val="13"/>
                <w:color w:val="auto"/>
              </w:rPr>
            </w:pPr>
          </w:p>
        </w:tc>
      </w:tr>
      <w:tr>
        <w:trPr>
          <w:trHeight w:val="120"/>
        </w:trPr>
        <w:tc>
          <w:tcPr>
            <w:tcW w:w="20" w:type="dxa"/>
            <w:vAlign w:val="bottom"/>
          </w:tcPr>
          <w:p>
            <w:pPr>
              <w:spacing w:after="0"/>
              <w:rPr>
                <w:sz w:val="10"/>
                <w:szCs w:val="10"/>
                <w:color w:val="auto"/>
              </w:rPr>
            </w:pPr>
          </w:p>
        </w:tc>
        <w:tc>
          <w:tcPr>
            <w:tcW w:w="1080" w:type="dxa"/>
            <w:vAlign w:val="bottom"/>
            <w:shd w:val="clear" w:color="auto" w:fill="00548B"/>
          </w:tcPr>
          <w:p>
            <w:pPr>
              <w:spacing w:after="0"/>
              <w:rPr>
                <w:sz w:val="10"/>
                <w:szCs w:val="10"/>
                <w:color w:val="auto"/>
              </w:rPr>
            </w:pPr>
          </w:p>
        </w:tc>
        <w:tc>
          <w:tcPr>
            <w:tcW w:w="760" w:type="dxa"/>
            <w:vAlign w:val="bottom"/>
            <w:shd w:val="clear" w:color="auto" w:fill="00548B"/>
          </w:tcPr>
          <w:p>
            <w:pPr>
              <w:spacing w:after="0"/>
              <w:rPr>
                <w:sz w:val="10"/>
                <w:szCs w:val="10"/>
                <w:color w:val="auto"/>
              </w:rPr>
            </w:pPr>
          </w:p>
        </w:tc>
        <w:tc>
          <w:tcPr>
            <w:tcW w:w="1140" w:type="dxa"/>
            <w:vAlign w:val="bottom"/>
            <w:shd w:val="clear" w:color="auto" w:fill="00548B"/>
          </w:tcPr>
          <w:p>
            <w:pPr>
              <w:spacing w:after="0"/>
              <w:rPr>
                <w:sz w:val="10"/>
                <w:szCs w:val="10"/>
                <w:color w:val="auto"/>
              </w:rPr>
            </w:pPr>
          </w:p>
        </w:tc>
        <w:tc>
          <w:tcPr>
            <w:tcW w:w="1120" w:type="dxa"/>
            <w:vAlign w:val="bottom"/>
            <w:shd w:val="clear" w:color="auto" w:fill="00548B"/>
          </w:tcPr>
          <w:p>
            <w:pPr>
              <w:spacing w:after="0"/>
              <w:rPr>
                <w:sz w:val="10"/>
                <w:szCs w:val="10"/>
                <w:color w:val="auto"/>
              </w:rPr>
            </w:pPr>
          </w:p>
        </w:tc>
        <w:tc>
          <w:tcPr>
            <w:tcW w:w="780" w:type="dxa"/>
            <w:vAlign w:val="bottom"/>
            <w:shd w:val="clear" w:color="auto" w:fill="00548B"/>
          </w:tcPr>
          <w:p>
            <w:pPr>
              <w:spacing w:after="0"/>
              <w:rPr>
                <w:sz w:val="10"/>
                <w:szCs w:val="10"/>
                <w:color w:val="auto"/>
              </w:rPr>
            </w:pPr>
          </w:p>
        </w:tc>
        <w:tc>
          <w:tcPr>
            <w:tcW w:w="1020" w:type="dxa"/>
            <w:vAlign w:val="bottom"/>
            <w:shd w:val="clear" w:color="auto" w:fill="00548B"/>
          </w:tcPr>
          <w:p>
            <w:pPr>
              <w:spacing w:after="0"/>
              <w:rPr>
                <w:sz w:val="10"/>
                <w:szCs w:val="10"/>
                <w:color w:val="auto"/>
              </w:rPr>
            </w:pPr>
          </w:p>
        </w:tc>
        <w:tc>
          <w:tcPr>
            <w:tcW w:w="580" w:type="dxa"/>
            <w:vAlign w:val="bottom"/>
            <w:shd w:val="clear" w:color="auto" w:fill="00548B"/>
          </w:tcPr>
          <w:p>
            <w:pPr>
              <w:spacing w:after="0"/>
              <w:rPr>
                <w:sz w:val="10"/>
                <w:szCs w:val="10"/>
                <w:color w:val="auto"/>
              </w:rPr>
            </w:pPr>
          </w:p>
        </w:tc>
        <w:tc>
          <w:tcPr>
            <w:tcW w:w="240" w:type="dxa"/>
            <w:vAlign w:val="bottom"/>
            <w:shd w:val="clear" w:color="auto" w:fill="00548B"/>
          </w:tcPr>
          <w:p>
            <w:pPr>
              <w:spacing w:after="0"/>
              <w:rPr>
                <w:sz w:val="10"/>
                <w:szCs w:val="10"/>
                <w:color w:val="auto"/>
              </w:rPr>
            </w:pPr>
          </w:p>
        </w:tc>
        <w:tc>
          <w:tcPr>
            <w:tcW w:w="940" w:type="dxa"/>
            <w:vAlign w:val="bottom"/>
            <w:shd w:val="clear" w:color="auto" w:fill="00548B"/>
          </w:tcPr>
          <w:p>
            <w:pPr>
              <w:spacing w:after="0"/>
              <w:rPr>
                <w:sz w:val="10"/>
                <w:szCs w:val="10"/>
                <w:color w:val="auto"/>
              </w:rPr>
            </w:pPr>
          </w:p>
        </w:tc>
        <w:tc>
          <w:tcPr>
            <w:tcW w:w="1560" w:type="dxa"/>
            <w:vAlign w:val="bottom"/>
            <w:shd w:val="clear" w:color="auto" w:fill="00548B"/>
          </w:tcPr>
          <w:p>
            <w:pPr>
              <w:jc w:val="center"/>
              <w:ind w:right="170"/>
              <w:spacing w:after="0" w:line="120" w:lineRule="exact"/>
              <w:rPr>
                <w:sz w:val="20"/>
                <w:szCs w:val="20"/>
                <w:color w:val="auto"/>
              </w:rPr>
            </w:pPr>
            <w:r>
              <w:rPr>
                <w:rFonts w:ascii="Arial" w:cs="Arial" w:eastAsia="Arial" w:hAnsi="Arial"/>
                <w:sz w:val="13"/>
                <w:szCs w:val="13"/>
                <w:b w:val="1"/>
                <w:bCs w:val="1"/>
                <w:color w:val="E5E5E5"/>
                <w:w w:val="96"/>
              </w:rPr>
              <w:t>Equity Incentive</w:t>
            </w:r>
          </w:p>
        </w:tc>
        <w:tc>
          <w:tcPr>
            <w:tcW w:w="2000" w:type="dxa"/>
            <w:vAlign w:val="bottom"/>
            <w:shd w:val="clear" w:color="auto" w:fill="00548B"/>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760" w:type="dxa"/>
            <w:vAlign w:val="bottom"/>
            <w:shd w:val="clear" w:color="auto" w:fill="00548B"/>
          </w:tcPr>
          <w:p>
            <w:pPr>
              <w:spacing w:after="0"/>
              <w:rPr>
                <w:sz w:val="11"/>
                <w:szCs w:val="11"/>
                <w:color w:val="auto"/>
              </w:rPr>
            </w:pPr>
          </w:p>
        </w:tc>
        <w:tc>
          <w:tcPr>
            <w:tcW w:w="1140" w:type="dxa"/>
            <w:vAlign w:val="bottom"/>
            <w:shd w:val="clear" w:color="auto" w:fill="00548B"/>
          </w:tcPr>
          <w:p>
            <w:pPr>
              <w:spacing w:after="0"/>
              <w:rPr>
                <w:sz w:val="11"/>
                <w:szCs w:val="11"/>
                <w:color w:val="auto"/>
              </w:rPr>
            </w:pPr>
          </w:p>
        </w:tc>
        <w:tc>
          <w:tcPr>
            <w:tcW w:w="112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1020" w:type="dxa"/>
            <w:vAlign w:val="bottom"/>
            <w:shd w:val="clear" w:color="auto" w:fill="00548B"/>
          </w:tcPr>
          <w:p>
            <w:pPr>
              <w:spacing w:after="0"/>
              <w:rPr>
                <w:sz w:val="11"/>
                <w:szCs w:val="11"/>
                <w:color w:val="auto"/>
              </w:rPr>
            </w:pPr>
          </w:p>
        </w:tc>
        <w:tc>
          <w:tcPr>
            <w:tcW w:w="580" w:type="dxa"/>
            <w:vAlign w:val="bottom"/>
            <w:shd w:val="clear" w:color="auto" w:fill="00548B"/>
          </w:tcPr>
          <w:p>
            <w:pPr>
              <w:spacing w:after="0"/>
              <w:rPr>
                <w:sz w:val="11"/>
                <w:szCs w:val="11"/>
                <w:color w:val="auto"/>
              </w:rPr>
            </w:pPr>
          </w:p>
        </w:tc>
        <w:tc>
          <w:tcPr>
            <w:tcW w:w="240" w:type="dxa"/>
            <w:vAlign w:val="bottom"/>
            <w:shd w:val="clear" w:color="auto" w:fill="00548B"/>
          </w:tcPr>
          <w:p>
            <w:pPr>
              <w:spacing w:after="0"/>
              <w:rPr>
                <w:sz w:val="11"/>
                <w:szCs w:val="11"/>
                <w:color w:val="auto"/>
              </w:rPr>
            </w:pPr>
          </w:p>
        </w:tc>
        <w:tc>
          <w:tcPr>
            <w:tcW w:w="940" w:type="dxa"/>
            <w:vAlign w:val="bottom"/>
            <w:shd w:val="clear" w:color="auto" w:fill="00548B"/>
          </w:tcPr>
          <w:p>
            <w:pPr>
              <w:jc w:val="center"/>
              <w:ind w:right="50"/>
              <w:spacing w:after="0" w:line="135" w:lineRule="exact"/>
              <w:rPr>
                <w:sz w:val="20"/>
                <w:szCs w:val="20"/>
                <w:color w:val="auto"/>
              </w:rPr>
            </w:pPr>
            <w:r>
              <w:rPr>
                <w:rFonts w:ascii="Arial" w:cs="Arial" w:eastAsia="Arial" w:hAnsi="Arial"/>
                <w:sz w:val="13"/>
                <w:szCs w:val="13"/>
                <w:b w:val="1"/>
                <w:bCs w:val="1"/>
                <w:color w:val="E5E5E5"/>
                <w:w w:val="97"/>
              </w:rPr>
              <w:t>Market Value</w:t>
            </w:r>
          </w:p>
        </w:tc>
        <w:tc>
          <w:tcPr>
            <w:tcW w:w="1560" w:type="dxa"/>
            <w:vAlign w:val="bottom"/>
            <w:shd w:val="clear" w:color="auto" w:fill="00548B"/>
          </w:tcPr>
          <w:p>
            <w:pPr>
              <w:jc w:val="center"/>
              <w:ind w:right="170"/>
              <w:spacing w:after="0" w:line="135" w:lineRule="exact"/>
              <w:rPr>
                <w:sz w:val="20"/>
                <w:szCs w:val="20"/>
                <w:color w:val="auto"/>
              </w:rPr>
            </w:pPr>
            <w:r>
              <w:rPr>
                <w:rFonts w:ascii="Arial" w:cs="Arial" w:eastAsia="Arial" w:hAnsi="Arial"/>
                <w:sz w:val="13"/>
                <w:szCs w:val="13"/>
                <w:b w:val="1"/>
                <w:bCs w:val="1"/>
                <w:color w:val="E5E5E5"/>
                <w:w w:val="97"/>
              </w:rPr>
              <w:t>Plan Awards:</w:t>
            </w:r>
          </w:p>
        </w:tc>
        <w:tc>
          <w:tcPr>
            <w:tcW w:w="2000" w:type="dxa"/>
            <w:vAlign w:val="bottom"/>
            <w:shd w:val="clear" w:color="auto" w:fill="00548B"/>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760" w:type="dxa"/>
            <w:vAlign w:val="bottom"/>
            <w:shd w:val="clear" w:color="auto" w:fill="00548B"/>
          </w:tcPr>
          <w:p>
            <w:pPr>
              <w:spacing w:after="0"/>
              <w:rPr>
                <w:sz w:val="11"/>
                <w:szCs w:val="11"/>
                <w:color w:val="auto"/>
              </w:rPr>
            </w:pPr>
          </w:p>
        </w:tc>
        <w:tc>
          <w:tcPr>
            <w:tcW w:w="1140" w:type="dxa"/>
            <w:vAlign w:val="bottom"/>
            <w:shd w:val="clear" w:color="auto" w:fill="00548B"/>
          </w:tcPr>
          <w:p>
            <w:pPr>
              <w:jc w:val="center"/>
              <w:ind w:left="49"/>
              <w:spacing w:after="0" w:line="135" w:lineRule="exact"/>
              <w:rPr>
                <w:sz w:val="20"/>
                <w:szCs w:val="20"/>
                <w:color w:val="auto"/>
              </w:rPr>
            </w:pPr>
            <w:r>
              <w:rPr>
                <w:rFonts w:ascii="Arial" w:cs="Arial" w:eastAsia="Arial" w:hAnsi="Arial"/>
                <w:sz w:val="13"/>
                <w:szCs w:val="13"/>
                <w:b w:val="1"/>
                <w:bCs w:val="1"/>
                <w:color w:val="E5E5E5"/>
                <w:w w:val="95"/>
              </w:rPr>
              <w:t>Number of</w:t>
            </w:r>
          </w:p>
        </w:tc>
        <w:tc>
          <w:tcPr>
            <w:tcW w:w="11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Number of</w:t>
            </w:r>
          </w:p>
        </w:tc>
        <w:tc>
          <w:tcPr>
            <w:tcW w:w="780" w:type="dxa"/>
            <w:vAlign w:val="bottom"/>
            <w:shd w:val="clear" w:color="auto" w:fill="00548B"/>
          </w:tcPr>
          <w:p>
            <w:pPr>
              <w:spacing w:after="0"/>
              <w:rPr>
                <w:sz w:val="11"/>
                <w:szCs w:val="11"/>
                <w:color w:val="auto"/>
              </w:rPr>
            </w:pPr>
          </w:p>
        </w:tc>
        <w:tc>
          <w:tcPr>
            <w:tcW w:w="1020" w:type="dxa"/>
            <w:vAlign w:val="bottom"/>
            <w:shd w:val="clear" w:color="auto" w:fill="00548B"/>
          </w:tcPr>
          <w:p>
            <w:pPr>
              <w:spacing w:after="0"/>
              <w:rPr>
                <w:sz w:val="11"/>
                <w:szCs w:val="11"/>
                <w:color w:val="auto"/>
              </w:rPr>
            </w:pPr>
          </w:p>
        </w:tc>
        <w:tc>
          <w:tcPr>
            <w:tcW w:w="820" w:type="dxa"/>
            <w:vAlign w:val="bottom"/>
            <w:gridSpan w:val="2"/>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8"/>
              </w:rPr>
              <w:t>Number of</w:t>
            </w:r>
          </w:p>
        </w:tc>
        <w:tc>
          <w:tcPr>
            <w:tcW w:w="940" w:type="dxa"/>
            <w:vAlign w:val="bottom"/>
            <w:shd w:val="clear" w:color="auto" w:fill="00548B"/>
          </w:tcPr>
          <w:p>
            <w:pPr>
              <w:jc w:val="center"/>
              <w:ind w:right="50"/>
              <w:spacing w:after="0" w:line="135" w:lineRule="exact"/>
              <w:rPr>
                <w:sz w:val="20"/>
                <w:szCs w:val="20"/>
                <w:color w:val="auto"/>
              </w:rPr>
            </w:pPr>
            <w:r>
              <w:rPr>
                <w:rFonts w:ascii="Arial" w:cs="Arial" w:eastAsia="Arial" w:hAnsi="Arial"/>
                <w:sz w:val="13"/>
                <w:szCs w:val="13"/>
                <w:b w:val="1"/>
                <w:bCs w:val="1"/>
                <w:color w:val="E5E5E5"/>
                <w:w w:val="97"/>
              </w:rPr>
              <w:t>of Shares or</w:t>
            </w:r>
          </w:p>
        </w:tc>
        <w:tc>
          <w:tcPr>
            <w:tcW w:w="1560" w:type="dxa"/>
            <w:vAlign w:val="bottom"/>
            <w:shd w:val="clear" w:color="auto" w:fill="00548B"/>
          </w:tcPr>
          <w:p>
            <w:pPr>
              <w:jc w:val="center"/>
              <w:ind w:right="170"/>
              <w:spacing w:after="0" w:line="135" w:lineRule="exact"/>
              <w:rPr>
                <w:sz w:val="20"/>
                <w:szCs w:val="20"/>
                <w:color w:val="auto"/>
              </w:rPr>
            </w:pPr>
            <w:r>
              <w:rPr>
                <w:rFonts w:ascii="Arial" w:cs="Arial" w:eastAsia="Arial" w:hAnsi="Arial"/>
                <w:sz w:val="13"/>
                <w:szCs w:val="13"/>
                <w:b w:val="1"/>
                <w:bCs w:val="1"/>
                <w:color w:val="E5E5E5"/>
                <w:w w:val="98"/>
              </w:rPr>
              <w:t>Number of</w:t>
            </w:r>
          </w:p>
        </w:tc>
        <w:tc>
          <w:tcPr>
            <w:tcW w:w="2000" w:type="dxa"/>
            <w:vAlign w:val="bottom"/>
            <w:shd w:val="clear" w:color="auto" w:fill="00548B"/>
          </w:tcPr>
          <w:p>
            <w:pPr>
              <w:jc w:val="center"/>
              <w:ind w:right="29"/>
              <w:spacing w:after="0" w:line="135" w:lineRule="exact"/>
              <w:rPr>
                <w:sz w:val="20"/>
                <w:szCs w:val="20"/>
                <w:color w:val="auto"/>
              </w:rPr>
            </w:pPr>
            <w:r>
              <w:rPr>
                <w:rFonts w:ascii="Arial" w:cs="Arial" w:eastAsia="Arial" w:hAnsi="Arial"/>
                <w:sz w:val="13"/>
                <w:szCs w:val="13"/>
                <w:b w:val="1"/>
                <w:bCs w:val="1"/>
                <w:color w:val="E5E5E5"/>
                <w:w w:val="96"/>
              </w:rPr>
              <w:t>Equity Incentive Plan</w:t>
            </w:r>
          </w:p>
        </w:tc>
      </w:tr>
      <w:tr>
        <w:trPr>
          <w:trHeight w:val="135"/>
        </w:trPr>
        <w:tc>
          <w:tcPr>
            <w:tcW w:w="20" w:type="dxa"/>
            <w:vAlign w:val="bottom"/>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760" w:type="dxa"/>
            <w:vAlign w:val="bottom"/>
            <w:shd w:val="clear" w:color="auto" w:fill="00548B"/>
          </w:tcPr>
          <w:p>
            <w:pPr>
              <w:spacing w:after="0"/>
              <w:rPr>
                <w:sz w:val="11"/>
                <w:szCs w:val="11"/>
                <w:color w:val="auto"/>
              </w:rPr>
            </w:pPr>
          </w:p>
        </w:tc>
        <w:tc>
          <w:tcPr>
            <w:tcW w:w="1140" w:type="dxa"/>
            <w:vAlign w:val="bottom"/>
            <w:shd w:val="clear" w:color="auto" w:fill="00548B"/>
          </w:tcPr>
          <w:p>
            <w:pPr>
              <w:jc w:val="center"/>
              <w:ind w:left="49"/>
              <w:spacing w:after="0" w:line="135" w:lineRule="exact"/>
              <w:rPr>
                <w:sz w:val="20"/>
                <w:szCs w:val="20"/>
                <w:color w:val="auto"/>
              </w:rPr>
            </w:pPr>
            <w:r>
              <w:rPr>
                <w:rFonts w:ascii="Arial" w:cs="Arial" w:eastAsia="Arial" w:hAnsi="Arial"/>
                <w:sz w:val="13"/>
                <w:szCs w:val="13"/>
                <w:b w:val="1"/>
                <w:bCs w:val="1"/>
                <w:color w:val="E5E5E5"/>
                <w:w w:val="99"/>
              </w:rPr>
              <w:t>Securities</w:t>
            </w:r>
          </w:p>
        </w:tc>
        <w:tc>
          <w:tcPr>
            <w:tcW w:w="11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9"/>
              </w:rPr>
              <w:t>Securities</w:t>
            </w:r>
          </w:p>
        </w:tc>
        <w:tc>
          <w:tcPr>
            <w:tcW w:w="780" w:type="dxa"/>
            <w:vAlign w:val="bottom"/>
            <w:shd w:val="clear" w:color="auto" w:fill="00548B"/>
          </w:tcPr>
          <w:p>
            <w:pPr>
              <w:spacing w:after="0"/>
              <w:rPr>
                <w:sz w:val="11"/>
                <w:szCs w:val="11"/>
                <w:color w:val="auto"/>
              </w:rPr>
            </w:pPr>
          </w:p>
        </w:tc>
        <w:tc>
          <w:tcPr>
            <w:tcW w:w="1020" w:type="dxa"/>
            <w:vAlign w:val="bottom"/>
            <w:shd w:val="clear" w:color="auto" w:fill="00548B"/>
          </w:tcPr>
          <w:p>
            <w:pPr>
              <w:spacing w:after="0"/>
              <w:rPr>
                <w:sz w:val="11"/>
                <w:szCs w:val="11"/>
                <w:color w:val="auto"/>
              </w:rPr>
            </w:pPr>
          </w:p>
        </w:tc>
        <w:tc>
          <w:tcPr>
            <w:tcW w:w="820" w:type="dxa"/>
            <w:vAlign w:val="bottom"/>
            <w:gridSpan w:val="2"/>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Shares or</w:t>
            </w:r>
          </w:p>
        </w:tc>
        <w:tc>
          <w:tcPr>
            <w:tcW w:w="940" w:type="dxa"/>
            <w:vAlign w:val="bottom"/>
            <w:shd w:val="clear" w:color="auto" w:fill="00548B"/>
          </w:tcPr>
          <w:p>
            <w:pPr>
              <w:jc w:val="center"/>
              <w:ind w:right="50"/>
              <w:spacing w:after="0" w:line="135" w:lineRule="exact"/>
              <w:rPr>
                <w:sz w:val="20"/>
                <w:szCs w:val="20"/>
                <w:color w:val="auto"/>
              </w:rPr>
            </w:pPr>
            <w:r>
              <w:rPr>
                <w:rFonts w:ascii="Arial" w:cs="Arial" w:eastAsia="Arial" w:hAnsi="Arial"/>
                <w:sz w:val="13"/>
                <w:szCs w:val="13"/>
                <w:b w:val="1"/>
                <w:bCs w:val="1"/>
                <w:color w:val="E5E5E5"/>
                <w:w w:val="94"/>
              </w:rPr>
              <w:t>Units of</w:t>
            </w:r>
          </w:p>
        </w:tc>
        <w:tc>
          <w:tcPr>
            <w:tcW w:w="1560" w:type="dxa"/>
            <w:vAlign w:val="bottom"/>
            <w:shd w:val="clear" w:color="auto" w:fill="00548B"/>
          </w:tcPr>
          <w:p>
            <w:pPr>
              <w:jc w:val="center"/>
              <w:ind w:right="170"/>
              <w:spacing w:after="0" w:line="135" w:lineRule="exact"/>
              <w:rPr>
                <w:sz w:val="20"/>
                <w:szCs w:val="20"/>
                <w:color w:val="auto"/>
              </w:rPr>
            </w:pPr>
            <w:r>
              <w:rPr>
                <w:rFonts w:ascii="Arial" w:cs="Arial" w:eastAsia="Arial" w:hAnsi="Arial"/>
                <w:sz w:val="13"/>
                <w:szCs w:val="13"/>
                <w:b w:val="1"/>
                <w:bCs w:val="1"/>
                <w:color w:val="E5E5E5"/>
                <w:w w:val="97"/>
              </w:rPr>
              <w:t>Unearned Shares,</w:t>
            </w:r>
          </w:p>
        </w:tc>
        <w:tc>
          <w:tcPr>
            <w:tcW w:w="2000" w:type="dxa"/>
            <w:vAlign w:val="bottom"/>
            <w:shd w:val="clear" w:color="auto" w:fill="00548B"/>
          </w:tcPr>
          <w:p>
            <w:pPr>
              <w:jc w:val="center"/>
              <w:ind w:right="29"/>
              <w:spacing w:after="0" w:line="135" w:lineRule="exact"/>
              <w:rPr>
                <w:sz w:val="20"/>
                <w:szCs w:val="20"/>
                <w:color w:val="auto"/>
              </w:rPr>
            </w:pPr>
            <w:r>
              <w:rPr>
                <w:rFonts w:ascii="Arial" w:cs="Arial" w:eastAsia="Arial" w:hAnsi="Arial"/>
                <w:sz w:val="13"/>
                <w:szCs w:val="13"/>
                <w:b w:val="1"/>
                <w:bCs w:val="1"/>
                <w:color w:val="E5E5E5"/>
                <w:w w:val="96"/>
              </w:rPr>
              <w:t>Awards: Market or</w:t>
            </w:r>
          </w:p>
        </w:tc>
      </w:tr>
      <w:tr>
        <w:trPr>
          <w:trHeight w:val="135"/>
        </w:trPr>
        <w:tc>
          <w:tcPr>
            <w:tcW w:w="20" w:type="dxa"/>
            <w:vAlign w:val="bottom"/>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760" w:type="dxa"/>
            <w:vAlign w:val="bottom"/>
            <w:shd w:val="clear" w:color="auto" w:fill="00548B"/>
          </w:tcPr>
          <w:p>
            <w:pPr>
              <w:spacing w:after="0"/>
              <w:rPr>
                <w:sz w:val="11"/>
                <w:szCs w:val="11"/>
                <w:color w:val="auto"/>
              </w:rPr>
            </w:pPr>
          </w:p>
        </w:tc>
        <w:tc>
          <w:tcPr>
            <w:tcW w:w="1140" w:type="dxa"/>
            <w:vAlign w:val="bottom"/>
            <w:shd w:val="clear" w:color="auto" w:fill="00548B"/>
          </w:tcPr>
          <w:p>
            <w:pPr>
              <w:jc w:val="center"/>
              <w:ind w:left="49"/>
              <w:spacing w:after="0" w:line="135" w:lineRule="exact"/>
              <w:rPr>
                <w:sz w:val="20"/>
                <w:szCs w:val="20"/>
                <w:color w:val="auto"/>
              </w:rPr>
            </w:pPr>
            <w:r>
              <w:rPr>
                <w:rFonts w:ascii="Arial" w:cs="Arial" w:eastAsia="Arial" w:hAnsi="Arial"/>
                <w:sz w:val="13"/>
                <w:szCs w:val="13"/>
                <w:b w:val="1"/>
                <w:bCs w:val="1"/>
                <w:color w:val="E5E5E5"/>
                <w:w w:val="97"/>
              </w:rPr>
              <w:t>Underlying</w:t>
            </w:r>
          </w:p>
        </w:tc>
        <w:tc>
          <w:tcPr>
            <w:tcW w:w="11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7"/>
              </w:rPr>
              <w:t>Underlying</w:t>
            </w:r>
          </w:p>
        </w:tc>
        <w:tc>
          <w:tcPr>
            <w:tcW w:w="780" w:type="dxa"/>
            <w:vAlign w:val="bottom"/>
            <w:shd w:val="clear" w:color="auto" w:fill="00548B"/>
          </w:tcPr>
          <w:p>
            <w:pPr>
              <w:spacing w:after="0"/>
              <w:rPr>
                <w:sz w:val="11"/>
                <w:szCs w:val="11"/>
                <w:color w:val="auto"/>
              </w:rPr>
            </w:pPr>
          </w:p>
        </w:tc>
        <w:tc>
          <w:tcPr>
            <w:tcW w:w="1020" w:type="dxa"/>
            <w:vAlign w:val="bottom"/>
            <w:shd w:val="clear" w:color="auto" w:fill="00548B"/>
          </w:tcPr>
          <w:p>
            <w:pPr>
              <w:spacing w:after="0"/>
              <w:rPr>
                <w:sz w:val="11"/>
                <w:szCs w:val="11"/>
                <w:color w:val="auto"/>
              </w:rPr>
            </w:pPr>
          </w:p>
        </w:tc>
        <w:tc>
          <w:tcPr>
            <w:tcW w:w="820" w:type="dxa"/>
            <w:vAlign w:val="bottom"/>
            <w:gridSpan w:val="2"/>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9"/>
              </w:rPr>
              <w:t>Units of</w:t>
            </w:r>
          </w:p>
        </w:tc>
        <w:tc>
          <w:tcPr>
            <w:tcW w:w="940" w:type="dxa"/>
            <w:vAlign w:val="bottom"/>
            <w:shd w:val="clear" w:color="auto" w:fill="00548B"/>
          </w:tcPr>
          <w:p>
            <w:pPr>
              <w:jc w:val="center"/>
              <w:ind w:right="50"/>
              <w:spacing w:after="0" w:line="135" w:lineRule="exact"/>
              <w:rPr>
                <w:sz w:val="20"/>
                <w:szCs w:val="20"/>
                <w:color w:val="auto"/>
              </w:rPr>
            </w:pPr>
            <w:r>
              <w:rPr>
                <w:rFonts w:ascii="Arial" w:cs="Arial" w:eastAsia="Arial" w:hAnsi="Arial"/>
                <w:sz w:val="13"/>
                <w:szCs w:val="13"/>
                <w:b w:val="1"/>
                <w:bCs w:val="1"/>
                <w:color w:val="E5E5E5"/>
                <w:w w:val="98"/>
              </w:rPr>
              <w:t>Stock that</w:t>
            </w:r>
          </w:p>
        </w:tc>
        <w:tc>
          <w:tcPr>
            <w:tcW w:w="1560" w:type="dxa"/>
            <w:vAlign w:val="bottom"/>
            <w:shd w:val="clear" w:color="auto" w:fill="00548B"/>
          </w:tcPr>
          <w:p>
            <w:pPr>
              <w:jc w:val="center"/>
              <w:ind w:right="170"/>
              <w:spacing w:after="0" w:line="135" w:lineRule="exact"/>
              <w:rPr>
                <w:sz w:val="20"/>
                <w:szCs w:val="20"/>
                <w:color w:val="auto"/>
              </w:rPr>
            </w:pPr>
            <w:r>
              <w:rPr>
                <w:rFonts w:ascii="Arial" w:cs="Arial" w:eastAsia="Arial" w:hAnsi="Arial"/>
                <w:sz w:val="13"/>
                <w:szCs w:val="13"/>
                <w:b w:val="1"/>
                <w:bCs w:val="1"/>
                <w:color w:val="E5E5E5"/>
                <w:w w:val="96"/>
              </w:rPr>
              <w:t>Units or Other</w:t>
            </w:r>
          </w:p>
        </w:tc>
        <w:tc>
          <w:tcPr>
            <w:tcW w:w="2000" w:type="dxa"/>
            <w:vAlign w:val="bottom"/>
            <w:shd w:val="clear" w:color="auto" w:fill="00548B"/>
          </w:tcPr>
          <w:p>
            <w:pPr>
              <w:jc w:val="center"/>
              <w:ind w:right="29"/>
              <w:spacing w:after="0" w:line="135" w:lineRule="exact"/>
              <w:rPr>
                <w:sz w:val="20"/>
                <w:szCs w:val="20"/>
                <w:color w:val="auto"/>
              </w:rPr>
            </w:pPr>
            <w:r>
              <w:rPr>
                <w:rFonts w:ascii="Arial" w:cs="Arial" w:eastAsia="Arial" w:hAnsi="Arial"/>
                <w:sz w:val="13"/>
                <w:szCs w:val="13"/>
                <w:b w:val="1"/>
                <w:bCs w:val="1"/>
                <w:color w:val="E5E5E5"/>
                <w:w w:val="96"/>
              </w:rPr>
              <w:t>Payout Value of</w:t>
            </w:r>
          </w:p>
        </w:tc>
      </w:tr>
      <w:tr>
        <w:trPr>
          <w:trHeight w:val="135"/>
        </w:trPr>
        <w:tc>
          <w:tcPr>
            <w:tcW w:w="20" w:type="dxa"/>
            <w:vAlign w:val="bottom"/>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760" w:type="dxa"/>
            <w:vAlign w:val="bottom"/>
            <w:shd w:val="clear" w:color="auto" w:fill="00548B"/>
          </w:tcPr>
          <w:p>
            <w:pPr>
              <w:spacing w:after="0"/>
              <w:rPr>
                <w:sz w:val="11"/>
                <w:szCs w:val="11"/>
                <w:color w:val="auto"/>
              </w:rPr>
            </w:pPr>
          </w:p>
        </w:tc>
        <w:tc>
          <w:tcPr>
            <w:tcW w:w="1140" w:type="dxa"/>
            <w:vAlign w:val="bottom"/>
            <w:shd w:val="clear" w:color="auto" w:fill="00548B"/>
          </w:tcPr>
          <w:p>
            <w:pPr>
              <w:jc w:val="center"/>
              <w:ind w:left="49"/>
              <w:spacing w:after="0" w:line="135" w:lineRule="exact"/>
              <w:rPr>
                <w:sz w:val="20"/>
                <w:szCs w:val="20"/>
                <w:color w:val="auto"/>
              </w:rPr>
            </w:pPr>
            <w:r>
              <w:rPr>
                <w:rFonts w:ascii="Arial" w:cs="Arial" w:eastAsia="Arial" w:hAnsi="Arial"/>
                <w:sz w:val="13"/>
                <w:szCs w:val="13"/>
                <w:b w:val="1"/>
                <w:bCs w:val="1"/>
                <w:color w:val="E5E5E5"/>
                <w:w w:val="95"/>
              </w:rPr>
              <w:t>Unexercised</w:t>
            </w:r>
          </w:p>
        </w:tc>
        <w:tc>
          <w:tcPr>
            <w:tcW w:w="11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Unexercised</w:t>
            </w:r>
          </w:p>
        </w:tc>
        <w:tc>
          <w:tcPr>
            <w:tcW w:w="7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Option</w:t>
            </w:r>
          </w:p>
        </w:tc>
        <w:tc>
          <w:tcPr>
            <w:tcW w:w="1020" w:type="dxa"/>
            <w:vAlign w:val="bottom"/>
            <w:shd w:val="clear" w:color="auto" w:fill="00548B"/>
          </w:tcPr>
          <w:p>
            <w:pPr>
              <w:jc w:val="center"/>
              <w:ind w:right="49"/>
              <w:spacing w:after="0" w:line="135" w:lineRule="exact"/>
              <w:rPr>
                <w:sz w:val="20"/>
                <w:szCs w:val="20"/>
                <w:color w:val="auto"/>
              </w:rPr>
            </w:pPr>
            <w:r>
              <w:rPr>
                <w:rFonts w:ascii="Arial" w:cs="Arial" w:eastAsia="Arial" w:hAnsi="Arial"/>
                <w:sz w:val="13"/>
                <w:szCs w:val="13"/>
                <w:b w:val="1"/>
                <w:bCs w:val="1"/>
                <w:color w:val="E5E5E5"/>
              </w:rPr>
              <w:t>Option</w:t>
            </w:r>
          </w:p>
        </w:tc>
        <w:tc>
          <w:tcPr>
            <w:tcW w:w="820" w:type="dxa"/>
            <w:vAlign w:val="bottom"/>
            <w:gridSpan w:val="2"/>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Stock that</w:t>
            </w:r>
          </w:p>
        </w:tc>
        <w:tc>
          <w:tcPr>
            <w:tcW w:w="940" w:type="dxa"/>
            <w:vAlign w:val="bottom"/>
            <w:shd w:val="clear" w:color="auto" w:fill="00548B"/>
          </w:tcPr>
          <w:p>
            <w:pPr>
              <w:jc w:val="center"/>
              <w:ind w:right="50"/>
              <w:spacing w:after="0" w:line="135" w:lineRule="exact"/>
              <w:rPr>
                <w:sz w:val="20"/>
                <w:szCs w:val="20"/>
                <w:color w:val="auto"/>
              </w:rPr>
            </w:pPr>
            <w:r>
              <w:rPr>
                <w:rFonts w:ascii="Arial" w:cs="Arial" w:eastAsia="Arial" w:hAnsi="Arial"/>
                <w:sz w:val="13"/>
                <w:szCs w:val="13"/>
                <w:b w:val="1"/>
                <w:bCs w:val="1"/>
                <w:color w:val="E5E5E5"/>
                <w:w w:val="95"/>
              </w:rPr>
              <w:t>Have Not</w:t>
            </w:r>
          </w:p>
        </w:tc>
        <w:tc>
          <w:tcPr>
            <w:tcW w:w="1560" w:type="dxa"/>
            <w:vAlign w:val="bottom"/>
            <w:shd w:val="clear" w:color="auto" w:fill="00548B"/>
          </w:tcPr>
          <w:p>
            <w:pPr>
              <w:jc w:val="center"/>
              <w:ind w:right="170"/>
              <w:spacing w:after="0" w:line="135" w:lineRule="exact"/>
              <w:rPr>
                <w:sz w:val="20"/>
                <w:szCs w:val="20"/>
                <w:color w:val="auto"/>
              </w:rPr>
            </w:pPr>
            <w:r>
              <w:rPr>
                <w:rFonts w:ascii="Arial" w:cs="Arial" w:eastAsia="Arial" w:hAnsi="Arial"/>
                <w:sz w:val="13"/>
                <w:szCs w:val="13"/>
                <w:b w:val="1"/>
                <w:bCs w:val="1"/>
                <w:color w:val="E5E5E5"/>
                <w:w w:val="97"/>
              </w:rPr>
              <w:t>Rights that Have</w:t>
            </w:r>
          </w:p>
        </w:tc>
        <w:tc>
          <w:tcPr>
            <w:tcW w:w="2000" w:type="dxa"/>
            <w:vAlign w:val="bottom"/>
            <w:shd w:val="clear" w:color="auto" w:fill="00548B"/>
          </w:tcPr>
          <w:p>
            <w:pPr>
              <w:jc w:val="center"/>
              <w:ind w:right="29"/>
              <w:spacing w:after="0" w:line="135" w:lineRule="exact"/>
              <w:rPr>
                <w:sz w:val="20"/>
                <w:szCs w:val="20"/>
                <w:color w:val="auto"/>
              </w:rPr>
            </w:pPr>
            <w:r>
              <w:rPr>
                <w:rFonts w:ascii="Arial" w:cs="Arial" w:eastAsia="Arial" w:hAnsi="Arial"/>
                <w:sz w:val="13"/>
                <w:szCs w:val="13"/>
                <w:b w:val="1"/>
                <w:bCs w:val="1"/>
                <w:color w:val="E5E5E5"/>
                <w:w w:val="96"/>
              </w:rPr>
              <w:t>Unearned Shares, Units</w:t>
            </w:r>
          </w:p>
        </w:tc>
      </w:tr>
      <w:tr>
        <w:trPr>
          <w:trHeight w:val="135"/>
        </w:trPr>
        <w:tc>
          <w:tcPr>
            <w:tcW w:w="20" w:type="dxa"/>
            <w:vAlign w:val="bottom"/>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760" w:type="dxa"/>
            <w:vAlign w:val="bottom"/>
            <w:shd w:val="clear" w:color="auto" w:fill="00548B"/>
          </w:tcPr>
          <w:p>
            <w:pPr>
              <w:jc w:val="right"/>
              <w:ind w:right="129"/>
              <w:spacing w:after="0" w:line="135" w:lineRule="exact"/>
              <w:rPr>
                <w:sz w:val="20"/>
                <w:szCs w:val="20"/>
                <w:color w:val="auto"/>
              </w:rPr>
            </w:pPr>
            <w:r>
              <w:rPr>
                <w:rFonts w:ascii="Arial" w:cs="Arial" w:eastAsia="Arial" w:hAnsi="Arial"/>
                <w:sz w:val="13"/>
                <w:szCs w:val="13"/>
                <w:b w:val="1"/>
                <w:bCs w:val="1"/>
                <w:color w:val="E5E5E5"/>
              </w:rPr>
              <w:t>Grant</w:t>
            </w:r>
          </w:p>
        </w:tc>
        <w:tc>
          <w:tcPr>
            <w:tcW w:w="1140" w:type="dxa"/>
            <w:vAlign w:val="bottom"/>
            <w:shd w:val="clear" w:color="auto" w:fill="00548B"/>
          </w:tcPr>
          <w:p>
            <w:pPr>
              <w:jc w:val="center"/>
              <w:ind w:left="49"/>
              <w:spacing w:after="0" w:line="135" w:lineRule="exact"/>
              <w:rPr>
                <w:sz w:val="20"/>
                <w:szCs w:val="20"/>
                <w:color w:val="auto"/>
              </w:rPr>
            </w:pPr>
            <w:r>
              <w:rPr>
                <w:rFonts w:ascii="Arial" w:cs="Arial" w:eastAsia="Arial" w:hAnsi="Arial"/>
                <w:sz w:val="13"/>
                <w:szCs w:val="13"/>
                <w:b w:val="1"/>
                <w:bCs w:val="1"/>
                <w:color w:val="E5E5E5"/>
                <w:w w:val="96"/>
              </w:rPr>
              <w:t>Options (#)</w:t>
            </w:r>
          </w:p>
        </w:tc>
        <w:tc>
          <w:tcPr>
            <w:tcW w:w="11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Options (#)</w:t>
            </w:r>
          </w:p>
        </w:tc>
        <w:tc>
          <w:tcPr>
            <w:tcW w:w="7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7"/>
              </w:rPr>
              <w:t>Exercise</w:t>
            </w:r>
          </w:p>
        </w:tc>
        <w:tc>
          <w:tcPr>
            <w:tcW w:w="1020" w:type="dxa"/>
            <w:vAlign w:val="bottom"/>
            <w:shd w:val="clear" w:color="auto" w:fill="00548B"/>
          </w:tcPr>
          <w:p>
            <w:pPr>
              <w:jc w:val="center"/>
              <w:ind w:right="49"/>
              <w:spacing w:after="0" w:line="135" w:lineRule="exact"/>
              <w:rPr>
                <w:sz w:val="20"/>
                <w:szCs w:val="20"/>
                <w:color w:val="auto"/>
              </w:rPr>
            </w:pPr>
            <w:r>
              <w:rPr>
                <w:rFonts w:ascii="Arial" w:cs="Arial" w:eastAsia="Arial" w:hAnsi="Arial"/>
                <w:sz w:val="13"/>
                <w:szCs w:val="13"/>
                <w:b w:val="1"/>
                <w:bCs w:val="1"/>
                <w:color w:val="E5E5E5"/>
                <w:w w:val="97"/>
              </w:rPr>
              <w:t>Expiration</w:t>
            </w:r>
          </w:p>
        </w:tc>
        <w:tc>
          <w:tcPr>
            <w:tcW w:w="820" w:type="dxa"/>
            <w:vAlign w:val="bottom"/>
            <w:gridSpan w:val="2"/>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9"/>
              </w:rPr>
              <w:t>Have Not</w:t>
            </w:r>
          </w:p>
        </w:tc>
        <w:tc>
          <w:tcPr>
            <w:tcW w:w="940" w:type="dxa"/>
            <w:vAlign w:val="bottom"/>
            <w:shd w:val="clear" w:color="auto" w:fill="00548B"/>
          </w:tcPr>
          <w:p>
            <w:pPr>
              <w:jc w:val="center"/>
              <w:ind w:right="50"/>
              <w:spacing w:after="0" w:line="135" w:lineRule="exact"/>
              <w:rPr>
                <w:sz w:val="20"/>
                <w:szCs w:val="20"/>
                <w:color w:val="auto"/>
              </w:rPr>
            </w:pPr>
            <w:r>
              <w:rPr>
                <w:rFonts w:ascii="Arial" w:cs="Arial" w:eastAsia="Arial" w:hAnsi="Arial"/>
                <w:sz w:val="13"/>
                <w:szCs w:val="13"/>
                <w:b w:val="1"/>
                <w:bCs w:val="1"/>
                <w:color w:val="E5E5E5"/>
                <w:w w:val="96"/>
              </w:rPr>
              <w:t>Vested as of</w:t>
            </w:r>
          </w:p>
        </w:tc>
        <w:tc>
          <w:tcPr>
            <w:tcW w:w="1560" w:type="dxa"/>
            <w:vAlign w:val="bottom"/>
            <w:shd w:val="clear" w:color="auto" w:fill="00548B"/>
          </w:tcPr>
          <w:p>
            <w:pPr>
              <w:jc w:val="center"/>
              <w:ind w:right="170"/>
              <w:spacing w:after="0" w:line="135" w:lineRule="exact"/>
              <w:rPr>
                <w:sz w:val="20"/>
                <w:szCs w:val="20"/>
                <w:color w:val="auto"/>
              </w:rPr>
            </w:pPr>
            <w:r>
              <w:rPr>
                <w:rFonts w:ascii="Arial" w:cs="Arial" w:eastAsia="Arial" w:hAnsi="Arial"/>
                <w:sz w:val="13"/>
                <w:szCs w:val="13"/>
                <w:b w:val="1"/>
                <w:bCs w:val="1"/>
                <w:color w:val="E5E5E5"/>
                <w:w w:val="95"/>
              </w:rPr>
              <w:t>Not Yet Vested</w:t>
            </w:r>
          </w:p>
        </w:tc>
        <w:tc>
          <w:tcPr>
            <w:tcW w:w="2000" w:type="dxa"/>
            <w:vAlign w:val="bottom"/>
            <w:shd w:val="clear" w:color="auto" w:fill="00548B"/>
          </w:tcPr>
          <w:p>
            <w:pPr>
              <w:jc w:val="center"/>
              <w:ind w:right="29"/>
              <w:spacing w:after="0" w:line="135" w:lineRule="exact"/>
              <w:rPr>
                <w:sz w:val="20"/>
                <w:szCs w:val="20"/>
                <w:color w:val="auto"/>
              </w:rPr>
            </w:pPr>
            <w:r>
              <w:rPr>
                <w:rFonts w:ascii="Arial" w:cs="Arial" w:eastAsia="Arial" w:hAnsi="Arial"/>
                <w:sz w:val="13"/>
                <w:szCs w:val="13"/>
                <w:b w:val="1"/>
                <w:bCs w:val="1"/>
                <w:color w:val="E5E5E5"/>
                <w:w w:val="96"/>
              </w:rPr>
              <w:t>or Other Rights that</w:t>
            </w:r>
          </w:p>
        </w:tc>
      </w:tr>
      <w:tr>
        <w:trPr>
          <w:trHeight w:val="171"/>
        </w:trPr>
        <w:tc>
          <w:tcPr>
            <w:tcW w:w="20" w:type="dxa"/>
            <w:vAlign w:val="bottom"/>
          </w:tcPr>
          <w:p>
            <w:pPr>
              <w:spacing w:after="0"/>
              <w:rPr>
                <w:sz w:val="14"/>
                <w:szCs w:val="14"/>
                <w:color w:val="auto"/>
              </w:rPr>
            </w:pPr>
          </w:p>
        </w:tc>
        <w:tc>
          <w:tcPr>
            <w:tcW w:w="1080" w:type="dxa"/>
            <w:vAlign w:val="bottom"/>
            <w:shd w:val="clear" w:color="auto" w:fill="00548B"/>
          </w:tcPr>
          <w:p>
            <w:pPr>
              <w:spacing w:after="0"/>
              <w:rPr>
                <w:sz w:val="20"/>
                <w:szCs w:val="20"/>
                <w:color w:val="auto"/>
              </w:rPr>
            </w:pPr>
            <w:r>
              <w:rPr>
                <w:rFonts w:ascii="Arial" w:cs="Arial" w:eastAsia="Arial" w:hAnsi="Arial"/>
                <w:sz w:val="13"/>
                <w:szCs w:val="13"/>
                <w:b w:val="1"/>
                <w:bCs w:val="1"/>
                <w:color w:val="D8D8D8"/>
              </w:rPr>
              <w:t>Name</w:t>
            </w:r>
          </w:p>
        </w:tc>
        <w:tc>
          <w:tcPr>
            <w:tcW w:w="760" w:type="dxa"/>
            <w:vAlign w:val="bottom"/>
            <w:shd w:val="clear" w:color="auto" w:fill="00548B"/>
          </w:tcPr>
          <w:p>
            <w:pPr>
              <w:jc w:val="right"/>
              <w:ind w:right="169"/>
              <w:spacing w:after="0"/>
              <w:rPr>
                <w:sz w:val="20"/>
                <w:szCs w:val="20"/>
                <w:color w:val="auto"/>
              </w:rPr>
            </w:pPr>
            <w:r>
              <w:rPr>
                <w:rFonts w:ascii="Arial" w:cs="Arial" w:eastAsia="Arial" w:hAnsi="Arial"/>
                <w:sz w:val="13"/>
                <w:szCs w:val="13"/>
                <w:b w:val="1"/>
                <w:bCs w:val="1"/>
                <w:color w:val="E5E5E5"/>
              </w:rPr>
              <w:t>Date</w:t>
            </w:r>
          </w:p>
        </w:tc>
        <w:tc>
          <w:tcPr>
            <w:tcW w:w="1140" w:type="dxa"/>
            <w:vAlign w:val="bottom"/>
            <w:shd w:val="clear" w:color="auto" w:fill="00548B"/>
          </w:tcPr>
          <w:p>
            <w:pPr>
              <w:jc w:val="center"/>
              <w:ind w:left="49"/>
              <w:spacing w:after="0"/>
              <w:rPr>
                <w:sz w:val="20"/>
                <w:szCs w:val="20"/>
                <w:color w:val="auto"/>
              </w:rPr>
            </w:pPr>
            <w:r>
              <w:rPr>
                <w:rFonts w:ascii="Arial" w:cs="Arial" w:eastAsia="Arial" w:hAnsi="Arial"/>
                <w:sz w:val="13"/>
                <w:szCs w:val="13"/>
                <w:b w:val="1"/>
                <w:bCs w:val="1"/>
                <w:color w:val="E5E5E5"/>
                <w:w w:val="96"/>
              </w:rPr>
              <w:t>Exercisable</w:t>
            </w:r>
          </w:p>
        </w:tc>
        <w:tc>
          <w:tcPr>
            <w:tcW w:w="11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7"/>
              </w:rPr>
              <w:t>Unexercisable</w:t>
            </w:r>
          </w:p>
        </w:tc>
        <w:tc>
          <w:tcPr>
            <w:tcW w:w="78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3"/>
              </w:rPr>
              <w:t>Price ($)</w:t>
            </w:r>
          </w:p>
        </w:tc>
        <w:tc>
          <w:tcPr>
            <w:tcW w:w="1020" w:type="dxa"/>
            <w:vAlign w:val="bottom"/>
            <w:shd w:val="clear" w:color="auto" w:fill="00548B"/>
          </w:tcPr>
          <w:p>
            <w:pPr>
              <w:jc w:val="center"/>
              <w:ind w:right="49"/>
              <w:spacing w:after="0"/>
              <w:rPr>
                <w:sz w:val="20"/>
                <w:szCs w:val="20"/>
                <w:color w:val="auto"/>
              </w:rPr>
            </w:pPr>
            <w:r>
              <w:rPr>
                <w:rFonts w:ascii="Arial" w:cs="Arial" w:eastAsia="Arial" w:hAnsi="Arial"/>
                <w:sz w:val="13"/>
                <w:szCs w:val="13"/>
                <w:b w:val="1"/>
                <w:bCs w:val="1"/>
                <w:color w:val="E5E5E5"/>
                <w:w w:val="92"/>
              </w:rPr>
              <w:t>Date</w:t>
            </w:r>
          </w:p>
        </w:tc>
        <w:tc>
          <w:tcPr>
            <w:tcW w:w="820" w:type="dxa"/>
            <w:vAlign w:val="bottom"/>
            <w:gridSpan w:val="2"/>
            <w:shd w:val="clear" w:color="auto" w:fill="00548B"/>
          </w:tcPr>
          <w:p>
            <w:pPr>
              <w:jc w:val="center"/>
              <w:spacing w:after="0"/>
              <w:rPr>
                <w:sz w:val="20"/>
                <w:szCs w:val="20"/>
                <w:color w:val="auto"/>
              </w:rPr>
            </w:pPr>
            <w:r>
              <w:rPr>
                <w:rFonts w:ascii="Arial" w:cs="Arial" w:eastAsia="Arial" w:hAnsi="Arial"/>
                <w:sz w:val="13"/>
                <w:szCs w:val="13"/>
                <w:b w:val="1"/>
                <w:bCs w:val="1"/>
                <w:color w:val="E5E5E5"/>
                <w:w w:val="96"/>
              </w:rPr>
              <w:t>Vested (#)</w:t>
            </w:r>
          </w:p>
        </w:tc>
        <w:tc>
          <w:tcPr>
            <w:tcW w:w="940" w:type="dxa"/>
            <w:vAlign w:val="bottom"/>
            <w:shd w:val="clear" w:color="auto" w:fill="00548B"/>
          </w:tcPr>
          <w:p>
            <w:pPr>
              <w:jc w:val="center"/>
              <w:ind w:right="50"/>
              <w:spacing w:after="0"/>
              <w:rPr>
                <w:sz w:val="20"/>
                <w:szCs w:val="20"/>
                <w:color w:val="auto"/>
              </w:rPr>
            </w:pPr>
            <w:r>
              <w:rPr>
                <w:rFonts w:ascii="Arial" w:cs="Arial" w:eastAsia="Arial" w:hAnsi="Arial"/>
                <w:sz w:val="13"/>
                <w:szCs w:val="13"/>
                <w:b w:val="1"/>
                <w:bCs w:val="1"/>
                <w:color w:val="E5E5E5"/>
                <w:w w:val="95"/>
              </w:rPr>
              <w:t>12/31/2018</w:t>
            </w:r>
          </w:p>
        </w:tc>
        <w:tc>
          <w:tcPr>
            <w:tcW w:w="1560" w:type="dxa"/>
            <w:vAlign w:val="bottom"/>
            <w:shd w:val="clear" w:color="auto" w:fill="00548B"/>
          </w:tcPr>
          <w:p>
            <w:pPr>
              <w:jc w:val="center"/>
              <w:ind w:right="170"/>
              <w:spacing w:after="0"/>
              <w:rPr>
                <w:sz w:val="20"/>
                <w:szCs w:val="20"/>
                <w:color w:val="auto"/>
              </w:rPr>
            </w:pPr>
            <w:r>
              <w:rPr>
                <w:rFonts w:ascii="Arial" w:cs="Arial" w:eastAsia="Arial" w:hAnsi="Arial"/>
                <w:sz w:val="13"/>
                <w:szCs w:val="13"/>
                <w:b w:val="1"/>
                <w:bCs w:val="1"/>
                <w:color w:val="E5E5E5"/>
              </w:rPr>
              <w:t>(#)</w:t>
            </w:r>
          </w:p>
        </w:tc>
        <w:tc>
          <w:tcPr>
            <w:tcW w:w="2000" w:type="dxa"/>
            <w:vAlign w:val="bottom"/>
            <w:shd w:val="clear" w:color="auto" w:fill="00548B"/>
          </w:tcPr>
          <w:p>
            <w:pPr>
              <w:jc w:val="center"/>
              <w:ind w:right="9"/>
              <w:spacing w:after="0"/>
              <w:rPr>
                <w:sz w:val="20"/>
                <w:szCs w:val="20"/>
                <w:color w:val="auto"/>
              </w:rPr>
            </w:pPr>
            <w:r>
              <w:rPr>
                <w:rFonts w:ascii="Arial" w:cs="Arial" w:eastAsia="Arial" w:hAnsi="Arial"/>
                <w:sz w:val="13"/>
                <w:szCs w:val="13"/>
                <w:b w:val="1"/>
                <w:bCs w:val="1"/>
                <w:color w:val="E5E5E5"/>
                <w:w w:val="95"/>
              </w:rPr>
              <w:t>Have Not Yet Vested ($)</w:t>
            </w:r>
          </w:p>
        </w:tc>
      </w:tr>
      <w:tr>
        <w:trPr>
          <w:trHeight w:val="167"/>
        </w:trPr>
        <w:tc>
          <w:tcPr>
            <w:tcW w:w="1100" w:type="dxa"/>
            <w:vAlign w:val="bottom"/>
            <w:gridSpan w:val="2"/>
          </w:tcPr>
          <w:p>
            <w:pPr>
              <w:spacing w:after="0"/>
              <w:rPr>
                <w:sz w:val="20"/>
                <w:szCs w:val="20"/>
                <w:color w:val="auto"/>
              </w:rPr>
            </w:pPr>
            <w:r>
              <w:rPr>
                <w:rFonts w:ascii="Arial" w:cs="Arial" w:eastAsia="Arial" w:hAnsi="Arial"/>
                <w:sz w:val="14"/>
                <w:szCs w:val="14"/>
                <w:color w:val="auto"/>
              </w:rPr>
              <w:t>James H. Roth</w:t>
            </w:r>
          </w:p>
        </w:tc>
        <w:tc>
          <w:tcPr>
            <w:tcW w:w="760" w:type="dxa"/>
            <w:vAlign w:val="bottom"/>
          </w:tcPr>
          <w:p>
            <w:pPr>
              <w:jc w:val="right"/>
              <w:spacing w:after="0"/>
              <w:rPr>
                <w:sz w:val="20"/>
                <w:szCs w:val="20"/>
                <w:color w:val="auto"/>
              </w:rPr>
            </w:pPr>
            <w:r>
              <w:rPr>
                <w:rFonts w:ascii="Arial" w:cs="Arial" w:eastAsia="Arial" w:hAnsi="Arial"/>
                <w:sz w:val="14"/>
                <w:szCs w:val="14"/>
                <w:color w:val="auto"/>
              </w:rPr>
              <w:t>5/03/2010</w:t>
            </w:r>
          </w:p>
        </w:tc>
        <w:tc>
          <w:tcPr>
            <w:tcW w:w="1140" w:type="dxa"/>
            <w:vAlign w:val="bottom"/>
          </w:tcPr>
          <w:p>
            <w:pPr>
              <w:jc w:val="center"/>
              <w:ind w:left="109"/>
              <w:spacing w:after="0"/>
              <w:rPr>
                <w:sz w:val="20"/>
                <w:szCs w:val="20"/>
                <w:color w:val="auto"/>
              </w:rPr>
            </w:pPr>
            <w:r>
              <w:rPr>
                <w:rFonts w:ascii="Arial" w:cs="Arial" w:eastAsia="Arial" w:hAnsi="Arial"/>
                <w:sz w:val="14"/>
                <w:szCs w:val="14"/>
                <w:color w:val="auto"/>
              </w:rPr>
              <w:t>60,000</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23.43</w:t>
            </w:r>
          </w:p>
        </w:tc>
        <w:tc>
          <w:tcPr>
            <w:tcW w:w="1020" w:type="dxa"/>
            <w:vAlign w:val="bottom"/>
          </w:tcPr>
          <w:p>
            <w:pPr>
              <w:jc w:val="center"/>
              <w:spacing w:after="0"/>
              <w:rPr>
                <w:sz w:val="20"/>
                <w:szCs w:val="20"/>
                <w:color w:val="auto"/>
              </w:rPr>
            </w:pPr>
            <w:r>
              <w:rPr>
                <w:rFonts w:ascii="Arial" w:cs="Arial" w:eastAsia="Arial" w:hAnsi="Arial"/>
                <w:sz w:val="14"/>
                <w:szCs w:val="14"/>
                <w:color w:val="auto"/>
              </w:rPr>
              <w:t>5/03/2020</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3/11/2011</w:t>
            </w:r>
          </w:p>
        </w:tc>
        <w:tc>
          <w:tcPr>
            <w:tcW w:w="1140" w:type="dxa"/>
            <w:vAlign w:val="bottom"/>
          </w:tcPr>
          <w:p>
            <w:pPr>
              <w:jc w:val="center"/>
              <w:ind w:left="109"/>
              <w:spacing w:after="0"/>
              <w:rPr>
                <w:sz w:val="20"/>
                <w:szCs w:val="20"/>
                <w:color w:val="auto"/>
              </w:rPr>
            </w:pPr>
            <w:r>
              <w:rPr>
                <w:rFonts w:ascii="Arial" w:cs="Arial" w:eastAsia="Arial" w:hAnsi="Arial"/>
                <w:sz w:val="14"/>
                <w:szCs w:val="14"/>
                <w:color w:val="auto"/>
              </w:rPr>
              <w:t>27,031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26.19</w:t>
            </w:r>
          </w:p>
        </w:tc>
        <w:tc>
          <w:tcPr>
            <w:tcW w:w="1020" w:type="dxa"/>
            <w:vAlign w:val="bottom"/>
          </w:tcPr>
          <w:p>
            <w:pPr>
              <w:jc w:val="center"/>
              <w:spacing w:after="0"/>
              <w:rPr>
                <w:sz w:val="20"/>
                <w:szCs w:val="20"/>
                <w:color w:val="auto"/>
              </w:rPr>
            </w:pPr>
            <w:r>
              <w:rPr>
                <w:rFonts w:ascii="Arial" w:cs="Arial" w:eastAsia="Arial" w:hAnsi="Arial"/>
                <w:sz w:val="14"/>
                <w:szCs w:val="14"/>
                <w:color w:val="auto"/>
              </w:rPr>
              <w:t>3/11/2021</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3/01/2012</w:t>
            </w:r>
          </w:p>
        </w:tc>
        <w:tc>
          <w:tcPr>
            <w:tcW w:w="1140" w:type="dxa"/>
            <w:vAlign w:val="bottom"/>
          </w:tcPr>
          <w:p>
            <w:pPr>
              <w:jc w:val="center"/>
              <w:ind w:left="109"/>
              <w:spacing w:after="0"/>
              <w:rPr>
                <w:sz w:val="20"/>
                <w:szCs w:val="20"/>
                <w:color w:val="auto"/>
              </w:rPr>
            </w:pPr>
            <w:r>
              <w:rPr>
                <w:rFonts w:ascii="Arial" w:cs="Arial" w:eastAsia="Arial" w:hAnsi="Arial"/>
                <w:sz w:val="14"/>
                <w:szCs w:val="14"/>
                <w:color w:val="auto"/>
              </w:rPr>
              <w:t>19,661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38.18</w:t>
            </w:r>
          </w:p>
        </w:tc>
        <w:tc>
          <w:tcPr>
            <w:tcW w:w="1020" w:type="dxa"/>
            <w:vAlign w:val="bottom"/>
          </w:tcPr>
          <w:p>
            <w:pPr>
              <w:jc w:val="center"/>
              <w:spacing w:after="0"/>
              <w:rPr>
                <w:sz w:val="20"/>
                <w:szCs w:val="20"/>
                <w:color w:val="auto"/>
              </w:rPr>
            </w:pPr>
            <w:r>
              <w:rPr>
                <w:rFonts w:ascii="Arial" w:cs="Arial" w:eastAsia="Arial" w:hAnsi="Arial"/>
                <w:sz w:val="14"/>
                <w:szCs w:val="14"/>
                <w:color w:val="auto"/>
              </w:rPr>
              <w:t>3/01/2022</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3/01/2013</w:t>
            </w:r>
          </w:p>
        </w:tc>
        <w:tc>
          <w:tcPr>
            <w:tcW w:w="1140" w:type="dxa"/>
            <w:vAlign w:val="bottom"/>
          </w:tcPr>
          <w:p>
            <w:pPr>
              <w:jc w:val="center"/>
              <w:ind w:left="109"/>
              <w:spacing w:after="0"/>
              <w:rPr>
                <w:sz w:val="20"/>
                <w:szCs w:val="20"/>
                <w:color w:val="auto"/>
              </w:rPr>
            </w:pPr>
            <w:r>
              <w:rPr>
                <w:rFonts w:ascii="Arial" w:cs="Arial" w:eastAsia="Arial" w:hAnsi="Arial"/>
                <w:sz w:val="14"/>
                <w:szCs w:val="14"/>
                <w:color w:val="auto"/>
              </w:rPr>
              <w:t>24,054</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39.19</w:t>
            </w:r>
          </w:p>
        </w:tc>
        <w:tc>
          <w:tcPr>
            <w:tcW w:w="1020" w:type="dxa"/>
            <w:vAlign w:val="bottom"/>
          </w:tcPr>
          <w:p>
            <w:pPr>
              <w:jc w:val="center"/>
              <w:spacing w:after="0"/>
              <w:rPr>
                <w:sz w:val="20"/>
                <w:szCs w:val="20"/>
                <w:color w:val="auto"/>
              </w:rPr>
            </w:pPr>
            <w:r>
              <w:rPr>
                <w:rFonts w:ascii="Arial" w:cs="Arial" w:eastAsia="Arial" w:hAnsi="Arial"/>
                <w:sz w:val="14"/>
                <w:szCs w:val="14"/>
                <w:color w:val="auto"/>
              </w:rPr>
              <w:t>3/01/2023</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3/01/2015</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2,279</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116,935</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3/01/2016</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5,471</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280,717</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3/15/2017</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13,203</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677,446</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3/15/2017</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390"/>
              <w:spacing w:after="0"/>
              <w:rPr>
                <w:sz w:val="20"/>
                <w:szCs w:val="20"/>
                <w:color w:val="auto"/>
              </w:rPr>
            </w:pPr>
            <w:r>
              <w:rPr>
                <w:rFonts w:ascii="Arial" w:cs="Arial" w:eastAsia="Arial" w:hAnsi="Arial"/>
                <w:sz w:val="14"/>
                <w:szCs w:val="14"/>
                <w:color w:val="auto"/>
              </w:rPr>
              <w:t>18,484 (3)</w:t>
            </w:r>
          </w:p>
        </w:tc>
        <w:tc>
          <w:tcPr>
            <w:tcW w:w="2000" w:type="dxa"/>
            <w:vAlign w:val="bottom"/>
          </w:tcPr>
          <w:p>
            <w:pPr>
              <w:jc w:val="right"/>
              <w:ind w:right="629"/>
              <w:spacing w:after="0"/>
              <w:rPr>
                <w:sz w:val="20"/>
                <w:szCs w:val="20"/>
                <w:color w:val="auto"/>
              </w:rPr>
            </w:pPr>
            <w:r>
              <w:rPr>
                <w:rFonts w:ascii="Arial" w:cs="Arial" w:eastAsia="Arial" w:hAnsi="Arial"/>
                <w:sz w:val="14"/>
                <w:szCs w:val="14"/>
                <w:color w:val="auto"/>
              </w:rPr>
              <w:t>948,414</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3/01/2018</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22,979</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1,179,052</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57"/>
        </w:trPr>
        <w:tc>
          <w:tcPr>
            <w:tcW w:w="20" w:type="dxa"/>
            <w:vAlign w:val="bottom"/>
          </w:tcPr>
          <w:p>
            <w:pPr>
              <w:spacing w:after="0"/>
              <w:rPr>
                <w:sz w:val="13"/>
                <w:szCs w:val="13"/>
                <w:color w:val="auto"/>
              </w:rPr>
            </w:pPr>
          </w:p>
        </w:tc>
        <w:tc>
          <w:tcPr>
            <w:tcW w:w="1080" w:type="dxa"/>
            <w:vAlign w:val="bottom"/>
            <w:tcBorders>
              <w:bottom w:val="single" w:sz="8" w:color="999999"/>
            </w:tcBorders>
          </w:tcPr>
          <w:p>
            <w:pPr>
              <w:spacing w:after="0"/>
              <w:rPr>
                <w:sz w:val="13"/>
                <w:szCs w:val="13"/>
                <w:color w:val="auto"/>
              </w:rPr>
            </w:pPr>
          </w:p>
        </w:tc>
        <w:tc>
          <w:tcPr>
            <w:tcW w:w="76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3/01/2018</w:t>
            </w:r>
          </w:p>
        </w:tc>
        <w:tc>
          <w:tcPr>
            <w:tcW w:w="1140" w:type="dxa"/>
            <w:vAlign w:val="bottom"/>
            <w:tcBorders>
              <w:bottom w:val="single" w:sz="8" w:color="999999"/>
            </w:tcBorders>
          </w:tcPr>
          <w:p>
            <w:pPr>
              <w:jc w:val="center"/>
              <w:ind w:left="89"/>
              <w:spacing w:after="0" w:line="157" w:lineRule="exact"/>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999999"/>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999999"/>
            </w:tcBorders>
          </w:tcPr>
          <w:p>
            <w:pPr>
              <w:spacing w:after="0"/>
              <w:rPr>
                <w:sz w:val="13"/>
                <w:szCs w:val="13"/>
                <w:color w:val="auto"/>
              </w:rPr>
            </w:pPr>
          </w:p>
        </w:tc>
        <w:tc>
          <w:tcPr>
            <w:tcW w:w="940" w:type="dxa"/>
            <w:vAlign w:val="bottom"/>
            <w:tcBorders>
              <w:bottom w:val="single" w:sz="8" w:color="999999"/>
            </w:tcBorders>
          </w:tcPr>
          <w:p>
            <w:pPr>
              <w:jc w:val="right"/>
              <w:ind w:right="330"/>
              <w:spacing w:after="0" w:line="157"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999999"/>
            </w:tcBorders>
          </w:tcPr>
          <w:p>
            <w:pPr>
              <w:jc w:val="right"/>
              <w:ind w:right="390"/>
              <w:spacing w:after="0" w:line="157" w:lineRule="exact"/>
              <w:rPr>
                <w:sz w:val="20"/>
                <w:szCs w:val="20"/>
                <w:color w:val="auto"/>
              </w:rPr>
            </w:pPr>
            <w:r>
              <w:rPr>
                <w:rFonts w:ascii="Arial" w:cs="Arial" w:eastAsia="Arial" w:hAnsi="Arial"/>
                <w:sz w:val="14"/>
                <w:szCs w:val="14"/>
                <w:color w:val="auto"/>
              </w:rPr>
              <w:t>53,617 (4)</w:t>
            </w:r>
          </w:p>
        </w:tc>
        <w:tc>
          <w:tcPr>
            <w:tcW w:w="2000" w:type="dxa"/>
            <w:vAlign w:val="bottom"/>
            <w:tcBorders>
              <w:bottom w:val="single" w:sz="8" w:color="999999"/>
            </w:tcBorders>
          </w:tcPr>
          <w:p>
            <w:pPr>
              <w:jc w:val="right"/>
              <w:ind w:right="629"/>
              <w:spacing w:after="0" w:line="157" w:lineRule="exact"/>
              <w:rPr>
                <w:sz w:val="20"/>
                <w:szCs w:val="20"/>
                <w:color w:val="auto"/>
              </w:rPr>
            </w:pPr>
            <w:r>
              <w:rPr>
                <w:rFonts w:ascii="Arial" w:cs="Arial" w:eastAsia="Arial" w:hAnsi="Arial"/>
                <w:sz w:val="14"/>
                <w:szCs w:val="14"/>
                <w:color w:val="auto"/>
              </w:rPr>
              <w:t>2,751,089</w:t>
            </w:r>
          </w:p>
        </w:tc>
      </w:tr>
      <w:tr>
        <w:trPr>
          <w:trHeight w:val="160"/>
        </w:trPr>
        <w:tc>
          <w:tcPr>
            <w:tcW w:w="1100" w:type="dxa"/>
            <w:vAlign w:val="bottom"/>
            <w:gridSpan w:val="2"/>
          </w:tcPr>
          <w:p>
            <w:pPr>
              <w:spacing w:after="0"/>
              <w:rPr>
                <w:sz w:val="20"/>
                <w:szCs w:val="20"/>
                <w:color w:val="auto"/>
              </w:rPr>
            </w:pPr>
            <w:r>
              <w:rPr>
                <w:rFonts w:ascii="Arial" w:cs="Arial" w:eastAsia="Arial" w:hAnsi="Arial"/>
                <w:sz w:val="14"/>
                <w:szCs w:val="14"/>
                <w:color w:val="auto"/>
              </w:rPr>
              <w:t>C. Mark Hussey</w:t>
            </w:r>
          </w:p>
        </w:tc>
        <w:tc>
          <w:tcPr>
            <w:tcW w:w="760" w:type="dxa"/>
            <w:vAlign w:val="bottom"/>
          </w:tcPr>
          <w:p>
            <w:pPr>
              <w:jc w:val="right"/>
              <w:spacing w:after="0"/>
              <w:rPr>
                <w:sz w:val="20"/>
                <w:szCs w:val="20"/>
                <w:color w:val="auto"/>
              </w:rPr>
            </w:pPr>
            <w:r>
              <w:rPr>
                <w:rFonts w:ascii="Arial" w:cs="Arial" w:eastAsia="Arial" w:hAnsi="Arial"/>
                <w:sz w:val="14"/>
                <w:szCs w:val="14"/>
                <w:color w:val="auto"/>
              </w:rPr>
              <w:t>8/01/2011</w:t>
            </w:r>
          </w:p>
        </w:tc>
        <w:tc>
          <w:tcPr>
            <w:tcW w:w="1140" w:type="dxa"/>
            <w:vAlign w:val="bottom"/>
          </w:tcPr>
          <w:p>
            <w:pPr>
              <w:jc w:val="right"/>
              <w:ind w:right="189"/>
              <w:spacing w:after="0"/>
              <w:rPr>
                <w:sz w:val="20"/>
                <w:szCs w:val="20"/>
                <w:color w:val="auto"/>
              </w:rPr>
            </w:pPr>
            <w:r>
              <w:rPr>
                <w:rFonts w:ascii="Arial" w:cs="Arial" w:eastAsia="Arial" w:hAnsi="Arial"/>
                <w:sz w:val="14"/>
                <w:szCs w:val="14"/>
                <w:color w:val="auto"/>
              </w:rPr>
              <w:t>1,772</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32.37</w:t>
            </w:r>
          </w:p>
        </w:tc>
        <w:tc>
          <w:tcPr>
            <w:tcW w:w="1020" w:type="dxa"/>
            <w:vAlign w:val="bottom"/>
          </w:tcPr>
          <w:p>
            <w:pPr>
              <w:jc w:val="center"/>
              <w:spacing w:after="0"/>
              <w:rPr>
                <w:sz w:val="20"/>
                <w:szCs w:val="20"/>
                <w:color w:val="auto"/>
              </w:rPr>
            </w:pPr>
            <w:r>
              <w:rPr>
                <w:rFonts w:ascii="Arial" w:cs="Arial" w:eastAsia="Arial" w:hAnsi="Arial"/>
                <w:sz w:val="14"/>
                <w:szCs w:val="14"/>
                <w:color w:val="auto"/>
              </w:rPr>
              <w:t>8/01/2021</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3/01/2012</w:t>
            </w:r>
          </w:p>
        </w:tc>
        <w:tc>
          <w:tcPr>
            <w:tcW w:w="1140" w:type="dxa"/>
            <w:vAlign w:val="bottom"/>
          </w:tcPr>
          <w:p>
            <w:pPr>
              <w:jc w:val="right"/>
              <w:ind w:right="189"/>
              <w:spacing w:after="0"/>
              <w:rPr>
                <w:sz w:val="20"/>
                <w:szCs w:val="20"/>
                <w:color w:val="auto"/>
              </w:rPr>
            </w:pPr>
            <w:r>
              <w:rPr>
                <w:rFonts w:ascii="Arial" w:cs="Arial" w:eastAsia="Arial" w:hAnsi="Arial"/>
                <w:sz w:val="14"/>
                <w:szCs w:val="14"/>
                <w:color w:val="auto"/>
              </w:rPr>
              <w:t>6,144</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38.18</w:t>
            </w:r>
          </w:p>
        </w:tc>
        <w:tc>
          <w:tcPr>
            <w:tcW w:w="1020" w:type="dxa"/>
            <w:vAlign w:val="bottom"/>
          </w:tcPr>
          <w:p>
            <w:pPr>
              <w:jc w:val="center"/>
              <w:spacing w:after="0"/>
              <w:rPr>
                <w:sz w:val="20"/>
                <w:szCs w:val="20"/>
                <w:color w:val="auto"/>
              </w:rPr>
            </w:pPr>
            <w:r>
              <w:rPr>
                <w:rFonts w:ascii="Arial" w:cs="Arial" w:eastAsia="Arial" w:hAnsi="Arial"/>
                <w:sz w:val="14"/>
                <w:szCs w:val="14"/>
                <w:color w:val="auto"/>
              </w:rPr>
              <w:t>3/01/2022</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3/01/2013</w:t>
            </w:r>
          </w:p>
        </w:tc>
        <w:tc>
          <w:tcPr>
            <w:tcW w:w="1140" w:type="dxa"/>
            <w:vAlign w:val="bottom"/>
          </w:tcPr>
          <w:p>
            <w:pPr>
              <w:jc w:val="right"/>
              <w:ind w:right="189"/>
              <w:spacing w:after="0"/>
              <w:rPr>
                <w:sz w:val="20"/>
                <w:szCs w:val="20"/>
                <w:color w:val="auto"/>
              </w:rPr>
            </w:pPr>
            <w:r>
              <w:rPr>
                <w:rFonts w:ascii="Arial" w:cs="Arial" w:eastAsia="Arial" w:hAnsi="Arial"/>
                <w:sz w:val="14"/>
                <w:szCs w:val="14"/>
                <w:color w:val="auto"/>
              </w:rPr>
              <w:t>7,731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39.19</w:t>
            </w:r>
          </w:p>
        </w:tc>
        <w:tc>
          <w:tcPr>
            <w:tcW w:w="1020" w:type="dxa"/>
            <w:vAlign w:val="bottom"/>
          </w:tcPr>
          <w:p>
            <w:pPr>
              <w:jc w:val="center"/>
              <w:spacing w:after="0"/>
              <w:rPr>
                <w:sz w:val="20"/>
                <w:szCs w:val="20"/>
                <w:color w:val="auto"/>
              </w:rPr>
            </w:pPr>
            <w:r>
              <w:rPr>
                <w:rFonts w:ascii="Arial" w:cs="Arial" w:eastAsia="Arial" w:hAnsi="Arial"/>
                <w:sz w:val="14"/>
                <w:szCs w:val="14"/>
                <w:color w:val="auto"/>
              </w:rPr>
              <w:t>3/01/2023</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3/01/2015</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774</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39,714</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3/01/2016</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2,837</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145,566</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3/15/2017</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6,418</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329,308</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3/15/2017</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390"/>
              <w:spacing w:after="0"/>
              <w:rPr>
                <w:sz w:val="20"/>
                <w:szCs w:val="20"/>
                <w:color w:val="auto"/>
              </w:rPr>
            </w:pPr>
            <w:r>
              <w:rPr>
                <w:rFonts w:ascii="Arial" w:cs="Arial" w:eastAsia="Arial" w:hAnsi="Arial"/>
                <w:sz w:val="14"/>
                <w:szCs w:val="14"/>
                <w:color w:val="auto"/>
              </w:rPr>
              <w:t>8,985 (3)</w:t>
            </w:r>
          </w:p>
        </w:tc>
        <w:tc>
          <w:tcPr>
            <w:tcW w:w="2000" w:type="dxa"/>
            <w:vAlign w:val="bottom"/>
          </w:tcPr>
          <w:p>
            <w:pPr>
              <w:jc w:val="right"/>
              <w:ind w:right="629"/>
              <w:spacing w:after="0"/>
              <w:rPr>
                <w:sz w:val="20"/>
                <w:szCs w:val="20"/>
                <w:color w:val="auto"/>
              </w:rPr>
            </w:pPr>
            <w:r>
              <w:rPr>
                <w:rFonts w:ascii="Arial" w:cs="Arial" w:eastAsia="Arial" w:hAnsi="Arial"/>
                <w:sz w:val="14"/>
                <w:szCs w:val="14"/>
                <w:color w:val="auto"/>
              </w:rPr>
              <w:t>461,020</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8/21/2017</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24,039</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1,233,441</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3/01/2018</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11,170</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573,133</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57"/>
        </w:trPr>
        <w:tc>
          <w:tcPr>
            <w:tcW w:w="20" w:type="dxa"/>
            <w:vAlign w:val="bottom"/>
          </w:tcPr>
          <w:p>
            <w:pPr>
              <w:spacing w:after="0"/>
              <w:rPr>
                <w:sz w:val="13"/>
                <w:szCs w:val="13"/>
                <w:color w:val="auto"/>
              </w:rPr>
            </w:pPr>
          </w:p>
        </w:tc>
        <w:tc>
          <w:tcPr>
            <w:tcW w:w="1080" w:type="dxa"/>
            <w:vAlign w:val="bottom"/>
            <w:tcBorders>
              <w:bottom w:val="single" w:sz="8" w:color="999999"/>
            </w:tcBorders>
          </w:tcPr>
          <w:p>
            <w:pPr>
              <w:spacing w:after="0"/>
              <w:rPr>
                <w:sz w:val="13"/>
                <w:szCs w:val="13"/>
                <w:color w:val="auto"/>
              </w:rPr>
            </w:pPr>
          </w:p>
        </w:tc>
        <w:tc>
          <w:tcPr>
            <w:tcW w:w="76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3/01/2018</w:t>
            </w:r>
          </w:p>
        </w:tc>
        <w:tc>
          <w:tcPr>
            <w:tcW w:w="1140" w:type="dxa"/>
            <w:vAlign w:val="bottom"/>
            <w:tcBorders>
              <w:bottom w:val="single" w:sz="8" w:color="999999"/>
            </w:tcBorders>
          </w:tcPr>
          <w:p>
            <w:pPr>
              <w:jc w:val="center"/>
              <w:ind w:left="89"/>
              <w:spacing w:after="0" w:line="157" w:lineRule="exact"/>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999999"/>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999999"/>
            </w:tcBorders>
          </w:tcPr>
          <w:p>
            <w:pPr>
              <w:spacing w:after="0"/>
              <w:rPr>
                <w:sz w:val="13"/>
                <w:szCs w:val="13"/>
                <w:color w:val="auto"/>
              </w:rPr>
            </w:pPr>
          </w:p>
        </w:tc>
        <w:tc>
          <w:tcPr>
            <w:tcW w:w="940" w:type="dxa"/>
            <w:vAlign w:val="bottom"/>
            <w:tcBorders>
              <w:bottom w:val="single" w:sz="8" w:color="999999"/>
            </w:tcBorders>
          </w:tcPr>
          <w:p>
            <w:pPr>
              <w:jc w:val="right"/>
              <w:ind w:right="330"/>
              <w:spacing w:after="0" w:line="157"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999999"/>
            </w:tcBorders>
          </w:tcPr>
          <w:p>
            <w:pPr>
              <w:jc w:val="right"/>
              <w:ind w:right="390"/>
              <w:spacing w:after="0" w:line="157" w:lineRule="exact"/>
              <w:rPr>
                <w:sz w:val="20"/>
                <w:szCs w:val="20"/>
                <w:color w:val="auto"/>
              </w:rPr>
            </w:pPr>
            <w:r>
              <w:rPr>
                <w:rFonts w:ascii="Arial" w:cs="Arial" w:eastAsia="Arial" w:hAnsi="Arial"/>
                <w:sz w:val="14"/>
                <w:szCs w:val="14"/>
                <w:color w:val="auto"/>
              </w:rPr>
              <w:t>26,064 (4)</w:t>
            </w:r>
          </w:p>
        </w:tc>
        <w:tc>
          <w:tcPr>
            <w:tcW w:w="2000" w:type="dxa"/>
            <w:vAlign w:val="bottom"/>
            <w:tcBorders>
              <w:bottom w:val="single" w:sz="8" w:color="999999"/>
            </w:tcBorders>
          </w:tcPr>
          <w:p>
            <w:pPr>
              <w:jc w:val="right"/>
              <w:ind w:right="629"/>
              <w:spacing w:after="0" w:line="157" w:lineRule="exact"/>
              <w:rPr>
                <w:sz w:val="20"/>
                <w:szCs w:val="20"/>
                <w:color w:val="auto"/>
              </w:rPr>
            </w:pPr>
            <w:r>
              <w:rPr>
                <w:rFonts w:ascii="Arial" w:cs="Arial" w:eastAsia="Arial" w:hAnsi="Arial"/>
                <w:sz w:val="14"/>
                <w:szCs w:val="14"/>
                <w:color w:val="auto"/>
              </w:rPr>
              <w:t>1,337,344</w:t>
            </w:r>
          </w:p>
        </w:tc>
      </w:tr>
      <w:tr>
        <w:trPr>
          <w:trHeight w:val="160"/>
        </w:trPr>
        <w:tc>
          <w:tcPr>
            <w:tcW w:w="1100" w:type="dxa"/>
            <w:vAlign w:val="bottom"/>
            <w:gridSpan w:val="2"/>
          </w:tcPr>
          <w:p>
            <w:pPr>
              <w:spacing w:after="0"/>
              <w:rPr>
                <w:sz w:val="20"/>
                <w:szCs w:val="20"/>
                <w:color w:val="auto"/>
              </w:rPr>
            </w:pPr>
            <w:r>
              <w:rPr>
                <w:rFonts w:ascii="Arial" w:cs="Arial" w:eastAsia="Arial" w:hAnsi="Arial"/>
                <w:sz w:val="14"/>
                <w:szCs w:val="14"/>
                <w:color w:val="auto"/>
              </w:rPr>
              <w:t>John D. Kelly</w:t>
            </w:r>
          </w:p>
        </w:tc>
        <w:tc>
          <w:tcPr>
            <w:tcW w:w="760" w:type="dxa"/>
            <w:vAlign w:val="bottom"/>
          </w:tcPr>
          <w:p>
            <w:pPr>
              <w:jc w:val="right"/>
              <w:spacing w:after="0"/>
              <w:rPr>
                <w:sz w:val="20"/>
                <w:szCs w:val="20"/>
                <w:color w:val="auto"/>
              </w:rPr>
            </w:pPr>
            <w:r>
              <w:rPr>
                <w:rFonts w:ascii="Arial" w:cs="Arial" w:eastAsia="Arial" w:hAnsi="Arial"/>
                <w:sz w:val="14"/>
                <w:szCs w:val="14"/>
                <w:color w:val="auto"/>
              </w:rPr>
              <w:t>3/01/2015</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132</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6,773</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3/01/2016</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176</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9,031</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3/01/2017</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332</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17,035</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3/15/2017</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1,590</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81,583</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3/15/2017</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390"/>
              <w:spacing w:after="0"/>
              <w:rPr>
                <w:sz w:val="20"/>
                <w:szCs w:val="20"/>
                <w:color w:val="auto"/>
              </w:rPr>
            </w:pPr>
            <w:r>
              <w:rPr>
                <w:rFonts w:ascii="Arial" w:cs="Arial" w:eastAsia="Arial" w:hAnsi="Arial"/>
                <w:sz w:val="14"/>
                <w:szCs w:val="14"/>
                <w:color w:val="auto"/>
              </w:rPr>
              <w:t>2,224 (3)</w:t>
            </w:r>
          </w:p>
        </w:tc>
        <w:tc>
          <w:tcPr>
            <w:tcW w:w="2000" w:type="dxa"/>
            <w:vAlign w:val="bottom"/>
          </w:tcPr>
          <w:p>
            <w:pPr>
              <w:jc w:val="right"/>
              <w:ind w:right="629"/>
              <w:spacing w:after="0"/>
              <w:rPr>
                <w:sz w:val="20"/>
                <w:szCs w:val="20"/>
                <w:color w:val="auto"/>
              </w:rPr>
            </w:pPr>
            <w:r>
              <w:rPr>
                <w:rFonts w:ascii="Arial" w:cs="Arial" w:eastAsia="Arial" w:hAnsi="Arial"/>
                <w:sz w:val="14"/>
                <w:szCs w:val="14"/>
                <w:color w:val="auto"/>
              </w:rPr>
              <w:t>114,114</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3/01/2018</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4,085</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209,601</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57"/>
        </w:trPr>
        <w:tc>
          <w:tcPr>
            <w:tcW w:w="20" w:type="dxa"/>
            <w:vAlign w:val="bottom"/>
          </w:tcPr>
          <w:p>
            <w:pPr>
              <w:spacing w:after="0"/>
              <w:rPr>
                <w:sz w:val="13"/>
                <w:szCs w:val="13"/>
                <w:color w:val="auto"/>
              </w:rPr>
            </w:pPr>
          </w:p>
        </w:tc>
        <w:tc>
          <w:tcPr>
            <w:tcW w:w="1080" w:type="dxa"/>
            <w:vAlign w:val="bottom"/>
            <w:tcBorders>
              <w:bottom w:val="single" w:sz="8" w:color="999999"/>
            </w:tcBorders>
          </w:tcPr>
          <w:p>
            <w:pPr>
              <w:spacing w:after="0"/>
              <w:rPr>
                <w:sz w:val="13"/>
                <w:szCs w:val="13"/>
                <w:color w:val="auto"/>
              </w:rPr>
            </w:pPr>
          </w:p>
        </w:tc>
        <w:tc>
          <w:tcPr>
            <w:tcW w:w="76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3/01/2018</w:t>
            </w:r>
          </w:p>
        </w:tc>
        <w:tc>
          <w:tcPr>
            <w:tcW w:w="1140" w:type="dxa"/>
            <w:vAlign w:val="bottom"/>
            <w:tcBorders>
              <w:bottom w:val="single" w:sz="8" w:color="999999"/>
            </w:tcBorders>
          </w:tcPr>
          <w:p>
            <w:pPr>
              <w:jc w:val="center"/>
              <w:ind w:left="89"/>
              <w:spacing w:after="0" w:line="157" w:lineRule="exact"/>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999999"/>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999999"/>
            </w:tcBorders>
          </w:tcPr>
          <w:p>
            <w:pPr>
              <w:spacing w:after="0"/>
              <w:rPr>
                <w:sz w:val="13"/>
                <w:szCs w:val="13"/>
                <w:color w:val="auto"/>
              </w:rPr>
            </w:pPr>
          </w:p>
        </w:tc>
        <w:tc>
          <w:tcPr>
            <w:tcW w:w="940" w:type="dxa"/>
            <w:vAlign w:val="bottom"/>
            <w:tcBorders>
              <w:bottom w:val="single" w:sz="8" w:color="999999"/>
            </w:tcBorders>
          </w:tcPr>
          <w:p>
            <w:pPr>
              <w:jc w:val="right"/>
              <w:ind w:right="330"/>
              <w:spacing w:after="0" w:line="157"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999999"/>
            </w:tcBorders>
          </w:tcPr>
          <w:p>
            <w:pPr>
              <w:jc w:val="right"/>
              <w:ind w:right="390"/>
              <w:spacing w:after="0" w:line="157" w:lineRule="exact"/>
              <w:rPr>
                <w:sz w:val="20"/>
                <w:szCs w:val="20"/>
                <w:color w:val="auto"/>
              </w:rPr>
            </w:pPr>
            <w:r>
              <w:rPr>
                <w:rFonts w:ascii="Arial" w:cs="Arial" w:eastAsia="Arial" w:hAnsi="Arial"/>
                <w:sz w:val="14"/>
                <w:szCs w:val="14"/>
                <w:color w:val="auto"/>
              </w:rPr>
              <w:t>9,532 (4)</w:t>
            </w:r>
          </w:p>
        </w:tc>
        <w:tc>
          <w:tcPr>
            <w:tcW w:w="2000" w:type="dxa"/>
            <w:vAlign w:val="bottom"/>
            <w:tcBorders>
              <w:bottom w:val="single" w:sz="8" w:color="999999"/>
            </w:tcBorders>
          </w:tcPr>
          <w:p>
            <w:pPr>
              <w:jc w:val="right"/>
              <w:ind w:right="629"/>
              <w:spacing w:after="0" w:line="157" w:lineRule="exact"/>
              <w:rPr>
                <w:sz w:val="20"/>
                <w:szCs w:val="20"/>
                <w:color w:val="auto"/>
              </w:rPr>
            </w:pPr>
            <w:r>
              <w:rPr>
                <w:rFonts w:ascii="Arial" w:cs="Arial" w:eastAsia="Arial" w:hAnsi="Arial"/>
                <w:sz w:val="14"/>
                <w:szCs w:val="14"/>
                <w:color w:val="auto"/>
              </w:rPr>
              <w:t>489,087</w:t>
            </w:r>
          </w:p>
        </w:tc>
      </w:tr>
      <w:tr>
        <w:trPr>
          <w:trHeight w:val="160"/>
        </w:trPr>
        <w:tc>
          <w:tcPr>
            <w:tcW w:w="1100" w:type="dxa"/>
            <w:vAlign w:val="bottom"/>
            <w:gridSpan w:val="2"/>
          </w:tcPr>
          <w:p>
            <w:pPr>
              <w:spacing w:after="0"/>
              <w:rPr>
                <w:sz w:val="20"/>
                <w:szCs w:val="20"/>
                <w:color w:val="auto"/>
              </w:rPr>
            </w:pPr>
            <w:r>
              <w:rPr>
                <w:rFonts w:ascii="Arial" w:cs="Arial" w:eastAsia="Arial" w:hAnsi="Arial"/>
                <w:sz w:val="14"/>
                <w:szCs w:val="14"/>
                <w:color w:val="auto"/>
              </w:rPr>
              <w:t>Diane E. Ratekin</w:t>
            </w:r>
          </w:p>
        </w:tc>
        <w:tc>
          <w:tcPr>
            <w:tcW w:w="760" w:type="dxa"/>
            <w:vAlign w:val="bottom"/>
          </w:tcPr>
          <w:p>
            <w:pPr>
              <w:jc w:val="right"/>
              <w:spacing w:after="0"/>
              <w:rPr>
                <w:sz w:val="20"/>
                <w:szCs w:val="20"/>
                <w:color w:val="auto"/>
              </w:rPr>
            </w:pPr>
            <w:r>
              <w:rPr>
                <w:rFonts w:ascii="Arial" w:cs="Arial" w:eastAsia="Arial" w:hAnsi="Arial"/>
                <w:sz w:val="14"/>
                <w:szCs w:val="14"/>
                <w:color w:val="auto"/>
              </w:rPr>
              <w:t>3/01/2012</w:t>
            </w:r>
          </w:p>
        </w:tc>
        <w:tc>
          <w:tcPr>
            <w:tcW w:w="1140" w:type="dxa"/>
            <w:vAlign w:val="bottom"/>
          </w:tcPr>
          <w:p>
            <w:pPr>
              <w:jc w:val="center"/>
              <w:ind w:left="69"/>
              <w:spacing w:after="0"/>
              <w:rPr>
                <w:sz w:val="20"/>
                <w:szCs w:val="20"/>
                <w:color w:val="auto"/>
              </w:rPr>
            </w:pPr>
            <w:r>
              <w:rPr>
                <w:rFonts w:ascii="Arial" w:cs="Arial" w:eastAsia="Arial" w:hAnsi="Arial"/>
                <w:sz w:val="14"/>
                <w:szCs w:val="14"/>
                <w:color w:val="auto"/>
              </w:rPr>
              <w:t>3,072</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38.18</w:t>
            </w:r>
          </w:p>
        </w:tc>
        <w:tc>
          <w:tcPr>
            <w:tcW w:w="1020" w:type="dxa"/>
            <w:vAlign w:val="bottom"/>
          </w:tcPr>
          <w:p>
            <w:pPr>
              <w:jc w:val="center"/>
              <w:spacing w:after="0"/>
              <w:rPr>
                <w:sz w:val="20"/>
                <w:szCs w:val="20"/>
                <w:color w:val="auto"/>
              </w:rPr>
            </w:pPr>
            <w:r>
              <w:rPr>
                <w:rFonts w:ascii="Arial" w:cs="Arial" w:eastAsia="Arial" w:hAnsi="Arial"/>
                <w:sz w:val="14"/>
                <w:szCs w:val="14"/>
                <w:color w:val="auto"/>
              </w:rPr>
              <w:t>3/01/2022</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3/01/2013</w:t>
            </w:r>
          </w:p>
        </w:tc>
        <w:tc>
          <w:tcPr>
            <w:tcW w:w="1140" w:type="dxa"/>
            <w:vAlign w:val="bottom"/>
          </w:tcPr>
          <w:p>
            <w:pPr>
              <w:jc w:val="center"/>
              <w:ind w:left="69"/>
              <w:spacing w:after="0"/>
              <w:rPr>
                <w:sz w:val="20"/>
                <w:szCs w:val="20"/>
                <w:color w:val="auto"/>
              </w:rPr>
            </w:pPr>
            <w:r>
              <w:rPr>
                <w:rFonts w:ascii="Arial" w:cs="Arial" w:eastAsia="Arial" w:hAnsi="Arial"/>
                <w:sz w:val="14"/>
                <w:szCs w:val="14"/>
                <w:color w:val="auto"/>
              </w:rPr>
              <w:t>4,832</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39.19</w:t>
            </w:r>
          </w:p>
        </w:tc>
        <w:tc>
          <w:tcPr>
            <w:tcW w:w="1020" w:type="dxa"/>
            <w:vAlign w:val="bottom"/>
          </w:tcPr>
          <w:p>
            <w:pPr>
              <w:jc w:val="center"/>
              <w:spacing w:after="0"/>
              <w:rPr>
                <w:sz w:val="20"/>
                <w:szCs w:val="20"/>
                <w:color w:val="auto"/>
              </w:rPr>
            </w:pPr>
            <w:r>
              <w:rPr>
                <w:rFonts w:ascii="Arial" w:cs="Arial" w:eastAsia="Arial" w:hAnsi="Arial"/>
                <w:sz w:val="14"/>
                <w:szCs w:val="14"/>
                <w:color w:val="auto"/>
              </w:rPr>
              <w:t>3/01/2023</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3/01/2015</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405</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20,781</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3/01/2016</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1,081</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55,466</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3/15/2017</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2,250</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115,448</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3/15/2017</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390"/>
              <w:spacing w:after="0"/>
              <w:rPr>
                <w:sz w:val="20"/>
                <w:szCs w:val="20"/>
                <w:color w:val="auto"/>
              </w:rPr>
            </w:pPr>
            <w:r>
              <w:rPr>
                <w:rFonts w:ascii="Arial" w:cs="Arial" w:eastAsia="Arial" w:hAnsi="Arial"/>
                <w:sz w:val="14"/>
                <w:szCs w:val="14"/>
                <w:color w:val="auto"/>
              </w:rPr>
              <w:t>3,149 (3)</w:t>
            </w:r>
          </w:p>
        </w:tc>
        <w:tc>
          <w:tcPr>
            <w:tcW w:w="2000" w:type="dxa"/>
            <w:vAlign w:val="bottom"/>
          </w:tcPr>
          <w:p>
            <w:pPr>
              <w:jc w:val="right"/>
              <w:ind w:right="629"/>
              <w:spacing w:after="0"/>
              <w:rPr>
                <w:sz w:val="20"/>
                <w:szCs w:val="20"/>
                <w:color w:val="auto"/>
              </w:rPr>
            </w:pPr>
            <w:r>
              <w:rPr>
                <w:rFonts w:ascii="Arial" w:cs="Arial" w:eastAsia="Arial" w:hAnsi="Arial"/>
                <w:sz w:val="14"/>
                <w:szCs w:val="14"/>
                <w:color w:val="auto"/>
              </w:rPr>
              <w:t>161,576</w:t>
            </w: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3/01/2018</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3,915</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200,879</w:t>
            </w:r>
          </w:p>
        </w:tc>
        <w:tc>
          <w:tcPr>
            <w:tcW w:w="1560" w:type="dxa"/>
            <w:vAlign w:val="bottom"/>
          </w:tcPr>
          <w:p>
            <w:pPr>
              <w:jc w:val="center"/>
              <w:ind w:right="110"/>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57"/>
        </w:trPr>
        <w:tc>
          <w:tcPr>
            <w:tcW w:w="20" w:type="dxa"/>
            <w:vAlign w:val="bottom"/>
          </w:tcPr>
          <w:p>
            <w:pPr>
              <w:spacing w:after="0"/>
              <w:rPr>
                <w:sz w:val="13"/>
                <w:szCs w:val="13"/>
                <w:color w:val="auto"/>
              </w:rPr>
            </w:pPr>
          </w:p>
        </w:tc>
        <w:tc>
          <w:tcPr>
            <w:tcW w:w="1080" w:type="dxa"/>
            <w:vAlign w:val="bottom"/>
            <w:tcBorders>
              <w:bottom w:val="single" w:sz="8" w:color="999999"/>
            </w:tcBorders>
          </w:tcPr>
          <w:p>
            <w:pPr>
              <w:spacing w:after="0"/>
              <w:rPr>
                <w:sz w:val="13"/>
                <w:szCs w:val="13"/>
                <w:color w:val="auto"/>
              </w:rPr>
            </w:pPr>
          </w:p>
        </w:tc>
        <w:tc>
          <w:tcPr>
            <w:tcW w:w="760" w:type="dxa"/>
            <w:vAlign w:val="bottom"/>
            <w:tcBorders>
              <w:bottom w:val="single" w:sz="8" w:color="999999"/>
            </w:tcBorders>
          </w:tcPr>
          <w:p>
            <w:pPr>
              <w:jc w:val="right"/>
              <w:spacing w:after="0" w:line="157" w:lineRule="exact"/>
              <w:rPr>
                <w:sz w:val="20"/>
                <w:szCs w:val="20"/>
                <w:color w:val="auto"/>
              </w:rPr>
            </w:pPr>
            <w:r>
              <w:rPr>
                <w:rFonts w:ascii="Arial" w:cs="Arial" w:eastAsia="Arial" w:hAnsi="Arial"/>
                <w:sz w:val="14"/>
                <w:szCs w:val="14"/>
                <w:color w:val="auto"/>
              </w:rPr>
              <w:t>3/01/2018</w:t>
            </w:r>
          </w:p>
        </w:tc>
        <w:tc>
          <w:tcPr>
            <w:tcW w:w="1140" w:type="dxa"/>
            <w:vAlign w:val="bottom"/>
            <w:tcBorders>
              <w:bottom w:val="single" w:sz="8" w:color="999999"/>
            </w:tcBorders>
          </w:tcPr>
          <w:p>
            <w:pPr>
              <w:jc w:val="center"/>
              <w:ind w:left="89"/>
              <w:spacing w:after="0" w:line="157" w:lineRule="exact"/>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999999"/>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999999"/>
            </w:tcBorders>
          </w:tcPr>
          <w:p>
            <w:pPr>
              <w:spacing w:after="0"/>
              <w:rPr>
                <w:sz w:val="13"/>
                <w:szCs w:val="13"/>
                <w:color w:val="auto"/>
              </w:rPr>
            </w:pPr>
          </w:p>
        </w:tc>
        <w:tc>
          <w:tcPr>
            <w:tcW w:w="940" w:type="dxa"/>
            <w:vAlign w:val="bottom"/>
            <w:tcBorders>
              <w:bottom w:val="single" w:sz="8" w:color="999999"/>
            </w:tcBorders>
          </w:tcPr>
          <w:p>
            <w:pPr>
              <w:jc w:val="right"/>
              <w:ind w:right="330"/>
              <w:spacing w:after="0" w:line="157"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999999"/>
            </w:tcBorders>
          </w:tcPr>
          <w:p>
            <w:pPr>
              <w:jc w:val="right"/>
              <w:ind w:right="390"/>
              <w:spacing w:after="0" w:line="157" w:lineRule="exact"/>
              <w:rPr>
                <w:sz w:val="20"/>
                <w:szCs w:val="20"/>
                <w:color w:val="auto"/>
              </w:rPr>
            </w:pPr>
            <w:r>
              <w:rPr>
                <w:rFonts w:ascii="Arial" w:cs="Arial" w:eastAsia="Arial" w:hAnsi="Arial"/>
                <w:sz w:val="14"/>
                <w:szCs w:val="14"/>
                <w:color w:val="auto"/>
              </w:rPr>
              <w:t>9,135 (4)</w:t>
            </w:r>
          </w:p>
        </w:tc>
        <w:tc>
          <w:tcPr>
            <w:tcW w:w="2000" w:type="dxa"/>
            <w:vAlign w:val="bottom"/>
            <w:tcBorders>
              <w:bottom w:val="single" w:sz="8" w:color="999999"/>
            </w:tcBorders>
          </w:tcPr>
          <w:p>
            <w:pPr>
              <w:jc w:val="right"/>
              <w:ind w:right="629"/>
              <w:spacing w:after="0" w:line="157" w:lineRule="exact"/>
              <w:rPr>
                <w:sz w:val="20"/>
                <w:szCs w:val="20"/>
                <w:color w:val="auto"/>
              </w:rPr>
            </w:pPr>
            <w:r>
              <w:rPr>
                <w:rFonts w:ascii="Arial" w:cs="Arial" w:eastAsia="Arial" w:hAnsi="Arial"/>
                <w:sz w:val="14"/>
                <w:szCs w:val="14"/>
                <w:color w:val="auto"/>
              </w:rPr>
              <w:t>468,717</w:t>
            </w:r>
          </w:p>
        </w:tc>
      </w:tr>
    </w:tbl>
    <w:p>
      <w:pPr>
        <w:spacing w:after="0" w:line="218" w:lineRule="exact"/>
        <w:rPr>
          <w:sz w:val="20"/>
          <w:szCs w:val="20"/>
          <w:color w:val="auto"/>
        </w:rPr>
      </w:pPr>
    </w:p>
    <w:p>
      <w:pPr>
        <w:ind w:left="740" w:right="220" w:hanging="536"/>
        <w:spacing w:after="0" w:line="246" w:lineRule="auto"/>
        <w:tabs>
          <w:tab w:leader="none" w:pos="7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unvested restricted stock as of December 31, 2018 that vests 25% annually over four years from the date of grant provided the individual is still employed by Huron on the applicable vesting dates.</w:t>
      </w:r>
    </w:p>
    <w:p>
      <w:pPr>
        <w:ind w:left="740" w:right="220" w:hanging="536"/>
        <w:spacing w:after="0" w:line="246" w:lineRule="auto"/>
        <w:tabs>
          <w:tab w:leader="none" w:pos="7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unvested restricted stock as of December 31, 2018 that vests 33% annually over three years from the date of grant provided the individual is still employed by Huron on the applicable vesting date.</w:t>
      </w:r>
    </w:p>
    <w:p>
      <w:pPr>
        <w:jc w:val="both"/>
        <w:ind w:left="740" w:right="220" w:hanging="536"/>
        <w:spacing w:after="0" w:line="246" w:lineRule="auto"/>
        <w:tabs>
          <w:tab w:leader="none" w:pos="7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2017 grant of PSUs that are subject to further adjustment based on performance for the 2017-2019 performance period. The amount of the further adjustment ranges from 0% to 200%. The amount reflected in the table equals the target amount of the three-year component of the original award. Once the 2017-2019 performance period is complete, 100% of the final award vests on March 1, 2020.</w:t>
      </w:r>
    </w:p>
    <w:p>
      <w:pPr>
        <w:spacing w:after="0" w:line="1" w:lineRule="exact"/>
        <w:rPr>
          <w:rFonts w:ascii="Arial" w:cs="Arial" w:eastAsia="Arial" w:hAnsi="Arial"/>
          <w:sz w:val="16"/>
          <w:szCs w:val="16"/>
          <w:color w:val="auto"/>
        </w:rPr>
      </w:pPr>
    </w:p>
    <w:p>
      <w:pPr>
        <w:jc w:val="both"/>
        <w:ind w:left="740" w:right="220" w:hanging="536"/>
        <w:spacing w:after="0" w:line="253" w:lineRule="auto"/>
        <w:tabs>
          <w:tab w:leader="none" w:pos="7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2018 grant of PSUs that vest based on performance for the 2018-2020 performance period. Actual payouts may range from 0% to 200% of target. The amount reflected in the table equals the target amount. Once the 2018-2020 performance period is complete, 100% of the final award vests on March 1, 2021.</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00548B"/>
        </w:rPr>
        <w:t>38</w:t>
      </w:r>
    </w:p>
    <w:p>
      <w:pPr>
        <w:sectPr>
          <w:pgSz w:w="11900" w:h="16838" w:orient="portrait"/>
          <w:cols w:equalWidth="0" w:num="1">
            <w:col w:w="11440"/>
          </w:cols>
          <w:pgMar w:left="240" w:top="459" w:right="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2018 O</w:t>
      </w:r>
      <w:r>
        <w:rPr>
          <w:rFonts w:ascii="Arial" w:cs="Arial" w:eastAsia="Arial" w:hAnsi="Arial"/>
          <w:sz w:val="15"/>
          <w:szCs w:val="15"/>
          <w:b w:val="1"/>
          <w:bCs w:val="1"/>
          <w:color w:val="00548B"/>
        </w:rPr>
        <w:t>PTION</w:t>
      </w:r>
      <w:r>
        <w:rPr>
          <w:rFonts w:ascii="Arial" w:cs="Arial" w:eastAsia="Arial" w:hAnsi="Arial"/>
          <w:sz w:val="18"/>
          <w:szCs w:val="18"/>
          <w:b w:val="1"/>
          <w:bCs w:val="1"/>
          <w:color w:val="00548B"/>
        </w:rPr>
        <w:t xml:space="preserve"> E</w:t>
      </w:r>
      <w:r>
        <w:rPr>
          <w:rFonts w:ascii="Arial" w:cs="Arial" w:eastAsia="Arial" w:hAnsi="Arial"/>
          <w:sz w:val="15"/>
          <w:szCs w:val="15"/>
          <w:b w:val="1"/>
          <w:bCs w:val="1"/>
          <w:color w:val="00548B"/>
        </w:rPr>
        <w:t>XERCISES AND</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TOCK</w:t>
      </w:r>
      <w:r>
        <w:rPr>
          <w:rFonts w:ascii="Arial" w:cs="Arial" w:eastAsia="Arial" w:hAnsi="Arial"/>
          <w:sz w:val="18"/>
          <w:szCs w:val="18"/>
          <w:b w:val="1"/>
          <w:bCs w:val="1"/>
          <w:color w:val="00548B"/>
        </w:rPr>
        <w:t xml:space="preserve"> V</w:t>
      </w:r>
      <w:r>
        <w:rPr>
          <w:rFonts w:ascii="Arial" w:cs="Arial" w:eastAsia="Arial" w:hAnsi="Arial"/>
          <w:sz w:val="15"/>
          <w:szCs w:val="15"/>
          <w:b w:val="1"/>
          <w:bCs w:val="1"/>
          <w:color w:val="00548B"/>
        </w:rPr>
        <w:t>ESTED</w:t>
      </w:r>
    </w:p>
    <w:p>
      <w:pPr>
        <w:spacing w:after="0" w:line="20"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The following table sets forth certain information concerning stock option exercises and restricted stock vested during 2018 for each named executive officer.</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80" w:type="dxa"/>
            <w:vAlign w:val="bottom"/>
            <w:shd w:val="clear" w:color="auto" w:fill="00548B"/>
          </w:tcPr>
          <w:p>
            <w:pPr>
              <w:spacing w:after="0"/>
              <w:rPr>
                <w:sz w:val="14"/>
                <w:szCs w:val="14"/>
                <w:color w:val="auto"/>
              </w:rPr>
            </w:pPr>
          </w:p>
        </w:tc>
        <w:tc>
          <w:tcPr>
            <w:tcW w:w="4120" w:type="dxa"/>
            <w:vAlign w:val="bottom"/>
            <w:gridSpan w:val="2"/>
            <w:shd w:val="clear" w:color="auto" w:fill="00548B"/>
          </w:tcPr>
          <w:p>
            <w:pPr>
              <w:ind w:left="1180"/>
              <w:spacing w:after="0"/>
              <w:rPr>
                <w:sz w:val="20"/>
                <w:szCs w:val="20"/>
                <w:color w:val="auto"/>
              </w:rPr>
            </w:pPr>
            <w:r>
              <w:rPr>
                <w:rFonts w:ascii="Arial" w:cs="Arial" w:eastAsia="Arial" w:hAnsi="Arial"/>
                <w:sz w:val="14"/>
                <w:szCs w:val="14"/>
                <w:b w:val="1"/>
                <w:bCs w:val="1"/>
                <w:color w:val="D8D8D8"/>
              </w:rPr>
              <w:t>Option Exercises</w:t>
            </w:r>
          </w:p>
        </w:tc>
        <w:tc>
          <w:tcPr>
            <w:tcW w:w="2520" w:type="dxa"/>
            <w:vAlign w:val="bottom"/>
            <w:shd w:val="clear" w:color="auto" w:fill="00548B"/>
          </w:tcPr>
          <w:p>
            <w:pPr>
              <w:jc w:val="right"/>
              <w:spacing w:after="0"/>
              <w:rPr>
                <w:sz w:val="20"/>
                <w:szCs w:val="20"/>
                <w:color w:val="auto"/>
              </w:rPr>
            </w:pPr>
            <w:r>
              <w:rPr>
                <w:rFonts w:ascii="Arial" w:cs="Arial" w:eastAsia="Arial" w:hAnsi="Arial"/>
                <w:sz w:val="14"/>
                <w:szCs w:val="14"/>
                <w:b w:val="1"/>
                <w:bCs w:val="1"/>
                <w:color w:val="D8D8D8"/>
              </w:rPr>
              <w:t>Stock Awards</w:t>
            </w:r>
          </w:p>
        </w:tc>
        <w:tc>
          <w:tcPr>
            <w:tcW w:w="1600" w:type="dxa"/>
            <w:vAlign w:val="bottom"/>
            <w:shd w:val="clear" w:color="auto" w:fill="00548B"/>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780" w:type="dxa"/>
            <w:vAlign w:val="bottom"/>
            <w:shd w:val="clear" w:color="auto" w:fill="00548B"/>
          </w:tcPr>
          <w:p>
            <w:pPr>
              <w:spacing w:after="0"/>
              <w:rPr>
                <w:sz w:val="14"/>
                <w:szCs w:val="14"/>
                <w:color w:val="auto"/>
              </w:rPr>
            </w:pPr>
          </w:p>
        </w:tc>
        <w:tc>
          <w:tcPr>
            <w:tcW w:w="1740" w:type="dxa"/>
            <w:vAlign w:val="bottom"/>
            <w:shd w:val="clear" w:color="auto" w:fill="00548B"/>
          </w:tcPr>
          <w:p>
            <w:pPr>
              <w:jc w:val="center"/>
              <w:ind w:left="43"/>
              <w:spacing w:after="0"/>
              <w:rPr>
                <w:sz w:val="20"/>
                <w:szCs w:val="20"/>
                <w:color w:val="auto"/>
              </w:rPr>
            </w:pPr>
            <w:r>
              <w:rPr>
                <w:rFonts w:ascii="Arial" w:cs="Arial" w:eastAsia="Arial" w:hAnsi="Arial"/>
                <w:sz w:val="14"/>
                <w:szCs w:val="14"/>
                <w:b w:val="1"/>
                <w:bCs w:val="1"/>
                <w:color w:val="D8D8D8"/>
              </w:rPr>
              <w:t>Shares Acquired</w:t>
            </w:r>
          </w:p>
        </w:tc>
        <w:tc>
          <w:tcPr>
            <w:tcW w:w="2380" w:type="dxa"/>
            <w:vAlign w:val="bottom"/>
            <w:shd w:val="clear" w:color="auto" w:fill="00548B"/>
          </w:tcPr>
          <w:p>
            <w:pPr>
              <w:jc w:val="center"/>
              <w:ind w:right="622"/>
              <w:spacing w:after="0"/>
              <w:rPr>
                <w:sz w:val="20"/>
                <w:szCs w:val="20"/>
                <w:color w:val="auto"/>
              </w:rPr>
            </w:pPr>
            <w:r>
              <w:rPr>
                <w:rFonts w:ascii="Arial" w:cs="Arial" w:eastAsia="Arial" w:hAnsi="Arial"/>
                <w:sz w:val="14"/>
                <w:szCs w:val="14"/>
                <w:b w:val="1"/>
                <w:bCs w:val="1"/>
                <w:color w:val="D8D8D8"/>
              </w:rPr>
              <w:t>Value Realized</w:t>
            </w:r>
          </w:p>
        </w:tc>
        <w:tc>
          <w:tcPr>
            <w:tcW w:w="2520" w:type="dxa"/>
            <w:vAlign w:val="bottom"/>
            <w:shd w:val="clear" w:color="auto" w:fill="00548B"/>
          </w:tcPr>
          <w:p>
            <w:pPr>
              <w:jc w:val="right"/>
              <w:ind w:right="843"/>
              <w:spacing w:after="0"/>
              <w:rPr>
                <w:sz w:val="20"/>
                <w:szCs w:val="20"/>
                <w:color w:val="auto"/>
              </w:rPr>
            </w:pPr>
            <w:r>
              <w:rPr>
                <w:rFonts w:ascii="Arial" w:cs="Arial" w:eastAsia="Arial" w:hAnsi="Arial"/>
                <w:sz w:val="14"/>
                <w:szCs w:val="14"/>
                <w:b w:val="1"/>
                <w:bCs w:val="1"/>
                <w:color w:val="D8D8D8"/>
              </w:rPr>
              <w:t>Shares Acquired</w:t>
            </w:r>
          </w:p>
        </w:tc>
        <w:tc>
          <w:tcPr>
            <w:tcW w:w="1600" w:type="dxa"/>
            <w:vAlign w:val="bottom"/>
            <w:shd w:val="clear" w:color="auto" w:fill="00548B"/>
          </w:tcPr>
          <w:p>
            <w:pPr>
              <w:jc w:val="right"/>
              <w:ind w:right="462"/>
              <w:spacing w:after="0"/>
              <w:rPr>
                <w:sz w:val="20"/>
                <w:szCs w:val="20"/>
                <w:color w:val="auto"/>
              </w:rPr>
            </w:pPr>
            <w:r>
              <w:rPr>
                <w:rFonts w:ascii="Arial" w:cs="Arial" w:eastAsia="Arial" w:hAnsi="Arial"/>
                <w:sz w:val="14"/>
                <w:szCs w:val="14"/>
                <w:b w:val="1"/>
                <w:bCs w:val="1"/>
                <w:color w:val="D8D8D8"/>
              </w:rPr>
              <w:t>Value Realized</w:t>
            </w:r>
          </w:p>
        </w:tc>
      </w:tr>
      <w:tr>
        <w:trPr>
          <w:trHeight w:val="175"/>
        </w:trPr>
        <w:tc>
          <w:tcPr>
            <w:tcW w:w="20" w:type="dxa"/>
            <w:vAlign w:val="bottom"/>
          </w:tcPr>
          <w:p>
            <w:pPr>
              <w:spacing w:after="0"/>
              <w:rPr>
                <w:sz w:val="15"/>
                <w:szCs w:val="15"/>
                <w:color w:val="auto"/>
              </w:rPr>
            </w:pPr>
          </w:p>
        </w:tc>
        <w:tc>
          <w:tcPr>
            <w:tcW w:w="27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1740" w:type="dxa"/>
            <w:vAlign w:val="bottom"/>
            <w:shd w:val="clear" w:color="auto" w:fill="00548B"/>
          </w:tcPr>
          <w:p>
            <w:pPr>
              <w:jc w:val="center"/>
              <w:ind w:left="63"/>
              <w:spacing w:after="0"/>
              <w:rPr>
                <w:sz w:val="20"/>
                <w:szCs w:val="20"/>
                <w:color w:val="auto"/>
              </w:rPr>
            </w:pPr>
            <w:r>
              <w:rPr>
                <w:rFonts w:ascii="Arial" w:cs="Arial" w:eastAsia="Arial" w:hAnsi="Arial"/>
                <w:sz w:val="14"/>
                <w:szCs w:val="14"/>
                <w:b w:val="1"/>
                <w:bCs w:val="1"/>
                <w:color w:val="D8D8D8"/>
              </w:rPr>
              <w:t>on Exercise (#)</w:t>
            </w:r>
          </w:p>
        </w:tc>
        <w:tc>
          <w:tcPr>
            <w:tcW w:w="2380" w:type="dxa"/>
            <w:vAlign w:val="bottom"/>
            <w:shd w:val="clear" w:color="auto" w:fill="00548B"/>
          </w:tcPr>
          <w:p>
            <w:pPr>
              <w:jc w:val="center"/>
              <w:ind w:right="622"/>
              <w:spacing w:after="0"/>
              <w:rPr>
                <w:sz w:val="20"/>
                <w:szCs w:val="20"/>
                <w:color w:val="auto"/>
              </w:rPr>
            </w:pPr>
            <w:r>
              <w:rPr>
                <w:rFonts w:ascii="Arial" w:cs="Arial" w:eastAsia="Arial" w:hAnsi="Arial"/>
                <w:sz w:val="14"/>
                <w:szCs w:val="14"/>
                <w:b w:val="1"/>
                <w:bCs w:val="1"/>
                <w:color w:val="D8D8D8"/>
              </w:rPr>
              <w:t>on Exercise ($)(1)</w:t>
            </w:r>
          </w:p>
        </w:tc>
        <w:tc>
          <w:tcPr>
            <w:tcW w:w="2520" w:type="dxa"/>
            <w:vAlign w:val="bottom"/>
            <w:shd w:val="clear" w:color="auto" w:fill="00548B"/>
          </w:tcPr>
          <w:p>
            <w:pPr>
              <w:jc w:val="right"/>
              <w:ind w:right="843"/>
              <w:spacing w:after="0"/>
              <w:rPr>
                <w:sz w:val="20"/>
                <w:szCs w:val="20"/>
                <w:color w:val="auto"/>
              </w:rPr>
            </w:pPr>
            <w:r>
              <w:rPr>
                <w:rFonts w:ascii="Arial" w:cs="Arial" w:eastAsia="Arial" w:hAnsi="Arial"/>
                <w:sz w:val="14"/>
                <w:szCs w:val="14"/>
                <w:b w:val="1"/>
                <w:bCs w:val="1"/>
                <w:color w:val="D8D8D8"/>
              </w:rPr>
              <w:t>on Vesting (#)(2)</w:t>
            </w:r>
          </w:p>
        </w:tc>
        <w:tc>
          <w:tcPr>
            <w:tcW w:w="1600" w:type="dxa"/>
            <w:vAlign w:val="bottom"/>
            <w:shd w:val="clear" w:color="auto" w:fill="00548B"/>
          </w:tcPr>
          <w:p>
            <w:pPr>
              <w:jc w:val="right"/>
              <w:ind w:right="402"/>
              <w:spacing w:after="0"/>
              <w:rPr>
                <w:sz w:val="20"/>
                <w:szCs w:val="20"/>
                <w:color w:val="auto"/>
              </w:rPr>
            </w:pPr>
            <w:r>
              <w:rPr>
                <w:rFonts w:ascii="Arial" w:cs="Arial" w:eastAsia="Arial" w:hAnsi="Arial"/>
                <w:sz w:val="14"/>
                <w:szCs w:val="14"/>
                <w:b w:val="1"/>
                <w:bCs w:val="1"/>
                <w:color w:val="D8D8D8"/>
              </w:rPr>
              <w:t>on Vesting ($)(3)</w:t>
            </w:r>
          </w:p>
        </w:tc>
      </w:tr>
      <w:tr>
        <w:trPr>
          <w:trHeight w:val="189"/>
        </w:trPr>
        <w:tc>
          <w:tcPr>
            <w:tcW w:w="280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color w:val="auto"/>
              </w:rPr>
              <w:t>James H. Roth</w:t>
            </w:r>
          </w:p>
        </w:tc>
        <w:tc>
          <w:tcPr>
            <w:tcW w:w="1740" w:type="dxa"/>
            <w:vAlign w:val="bottom"/>
            <w:tcBorders>
              <w:bottom w:val="single" w:sz="8" w:color="999999"/>
            </w:tcBorders>
          </w:tcPr>
          <w:p>
            <w:pPr>
              <w:jc w:val="center"/>
              <w:ind w:left="63"/>
              <w:spacing w:after="0"/>
              <w:rPr>
                <w:sz w:val="20"/>
                <w:szCs w:val="20"/>
                <w:color w:val="auto"/>
              </w:rPr>
            </w:pPr>
            <w:r>
              <w:rPr>
                <w:rFonts w:ascii="Arial" w:cs="Arial" w:eastAsia="Arial" w:hAnsi="Arial"/>
                <w:sz w:val="16"/>
                <w:szCs w:val="16"/>
                <w:color w:val="auto"/>
                <w:w w:val="98"/>
              </w:rPr>
              <w:t>40,000</w:t>
            </w:r>
          </w:p>
        </w:tc>
        <w:tc>
          <w:tcPr>
            <w:tcW w:w="2380" w:type="dxa"/>
            <w:vAlign w:val="bottom"/>
            <w:tcBorders>
              <w:bottom w:val="single" w:sz="8" w:color="999999"/>
            </w:tcBorders>
          </w:tcPr>
          <w:p>
            <w:pPr>
              <w:jc w:val="center"/>
              <w:ind w:right="642"/>
              <w:spacing w:after="0"/>
              <w:rPr>
                <w:sz w:val="20"/>
                <w:szCs w:val="20"/>
                <w:color w:val="auto"/>
              </w:rPr>
            </w:pPr>
            <w:r>
              <w:rPr>
                <w:rFonts w:ascii="Arial" w:cs="Arial" w:eastAsia="Arial" w:hAnsi="Arial"/>
                <w:sz w:val="16"/>
                <w:szCs w:val="16"/>
                <w:color w:val="auto"/>
              </w:rPr>
              <w:t>820,126</w:t>
            </w:r>
          </w:p>
        </w:tc>
        <w:tc>
          <w:tcPr>
            <w:tcW w:w="2520" w:type="dxa"/>
            <w:vAlign w:val="bottom"/>
            <w:tcBorders>
              <w:bottom w:val="single" w:sz="8" w:color="999999"/>
            </w:tcBorders>
          </w:tcPr>
          <w:p>
            <w:pPr>
              <w:jc w:val="right"/>
              <w:ind w:right="843"/>
              <w:spacing w:after="0"/>
              <w:rPr>
                <w:sz w:val="20"/>
                <w:szCs w:val="20"/>
                <w:color w:val="auto"/>
              </w:rPr>
            </w:pPr>
            <w:r>
              <w:rPr>
                <w:rFonts w:ascii="Arial" w:cs="Arial" w:eastAsia="Arial" w:hAnsi="Arial"/>
                <w:sz w:val="16"/>
                <w:szCs w:val="16"/>
                <w:color w:val="auto"/>
              </w:rPr>
              <w:t>13,912</w:t>
            </w:r>
          </w:p>
        </w:tc>
        <w:tc>
          <w:tcPr>
            <w:tcW w:w="1600" w:type="dxa"/>
            <w:vAlign w:val="bottom"/>
            <w:tcBorders>
              <w:bottom w:val="single" w:sz="8" w:color="999999"/>
            </w:tcBorders>
          </w:tcPr>
          <w:p>
            <w:pPr>
              <w:jc w:val="right"/>
              <w:ind w:right="402"/>
              <w:spacing w:after="0"/>
              <w:rPr>
                <w:sz w:val="20"/>
                <w:szCs w:val="20"/>
                <w:color w:val="auto"/>
              </w:rPr>
            </w:pPr>
            <w:r>
              <w:rPr>
                <w:rFonts w:ascii="Arial" w:cs="Arial" w:eastAsia="Arial" w:hAnsi="Arial"/>
                <w:sz w:val="16"/>
                <w:szCs w:val="16"/>
                <w:color w:val="auto"/>
              </w:rPr>
              <w:t>497,812</w:t>
            </w:r>
          </w:p>
        </w:tc>
      </w:tr>
      <w:tr>
        <w:trPr>
          <w:trHeight w:val="183"/>
        </w:trPr>
        <w:tc>
          <w:tcPr>
            <w:tcW w:w="280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C. Mark Hussey</w:t>
            </w:r>
          </w:p>
        </w:tc>
        <w:tc>
          <w:tcPr>
            <w:tcW w:w="1740" w:type="dxa"/>
            <w:vAlign w:val="bottom"/>
            <w:tcBorders>
              <w:bottom w:val="single" w:sz="8" w:color="999999"/>
            </w:tcBorders>
          </w:tcPr>
          <w:p>
            <w:pPr>
              <w:jc w:val="center"/>
              <w:ind w:left="63"/>
              <w:spacing w:after="0" w:line="183" w:lineRule="exact"/>
              <w:rPr>
                <w:sz w:val="20"/>
                <w:szCs w:val="20"/>
                <w:color w:val="auto"/>
              </w:rPr>
            </w:pPr>
            <w:r>
              <w:rPr>
                <w:rFonts w:ascii="Arial" w:cs="Arial" w:eastAsia="Arial" w:hAnsi="Arial"/>
                <w:sz w:val="16"/>
                <w:szCs w:val="16"/>
                <w:color w:val="auto"/>
                <w:w w:val="89"/>
              </w:rPr>
              <w:t>0</w:t>
            </w:r>
          </w:p>
        </w:tc>
        <w:tc>
          <w:tcPr>
            <w:tcW w:w="2380" w:type="dxa"/>
            <w:vAlign w:val="bottom"/>
            <w:tcBorders>
              <w:bottom w:val="single" w:sz="8" w:color="999999"/>
            </w:tcBorders>
          </w:tcPr>
          <w:p>
            <w:pPr>
              <w:jc w:val="center"/>
              <w:ind w:right="642"/>
              <w:spacing w:after="0" w:line="183" w:lineRule="exact"/>
              <w:rPr>
                <w:sz w:val="20"/>
                <w:szCs w:val="20"/>
                <w:color w:val="auto"/>
              </w:rPr>
            </w:pPr>
            <w:r>
              <w:rPr>
                <w:rFonts w:ascii="Arial" w:cs="Arial" w:eastAsia="Arial" w:hAnsi="Arial"/>
                <w:sz w:val="16"/>
                <w:szCs w:val="16"/>
                <w:color w:val="auto"/>
              </w:rPr>
              <w:t>0</w:t>
            </w:r>
          </w:p>
        </w:tc>
        <w:tc>
          <w:tcPr>
            <w:tcW w:w="2520" w:type="dxa"/>
            <w:vAlign w:val="bottom"/>
            <w:tcBorders>
              <w:bottom w:val="single" w:sz="8" w:color="999999"/>
            </w:tcBorders>
          </w:tcPr>
          <w:p>
            <w:pPr>
              <w:jc w:val="right"/>
              <w:ind w:right="843"/>
              <w:spacing w:after="0" w:line="183" w:lineRule="exact"/>
              <w:rPr>
                <w:sz w:val="20"/>
                <w:szCs w:val="20"/>
                <w:color w:val="auto"/>
              </w:rPr>
            </w:pPr>
            <w:r>
              <w:rPr>
                <w:rFonts w:ascii="Arial" w:cs="Arial" w:eastAsia="Arial" w:hAnsi="Arial"/>
                <w:sz w:val="16"/>
                <w:szCs w:val="16"/>
                <w:color w:val="auto"/>
              </w:rPr>
              <w:t>14,194</w:t>
            </w:r>
          </w:p>
        </w:tc>
        <w:tc>
          <w:tcPr>
            <w:tcW w:w="1600" w:type="dxa"/>
            <w:vAlign w:val="bottom"/>
            <w:tcBorders>
              <w:bottom w:val="single" w:sz="8" w:color="999999"/>
            </w:tcBorders>
          </w:tcPr>
          <w:p>
            <w:pPr>
              <w:jc w:val="right"/>
              <w:ind w:right="402"/>
              <w:spacing w:after="0" w:line="183" w:lineRule="exact"/>
              <w:rPr>
                <w:sz w:val="20"/>
                <w:szCs w:val="20"/>
                <w:color w:val="auto"/>
              </w:rPr>
            </w:pPr>
            <w:r>
              <w:rPr>
                <w:rFonts w:ascii="Arial" w:cs="Arial" w:eastAsia="Arial" w:hAnsi="Arial"/>
                <w:sz w:val="16"/>
                <w:szCs w:val="16"/>
                <w:color w:val="auto"/>
              </w:rPr>
              <w:t>602,636</w:t>
            </w:r>
          </w:p>
        </w:tc>
      </w:tr>
      <w:tr>
        <w:trPr>
          <w:trHeight w:val="183"/>
        </w:trPr>
        <w:tc>
          <w:tcPr>
            <w:tcW w:w="280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John D. Kelly</w:t>
            </w:r>
          </w:p>
        </w:tc>
        <w:tc>
          <w:tcPr>
            <w:tcW w:w="1740" w:type="dxa"/>
            <w:vAlign w:val="bottom"/>
            <w:tcBorders>
              <w:bottom w:val="single" w:sz="8" w:color="999999"/>
            </w:tcBorders>
          </w:tcPr>
          <w:p>
            <w:pPr>
              <w:jc w:val="center"/>
              <w:ind w:left="63"/>
              <w:spacing w:after="0" w:line="183" w:lineRule="exact"/>
              <w:rPr>
                <w:sz w:val="20"/>
                <w:szCs w:val="20"/>
                <w:color w:val="auto"/>
              </w:rPr>
            </w:pPr>
            <w:r>
              <w:rPr>
                <w:rFonts w:ascii="Arial" w:cs="Arial" w:eastAsia="Arial" w:hAnsi="Arial"/>
                <w:sz w:val="16"/>
                <w:szCs w:val="16"/>
                <w:color w:val="auto"/>
                <w:w w:val="89"/>
              </w:rPr>
              <w:t>0</w:t>
            </w:r>
          </w:p>
        </w:tc>
        <w:tc>
          <w:tcPr>
            <w:tcW w:w="2380" w:type="dxa"/>
            <w:vAlign w:val="bottom"/>
            <w:tcBorders>
              <w:bottom w:val="single" w:sz="8" w:color="999999"/>
            </w:tcBorders>
          </w:tcPr>
          <w:p>
            <w:pPr>
              <w:jc w:val="center"/>
              <w:ind w:right="642"/>
              <w:spacing w:after="0" w:line="183" w:lineRule="exact"/>
              <w:rPr>
                <w:sz w:val="20"/>
                <w:szCs w:val="20"/>
                <w:color w:val="auto"/>
              </w:rPr>
            </w:pPr>
            <w:r>
              <w:rPr>
                <w:rFonts w:ascii="Arial" w:cs="Arial" w:eastAsia="Arial" w:hAnsi="Arial"/>
                <w:sz w:val="16"/>
                <w:szCs w:val="16"/>
                <w:color w:val="auto"/>
              </w:rPr>
              <w:t>0</w:t>
            </w:r>
          </w:p>
        </w:tc>
        <w:tc>
          <w:tcPr>
            <w:tcW w:w="2520" w:type="dxa"/>
            <w:vAlign w:val="bottom"/>
            <w:tcBorders>
              <w:bottom w:val="single" w:sz="8" w:color="999999"/>
            </w:tcBorders>
          </w:tcPr>
          <w:p>
            <w:pPr>
              <w:jc w:val="right"/>
              <w:ind w:right="843"/>
              <w:spacing w:after="0" w:line="183" w:lineRule="exact"/>
              <w:rPr>
                <w:sz w:val="20"/>
                <w:szCs w:val="20"/>
                <w:color w:val="auto"/>
              </w:rPr>
            </w:pPr>
            <w:r>
              <w:rPr>
                <w:rFonts w:ascii="Arial" w:cs="Arial" w:eastAsia="Arial" w:hAnsi="Arial"/>
                <w:sz w:val="16"/>
                <w:szCs w:val="16"/>
                <w:color w:val="auto"/>
              </w:rPr>
              <w:t>1,265</w:t>
            </w:r>
          </w:p>
        </w:tc>
        <w:tc>
          <w:tcPr>
            <w:tcW w:w="1600" w:type="dxa"/>
            <w:vAlign w:val="bottom"/>
            <w:tcBorders>
              <w:bottom w:val="single" w:sz="8" w:color="999999"/>
            </w:tcBorders>
          </w:tcPr>
          <w:p>
            <w:pPr>
              <w:jc w:val="right"/>
              <w:ind w:right="402"/>
              <w:spacing w:after="0" w:line="183" w:lineRule="exact"/>
              <w:rPr>
                <w:sz w:val="20"/>
                <w:szCs w:val="20"/>
                <w:color w:val="auto"/>
              </w:rPr>
            </w:pPr>
            <w:r>
              <w:rPr>
                <w:rFonts w:ascii="Arial" w:cs="Arial" w:eastAsia="Arial" w:hAnsi="Arial"/>
                <w:sz w:val="16"/>
                <w:szCs w:val="16"/>
                <w:color w:val="auto"/>
              </w:rPr>
              <w:t>45,585</w:t>
            </w:r>
          </w:p>
        </w:tc>
      </w:tr>
      <w:tr>
        <w:trPr>
          <w:trHeight w:val="183"/>
        </w:trPr>
        <w:tc>
          <w:tcPr>
            <w:tcW w:w="2800" w:type="dxa"/>
            <w:vAlign w:val="bottom"/>
            <w:tcBorders>
              <w:bottom w:val="single" w:sz="8" w:color="00548B"/>
            </w:tcBorders>
            <w:gridSpan w:val="2"/>
          </w:tcPr>
          <w:p>
            <w:pPr>
              <w:spacing w:after="0" w:line="183" w:lineRule="exact"/>
              <w:rPr>
                <w:sz w:val="20"/>
                <w:szCs w:val="20"/>
                <w:color w:val="auto"/>
              </w:rPr>
            </w:pPr>
            <w:r>
              <w:rPr>
                <w:rFonts w:ascii="Arial" w:cs="Arial" w:eastAsia="Arial" w:hAnsi="Arial"/>
                <w:sz w:val="16"/>
                <w:szCs w:val="16"/>
                <w:color w:val="auto"/>
              </w:rPr>
              <w:t>Diane E. Ratekin</w:t>
            </w:r>
          </w:p>
        </w:tc>
        <w:tc>
          <w:tcPr>
            <w:tcW w:w="1740" w:type="dxa"/>
            <w:vAlign w:val="bottom"/>
            <w:tcBorders>
              <w:bottom w:val="single" w:sz="8" w:color="00548B"/>
            </w:tcBorders>
          </w:tcPr>
          <w:p>
            <w:pPr>
              <w:jc w:val="center"/>
              <w:ind w:left="63"/>
              <w:spacing w:after="0" w:line="183" w:lineRule="exact"/>
              <w:rPr>
                <w:sz w:val="20"/>
                <w:szCs w:val="20"/>
                <w:color w:val="auto"/>
              </w:rPr>
            </w:pPr>
            <w:r>
              <w:rPr>
                <w:rFonts w:ascii="Arial" w:cs="Arial" w:eastAsia="Arial" w:hAnsi="Arial"/>
                <w:sz w:val="16"/>
                <w:szCs w:val="16"/>
                <w:color w:val="auto"/>
                <w:w w:val="89"/>
              </w:rPr>
              <w:t>0</w:t>
            </w:r>
          </w:p>
        </w:tc>
        <w:tc>
          <w:tcPr>
            <w:tcW w:w="2380" w:type="dxa"/>
            <w:vAlign w:val="bottom"/>
            <w:tcBorders>
              <w:bottom w:val="single" w:sz="8" w:color="00548B"/>
            </w:tcBorders>
          </w:tcPr>
          <w:p>
            <w:pPr>
              <w:jc w:val="center"/>
              <w:ind w:right="642"/>
              <w:spacing w:after="0" w:line="183" w:lineRule="exact"/>
              <w:rPr>
                <w:sz w:val="20"/>
                <w:szCs w:val="20"/>
                <w:color w:val="auto"/>
              </w:rPr>
            </w:pPr>
            <w:r>
              <w:rPr>
                <w:rFonts w:ascii="Arial" w:cs="Arial" w:eastAsia="Arial" w:hAnsi="Arial"/>
                <w:sz w:val="16"/>
                <w:szCs w:val="16"/>
                <w:color w:val="auto"/>
              </w:rPr>
              <w:t>0</w:t>
            </w:r>
          </w:p>
        </w:tc>
        <w:tc>
          <w:tcPr>
            <w:tcW w:w="2520" w:type="dxa"/>
            <w:vAlign w:val="bottom"/>
            <w:tcBorders>
              <w:bottom w:val="single" w:sz="8" w:color="00548B"/>
            </w:tcBorders>
          </w:tcPr>
          <w:p>
            <w:pPr>
              <w:jc w:val="right"/>
              <w:ind w:right="843"/>
              <w:spacing w:after="0" w:line="183" w:lineRule="exact"/>
              <w:rPr>
                <w:sz w:val="20"/>
                <w:szCs w:val="20"/>
                <w:color w:val="auto"/>
              </w:rPr>
            </w:pPr>
            <w:r>
              <w:rPr>
                <w:rFonts w:ascii="Arial" w:cs="Arial" w:eastAsia="Arial" w:hAnsi="Arial"/>
                <w:sz w:val="16"/>
                <w:szCs w:val="16"/>
                <w:color w:val="auto"/>
              </w:rPr>
              <w:t>2,477</w:t>
            </w:r>
          </w:p>
        </w:tc>
        <w:tc>
          <w:tcPr>
            <w:tcW w:w="1600" w:type="dxa"/>
            <w:vAlign w:val="bottom"/>
            <w:tcBorders>
              <w:bottom w:val="single" w:sz="8" w:color="00548B"/>
            </w:tcBorders>
          </w:tcPr>
          <w:p>
            <w:pPr>
              <w:jc w:val="right"/>
              <w:ind w:right="402"/>
              <w:spacing w:after="0" w:line="183" w:lineRule="exact"/>
              <w:rPr>
                <w:sz w:val="20"/>
                <w:szCs w:val="20"/>
                <w:color w:val="auto"/>
              </w:rPr>
            </w:pPr>
            <w:r>
              <w:rPr>
                <w:rFonts w:ascii="Arial" w:cs="Arial" w:eastAsia="Arial" w:hAnsi="Arial"/>
                <w:sz w:val="16"/>
                <w:szCs w:val="16"/>
                <w:color w:val="auto"/>
              </w:rPr>
              <w:t>88,549</w:t>
            </w:r>
          </w:p>
        </w:tc>
      </w:tr>
    </w:tbl>
    <w:p>
      <w:pPr>
        <w:spacing w:after="0" w:line="218" w:lineRule="exact"/>
        <w:rPr>
          <w:sz w:val="20"/>
          <w:szCs w:val="20"/>
          <w:color w:val="auto"/>
        </w:rPr>
      </w:pPr>
    </w:p>
    <w:p>
      <w:pPr>
        <w:ind w:left="740" w:right="20" w:hanging="536"/>
        <w:spacing w:after="0" w:line="246" w:lineRule="auto"/>
        <w:tabs>
          <w:tab w:leader="none" w:pos="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value realized on exercise equals the market value of Huron stock measured at the time of exercise minus the exercise price of the options multiplied by the number of options exercised.</w:t>
      </w:r>
    </w:p>
    <w:p>
      <w:pPr>
        <w:ind w:left="740" w:hanging="536"/>
        <w:spacing w:after="0"/>
        <w:tabs>
          <w:tab w:leader="none" w:pos="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restricted stock that vested in 2018.</w:t>
      </w:r>
    </w:p>
    <w:p>
      <w:pPr>
        <w:spacing w:after="0" w:line="5" w:lineRule="exact"/>
        <w:rPr>
          <w:rFonts w:ascii="Arial" w:cs="Arial" w:eastAsia="Arial" w:hAnsi="Arial"/>
          <w:sz w:val="16"/>
          <w:szCs w:val="16"/>
          <w:color w:val="auto"/>
        </w:rPr>
      </w:pPr>
    </w:p>
    <w:p>
      <w:pPr>
        <w:ind w:left="740" w:right="20" w:hanging="536"/>
        <w:spacing w:after="0" w:line="260" w:lineRule="auto"/>
        <w:tabs>
          <w:tab w:leader="none" w:pos="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value realized on vesting equals the market value of Huron stock measured as the closing price of the stock on the most recent business day preceding the vesting date multiplied by the number of shares received on vesting.</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2018 N</w:t>
      </w:r>
      <w:r>
        <w:rPr>
          <w:rFonts w:ascii="Arial" w:cs="Arial" w:eastAsia="Arial" w:hAnsi="Arial"/>
          <w:sz w:val="15"/>
          <w:szCs w:val="15"/>
          <w:b w:val="1"/>
          <w:bCs w:val="1"/>
          <w:color w:val="00548B"/>
        </w:rPr>
        <w:t>ONQUALIFIED</w:t>
      </w:r>
      <w:r>
        <w:rPr>
          <w:rFonts w:ascii="Arial" w:cs="Arial" w:eastAsia="Arial" w:hAnsi="Arial"/>
          <w:sz w:val="18"/>
          <w:szCs w:val="18"/>
          <w:b w:val="1"/>
          <w:bCs w:val="1"/>
          <w:color w:val="00548B"/>
        </w:rPr>
        <w:t xml:space="preserve"> D</w:t>
      </w:r>
      <w:r>
        <w:rPr>
          <w:rFonts w:ascii="Arial" w:cs="Arial" w:eastAsia="Arial" w:hAnsi="Arial"/>
          <w:sz w:val="15"/>
          <w:szCs w:val="15"/>
          <w:b w:val="1"/>
          <w:bCs w:val="1"/>
          <w:color w:val="00548B"/>
        </w:rPr>
        <w:t>EFERRED</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OMPENSATION</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shows the deferred compensation activity for the named executive officers in 2018.</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shd w:val="clear" w:color="auto" w:fill="00548B"/>
          </w:tcPr>
          <w:p>
            <w:pPr>
              <w:spacing w:after="0"/>
              <w:rPr>
                <w:sz w:val="14"/>
                <w:szCs w:val="14"/>
                <w:color w:val="auto"/>
              </w:rPr>
            </w:pPr>
          </w:p>
        </w:tc>
        <w:tc>
          <w:tcPr>
            <w:tcW w:w="2540" w:type="dxa"/>
            <w:vAlign w:val="bottom"/>
            <w:shd w:val="clear" w:color="auto" w:fill="00548B"/>
          </w:tcPr>
          <w:p>
            <w:pPr>
              <w:spacing w:after="0"/>
              <w:rPr>
                <w:sz w:val="14"/>
                <w:szCs w:val="14"/>
                <w:color w:val="auto"/>
              </w:rPr>
            </w:pPr>
          </w:p>
        </w:tc>
        <w:tc>
          <w:tcPr>
            <w:tcW w:w="1320" w:type="dxa"/>
            <w:vAlign w:val="bottom"/>
            <w:shd w:val="clear" w:color="auto" w:fill="00548B"/>
          </w:tcPr>
          <w:p>
            <w:pPr>
              <w:spacing w:after="0"/>
              <w:rPr>
                <w:sz w:val="14"/>
                <w:szCs w:val="14"/>
                <w:color w:val="auto"/>
              </w:rPr>
            </w:pPr>
          </w:p>
        </w:tc>
        <w:tc>
          <w:tcPr>
            <w:tcW w:w="1480" w:type="dxa"/>
            <w:vAlign w:val="bottom"/>
            <w:shd w:val="clear" w:color="auto" w:fill="00548B"/>
          </w:tcPr>
          <w:p>
            <w:pPr>
              <w:jc w:val="center"/>
              <w:ind w:right="123"/>
              <w:spacing w:after="0"/>
              <w:rPr>
                <w:sz w:val="20"/>
                <w:szCs w:val="20"/>
                <w:color w:val="auto"/>
              </w:rPr>
            </w:pPr>
            <w:r>
              <w:rPr>
                <w:rFonts w:ascii="Arial" w:cs="Arial" w:eastAsia="Arial" w:hAnsi="Arial"/>
                <w:sz w:val="14"/>
                <w:szCs w:val="14"/>
                <w:b w:val="1"/>
                <w:bCs w:val="1"/>
                <w:color w:val="D8D8D8"/>
              </w:rPr>
              <w:t>Aggregate</w:t>
            </w:r>
          </w:p>
        </w:tc>
        <w:tc>
          <w:tcPr>
            <w:tcW w:w="1280" w:type="dxa"/>
            <w:vAlign w:val="bottom"/>
            <w:shd w:val="clear" w:color="auto" w:fill="00548B"/>
          </w:tcPr>
          <w:p>
            <w:pPr>
              <w:jc w:val="right"/>
              <w:ind w:right="303"/>
              <w:spacing w:after="0"/>
              <w:rPr>
                <w:sz w:val="20"/>
                <w:szCs w:val="20"/>
                <w:color w:val="auto"/>
              </w:rPr>
            </w:pPr>
            <w:r>
              <w:rPr>
                <w:rFonts w:ascii="Arial" w:cs="Arial" w:eastAsia="Arial" w:hAnsi="Arial"/>
                <w:sz w:val="14"/>
                <w:szCs w:val="14"/>
                <w:b w:val="1"/>
                <w:bCs w:val="1"/>
                <w:color w:val="D8D8D8"/>
              </w:rPr>
              <w:t>Aggregate</w:t>
            </w:r>
          </w:p>
        </w:tc>
        <w:tc>
          <w:tcPr>
            <w:tcW w:w="1720" w:type="dxa"/>
            <w:vAlign w:val="bottom"/>
            <w:shd w:val="clear" w:color="auto" w:fill="00548B"/>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80" w:type="dxa"/>
            <w:vAlign w:val="bottom"/>
            <w:shd w:val="clear" w:color="auto" w:fill="00548B"/>
          </w:tcPr>
          <w:p>
            <w:pPr>
              <w:spacing w:after="0"/>
              <w:rPr>
                <w:sz w:val="14"/>
                <w:szCs w:val="14"/>
                <w:color w:val="auto"/>
              </w:rPr>
            </w:pPr>
          </w:p>
        </w:tc>
        <w:tc>
          <w:tcPr>
            <w:tcW w:w="2540" w:type="dxa"/>
            <w:vAlign w:val="bottom"/>
            <w:shd w:val="clear" w:color="auto" w:fill="00548B"/>
          </w:tcPr>
          <w:p>
            <w:pPr>
              <w:jc w:val="center"/>
              <w:ind w:left="1323"/>
              <w:spacing w:after="0"/>
              <w:rPr>
                <w:sz w:val="20"/>
                <w:szCs w:val="20"/>
                <w:color w:val="auto"/>
              </w:rPr>
            </w:pPr>
            <w:r>
              <w:rPr>
                <w:rFonts w:ascii="Arial" w:cs="Arial" w:eastAsia="Arial" w:hAnsi="Arial"/>
                <w:sz w:val="14"/>
                <w:szCs w:val="14"/>
                <w:b w:val="1"/>
                <w:bCs w:val="1"/>
                <w:color w:val="D8D8D8"/>
              </w:rPr>
              <w:t>Executive</w:t>
            </w:r>
          </w:p>
        </w:tc>
        <w:tc>
          <w:tcPr>
            <w:tcW w:w="1320" w:type="dxa"/>
            <w:vAlign w:val="bottom"/>
            <w:shd w:val="clear" w:color="auto" w:fill="00548B"/>
          </w:tcPr>
          <w:p>
            <w:pPr>
              <w:jc w:val="right"/>
              <w:ind w:right="343"/>
              <w:spacing w:after="0"/>
              <w:rPr>
                <w:sz w:val="20"/>
                <w:szCs w:val="20"/>
                <w:color w:val="auto"/>
              </w:rPr>
            </w:pPr>
            <w:r>
              <w:rPr>
                <w:rFonts w:ascii="Arial" w:cs="Arial" w:eastAsia="Arial" w:hAnsi="Arial"/>
                <w:sz w:val="14"/>
                <w:szCs w:val="14"/>
                <w:b w:val="1"/>
                <w:bCs w:val="1"/>
                <w:color w:val="D8D8D8"/>
              </w:rPr>
              <w:t>Company</w:t>
            </w:r>
          </w:p>
        </w:tc>
        <w:tc>
          <w:tcPr>
            <w:tcW w:w="1480" w:type="dxa"/>
            <w:vAlign w:val="bottom"/>
            <w:shd w:val="clear" w:color="auto" w:fill="00548B"/>
          </w:tcPr>
          <w:p>
            <w:pPr>
              <w:jc w:val="center"/>
              <w:ind w:right="143"/>
              <w:spacing w:after="0"/>
              <w:rPr>
                <w:sz w:val="20"/>
                <w:szCs w:val="20"/>
                <w:color w:val="auto"/>
              </w:rPr>
            </w:pPr>
            <w:r>
              <w:rPr>
                <w:rFonts w:ascii="Arial" w:cs="Arial" w:eastAsia="Arial" w:hAnsi="Arial"/>
                <w:sz w:val="14"/>
                <w:szCs w:val="14"/>
                <w:b w:val="1"/>
                <w:bCs w:val="1"/>
                <w:color w:val="D8D8D8"/>
              </w:rPr>
              <w:t>Earnings/</w:t>
            </w:r>
          </w:p>
        </w:tc>
        <w:tc>
          <w:tcPr>
            <w:tcW w:w="1280" w:type="dxa"/>
            <w:vAlign w:val="bottom"/>
            <w:shd w:val="clear" w:color="auto" w:fill="00548B"/>
          </w:tcPr>
          <w:p>
            <w:pPr>
              <w:jc w:val="right"/>
              <w:ind w:right="223"/>
              <w:spacing w:after="0"/>
              <w:rPr>
                <w:sz w:val="20"/>
                <w:szCs w:val="20"/>
                <w:color w:val="auto"/>
              </w:rPr>
            </w:pPr>
            <w:r>
              <w:rPr>
                <w:rFonts w:ascii="Arial" w:cs="Arial" w:eastAsia="Arial" w:hAnsi="Arial"/>
                <w:sz w:val="14"/>
                <w:szCs w:val="14"/>
                <w:b w:val="1"/>
                <w:bCs w:val="1"/>
                <w:color w:val="D8D8D8"/>
              </w:rPr>
              <w:t>Withdrawals/</w:t>
            </w:r>
          </w:p>
        </w:tc>
        <w:tc>
          <w:tcPr>
            <w:tcW w:w="1720" w:type="dxa"/>
            <w:vAlign w:val="bottom"/>
            <w:shd w:val="clear" w:color="auto" w:fill="00548B"/>
          </w:tcPr>
          <w:p>
            <w:pPr>
              <w:jc w:val="center"/>
              <w:ind w:right="143"/>
              <w:spacing w:after="0"/>
              <w:rPr>
                <w:sz w:val="20"/>
                <w:szCs w:val="20"/>
                <w:color w:val="auto"/>
              </w:rPr>
            </w:pPr>
            <w:r>
              <w:rPr>
                <w:rFonts w:ascii="Arial" w:cs="Arial" w:eastAsia="Arial" w:hAnsi="Arial"/>
                <w:sz w:val="14"/>
                <w:szCs w:val="14"/>
                <w:b w:val="1"/>
                <w:bCs w:val="1"/>
                <w:color w:val="D8D8D8"/>
              </w:rPr>
              <w:t>Aggregate</w:t>
            </w:r>
          </w:p>
        </w:tc>
      </w:tr>
      <w:tr>
        <w:trPr>
          <w:trHeight w:val="162"/>
        </w:trPr>
        <w:tc>
          <w:tcPr>
            <w:tcW w:w="20" w:type="dxa"/>
            <w:vAlign w:val="bottom"/>
          </w:tcPr>
          <w:p>
            <w:pPr>
              <w:spacing w:after="0"/>
              <w:rPr>
                <w:sz w:val="14"/>
                <w:szCs w:val="14"/>
                <w:color w:val="auto"/>
              </w:rPr>
            </w:pPr>
          </w:p>
        </w:tc>
        <w:tc>
          <w:tcPr>
            <w:tcW w:w="2680" w:type="dxa"/>
            <w:vAlign w:val="bottom"/>
            <w:shd w:val="clear" w:color="auto" w:fill="00548B"/>
          </w:tcPr>
          <w:p>
            <w:pPr>
              <w:spacing w:after="0"/>
              <w:rPr>
                <w:sz w:val="14"/>
                <w:szCs w:val="14"/>
                <w:color w:val="auto"/>
              </w:rPr>
            </w:pPr>
          </w:p>
        </w:tc>
        <w:tc>
          <w:tcPr>
            <w:tcW w:w="2540" w:type="dxa"/>
            <w:vAlign w:val="bottom"/>
            <w:shd w:val="clear" w:color="auto" w:fill="00548B"/>
          </w:tcPr>
          <w:p>
            <w:pPr>
              <w:jc w:val="center"/>
              <w:ind w:left="1323"/>
              <w:spacing w:after="0"/>
              <w:rPr>
                <w:sz w:val="20"/>
                <w:szCs w:val="20"/>
                <w:color w:val="auto"/>
              </w:rPr>
            </w:pPr>
            <w:r>
              <w:rPr>
                <w:rFonts w:ascii="Arial" w:cs="Arial" w:eastAsia="Arial" w:hAnsi="Arial"/>
                <w:sz w:val="14"/>
                <w:szCs w:val="14"/>
                <w:b w:val="1"/>
                <w:bCs w:val="1"/>
                <w:color w:val="D8D8D8"/>
              </w:rPr>
              <w:t>Contributions</w:t>
            </w:r>
          </w:p>
        </w:tc>
        <w:tc>
          <w:tcPr>
            <w:tcW w:w="1320" w:type="dxa"/>
            <w:vAlign w:val="bottom"/>
            <w:shd w:val="clear" w:color="auto" w:fill="00548B"/>
          </w:tcPr>
          <w:p>
            <w:pPr>
              <w:jc w:val="right"/>
              <w:ind w:right="203"/>
              <w:spacing w:after="0"/>
              <w:rPr>
                <w:sz w:val="20"/>
                <w:szCs w:val="20"/>
                <w:color w:val="auto"/>
              </w:rPr>
            </w:pPr>
            <w:r>
              <w:rPr>
                <w:rFonts w:ascii="Arial" w:cs="Arial" w:eastAsia="Arial" w:hAnsi="Arial"/>
                <w:sz w:val="14"/>
                <w:szCs w:val="14"/>
                <w:b w:val="1"/>
                <w:bCs w:val="1"/>
                <w:color w:val="D8D8D8"/>
              </w:rPr>
              <w:t>Contributions</w:t>
            </w:r>
          </w:p>
        </w:tc>
        <w:tc>
          <w:tcPr>
            <w:tcW w:w="1480" w:type="dxa"/>
            <w:vAlign w:val="bottom"/>
            <w:shd w:val="clear" w:color="auto" w:fill="00548B"/>
          </w:tcPr>
          <w:p>
            <w:pPr>
              <w:jc w:val="center"/>
              <w:ind w:right="143"/>
              <w:spacing w:after="0"/>
              <w:rPr>
                <w:sz w:val="20"/>
                <w:szCs w:val="20"/>
                <w:color w:val="auto"/>
              </w:rPr>
            </w:pPr>
            <w:r>
              <w:rPr>
                <w:rFonts w:ascii="Arial" w:cs="Arial" w:eastAsia="Arial" w:hAnsi="Arial"/>
                <w:sz w:val="14"/>
                <w:szCs w:val="14"/>
                <w:b w:val="1"/>
                <w:bCs w:val="1"/>
                <w:color w:val="D8D8D8"/>
              </w:rPr>
              <w:t>Losses</w:t>
            </w:r>
          </w:p>
        </w:tc>
        <w:tc>
          <w:tcPr>
            <w:tcW w:w="1280" w:type="dxa"/>
            <w:vAlign w:val="bottom"/>
            <w:shd w:val="clear" w:color="auto" w:fill="00548B"/>
          </w:tcPr>
          <w:p>
            <w:pPr>
              <w:jc w:val="right"/>
              <w:ind w:right="203"/>
              <w:spacing w:after="0"/>
              <w:rPr>
                <w:sz w:val="20"/>
                <w:szCs w:val="20"/>
                <w:color w:val="auto"/>
              </w:rPr>
            </w:pPr>
            <w:r>
              <w:rPr>
                <w:rFonts w:ascii="Arial" w:cs="Arial" w:eastAsia="Arial" w:hAnsi="Arial"/>
                <w:sz w:val="14"/>
                <w:szCs w:val="14"/>
                <w:b w:val="1"/>
                <w:bCs w:val="1"/>
                <w:color w:val="D8D8D8"/>
              </w:rPr>
              <w:t>Distributions</w:t>
            </w:r>
          </w:p>
        </w:tc>
        <w:tc>
          <w:tcPr>
            <w:tcW w:w="1720" w:type="dxa"/>
            <w:vAlign w:val="bottom"/>
            <w:shd w:val="clear" w:color="auto" w:fill="00548B"/>
          </w:tcPr>
          <w:p>
            <w:pPr>
              <w:jc w:val="center"/>
              <w:ind w:right="143"/>
              <w:spacing w:after="0"/>
              <w:rPr>
                <w:sz w:val="20"/>
                <w:szCs w:val="20"/>
                <w:color w:val="auto"/>
              </w:rPr>
            </w:pPr>
            <w:r>
              <w:rPr>
                <w:rFonts w:ascii="Arial" w:cs="Arial" w:eastAsia="Arial" w:hAnsi="Arial"/>
                <w:sz w:val="14"/>
                <w:szCs w:val="14"/>
                <w:b w:val="1"/>
                <w:bCs w:val="1"/>
                <w:color w:val="D8D8D8"/>
              </w:rPr>
              <w:t>Balance as of</w:t>
            </w:r>
          </w:p>
        </w:tc>
      </w:tr>
      <w:tr>
        <w:trPr>
          <w:trHeight w:val="189"/>
        </w:trPr>
        <w:tc>
          <w:tcPr>
            <w:tcW w:w="20" w:type="dxa"/>
            <w:vAlign w:val="bottom"/>
          </w:tcPr>
          <w:p>
            <w:pPr>
              <w:spacing w:after="0"/>
              <w:rPr>
                <w:sz w:val="16"/>
                <w:szCs w:val="16"/>
                <w:color w:val="auto"/>
              </w:rPr>
            </w:pPr>
          </w:p>
        </w:tc>
        <w:tc>
          <w:tcPr>
            <w:tcW w:w="26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2540" w:type="dxa"/>
            <w:vAlign w:val="bottom"/>
            <w:shd w:val="clear" w:color="auto" w:fill="00548B"/>
          </w:tcPr>
          <w:p>
            <w:pPr>
              <w:jc w:val="center"/>
              <w:ind w:left="1323"/>
              <w:spacing w:after="0"/>
              <w:rPr>
                <w:sz w:val="20"/>
                <w:szCs w:val="20"/>
                <w:color w:val="auto"/>
              </w:rPr>
            </w:pPr>
            <w:r>
              <w:rPr>
                <w:rFonts w:ascii="Arial" w:cs="Arial" w:eastAsia="Arial" w:hAnsi="Arial"/>
                <w:sz w:val="14"/>
                <w:szCs w:val="14"/>
                <w:b w:val="1"/>
                <w:bCs w:val="1"/>
                <w:color w:val="D8D8D8"/>
              </w:rPr>
              <w:t>in 2018 ($)(1)</w:t>
            </w:r>
          </w:p>
        </w:tc>
        <w:tc>
          <w:tcPr>
            <w:tcW w:w="1320" w:type="dxa"/>
            <w:vAlign w:val="bottom"/>
            <w:shd w:val="clear" w:color="auto" w:fill="00548B"/>
          </w:tcPr>
          <w:p>
            <w:pPr>
              <w:jc w:val="right"/>
              <w:ind w:right="323"/>
              <w:spacing w:after="0"/>
              <w:rPr>
                <w:sz w:val="20"/>
                <w:szCs w:val="20"/>
                <w:color w:val="auto"/>
              </w:rPr>
            </w:pPr>
            <w:r>
              <w:rPr>
                <w:rFonts w:ascii="Arial" w:cs="Arial" w:eastAsia="Arial" w:hAnsi="Arial"/>
                <w:sz w:val="14"/>
                <w:szCs w:val="14"/>
                <w:b w:val="1"/>
                <w:bCs w:val="1"/>
                <w:color w:val="D8D8D8"/>
              </w:rPr>
              <w:t>in 2018 ($)</w:t>
            </w:r>
          </w:p>
        </w:tc>
        <w:tc>
          <w:tcPr>
            <w:tcW w:w="1480" w:type="dxa"/>
            <w:vAlign w:val="bottom"/>
            <w:shd w:val="clear" w:color="auto" w:fill="00548B"/>
          </w:tcPr>
          <w:p>
            <w:pPr>
              <w:jc w:val="center"/>
              <w:ind w:right="143"/>
              <w:spacing w:after="0"/>
              <w:rPr>
                <w:sz w:val="20"/>
                <w:szCs w:val="20"/>
                <w:color w:val="auto"/>
              </w:rPr>
            </w:pPr>
            <w:r>
              <w:rPr>
                <w:rFonts w:ascii="Arial" w:cs="Arial" w:eastAsia="Arial" w:hAnsi="Arial"/>
                <w:sz w:val="14"/>
                <w:szCs w:val="14"/>
                <w:b w:val="1"/>
                <w:bCs w:val="1"/>
                <w:color w:val="D8D8D8"/>
              </w:rPr>
              <w:t>in 2018 ($)</w:t>
            </w:r>
          </w:p>
        </w:tc>
        <w:tc>
          <w:tcPr>
            <w:tcW w:w="1280" w:type="dxa"/>
            <w:vAlign w:val="bottom"/>
            <w:shd w:val="clear" w:color="auto" w:fill="00548B"/>
          </w:tcPr>
          <w:p>
            <w:pPr>
              <w:jc w:val="right"/>
              <w:ind w:right="303"/>
              <w:spacing w:after="0"/>
              <w:rPr>
                <w:sz w:val="20"/>
                <w:szCs w:val="20"/>
                <w:color w:val="auto"/>
              </w:rPr>
            </w:pPr>
            <w:r>
              <w:rPr>
                <w:rFonts w:ascii="Arial" w:cs="Arial" w:eastAsia="Arial" w:hAnsi="Arial"/>
                <w:sz w:val="14"/>
                <w:szCs w:val="14"/>
                <w:b w:val="1"/>
                <w:bCs w:val="1"/>
                <w:color w:val="D8D8D8"/>
              </w:rPr>
              <w:t>in 2018 ($)</w:t>
            </w:r>
          </w:p>
        </w:tc>
        <w:tc>
          <w:tcPr>
            <w:tcW w:w="1720" w:type="dxa"/>
            <w:vAlign w:val="bottom"/>
            <w:shd w:val="clear" w:color="auto" w:fill="00548B"/>
          </w:tcPr>
          <w:p>
            <w:pPr>
              <w:jc w:val="center"/>
              <w:ind w:right="143"/>
              <w:spacing w:after="0"/>
              <w:rPr>
                <w:sz w:val="20"/>
                <w:szCs w:val="20"/>
                <w:color w:val="auto"/>
              </w:rPr>
            </w:pPr>
            <w:r>
              <w:rPr>
                <w:rFonts w:ascii="Arial" w:cs="Arial" w:eastAsia="Arial" w:hAnsi="Arial"/>
                <w:sz w:val="14"/>
                <w:szCs w:val="14"/>
                <w:b w:val="1"/>
                <w:bCs w:val="1"/>
                <w:color w:val="D8D8D8"/>
              </w:rPr>
              <w:t>12/31/18 ($)</w:t>
            </w:r>
          </w:p>
        </w:tc>
      </w:tr>
      <w:tr>
        <w:trPr>
          <w:trHeight w:val="189"/>
        </w:trPr>
        <w:tc>
          <w:tcPr>
            <w:tcW w:w="270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color w:val="auto"/>
              </w:rPr>
              <w:t>James H. Roth</w:t>
            </w:r>
          </w:p>
        </w:tc>
        <w:tc>
          <w:tcPr>
            <w:tcW w:w="2540" w:type="dxa"/>
            <w:vAlign w:val="bottom"/>
            <w:tcBorders>
              <w:bottom w:val="single" w:sz="8" w:color="999999"/>
            </w:tcBorders>
          </w:tcPr>
          <w:p>
            <w:pPr>
              <w:ind w:left="22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999999"/>
            </w:tcBorders>
          </w:tcPr>
          <w:p>
            <w:pPr>
              <w:jc w:val="right"/>
              <w:ind w:right="323"/>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999999"/>
            </w:tcBorders>
          </w:tcPr>
          <w:p>
            <w:pPr>
              <w:jc w:val="right"/>
              <w:ind w:right="23"/>
              <w:spacing w:after="0"/>
              <w:rPr>
                <w:sz w:val="20"/>
                <w:szCs w:val="20"/>
                <w:color w:val="auto"/>
              </w:rPr>
            </w:pPr>
            <w:r>
              <w:rPr>
                <w:rFonts w:ascii="Arial" w:cs="Arial" w:eastAsia="Arial" w:hAnsi="Arial"/>
                <w:sz w:val="16"/>
                <w:szCs w:val="16"/>
                <w:color w:val="auto"/>
              </w:rPr>
              <w:t>(275,980)</w:t>
            </w:r>
          </w:p>
        </w:tc>
        <w:tc>
          <w:tcPr>
            <w:tcW w:w="1280" w:type="dxa"/>
            <w:vAlign w:val="bottom"/>
            <w:tcBorders>
              <w:bottom w:val="single" w:sz="8" w:color="999999"/>
            </w:tcBorders>
          </w:tcPr>
          <w:p>
            <w:pPr>
              <w:jc w:val="right"/>
              <w:ind w:right="303"/>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999999"/>
            </w:tcBorders>
          </w:tcPr>
          <w:p>
            <w:pPr>
              <w:jc w:val="right"/>
              <w:ind w:right="123"/>
              <w:spacing w:after="0"/>
              <w:rPr>
                <w:sz w:val="20"/>
                <w:szCs w:val="20"/>
                <w:color w:val="auto"/>
              </w:rPr>
            </w:pPr>
            <w:r>
              <w:rPr>
                <w:rFonts w:ascii="Arial" w:cs="Arial" w:eastAsia="Arial" w:hAnsi="Arial"/>
                <w:sz w:val="16"/>
                <w:szCs w:val="16"/>
                <w:color w:val="auto"/>
              </w:rPr>
              <w:t>2,540,719</w:t>
            </w:r>
          </w:p>
        </w:tc>
      </w:tr>
      <w:tr>
        <w:trPr>
          <w:trHeight w:val="183"/>
        </w:trPr>
        <w:tc>
          <w:tcPr>
            <w:tcW w:w="270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C. Mark Hussey</w:t>
            </w:r>
          </w:p>
        </w:tc>
        <w:tc>
          <w:tcPr>
            <w:tcW w:w="2540" w:type="dxa"/>
            <w:vAlign w:val="bottom"/>
            <w:tcBorders>
              <w:bottom w:val="single" w:sz="8" w:color="999999"/>
            </w:tcBorders>
          </w:tcPr>
          <w:p>
            <w:pPr>
              <w:ind w:left="2000"/>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999999"/>
            </w:tcBorders>
          </w:tcPr>
          <w:p>
            <w:pPr>
              <w:jc w:val="right"/>
              <w:ind w:right="323"/>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999999"/>
            </w:tcBorders>
          </w:tcPr>
          <w:p>
            <w:pPr>
              <w:jc w:val="right"/>
              <w:ind w:right="23"/>
              <w:spacing w:after="0" w:line="183" w:lineRule="exact"/>
              <w:rPr>
                <w:sz w:val="20"/>
                <w:szCs w:val="20"/>
                <w:color w:val="auto"/>
              </w:rPr>
            </w:pPr>
            <w:r>
              <w:rPr>
                <w:rFonts w:ascii="Arial" w:cs="Arial" w:eastAsia="Arial" w:hAnsi="Arial"/>
                <w:sz w:val="16"/>
                <w:szCs w:val="16"/>
                <w:color w:val="auto"/>
              </w:rPr>
              <w:t>(45,989)</w:t>
            </w:r>
          </w:p>
        </w:tc>
        <w:tc>
          <w:tcPr>
            <w:tcW w:w="1280" w:type="dxa"/>
            <w:vAlign w:val="bottom"/>
            <w:tcBorders>
              <w:bottom w:val="single" w:sz="8" w:color="999999"/>
            </w:tcBorders>
          </w:tcPr>
          <w:p>
            <w:pPr>
              <w:jc w:val="right"/>
              <w:ind w:right="303"/>
              <w:spacing w:after="0" w:line="183" w:lineRule="exact"/>
              <w:rPr>
                <w:sz w:val="20"/>
                <w:szCs w:val="20"/>
                <w:color w:val="auto"/>
              </w:rPr>
            </w:pPr>
            <w:r>
              <w:rPr>
                <w:rFonts w:ascii="Arial" w:cs="Arial" w:eastAsia="Arial" w:hAnsi="Arial"/>
                <w:sz w:val="16"/>
                <w:szCs w:val="16"/>
                <w:color w:val="auto"/>
              </w:rPr>
              <w:t>—</w:t>
            </w:r>
          </w:p>
        </w:tc>
        <w:tc>
          <w:tcPr>
            <w:tcW w:w="1720" w:type="dxa"/>
            <w:vAlign w:val="bottom"/>
            <w:tcBorders>
              <w:bottom w:val="single" w:sz="8" w:color="999999"/>
            </w:tcBorders>
          </w:tcPr>
          <w:p>
            <w:pPr>
              <w:jc w:val="right"/>
              <w:ind w:right="123"/>
              <w:spacing w:after="0" w:line="183" w:lineRule="exact"/>
              <w:rPr>
                <w:sz w:val="20"/>
                <w:szCs w:val="20"/>
                <w:color w:val="auto"/>
              </w:rPr>
            </w:pPr>
            <w:r>
              <w:rPr>
                <w:rFonts w:ascii="Arial" w:cs="Arial" w:eastAsia="Arial" w:hAnsi="Arial"/>
                <w:sz w:val="16"/>
                <w:szCs w:val="16"/>
                <w:color w:val="auto"/>
              </w:rPr>
              <w:t>974,509</w:t>
            </w:r>
          </w:p>
        </w:tc>
      </w:tr>
      <w:tr>
        <w:trPr>
          <w:trHeight w:val="183"/>
        </w:trPr>
        <w:tc>
          <w:tcPr>
            <w:tcW w:w="270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John D. Kelly</w:t>
            </w:r>
          </w:p>
        </w:tc>
        <w:tc>
          <w:tcPr>
            <w:tcW w:w="2540" w:type="dxa"/>
            <w:vAlign w:val="bottom"/>
            <w:tcBorders>
              <w:bottom w:val="single" w:sz="8" w:color="999999"/>
            </w:tcBorders>
          </w:tcPr>
          <w:p>
            <w:pPr>
              <w:ind w:left="2000"/>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999999"/>
            </w:tcBorders>
          </w:tcPr>
          <w:p>
            <w:pPr>
              <w:jc w:val="right"/>
              <w:ind w:right="323"/>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999999"/>
            </w:tcBorders>
          </w:tcPr>
          <w:p>
            <w:pPr>
              <w:jc w:val="right"/>
              <w:ind w:right="643"/>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999999"/>
            </w:tcBorders>
          </w:tcPr>
          <w:p>
            <w:pPr>
              <w:jc w:val="right"/>
              <w:ind w:right="303"/>
              <w:spacing w:after="0" w:line="183" w:lineRule="exact"/>
              <w:rPr>
                <w:sz w:val="20"/>
                <w:szCs w:val="20"/>
                <w:color w:val="auto"/>
              </w:rPr>
            </w:pPr>
            <w:r>
              <w:rPr>
                <w:rFonts w:ascii="Arial" w:cs="Arial" w:eastAsia="Arial" w:hAnsi="Arial"/>
                <w:sz w:val="16"/>
                <w:szCs w:val="16"/>
                <w:color w:val="auto"/>
              </w:rPr>
              <w:t>—</w:t>
            </w:r>
          </w:p>
        </w:tc>
        <w:tc>
          <w:tcPr>
            <w:tcW w:w="1720" w:type="dxa"/>
            <w:vAlign w:val="bottom"/>
            <w:tcBorders>
              <w:bottom w:val="single" w:sz="8" w:color="999999"/>
            </w:tcBorders>
          </w:tcPr>
          <w:p>
            <w:pPr>
              <w:jc w:val="right"/>
              <w:ind w:right="763"/>
              <w:spacing w:after="0" w:line="183" w:lineRule="exact"/>
              <w:rPr>
                <w:sz w:val="20"/>
                <w:szCs w:val="20"/>
                <w:color w:val="auto"/>
              </w:rPr>
            </w:pPr>
            <w:r>
              <w:rPr>
                <w:rFonts w:ascii="Arial" w:cs="Arial" w:eastAsia="Arial" w:hAnsi="Arial"/>
                <w:sz w:val="16"/>
                <w:szCs w:val="16"/>
                <w:color w:val="auto"/>
              </w:rPr>
              <w:t>—</w:t>
            </w:r>
          </w:p>
        </w:tc>
      </w:tr>
      <w:tr>
        <w:trPr>
          <w:trHeight w:val="183"/>
        </w:trPr>
        <w:tc>
          <w:tcPr>
            <w:tcW w:w="2700" w:type="dxa"/>
            <w:vAlign w:val="bottom"/>
            <w:tcBorders>
              <w:bottom w:val="single" w:sz="8" w:color="00548B"/>
            </w:tcBorders>
            <w:gridSpan w:val="2"/>
          </w:tcPr>
          <w:p>
            <w:pPr>
              <w:spacing w:after="0" w:line="183" w:lineRule="exact"/>
              <w:rPr>
                <w:sz w:val="20"/>
                <w:szCs w:val="20"/>
                <w:color w:val="auto"/>
              </w:rPr>
            </w:pPr>
            <w:r>
              <w:rPr>
                <w:rFonts w:ascii="Arial" w:cs="Arial" w:eastAsia="Arial" w:hAnsi="Arial"/>
                <w:sz w:val="16"/>
                <w:szCs w:val="16"/>
                <w:color w:val="auto"/>
              </w:rPr>
              <w:t>Diane E. Ratekin</w:t>
            </w:r>
          </w:p>
        </w:tc>
        <w:tc>
          <w:tcPr>
            <w:tcW w:w="2540" w:type="dxa"/>
            <w:vAlign w:val="bottom"/>
            <w:tcBorders>
              <w:bottom w:val="single" w:sz="8" w:color="00548B"/>
            </w:tcBorders>
          </w:tcPr>
          <w:p>
            <w:pPr>
              <w:ind w:left="2000"/>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00548B"/>
            </w:tcBorders>
          </w:tcPr>
          <w:p>
            <w:pPr>
              <w:jc w:val="right"/>
              <w:ind w:right="323"/>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00548B"/>
            </w:tcBorders>
          </w:tcPr>
          <w:p>
            <w:pPr>
              <w:jc w:val="right"/>
              <w:ind w:right="23"/>
              <w:spacing w:after="0" w:line="183" w:lineRule="exact"/>
              <w:rPr>
                <w:sz w:val="20"/>
                <w:szCs w:val="20"/>
                <w:color w:val="auto"/>
              </w:rPr>
            </w:pPr>
            <w:r>
              <w:rPr>
                <w:rFonts w:ascii="Arial" w:cs="Arial" w:eastAsia="Arial" w:hAnsi="Arial"/>
                <w:sz w:val="16"/>
                <w:szCs w:val="16"/>
                <w:color w:val="auto"/>
              </w:rPr>
              <w:t>(8,487)</w:t>
            </w:r>
          </w:p>
        </w:tc>
        <w:tc>
          <w:tcPr>
            <w:tcW w:w="1280" w:type="dxa"/>
            <w:vAlign w:val="bottom"/>
            <w:tcBorders>
              <w:bottom w:val="single" w:sz="8" w:color="00548B"/>
            </w:tcBorders>
          </w:tcPr>
          <w:p>
            <w:pPr>
              <w:jc w:val="right"/>
              <w:ind w:right="303"/>
              <w:spacing w:after="0" w:line="183" w:lineRule="exact"/>
              <w:rPr>
                <w:sz w:val="20"/>
                <w:szCs w:val="20"/>
                <w:color w:val="auto"/>
              </w:rPr>
            </w:pPr>
            <w:r>
              <w:rPr>
                <w:rFonts w:ascii="Arial" w:cs="Arial" w:eastAsia="Arial" w:hAnsi="Arial"/>
                <w:sz w:val="16"/>
                <w:szCs w:val="16"/>
                <w:color w:val="auto"/>
              </w:rPr>
              <w:t>—</w:t>
            </w:r>
          </w:p>
        </w:tc>
        <w:tc>
          <w:tcPr>
            <w:tcW w:w="1720" w:type="dxa"/>
            <w:vAlign w:val="bottom"/>
            <w:tcBorders>
              <w:bottom w:val="single" w:sz="8" w:color="00548B"/>
            </w:tcBorders>
          </w:tcPr>
          <w:p>
            <w:pPr>
              <w:jc w:val="right"/>
              <w:ind w:right="123"/>
              <w:spacing w:after="0" w:line="183" w:lineRule="exact"/>
              <w:rPr>
                <w:sz w:val="20"/>
                <w:szCs w:val="20"/>
                <w:color w:val="auto"/>
              </w:rPr>
            </w:pPr>
            <w:r>
              <w:rPr>
                <w:rFonts w:ascii="Arial" w:cs="Arial" w:eastAsia="Arial" w:hAnsi="Arial"/>
                <w:sz w:val="16"/>
                <w:szCs w:val="16"/>
                <w:color w:val="auto"/>
              </w:rPr>
              <w:t>130,940</w:t>
            </w:r>
          </w:p>
        </w:tc>
      </w:tr>
    </w:tbl>
    <w:p>
      <w:pPr>
        <w:spacing w:after="0" w:line="218" w:lineRule="exact"/>
        <w:rPr>
          <w:sz w:val="20"/>
          <w:szCs w:val="20"/>
          <w:color w:val="auto"/>
        </w:rPr>
      </w:pPr>
    </w:p>
    <w:p>
      <w:pPr>
        <w:ind w:left="740" w:hanging="536"/>
        <w:spacing w:after="0"/>
        <w:tabs>
          <w:tab w:leader="none" w:pos="7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There were no executive contributions made to the DCP for 2018.</w:t>
      </w:r>
    </w:p>
    <w:p>
      <w:pPr>
        <w:spacing w:after="0" w:line="181"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The Company maintains the DCP, which became effective July 1, 2006. The DCP permits managing directors, corporate vice presidents and named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Company requires that deferral elections of the annual cash incentive must be made 12 months prior to the end of the applicable performance period. Non-employee directors may also defer up to 100% of their retainer and meeting fees into the DCP.</w:t>
      </w:r>
    </w:p>
    <w:p>
      <w:pPr>
        <w:spacing w:after="0" w:line="167"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39</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D8D8D8"/>
        </w:rPr>
        <w:t>POTENTIAL PAYMENTS UPON TERMINATION OR CHANGE OF CONTROL</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Background</w:t>
      </w:r>
    </w:p>
    <w:p>
      <w:pPr>
        <w:spacing w:after="0" w:line="25"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We have entered into agreements and maintain plans and arrangements that require us to pay or provide compensation and benefits to each of the named executive officers in the event of certain terminations of employment or a change of control. After a comprehensive review of the agreements in 2016, the Company entered into Amended and Restated Agreements with each of our NEOs, effective as of January 1, 2017. The provisions of these agreements, summarized below, are aligned with best practices.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Senior Management Agreements</w:t>
      </w:r>
    </w:p>
    <w:p>
      <w:pPr>
        <w:spacing w:after="0" w:line="2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Mr. Roth’s agreement covers a term beginning on January 1, 2017, and continues for three years from that date. Following the expiration of that initial three-year term, his agreement will be automatically renewed every year, unless Mr. Roth or the Company provides 60 days’ notice to the other that such automatic renewal shall cease. The agreement may be earlier terminated by Mr. Roth or the Company pursuant to its terms.</w:t>
      </w:r>
    </w:p>
    <w:p>
      <w:pPr>
        <w:spacing w:after="0" w:line="161" w:lineRule="exact"/>
        <w:rPr>
          <w:sz w:val="20"/>
          <w:szCs w:val="20"/>
          <w:color w:val="auto"/>
        </w:rPr>
      </w:pPr>
    </w:p>
    <w:p>
      <w:pPr>
        <w:jc w:val="both"/>
        <w:ind w:left="200" w:right="20"/>
        <w:spacing w:after="0" w:line="258" w:lineRule="auto"/>
        <w:rPr>
          <w:sz w:val="20"/>
          <w:szCs w:val="20"/>
          <w:color w:val="auto"/>
        </w:rPr>
      </w:pPr>
      <w:r>
        <w:rPr>
          <w:rFonts w:ascii="Arial" w:cs="Arial" w:eastAsia="Arial" w:hAnsi="Arial"/>
          <w:sz w:val="16"/>
          <w:szCs w:val="16"/>
          <w:color w:val="auto"/>
        </w:rPr>
        <w:t>Mr. Hussey, Mr. Kelly and Ms. Ratekin’s agreements provide that employment will continue unless either the Company or the executive delivers to the other 60 days’ advance written notice of the cessation of employment. These may be earlier terminated by the executive or the Company pursuant to their terms.</w:t>
      </w:r>
    </w:p>
    <w:p>
      <w:pPr>
        <w:spacing w:after="0" w:line="361"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The following table summarizes how unvested equity awards will be addressed in the event of a termination under the Senior Management Agreements that were in effect during 2018.</w:t>
      </w:r>
    </w:p>
    <w:p>
      <w:pPr>
        <w:spacing w:after="0" w:line="174" w:lineRule="exact"/>
        <w:rPr>
          <w:sz w:val="20"/>
          <w:szCs w:val="20"/>
          <w:color w:val="auto"/>
        </w:rPr>
      </w:pPr>
    </w:p>
    <w:tbl>
      <w:tblPr>
        <w:tblLayout w:type="fixed"/>
        <w:tblInd w:w="230" w:type="dxa"/>
        <w:tblCellMar>
          <w:top w:w="0" w:type="dxa"/>
          <w:left w:w="0" w:type="dxa"/>
          <w:bottom w:w="0" w:type="dxa"/>
          <w:right w:w="0" w:type="dxa"/>
        </w:tblCellMar>
      </w:tblPr>
      <w:tr>
        <w:trPr>
          <w:trHeight w:val="184"/>
        </w:trPr>
        <w:tc>
          <w:tcPr>
            <w:tcW w:w="3140" w:type="dxa"/>
            <w:vAlign w:val="bottom"/>
            <w:tcBorders>
              <w:top w:val="single" w:sz="8" w:color="00548B"/>
              <w:left w:val="single" w:sz="8" w:color="00548B"/>
              <w:right w:val="single" w:sz="8" w:color="999999"/>
            </w:tcBorders>
            <w:shd w:val="clear" w:color="auto" w:fill="00548B"/>
          </w:tcPr>
          <w:p>
            <w:pPr>
              <w:spacing w:after="0"/>
              <w:rPr>
                <w:sz w:val="16"/>
                <w:szCs w:val="16"/>
                <w:color w:val="auto"/>
              </w:rPr>
            </w:pPr>
          </w:p>
        </w:tc>
        <w:tc>
          <w:tcPr>
            <w:tcW w:w="2660" w:type="dxa"/>
            <w:vAlign w:val="bottom"/>
            <w:tcBorders>
              <w:top w:val="single" w:sz="8" w:color="00548B"/>
              <w:right w:val="single" w:sz="8" w:color="999999"/>
            </w:tcBorders>
            <w:shd w:val="clear" w:color="auto" w:fill="00548B"/>
          </w:tcPr>
          <w:p>
            <w:pPr>
              <w:ind w:left="560"/>
              <w:spacing w:after="0"/>
              <w:rPr>
                <w:sz w:val="20"/>
                <w:szCs w:val="20"/>
                <w:color w:val="auto"/>
              </w:rPr>
            </w:pPr>
            <w:r>
              <w:rPr>
                <w:rFonts w:ascii="Arial" w:cs="Arial" w:eastAsia="Arial" w:hAnsi="Arial"/>
                <w:sz w:val="16"/>
                <w:szCs w:val="16"/>
                <w:b w:val="1"/>
                <w:bCs w:val="1"/>
                <w:color w:val="E5E5E5"/>
              </w:rPr>
              <w:t>Restricted Stock and</w:t>
            </w:r>
          </w:p>
        </w:tc>
        <w:tc>
          <w:tcPr>
            <w:tcW w:w="80" w:type="dxa"/>
            <w:vAlign w:val="bottom"/>
            <w:tcBorders>
              <w:top w:val="single" w:sz="8" w:color="00548B"/>
            </w:tcBorders>
            <w:shd w:val="clear" w:color="auto" w:fill="00548B"/>
          </w:tcPr>
          <w:p>
            <w:pPr>
              <w:spacing w:after="0"/>
              <w:rPr>
                <w:sz w:val="16"/>
                <w:szCs w:val="16"/>
                <w:color w:val="auto"/>
              </w:rPr>
            </w:pPr>
          </w:p>
        </w:tc>
        <w:tc>
          <w:tcPr>
            <w:tcW w:w="1080" w:type="dxa"/>
            <w:vAlign w:val="bottom"/>
            <w:tcBorders>
              <w:top w:val="single" w:sz="8" w:color="00548B"/>
            </w:tcBorders>
            <w:shd w:val="clear" w:color="auto" w:fill="00548B"/>
          </w:tcPr>
          <w:p>
            <w:pPr>
              <w:spacing w:after="0"/>
              <w:rPr>
                <w:sz w:val="16"/>
                <w:szCs w:val="16"/>
                <w:color w:val="auto"/>
              </w:rPr>
            </w:pPr>
          </w:p>
        </w:tc>
        <w:tc>
          <w:tcPr>
            <w:tcW w:w="420" w:type="dxa"/>
            <w:vAlign w:val="bottom"/>
            <w:tcBorders>
              <w:top w:val="single" w:sz="8" w:color="00548B"/>
            </w:tcBorders>
            <w:shd w:val="clear" w:color="auto" w:fill="00548B"/>
          </w:tcPr>
          <w:p>
            <w:pPr>
              <w:spacing w:after="0"/>
              <w:rPr>
                <w:sz w:val="16"/>
                <w:szCs w:val="16"/>
                <w:color w:val="auto"/>
              </w:rPr>
            </w:pPr>
          </w:p>
        </w:tc>
        <w:tc>
          <w:tcPr>
            <w:tcW w:w="200" w:type="dxa"/>
            <w:vAlign w:val="bottom"/>
            <w:tcBorders>
              <w:top w:val="single" w:sz="8" w:color="00548B"/>
            </w:tcBorders>
            <w:shd w:val="clear" w:color="auto" w:fill="00548B"/>
          </w:tcPr>
          <w:p>
            <w:pPr>
              <w:spacing w:after="0"/>
              <w:rPr>
                <w:sz w:val="16"/>
                <w:szCs w:val="16"/>
                <w:color w:val="auto"/>
              </w:rPr>
            </w:pPr>
          </w:p>
        </w:tc>
        <w:tc>
          <w:tcPr>
            <w:tcW w:w="380" w:type="dxa"/>
            <w:vAlign w:val="bottom"/>
            <w:tcBorders>
              <w:top w:val="single" w:sz="8" w:color="00548B"/>
            </w:tcBorders>
            <w:shd w:val="clear" w:color="auto" w:fill="00548B"/>
          </w:tcPr>
          <w:p>
            <w:pPr>
              <w:spacing w:after="0"/>
              <w:rPr>
                <w:sz w:val="16"/>
                <w:szCs w:val="16"/>
                <w:color w:val="auto"/>
              </w:rPr>
            </w:pPr>
          </w:p>
        </w:tc>
        <w:tc>
          <w:tcPr>
            <w:tcW w:w="120" w:type="dxa"/>
            <w:vAlign w:val="bottom"/>
            <w:tcBorders>
              <w:top w:val="single" w:sz="8" w:color="00548B"/>
            </w:tcBorders>
            <w:shd w:val="clear" w:color="auto" w:fill="00548B"/>
          </w:tcPr>
          <w:p>
            <w:pPr>
              <w:spacing w:after="0"/>
              <w:rPr>
                <w:sz w:val="16"/>
                <w:szCs w:val="16"/>
                <w:color w:val="auto"/>
              </w:rPr>
            </w:pPr>
          </w:p>
        </w:tc>
        <w:tc>
          <w:tcPr>
            <w:tcW w:w="380" w:type="dxa"/>
            <w:vAlign w:val="bottom"/>
            <w:tcBorders>
              <w:top w:val="single" w:sz="8" w:color="00548B"/>
              <w:right w:val="single" w:sz="8" w:color="999999"/>
            </w:tcBorders>
            <w:shd w:val="clear" w:color="auto" w:fill="00548B"/>
          </w:tcPr>
          <w:p>
            <w:pPr>
              <w:spacing w:after="0"/>
              <w:rPr>
                <w:sz w:val="16"/>
                <w:szCs w:val="16"/>
                <w:color w:val="auto"/>
              </w:rPr>
            </w:pPr>
          </w:p>
        </w:tc>
        <w:tc>
          <w:tcPr>
            <w:tcW w:w="2580" w:type="dxa"/>
            <w:vAlign w:val="bottom"/>
            <w:tcBorders>
              <w:top w:val="single" w:sz="8" w:color="00548B"/>
              <w:right w:val="single" w:sz="8" w:color="00548B"/>
            </w:tcBorders>
            <w:shd w:val="clear" w:color="auto" w:fill="00548B"/>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40" w:type="dxa"/>
            <w:vAlign w:val="bottom"/>
            <w:tcBorders>
              <w:left w:val="single" w:sz="8" w:color="00548B"/>
              <w:right w:val="single" w:sz="8" w:color="999999"/>
            </w:tcBorders>
            <w:shd w:val="clear" w:color="auto" w:fill="00548B"/>
          </w:tcPr>
          <w:p>
            <w:pPr>
              <w:ind w:left="1400"/>
              <w:spacing w:after="0"/>
              <w:rPr>
                <w:sz w:val="20"/>
                <w:szCs w:val="20"/>
                <w:color w:val="auto"/>
              </w:rPr>
            </w:pPr>
            <w:r>
              <w:rPr>
                <w:rFonts w:ascii="Arial" w:cs="Arial" w:eastAsia="Arial" w:hAnsi="Arial"/>
                <w:sz w:val="16"/>
                <w:szCs w:val="16"/>
                <w:b w:val="1"/>
                <w:bCs w:val="1"/>
                <w:color w:val="E5E5E5"/>
              </w:rPr>
              <w:t>Event</w:t>
            </w:r>
          </w:p>
        </w:tc>
        <w:tc>
          <w:tcPr>
            <w:tcW w:w="2660" w:type="dxa"/>
            <w:vAlign w:val="bottom"/>
            <w:tcBorders>
              <w:right w:val="single" w:sz="8" w:color="999999"/>
            </w:tcBorders>
            <w:shd w:val="clear" w:color="auto" w:fill="00548B"/>
          </w:tcPr>
          <w:p>
            <w:pPr>
              <w:ind w:left="1060"/>
              <w:spacing w:after="0"/>
              <w:rPr>
                <w:sz w:val="20"/>
                <w:szCs w:val="20"/>
                <w:color w:val="auto"/>
              </w:rPr>
            </w:pPr>
            <w:r>
              <w:rPr>
                <w:rFonts w:ascii="Arial" w:cs="Arial" w:eastAsia="Arial" w:hAnsi="Arial"/>
                <w:sz w:val="16"/>
                <w:szCs w:val="16"/>
                <w:b w:val="1"/>
                <w:bCs w:val="1"/>
                <w:color w:val="E5E5E5"/>
              </w:rPr>
              <w:t>Options</w:t>
            </w:r>
          </w:p>
        </w:tc>
        <w:tc>
          <w:tcPr>
            <w:tcW w:w="80" w:type="dxa"/>
            <w:vAlign w:val="bottom"/>
            <w:shd w:val="clear" w:color="auto" w:fill="00548B"/>
          </w:tcPr>
          <w:p>
            <w:pPr>
              <w:spacing w:after="0"/>
              <w:rPr>
                <w:sz w:val="18"/>
                <w:szCs w:val="18"/>
                <w:color w:val="auto"/>
              </w:rPr>
            </w:pPr>
          </w:p>
        </w:tc>
        <w:tc>
          <w:tcPr>
            <w:tcW w:w="2580" w:type="dxa"/>
            <w:vAlign w:val="bottom"/>
            <w:tcBorders>
              <w:right w:val="single" w:sz="8" w:color="999999"/>
            </w:tcBorders>
            <w:gridSpan w:val="6"/>
            <w:shd w:val="clear" w:color="auto" w:fill="00548B"/>
          </w:tcPr>
          <w:p>
            <w:pPr>
              <w:ind w:left="360"/>
              <w:spacing w:after="0"/>
              <w:rPr>
                <w:sz w:val="20"/>
                <w:szCs w:val="20"/>
                <w:color w:val="auto"/>
              </w:rPr>
            </w:pPr>
            <w:r>
              <w:rPr>
                <w:rFonts w:ascii="Arial" w:cs="Arial" w:eastAsia="Arial" w:hAnsi="Arial"/>
                <w:sz w:val="16"/>
                <w:szCs w:val="16"/>
                <w:b w:val="1"/>
                <w:bCs w:val="1"/>
                <w:color w:val="E5E5E5"/>
              </w:rPr>
              <w:t>2017 Performance Units</w:t>
            </w:r>
          </w:p>
        </w:tc>
        <w:tc>
          <w:tcPr>
            <w:tcW w:w="2580" w:type="dxa"/>
            <w:vAlign w:val="bottom"/>
            <w:tcBorders>
              <w:right w:val="single" w:sz="8" w:color="00548B"/>
            </w:tcBorders>
            <w:shd w:val="clear" w:color="auto" w:fill="00548B"/>
          </w:tcPr>
          <w:p>
            <w:pPr>
              <w:ind w:left="380"/>
              <w:spacing w:after="0"/>
              <w:rPr>
                <w:sz w:val="20"/>
                <w:szCs w:val="20"/>
                <w:color w:val="auto"/>
              </w:rPr>
            </w:pPr>
            <w:r>
              <w:rPr>
                <w:rFonts w:ascii="Arial" w:cs="Arial" w:eastAsia="Arial" w:hAnsi="Arial"/>
                <w:sz w:val="16"/>
                <w:szCs w:val="16"/>
                <w:b w:val="1"/>
                <w:bCs w:val="1"/>
                <w:color w:val="E5E5E5"/>
              </w:rPr>
              <w:t>2018 Performance Units</w:t>
            </w:r>
          </w:p>
        </w:tc>
        <w:tc>
          <w:tcPr>
            <w:tcW w:w="0" w:type="dxa"/>
            <w:vAlign w:val="bottom"/>
          </w:tcPr>
          <w:p>
            <w:pPr>
              <w:spacing w:after="0"/>
              <w:rPr>
                <w:sz w:val="1"/>
                <w:szCs w:val="1"/>
                <w:color w:val="auto"/>
              </w:rPr>
            </w:pPr>
          </w:p>
        </w:tc>
      </w:tr>
      <w:tr>
        <w:trPr>
          <w:trHeight w:val="162"/>
        </w:trPr>
        <w:tc>
          <w:tcPr>
            <w:tcW w:w="3140" w:type="dxa"/>
            <w:vAlign w:val="bottom"/>
            <w:tcBorders>
              <w:left w:val="single" w:sz="8" w:color="00548B"/>
              <w:right w:val="single" w:sz="8" w:color="999999"/>
            </w:tcBorders>
          </w:tcPr>
          <w:p>
            <w:pPr>
              <w:ind w:left="140"/>
              <w:spacing w:after="0" w:line="162" w:lineRule="exact"/>
              <w:rPr>
                <w:sz w:val="20"/>
                <w:szCs w:val="20"/>
                <w:color w:val="auto"/>
              </w:rPr>
            </w:pPr>
            <w:r>
              <w:rPr>
                <w:rFonts w:ascii="Arial" w:cs="Arial" w:eastAsia="Arial" w:hAnsi="Arial"/>
                <w:sz w:val="16"/>
                <w:szCs w:val="16"/>
                <w:color w:val="auto"/>
              </w:rPr>
              <w:t>Normal Vesting</w:t>
            </w:r>
          </w:p>
        </w:tc>
        <w:tc>
          <w:tcPr>
            <w:tcW w:w="2660" w:type="dxa"/>
            <w:vAlign w:val="bottom"/>
            <w:tcBorders>
              <w:right w:val="single" w:sz="8" w:color="999999"/>
            </w:tcBorders>
          </w:tcPr>
          <w:p>
            <w:pPr>
              <w:ind w:left="80"/>
              <w:spacing w:after="0" w:line="162" w:lineRule="exact"/>
              <w:rPr>
                <w:sz w:val="20"/>
                <w:szCs w:val="20"/>
                <w:color w:val="auto"/>
              </w:rPr>
            </w:pPr>
            <w:r>
              <w:rPr>
                <w:rFonts w:ascii="Arial" w:cs="Arial" w:eastAsia="Arial" w:hAnsi="Arial"/>
                <w:sz w:val="16"/>
                <w:szCs w:val="16"/>
                <w:color w:val="auto"/>
              </w:rPr>
              <w:t>33% annual vesting over 3 years</w:t>
            </w:r>
          </w:p>
        </w:tc>
        <w:tc>
          <w:tcPr>
            <w:tcW w:w="80" w:type="dxa"/>
            <w:vAlign w:val="bottom"/>
          </w:tcPr>
          <w:p>
            <w:pPr>
              <w:spacing w:after="0"/>
              <w:rPr>
                <w:sz w:val="14"/>
                <w:szCs w:val="14"/>
                <w:color w:val="auto"/>
              </w:rPr>
            </w:pPr>
          </w:p>
        </w:tc>
        <w:tc>
          <w:tcPr>
            <w:tcW w:w="2580" w:type="dxa"/>
            <w:vAlign w:val="bottom"/>
            <w:tcBorders>
              <w:right w:val="single" w:sz="8" w:color="999999"/>
            </w:tcBorders>
            <w:gridSpan w:val="6"/>
          </w:tcPr>
          <w:p>
            <w:pPr>
              <w:spacing w:after="0" w:line="162" w:lineRule="exact"/>
              <w:rPr>
                <w:sz w:val="20"/>
                <w:szCs w:val="20"/>
                <w:color w:val="auto"/>
              </w:rPr>
            </w:pPr>
            <w:r>
              <w:rPr>
                <w:rFonts w:ascii="Arial" w:cs="Arial" w:eastAsia="Arial" w:hAnsi="Arial"/>
                <w:sz w:val="16"/>
                <w:szCs w:val="16"/>
                <w:color w:val="auto"/>
              </w:rPr>
              <w:t>One-Year Performance Units: 33%</w:t>
            </w:r>
          </w:p>
        </w:tc>
        <w:tc>
          <w:tcPr>
            <w:tcW w:w="2580" w:type="dxa"/>
            <w:vAlign w:val="bottom"/>
            <w:tcBorders>
              <w:right w:val="single" w:sz="8" w:color="00548B"/>
            </w:tcBorders>
          </w:tcPr>
          <w:p>
            <w:pPr>
              <w:ind w:left="80"/>
              <w:spacing w:after="0" w:line="162" w:lineRule="exact"/>
              <w:rPr>
                <w:sz w:val="20"/>
                <w:szCs w:val="20"/>
                <w:color w:val="auto"/>
              </w:rPr>
            </w:pPr>
            <w:r>
              <w:rPr>
                <w:rFonts w:ascii="Arial" w:cs="Arial" w:eastAsia="Arial" w:hAnsi="Arial"/>
                <w:sz w:val="16"/>
                <w:szCs w:val="16"/>
                <w:color w:val="auto"/>
              </w:rPr>
              <w:t>100% of the earned 2018</w:t>
            </w:r>
          </w:p>
        </w:tc>
        <w:tc>
          <w:tcPr>
            <w:tcW w:w="0" w:type="dxa"/>
            <w:vAlign w:val="bottom"/>
          </w:tcPr>
          <w:p>
            <w:pPr>
              <w:spacing w:after="0"/>
              <w:rPr>
                <w:sz w:val="1"/>
                <w:szCs w:val="1"/>
                <w:color w:val="auto"/>
              </w:rPr>
            </w:pPr>
          </w:p>
        </w:tc>
      </w:tr>
      <w:tr>
        <w:trPr>
          <w:trHeight w:val="20"/>
        </w:trPr>
        <w:tc>
          <w:tcPr>
            <w:tcW w:w="3140" w:type="dxa"/>
            <w:vAlign w:val="bottom"/>
            <w:tcBorders>
              <w:left w:val="single" w:sz="8" w:color="00548B"/>
              <w:right w:val="single" w:sz="8" w:color="999999"/>
            </w:tcBorders>
          </w:tcPr>
          <w:p>
            <w:pPr>
              <w:spacing w:after="0" w:line="20" w:lineRule="exact"/>
              <w:rPr>
                <w:sz w:val="1"/>
                <w:szCs w:val="1"/>
                <w:color w:val="auto"/>
              </w:rPr>
            </w:pPr>
          </w:p>
        </w:tc>
        <w:tc>
          <w:tcPr>
            <w:tcW w:w="26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999999"/>
            </w:tcBorders>
          </w:tcPr>
          <w:p>
            <w:pPr>
              <w:spacing w:after="0" w:line="20" w:lineRule="exact"/>
              <w:rPr>
                <w:sz w:val="1"/>
                <w:szCs w:val="1"/>
                <w:color w:val="auto"/>
              </w:rPr>
            </w:pPr>
          </w:p>
        </w:tc>
        <w:tc>
          <w:tcPr>
            <w:tcW w:w="2580" w:type="dxa"/>
            <w:vAlign w:val="bottom"/>
            <w:tcBorders>
              <w:right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Borders>
              <w:left w:val="single" w:sz="8" w:color="00548B"/>
              <w:right w:val="single" w:sz="8" w:color="999999"/>
            </w:tcBorders>
          </w:tcPr>
          <w:p>
            <w:pPr>
              <w:spacing w:after="0"/>
              <w:rPr>
                <w:sz w:val="17"/>
                <w:szCs w:val="17"/>
                <w:color w:val="auto"/>
              </w:rPr>
            </w:pPr>
          </w:p>
        </w:tc>
        <w:tc>
          <w:tcPr>
            <w:tcW w:w="26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for awards granted on or after</w:t>
            </w:r>
          </w:p>
        </w:tc>
        <w:tc>
          <w:tcPr>
            <w:tcW w:w="80" w:type="dxa"/>
            <w:vAlign w:val="bottom"/>
          </w:tcPr>
          <w:p>
            <w:pPr>
              <w:spacing w:after="0"/>
              <w:rPr>
                <w:sz w:val="17"/>
                <w:szCs w:val="17"/>
                <w:color w:val="auto"/>
              </w:rPr>
            </w:pPr>
          </w:p>
        </w:tc>
        <w:tc>
          <w:tcPr>
            <w:tcW w:w="2580" w:type="dxa"/>
            <w:vAlign w:val="bottom"/>
            <w:tcBorders>
              <w:right w:val="single" w:sz="8" w:color="999999"/>
            </w:tcBorders>
            <w:gridSpan w:val="6"/>
          </w:tcPr>
          <w:p>
            <w:pPr>
              <w:spacing w:after="0"/>
              <w:rPr>
                <w:sz w:val="20"/>
                <w:szCs w:val="20"/>
                <w:color w:val="auto"/>
              </w:rPr>
            </w:pPr>
            <w:r>
              <w:rPr>
                <w:rFonts w:ascii="Arial" w:cs="Arial" w:eastAsia="Arial" w:hAnsi="Arial"/>
                <w:sz w:val="16"/>
                <w:szCs w:val="16"/>
                <w:color w:val="auto"/>
              </w:rPr>
              <w:t>of earned One-Year Performance</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Performance Shares vest in Q1</w:t>
            </w:r>
          </w:p>
        </w:tc>
        <w:tc>
          <w:tcPr>
            <w:tcW w:w="0" w:type="dxa"/>
            <w:vAlign w:val="bottom"/>
          </w:tcPr>
          <w:p>
            <w:pPr>
              <w:spacing w:after="0"/>
              <w:rPr>
                <w:sz w:val="1"/>
                <w:szCs w:val="1"/>
                <w:color w:val="auto"/>
              </w:rPr>
            </w:pP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3/15/2017; 25% annual vesting</w:t>
            </w:r>
          </w:p>
        </w:tc>
        <w:tc>
          <w:tcPr>
            <w:tcW w:w="80" w:type="dxa"/>
            <w:vAlign w:val="bottom"/>
          </w:tcPr>
          <w:p>
            <w:pPr>
              <w:spacing w:after="0"/>
              <w:rPr>
                <w:sz w:val="16"/>
                <w:szCs w:val="16"/>
                <w:color w:val="auto"/>
              </w:rPr>
            </w:pPr>
          </w:p>
        </w:tc>
        <w:tc>
          <w:tcPr>
            <w:tcW w:w="2580" w:type="dxa"/>
            <w:vAlign w:val="bottom"/>
            <w:tcBorders>
              <w:right w:val="single" w:sz="8" w:color="999999"/>
            </w:tcBorders>
            <w:gridSpan w:val="6"/>
          </w:tcPr>
          <w:p>
            <w:pPr>
              <w:spacing w:after="0"/>
              <w:rPr>
                <w:sz w:val="20"/>
                <w:szCs w:val="20"/>
                <w:color w:val="auto"/>
              </w:rPr>
            </w:pPr>
            <w:r>
              <w:rPr>
                <w:rFonts w:ascii="Arial" w:cs="Arial" w:eastAsia="Arial" w:hAnsi="Arial"/>
                <w:sz w:val="16"/>
                <w:szCs w:val="16"/>
                <w:color w:val="auto"/>
              </w:rPr>
              <w:t>Shares vest in each of Q1 2018,</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2021 provided that executive</w:t>
            </w:r>
          </w:p>
        </w:tc>
        <w:tc>
          <w:tcPr>
            <w:tcW w:w="0" w:type="dxa"/>
            <w:vAlign w:val="bottom"/>
          </w:tcPr>
          <w:p>
            <w:pPr>
              <w:spacing w:after="0"/>
              <w:rPr>
                <w:sz w:val="1"/>
                <w:szCs w:val="1"/>
                <w:color w:val="auto"/>
              </w:rPr>
            </w:pP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over 4 years for those awards</w:t>
            </w:r>
          </w:p>
        </w:tc>
        <w:tc>
          <w:tcPr>
            <w:tcW w:w="80" w:type="dxa"/>
            <w:vAlign w:val="bottom"/>
          </w:tcPr>
          <w:p>
            <w:pPr>
              <w:spacing w:after="0"/>
              <w:rPr>
                <w:sz w:val="16"/>
                <w:szCs w:val="16"/>
                <w:color w:val="auto"/>
              </w:rPr>
            </w:pPr>
          </w:p>
        </w:tc>
        <w:tc>
          <w:tcPr>
            <w:tcW w:w="2580" w:type="dxa"/>
            <w:vAlign w:val="bottom"/>
            <w:tcBorders>
              <w:right w:val="single" w:sz="8" w:color="999999"/>
            </w:tcBorders>
            <w:gridSpan w:val="6"/>
          </w:tcPr>
          <w:p>
            <w:pPr>
              <w:spacing w:after="0"/>
              <w:rPr>
                <w:sz w:val="20"/>
                <w:szCs w:val="20"/>
                <w:color w:val="auto"/>
              </w:rPr>
            </w:pPr>
            <w:r>
              <w:rPr>
                <w:rFonts w:ascii="Arial" w:cs="Arial" w:eastAsia="Arial" w:hAnsi="Arial"/>
                <w:sz w:val="16"/>
                <w:szCs w:val="16"/>
                <w:color w:val="auto"/>
              </w:rPr>
              <w:t>2019 and 2020.</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remains employed at Huron</w:t>
            </w:r>
          </w:p>
        </w:tc>
        <w:tc>
          <w:tcPr>
            <w:tcW w:w="0" w:type="dxa"/>
            <w:vAlign w:val="bottom"/>
          </w:tcPr>
          <w:p>
            <w:pPr>
              <w:spacing w:after="0"/>
              <w:rPr>
                <w:sz w:val="1"/>
                <w:szCs w:val="1"/>
                <w:color w:val="auto"/>
              </w:rPr>
            </w:pP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granted prior to 3/15/2017 and for</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right w:val="single" w:sz="8" w:color="999999"/>
            </w:tcBorders>
          </w:tcPr>
          <w:p>
            <w:pPr>
              <w:spacing w:after="0"/>
              <w:rPr>
                <w:sz w:val="16"/>
                <w:szCs w:val="16"/>
                <w:color w:val="auto"/>
              </w:rPr>
            </w:pP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through the Performance Period.</w:t>
            </w:r>
          </w:p>
        </w:tc>
        <w:tc>
          <w:tcPr>
            <w:tcW w:w="0" w:type="dxa"/>
            <w:vAlign w:val="bottom"/>
          </w:tcPr>
          <w:p>
            <w:pPr>
              <w:spacing w:after="0"/>
              <w:rPr>
                <w:sz w:val="1"/>
                <w:szCs w:val="1"/>
                <w:color w:val="auto"/>
              </w:rPr>
            </w:pPr>
          </w:p>
        </w:tc>
      </w:tr>
      <w:tr>
        <w:trPr>
          <w:trHeight w:val="174"/>
        </w:trPr>
        <w:tc>
          <w:tcPr>
            <w:tcW w:w="3140" w:type="dxa"/>
            <w:vAlign w:val="bottom"/>
            <w:tcBorders>
              <w:left w:val="single" w:sz="8" w:color="00548B"/>
              <w:right w:val="single" w:sz="8" w:color="999999"/>
            </w:tcBorders>
          </w:tcPr>
          <w:p>
            <w:pPr>
              <w:spacing w:after="0"/>
              <w:rPr>
                <w:sz w:val="15"/>
                <w:szCs w:val="15"/>
                <w:color w:val="auto"/>
              </w:rPr>
            </w:pPr>
          </w:p>
        </w:tc>
        <w:tc>
          <w:tcPr>
            <w:tcW w:w="2660" w:type="dxa"/>
            <w:vAlign w:val="bottom"/>
            <w:tcBorders>
              <w:right w:val="single" w:sz="8" w:color="999999"/>
            </w:tcBorders>
          </w:tcPr>
          <w:p>
            <w:pPr>
              <w:ind w:left="80"/>
              <w:spacing w:after="0" w:line="174" w:lineRule="exact"/>
              <w:rPr>
                <w:sz w:val="20"/>
                <w:szCs w:val="20"/>
                <w:color w:val="auto"/>
              </w:rPr>
            </w:pPr>
            <w:r>
              <w:rPr>
                <w:rFonts w:ascii="Arial" w:cs="Arial" w:eastAsia="Arial" w:hAnsi="Arial"/>
                <w:sz w:val="16"/>
                <w:szCs w:val="16"/>
                <w:color w:val="auto"/>
              </w:rPr>
              <w:t>the award granted to C. Mark</w:t>
            </w:r>
          </w:p>
        </w:tc>
        <w:tc>
          <w:tcPr>
            <w:tcW w:w="80" w:type="dxa"/>
            <w:vAlign w:val="bottom"/>
          </w:tcPr>
          <w:p>
            <w:pPr>
              <w:spacing w:after="0"/>
              <w:rPr>
                <w:sz w:val="15"/>
                <w:szCs w:val="15"/>
                <w:color w:val="auto"/>
              </w:rPr>
            </w:pPr>
          </w:p>
        </w:tc>
        <w:tc>
          <w:tcPr>
            <w:tcW w:w="2580" w:type="dxa"/>
            <w:vAlign w:val="bottom"/>
            <w:tcBorders>
              <w:right w:val="single" w:sz="8" w:color="999999"/>
            </w:tcBorders>
            <w:gridSpan w:val="6"/>
          </w:tcPr>
          <w:p>
            <w:pPr>
              <w:spacing w:after="0" w:line="174" w:lineRule="exact"/>
              <w:rPr>
                <w:sz w:val="20"/>
                <w:szCs w:val="20"/>
                <w:color w:val="auto"/>
              </w:rPr>
            </w:pPr>
            <w:r>
              <w:rPr>
                <w:rFonts w:ascii="Arial" w:cs="Arial" w:eastAsia="Arial" w:hAnsi="Arial"/>
                <w:sz w:val="16"/>
                <w:szCs w:val="16"/>
                <w:color w:val="auto"/>
              </w:rPr>
              <w:t>Three-Year Performance Units:</w:t>
            </w:r>
          </w:p>
        </w:tc>
        <w:tc>
          <w:tcPr>
            <w:tcW w:w="2580" w:type="dxa"/>
            <w:vAlign w:val="bottom"/>
            <w:tcBorders>
              <w:right w:val="single" w:sz="8" w:color="00548B"/>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40" w:type="dxa"/>
            <w:vAlign w:val="bottom"/>
            <w:tcBorders>
              <w:left w:val="single" w:sz="8" w:color="00548B"/>
              <w:right w:val="single" w:sz="8" w:color="999999"/>
            </w:tcBorders>
          </w:tcPr>
          <w:p>
            <w:pPr>
              <w:spacing w:after="0" w:line="20" w:lineRule="exact"/>
              <w:rPr>
                <w:sz w:val="1"/>
                <w:szCs w:val="1"/>
                <w:color w:val="auto"/>
              </w:rPr>
            </w:pPr>
          </w:p>
        </w:tc>
        <w:tc>
          <w:tcPr>
            <w:tcW w:w="2660" w:type="dxa"/>
            <w:vAlign w:val="bottom"/>
            <w:tcBorders>
              <w:right w:val="single" w:sz="8" w:color="999999"/>
            </w:tcBorders>
            <w:vMerge w:val="restart"/>
          </w:tcPr>
          <w:p>
            <w:pPr>
              <w:ind w:left="80"/>
              <w:spacing w:after="0"/>
              <w:rPr>
                <w:sz w:val="20"/>
                <w:szCs w:val="20"/>
                <w:color w:val="auto"/>
              </w:rPr>
            </w:pPr>
            <w:r>
              <w:rPr>
                <w:rFonts w:ascii="Arial" w:cs="Arial" w:eastAsia="Arial" w:hAnsi="Arial"/>
                <w:sz w:val="16"/>
                <w:szCs w:val="16"/>
                <w:color w:val="auto"/>
              </w:rPr>
              <w:t>Hussey on 8/21/2017.</w:t>
            </w: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80" w:type="dxa"/>
            <w:vAlign w:val="bottom"/>
            <w:tcBorders>
              <w:right w:val="single" w:sz="8" w:color="999999"/>
            </w:tcBorders>
          </w:tcPr>
          <w:p>
            <w:pPr>
              <w:spacing w:after="0" w:line="20" w:lineRule="exact"/>
              <w:rPr>
                <w:sz w:val="1"/>
                <w:szCs w:val="1"/>
                <w:color w:val="auto"/>
              </w:rPr>
            </w:pPr>
          </w:p>
        </w:tc>
        <w:tc>
          <w:tcPr>
            <w:tcW w:w="2580" w:type="dxa"/>
            <w:vAlign w:val="bottom"/>
            <w:tcBorders>
              <w:right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Borders>
              <w:left w:val="single" w:sz="8" w:color="00548B"/>
              <w:right w:val="single" w:sz="8" w:color="999999"/>
            </w:tcBorders>
          </w:tcPr>
          <w:p>
            <w:pPr>
              <w:spacing w:after="0"/>
              <w:rPr>
                <w:sz w:val="17"/>
                <w:szCs w:val="17"/>
                <w:color w:val="auto"/>
              </w:rPr>
            </w:pPr>
          </w:p>
        </w:tc>
        <w:tc>
          <w:tcPr>
            <w:tcW w:w="2660" w:type="dxa"/>
            <w:vAlign w:val="bottom"/>
            <w:tcBorders>
              <w:right w:val="single" w:sz="8" w:color="999999"/>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tcBorders>
              <w:right w:val="single" w:sz="8" w:color="999999"/>
            </w:tcBorders>
            <w:gridSpan w:val="6"/>
          </w:tcPr>
          <w:p>
            <w:pPr>
              <w:spacing w:after="0"/>
              <w:rPr>
                <w:sz w:val="20"/>
                <w:szCs w:val="20"/>
                <w:color w:val="auto"/>
              </w:rPr>
            </w:pPr>
            <w:r>
              <w:rPr>
                <w:rFonts w:ascii="Arial" w:cs="Arial" w:eastAsia="Arial" w:hAnsi="Arial"/>
                <w:sz w:val="16"/>
                <w:szCs w:val="16"/>
                <w:color w:val="auto"/>
              </w:rPr>
              <w:t>100% of the earned Three-Year</w:t>
            </w:r>
          </w:p>
        </w:tc>
        <w:tc>
          <w:tcPr>
            <w:tcW w:w="2580" w:type="dxa"/>
            <w:vAlign w:val="bottom"/>
            <w:tcBorders>
              <w:right w:val="single" w:sz="8" w:color="00548B"/>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6"/>
          </w:tcPr>
          <w:p>
            <w:pPr>
              <w:spacing w:after="0"/>
              <w:rPr>
                <w:sz w:val="20"/>
                <w:szCs w:val="20"/>
                <w:color w:val="auto"/>
              </w:rPr>
            </w:pPr>
            <w:r>
              <w:rPr>
                <w:rFonts w:ascii="Arial" w:cs="Arial" w:eastAsia="Arial" w:hAnsi="Arial"/>
                <w:sz w:val="16"/>
                <w:szCs w:val="16"/>
                <w:color w:val="auto"/>
              </w:rPr>
              <w:t>Performance Shares vest in Q1</w:t>
            </w:r>
          </w:p>
        </w:tc>
        <w:tc>
          <w:tcPr>
            <w:tcW w:w="2580" w:type="dxa"/>
            <w:vAlign w:val="bottom"/>
            <w:tcBorders>
              <w:right w:val="single" w:sz="8" w:color="00548B"/>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6"/>
          </w:tcPr>
          <w:p>
            <w:pPr>
              <w:spacing w:after="0"/>
              <w:rPr>
                <w:sz w:val="20"/>
                <w:szCs w:val="20"/>
                <w:color w:val="auto"/>
              </w:rPr>
            </w:pPr>
            <w:r>
              <w:rPr>
                <w:rFonts w:ascii="Arial" w:cs="Arial" w:eastAsia="Arial" w:hAnsi="Arial"/>
                <w:sz w:val="16"/>
                <w:szCs w:val="16"/>
                <w:color w:val="auto"/>
              </w:rPr>
              <w:t>2020 provided that executive</w:t>
            </w:r>
          </w:p>
        </w:tc>
        <w:tc>
          <w:tcPr>
            <w:tcW w:w="2580" w:type="dxa"/>
            <w:vAlign w:val="bottom"/>
            <w:tcBorders>
              <w:right w:val="single" w:sz="8" w:color="00548B"/>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6"/>
          </w:tcPr>
          <w:p>
            <w:pPr>
              <w:spacing w:after="0"/>
              <w:rPr>
                <w:sz w:val="20"/>
                <w:szCs w:val="20"/>
                <w:color w:val="auto"/>
              </w:rPr>
            </w:pPr>
            <w:r>
              <w:rPr>
                <w:rFonts w:ascii="Arial" w:cs="Arial" w:eastAsia="Arial" w:hAnsi="Arial"/>
                <w:sz w:val="16"/>
                <w:szCs w:val="16"/>
                <w:color w:val="auto"/>
              </w:rPr>
              <w:t>remains employed at Huron</w:t>
            </w:r>
          </w:p>
        </w:tc>
        <w:tc>
          <w:tcPr>
            <w:tcW w:w="2580" w:type="dxa"/>
            <w:vAlign w:val="bottom"/>
            <w:tcBorders>
              <w:right w:val="single" w:sz="8" w:color="00548B"/>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6"/>
          </w:tcPr>
          <w:p>
            <w:pPr>
              <w:spacing w:after="0"/>
              <w:rPr>
                <w:sz w:val="20"/>
                <w:szCs w:val="20"/>
                <w:color w:val="auto"/>
              </w:rPr>
            </w:pPr>
            <w:r>
              <w:rPr>
                <w:rFonts w:ascii="Arial" w:cs="Arial" w:eastAsia="Arial" w:hAnsi="Arial"/>
                <w:sz w:val="16"/>
                <w:szCs w:val="16"/>
                <w:color w:val="auto"/>
              </w:rPr>
              <w:t>through the 2019 Performance</w:t>
            </w:r>
          </w:p>
        </w:tc>
        <w:tc>
          <w:tcPr>
            <w:tcW w:w="2580" w:type="dxa"/>
            <w:vAlign w:val="bottom"/>
            <w:tcBorders>
              <w:right w:val="single" w:sz="8" w:color="00548B"/>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40" w:type="dxa"/>
            <w:vAlign w:val="bottom"/>
            <w:tcBorders>
              <w:left w:val="single" w:sz="8" w:color="00548B"/>
              <w:bottom w:val="single" w:sz="8" w:color="999999"/>
              <w:right w:val="single" w:sz="8" w:color="999999"/>
            </w:tcBorders>
          </w:tcPr>
          <w:p>
            <w:pPr>
              <w:spacing w:after="0"/>
              <w:rPr>
                <w:sz w:val="17"/>
                <w:szCs w:val="17"/>
                <w:color w:val="auto"/>
              </w:rPr>
            </w:pPr>
          </w:p>
        </w:tc>
        <w:tc>
          <w:tcPr>
            <w:tcW w:w="2660" w:type="dxa"/>
            <w:vAlign w:val="bottom"/>
            <w:tcBorders>
              <w:bottom w:val="single" w:sz="8" w:color="999999"/>
              <w:right w:val="single" w:sz="8" w:color="999999"/>
            </w:tcBorders>
          </w:tcPr>
          <w:p>
            <w:pPr>
              <w:spacing w:after="0"/>
              <w:rPr>
                <w:sz w:val="17"/>
                <w:szCs w:val="17"/>
                <w:color w:val="auto"/>
              </w:rPr>
            </w:pPr>
          </w:p>
        </w:tc>
        <w:tc>
          <w:tcPr>
            <w:tcW w:w="80" w:type="dxa"/>
            <w:vAlign w:val="bottom"/>
            <w:tcBorders>
              <w:bottom w:val="single" w:sz="8" w:color="999999"/>
            </w:tcBorders>
          </w:tcPr>
          <w:p>
            <w:pPr>
              <w:spacing w:after="0"/>
              <w:rPr>
                <w:sz w:val="17"/>
                <w:szCs w:val="17"/>
                <w:color w:val="auto"/>
              </w:rPr>
            </w:pPr>
          </w:p>
        </w:tc>
        <w:tc>
          <w:tcPr>
            <w:tcW w:w="2580" w:type="dxa"/>
            <w:vAlign w:val="bottom"/>
            <w:tcBorders>
              <w:bottom w:val="single" w:sz="8" w:color="999999"/>
              <w:right w:val="single" w:sz="8" w:color="999999"/>
            </w:tcBorders>
            <w:gridSpan w:val="6"/>
          </w:tcPr>
          <w:p>
            <w:pPr>
              <w:spacing w:after="0"/>
              <w:rPr>
                <w:sz w:val="20"/>
                <w:szCs w:val="20"/>
                <w:color w:val="auto"/>
              </w:rPr>
            </w:pPr>
            <w:r>
              <w:rPr>
                <w:rFonts w:ascii="Arial" w:cs="Arial" w:eastAsia="Arial" w:hAnsi="Arial"/>
                <w:sz w:val="16"/>
                <w:szCs w:val="16"/>
                <w:color w:val="auto"/>
              </w:rPr>
              <w:t>Period.</w:t>
            </w:r>
          </w:p>
        </w:tc>
        <w:tc>
          <w:tcPr>
            <w:tcW w:w="2580" w:type="dxa"/>
            <w:vAlign w:val="bottom"/>
            <w:tcBorders>
              <w:bottom w:val="single" w:sz="8" w:color="999999"/>
              <w:right w:val="single" w:sz="8" w:color="00548B"/>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140" w:type="dxa"/>
            <w:vAlign w:val="bottom"/>
            <w:tcBorders>
              <w:left w:val="single" w:sz="8" w:color="00548B"/>
              <w:right w:val="single" w:sz="8" w:color="999999"/>
            </w:tcBorders>
          </w:tcPr>
          <w:p>
            <w:pPr>
              <w:ind w:left="140"/>
              <w:spacing w:after="0" w:line="158" w:lineRule="exact"/>
              <w:rPr>
                <w:sz w:val="20"/>
                <w:szCs w:val="20"/>
                <w:color w:val="auto"/>
              </w:rPr>
            </w:pPr>
            <w:r>
              <w:rPr>
                <w:rFonts w:ascii="Arial" w:cs="Arial" w:eastAsia="Arial" w:hAnsi="Arial"/>
                <w:sz w:val="16"/>
                <w:szCs w:val="16"/>
                <w:color w:val="auto"/>
              </w:rPr>
              <w:t>Voluntary Termination</w:t>
            </w:r>
          </w:p>
        </w:tc>
        <w:tc>
          <w:tcPr>
            <w:tcW w:w="2660" w:type="dxa"/>
            <w:vAlign w:val="bottom"/>
            <w:tcBorders>
              <w:right w:val="single" w:sz="8" w:color="999999"/>
            </w:tcBorders>
          </w:tcPr>
          <w:p>
            <w:pPr>
              <w:ind w:left="80"/>
              <w:spacing w:after="0" w:line="158" w:lineRule="exact"/>
              <w:rPr>
                <w:sz w:val="20"/>
                <w:szCs w:val="20"/>
                <w:color w:val="auto"/>
              </w:rPr>
            </w:pPr>
            <w:r>
              <w:rPr>
                <w:rFonts w:ascii="Arial" w:cs="Arial" w:eastAsia="Arial" w:hAnsi="Arial"/>
                <w:sz w:val="16"/>
                <w:szCs w:val="16"/>
                <w:color w:val="auto"/>
              </w:rPr>
              <w:t>Forfeit.</w:t>
            </w:r>
          </w:p>
        </w:tc>
        <w:tc>
          <w:tcPr>
            <w:tcW w:w="80" w:type="dxa"/>
            <w:vAlign w:val="bottom"/>
          </w:tcPr>
          <w:p>
            <w:pPr>
              <w:spacing w:after="0"/>
              <w:rPr>
                <w:sz w:val="13"/>
                <w:szCs w:val="13"/>
                <w:color w:val="auto"/>
              </w:rPr>
            </w:pPr>
          </w:p>
        </w:tc>
        <w:tc>
          <w:tcPr>
            <w:tcW w:w="1700" w:type="dxa"/>
            <w:vAlign w:val="bottom"/>
            <w:tcBorders>
              <w:bottom w:val="single" w:sz="8" w:color="auto"/>
            </w:tcBorders>
            <w:gridSpan w:val="3"/>
          </w:tcPr>
          <w:p>
            <w:pPr>
              <w:spacing w:after="0" w:line="158" w:lineRule="exact"/>
              <w:rPr>
                <w:sz w:val="20"/>
                <w:szCs w:val="20"/>
                <w:color w:val="auto"/>
              </w:rPr>
            </w:pPr>
            <w:r>
              <w:rPr>
                <w:rFonts w:ascii="Arial" w:cs="Arial" w:eastAsia="Arial" w:hAnsi="Arial"/>
                <w:sz w:val="16"/>
                <w:szCs w:val="16"/>
                <w:color w:val="auto"/>
                <w:w w:val="98"/>
              </w:rPr>
              <w:t>One-Year &amp; Three-Year</w:t>
            </w:r>
          </w:p>
        </w:tc>
        <w:tc>
          <w:tcPr>
            <w:tcW w:w="880" w:type="dxa"/>
            <w:vAlign w:val="bottom"/>
            <w:tcBorders>
              <w:right w:val="single" w:sz="8" w:color="999999"/>
            </w:tcBorders>
            <w:gridSpan w:val="3"/>
          </w:tcPr>
          <w:p>
            <w:pPr>
              <w:spacing w:after="0"/>
              <w:rPr>
                <w:sz w:val="13"/>
                <w:szCs w:val="13"/>
                <w:color w:val="auto"/>
              </w:rPr>
            </w:pPr>
          </w:p>
        </w:tc>
        <w:tc>
          <w:tcPr>
            <w:tcW w:w="2580" w:type="dxa"/>
            <w:vAlign w:val="bottom"/>
            <w:tcBorders>
              <w:right w:val="single" w:sz="8" w:color="00548B"/>
            </w:tcBorders>
          </w:tcPr>
          <w:p>
            <w:pPr>
              <w:ind w:left="80"/>
              <w:spacing w:after="0" w:line="158" w:lineRule="exact"/>
              <w:rPr>
                <w:sz w:val="20"/>
                <w:szCs w:val="20"/>
                <w:color w:val="auto"/>
              </w:rPr>
            </w:pPr>
            <w:r>
              <w:rPr>
                <w:rFonts w:ascii="Arial" w:cs="Arial" w:eastAsia="Arial" w:hAnsi="Arial"/>
                <w:sz w:val="16"/>
                <w:szCs w:val="16"/>
                <w:color w:val="auto"/>
              </w:rPr>
              <w:t>Forfeit.</w:t>
            </w:r>
          </w:p>
        </w:tc>
        <w:tc>
          <w:tcPr>
            <w:tcW w:w="0" w:type="dxa"/>
            <w:vAlign w:val="bottom"/>
          </w:tcPr>
          <w:p>
            <w:pPr>
              <w:spacing w:after="0"/>
              <w:rPr>
                <w:sz w:val="1"/>
                <w:szCs w:val="1"/>
                <w:color w:val="auto"/>
              </w:rPr>
            </w:pPr>
          </w:p>
        </w:tc>
      </w:tr>
      <w:tr>
        <w:trPr>
          <w:trHeight w:val="169"/>
        </w:trPr>
        <w:tc>
          <w:tcPr>
            <w:tcW w:w="3140" w:type="dxa"/>
            <w:vAlign w:val="bottom"/>
            <w:tcBorders>
              <w:left w:val="single" w:sz="8" w:color="00548B"/>
              <w:right w:val="single" w:sz="8" w:color="999999"/>
            </w:tcBorders>
          </w:tcPr>
          <w:p>
            <w:pPr>
              <w:spacing w:after="0"/>
              <w:rPr>
                <w:sz w:val="14"/>
                <w:szCs w:val="14"/>
                <w:color w:val="auto"/>
              </w:rPr>
            </w:pPr>
          </w:p>
        </w:tc>
        <w:tc>
          <w:tcPr>
            <w:tcW w:w="2660" w:type="dxa"/>
            <w:vAlign w:val="bottom"/>
            <w:tcBorders>
              <w:right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tcBorders>
              <w:right w:val="single" w:sz="8" w:color="999999"/>
            </w:tcBorders>
            <w:gridSpan w:val="6"/>
          </w:tcPr>
          <w:p>
            <w:pPr>
              <w:spacing w:after="0" w:line="169" w:lineRule="exact"/>
              <w:rPr>
                <w:sz w:val="20"/>
                <w:szCs w:val="20"/>
                <w:color w:val="auto"/>
              </w:rPr>
            </w:pPr>
            <w:r>
              <w:rPr>
                <w:rFonts w:ascii="Arial" w:cs="Arial" w:eastAsia="Arial" w:hAnsi="Arial"/>
                <w:sz w:val="16"/>
                <w:szCs w:val="16"/>
                <w:color w:val="auto"/>
              </w:rPr>
              <w:t>Performance Units &amp;</w:t>
            </w:r>
          </w:p>
        </w:tc>
        <w:tc>
          <w:tcPr>
            <w:tcW w:w="2580" w:type="dxa"/>
            <w:vAlign w:val="bottom"/>
            <w:tcBorders>
              <w:right w:val="single" w:sz="8" w:color="00548B"/>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40" w:type="dxa"/>
            <w:vAlign w:val="bottom"/>
            <w:tcBorders>
              <w:left w:val="single" w:sz="8" w:color="00548B"/>
              <w:right w:val="single" w:sz="8" w:color="999999"/>
            </w:tcBorders>
          </w:tcPr>
          <w:p>
            <w:pPr>
              <w:spacing w:after="0" w:line="20" w:lineRule="exact"/>
              <w:rPr>
                <w:sz w:val="1"/>
                <w:szCs w:val="1"/>
                <w:color w:val="auto"/>
              </w:rPr>
            </w:pPr>
          </w:p>
        </w:tc>
        <w:tc>
          <w:tcPr>
            <w:tcW w:w="26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tcBorders>
              <w:right w:val="single" w:sz="8" w:color="999999"/>
            </w:tcBorders>
            <w:gridSpan w:val="4"/>
          </w:tcPr>
          <w:p>
            <w:pPr>
              <w:spacing w:after="0" w:line="20" w:lineRule="exact"/>
              <w:rPr>
                <w:sz w:val="1"/>
                <w:szCs w:val="1"/>
                <w:color w:val="auto"/>
              </w:rPr>
            </w:pPr>
          </w:p>
        </w:tc>
        <w:tc>
          <w:tcPr>
            <w:tcW w:w="2580" w:type="dxa"/>
            <w:vAlign w:val="bottom"/>
            <w:tcBorders>
              <w:right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left w:val="single" w:sz="8" w:color="00548B"/>
              <w:right w:val="single" w:sz="8" w:color="999999"/>
            </w:tcBorders>
          </w:tcPr>
          <w:p>
            <w:pPr>
              <w:spacing w:after="0"/>
              <w:rPr>
                <w:sz w:val="14"/>
                <w:szCs w:val="14"/>
                <w:color w:val="auto"/>
              </w:rPr>
            </w:pPr>
          </w:p>
        </w:tc>
        <w:tc>
          <w:tcPr>
            <w:tcW w:w="2660" w:type="dxa"/>
            <w:vAlign w:val="bottom"/>
            <w:tcBorders>
              <w:right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tcBorders>
              <w:right w:val="single" w:sz="8" w:color="999999"/>
            </w:tcBorders>
            <w:gridSpan w:val="6"/>
          </w:tcPr>
          <w:p>
            <w:pPr>
              <w:spacing w:after="0" w:line="169" w:lineRule="exact"/>
              <w:rPr>
                <w:sz w:val="20"/>
                <w:szCs w:val="20"/>
                <w:color w:val="auto"/>
              </w:rPr>
            </w:pPr>
            <w:r>
              <w:rPr>
                <w:rFonts w:ascii="Arial" w:cs="Arial" w:eastAsia="Arial" w:hAnsi="Arial"/>
                <w:sz w:val="16"/>
                <w:szCs w:val="16"/>
                <w:color w:val="auto"/>
              </w:rPr>
              <w:t>Earned Shares: Forfeit.</w:t>
            </w:r>
          </w:p>
        </w:tc>
        <w:tc>
          <w:tcPr>
            <w:tcW w:w="2580" w:type="dxa"/>
            <w:vAlign w:val="bottom"/>
            <w:tcBorders>
              <w:right w:val="single" w:sz="8" w:color="00548B"/>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40" w:type="dxa"/>
            <w:vAlign w:val="bottom"/>
            <w:tcBorders>
              <w:left w:val="single" w:sz="8" w:color="00548B"/>
              <w:bottom w:val="single" w:sz="8" w:color="999999"/>
              <w:right w:val="single" w:sz="8" w:color="999999"/>
            </w:tcBorders>
          </w:tcPr>
          <w:p>
            <w:pPr>
              <w:spacing w:after="0" w:line="20" w:lineRule="exact"/>
              <w:rPr>
                <w:sz w:val="1"/>
                <w:szCs w:val="1"/>
                <w:color w:val="auto"/>
              </w:rPr>
            </w:pPr>
          </w:p>
        </w:tc>
        <w:tc>
          <w:tcPr>
            <w:tcW w:w="2660" w:type="dxa"/>
            <w:vAlign w:val="bottom"/>
            <w:tcBorders>
              <w:bottom w:val="single" w:sz="8" w:color="999999"/>
              <w:right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080" w:type="dxa"/>
            <w:vAlign w:val="bottom"/>
            <w:tcBorders>
              <w:top w:val="single" w:sz="8" w:color="auto"/>
              <w:bottom w:val="single" w:sz="8" w:color="999999"/>
            </w:tcBorders>
          </w:tcPr>
          <w:p>
            <w:pPr>
              <w:spacing w:after="0" w:line="20" w:lineRule="exact"/>
              <w:rPr>
                <w:sz w:val="1"/>
                <w:szCs w:val="1"/>
                <w:color w:val="auto"/>
              </w:rPr>
            </w:pPr>
          </w:p>
        </w:tc>
        <w:tc>
          <w:tcPr>
            <w:tcW w:w="42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380" w:type="dxa"/>
            <w:vAlign w:val="bottom"/>
            <w:tcBorders>
              <w:bottom w:val="single" w:sz="8" w:color="999999"/>
              <w:right w:val="single" w:sz="8" w:color="999999"/>
            </w:tcBorders>
          </w:tcPr>
          <w:p>
            <w:pPr>
              <w:spacing w:after="0" w:line="20" w:lineRule="exact"/>
              <w:rPr>
                <w:sz w:val="1"/>
                <w:szCs w:val="1"/>
                <w:color w:val="auto"/>
              </w:rPr>
            </w:pPr>
          </w:p>
        </w:tc>
        <w:tc>
          <w:tcPr>
            <w:tcW w:w="2580" w:type="dxa"/>
            <w:vAlign w:val="bottom"/>
            <w:tcBorders>
              <w:bottom w:val="single" w:sz="8" w:color="999999"/>
              <w:right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40" w:type="dxa"/>
            <w:vAlign w:val="bottom"/>
            <w:tcBorders>
              <w:left w:val="single" w:sz="8" w:color="00548B"/>
              <w:right w:val="single" w:sz="8" w:color="999999"/>
            </w:tcBorders>
          </w:tcPr>
          <w:p>
            <w:pPr>
              <w:ind w:left="140"/>
              <w:spacing w:after="0" w:line="142" w:lineRule="exact"/>
              <w:rPr>
                <w:sz w:val="20"/>
                <w:szCs w:val="20"/>
                <w:color w:val="auto"/>
              </w:rPr>
            </w:pPr>
            <w:r>
              <w:rPr>
                <w:rFonts w:ascii="Arial" w:cs="Arial" w:eastAsia="Arial" w:hAnsi="Arial"/>
                <w:sz w:val="16"/>
                <w:szCs w:val="16"/>
                <w:color w:val="auto"/>
              </w:rPr>
              <w:t>Termination for “Cause”</w:t>
            </w:r>
          </w:p>
        </w:tc>
        <w:tc>
          <w:tcPr>
            <w:tcW w:w="2660" w:type="dxa"/>
            <w:vAlign w:val="bottom"/>
            <w:tcBorders>
              <w:right w:val="single" w:sz="8" w:color="999999"/>
            </w:tcBorders>
          </w:tcPr>
          <w:p>
            <w:pPr>
              <w:ind w:left="80"/>
              <w:spacing w:after="0" w:line="142" w:lineRule="exact"/>
              <w:rPr>
                <w:sz w:val="20"/>
                <w:szCs w:val="20"/>
                <w:color w:val="auto"/>
              </w:rPr>
            </w:pPr>
            <w:r>
              <w:rPr>
                <w:rFonts w:ascii="Arial" w:cs="Arial" w:eastAsia="Arial" w:hAnsi="Arial"/>
                <w:sz w:val="16"/>
                <w:szCs w:val="16"/>
                <w:color w:val="auto"/>
              </w:rPr>
              <w:t>Forfeit.</w:t>
            </w:r>
          </w:p>
        </w:tc>
        <w:tc>
          <w:tcPr>
            <w:tcW w:w="80" w:type="dxa"/>
            <w:vAlign w:val="bottom"/>
          </w:tcPr>
          <w:p>
            <w:pPr>
              <w:spacing w:after="0"/>
              <w:rPr>
                <w:sz w:val="12"/>
                <w:szCs w:val="12"/>
                <w:color w:val="auto"/>
              </w:rPr>
            </w:pPr>
          </w:p>
        </w:tc>
        <w:tc>
          <w:tcPr>
            <w:tcW w:w="17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6"/>
                <w:szCs w:val="16"/>
                <w:color w:val="auto"/>
                <w:w w:val="98"/>
              </w:rPr>
              <w:t>One-Year &amp; Three-Year</w:t>
            </w:r>
          </w:p>
        </w:tc>
        <w:tc>
          <w:tcPr>
            <w:tcW w:w="880" w:type="dxa"/>
            <w:vAlign w:val="bottom"/>
            <w:tcBorders>
              <w:right w:val="single" w:sz="8" w:color="999999"/>
            </w:tcBorders>
            <w:gridSpan w:val="3"/>
          </w:tcPr>
          <w:p>
            <w:pPr>
              <w:spacing w:after="0"/>
              <w:rPr>
                <w:sz w:val="12"/>
                <w:szCs w:val="12"/>
                <w:color w:val="auto"/>
              </w:rPr>
            </w:pPr>
          </w:p>
        </w:tc>
        <w:tc>
          <w:tcPr>
            <w:tcW w:w="2580" w:type="dxa"/>
            <w:vAlign w:val="bottom"/>
            <w:tcBorders>
              <w:right w:val="single" w:sz="8" w:color="00548B"/>
            </w:tcBorders>
          </w:tcPr>
          <w:p>
            <w:pPr>
              <w:ind w:left="80"/>
              <w:spacing w:after="0" w:line="142" w:lineRule="exact"/>
              <w:rPr>
                <w:sz w:val="20"/>
                <w:szCs w:val="20"/>
                <w:color w:val="auto"/>
              </w:rPr>
            </w:pPr>
            <w:r>
              <w:rPr>
                <w:rFonts w:ascii="Arial" w:cs="Arial" w:eastAsia="Arial" w:hAnsi="Arial"/>
                <w:sz w:val="16"/>
                <w:szCs w:val="16"/>
                <w:color w:val="auto"/>
              </w:rPr>
              <w:t>Forfeit.</w:t>
            </w:r>
          </w:p>
        </w:tc>
        <w:tc>
          <w:tcPr>
            <w:tcW w:w="0" w:type="dxa"/>
            <w:vAlign w:val="bottom"/>
          </w:tcPr>
          <w:p>
            <w:pPr>
              <w:spacing w:after="0"/>
              <w:rPr>
                <w:sz w:val="1"/>
                <w:szCs w:val="1"/>
                <w:color w:val="auto"/>
              </w:rPr>
            </w:pPr>
          </w:p>
        </w:tc>
      </w:tr>
      <w:tr>
        <w:trPr>
          <w:trHeight w:val="169"/>
        </w:trPr>
        <w:tc>
          <w:tcPr>
            <w:tcW w:w="3140" w:type="dxa"/>
            <w:vAlign w:val="bottom"/>
            <w:tcBorders>
              <w:left w:val="single" w:sz="8" w:color="00548B"/>
              <w:right w:val="single" w:sz="8" w:color="999999"/>
            </w:tcBorders>
          </w:tcPr>
          <w:p>
            <w:pPr>
              <w:spacing w:after="0"/>
              <w:rPr>
                <w:sz w:val="14"/>
                <w:szCs w:val="14"/>
                <w:color w:val="auto"/>
              </w:rPr>
            </w:pPr>
          </w:p>
        </w:tc>
        <w:tc>
          <w:tcPr>
            <w:tcW w:w="2660" w:type="dxa"/>
            <w:vAlign w:val="bottom"/>
            <w:tcBorders>
              <w:right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tcBorders>
              <w:right w:val="single" w:sz="8" w:color="999999"/>
            </w:tcBorders>
            <w:gridSpan w:val="6"/>
          </w:tcPr>
          <w:p>
            <w:pPr>
              <w:spacing w:after="0" w:line="169" w:lineRule="exact"/>
              <w:rPr>
                <w:sz w:val="20"/>
                <w:szCs w:val="20"/>
                <w:color w:val="auto"/>
              </w:rPr>
            </w:pPr>
            <w:r>
              <w:rPr>
                <w:rFonts w:ascii="Arial" w:cs="Arial" w:eastAsia="Arial" w:hAnsi="Arial"/>
                <w:sz w:val="16"/>
                <w:szCs w:val="16"/>
                <w:color w:val="auto"/>
              </w:rPr>
              <w:t>Performance Units &amp;</w:t>
            </w:r>
          </w:p>
        </w:tc>
        <w:tc>
          <w:tcPr>
            <w:tcW w:w="2580" w:type="dxa"/>
            <w:vAlign w:val="bottom"/>
            <w:tcBorders>
              <w:right w:val="single" w:sz="8" w:color="00548B"/>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40" w:type="dxa"/>
            <w:vAlign w:val="bottom"/>
            <w:tcBorders>
              <w:left w:val="single" w:sz="8" w:color="00548B"/>
              <w:right w:val="single" w:sz="8" w:color="999999"/>
            </w:tcBorders>
          </w:tcPr>
          <w:p>
            <w:pPr>
              <w:spacing w:after="0" w:line="20" w:lineRule="exact"/>
              <w:rPr>
                <w:sz w:val="1"/>
                <w:szCs w:val="1"/>
                <w:color w:val="auto"/>
              </w:rPr>
            </w:pPr>
          </w:p>
        </w:tc>
        <w:tc>
          <w:tcPr>
            <w:tcW w:w="26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080" w:type="dxa"/>
            <w:vAlign w:val="bottom"/>
            <w:tcBorders>
              <w:right w:val="single" w:sz="8" w:color="999999"/>
            </w:tcBorders>
            <w:gridSpan w:val="4"/>
          </w:tcPr>
          <w:p>
            <w:pPr>
              <w:spacing w:after="0" w:line="20" w:lineRule="exact"/>
              <w:rPr>
                <w:sz w:val="1"/>
                <w:szCs w:val="1"/>
                <w:color w:val="auto"/>
              </w:rPr>
            </w:pPr>
          </w:p>
        </w:tc>
        <w:tc>
          <w:tcPr>
            <w:tcW w:w="2580" w:type="dxa"/>
            <w:vAlign w:val="bottom"/>
            <w:tcBorders>
              <w:right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left w:val="single" w:sz="8" w:color="00548B"/>
              <w:right w:val="single" w:sz="8" w:color="999999"/>
            </w:tcBorders>
          </w:tcPr>
          <w:p>
            <w:pPr>
              <w:spacing w:after="0"/>
              <w:rPr>
                <w:sz w:val="14"/>
                <w:szCs w:val="14"/>
                <w:color w:val="auto"/>
              </w:rPr>
            </w:pPr>
          </w:p>
        </w:tc>
        <w:tc>
          <w:tcPr>
            <w:tcW w:w="2660" w:type="dxa"/>
            <w:vAlign w:val="bottom"/>
            <w:tcBorders>
              <w:right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tcBorders>
              <w:right w:val="single" w:sz="8" w:color="999999"/>
            </w:tcBorders>
            <w:gridSpan w:val="6"/>
          </w:tcPr>
          <w:p>
            <w:pPr>
              <w:spacing w:after="0" w:line="169" w:lineRule="exact"/>
              <w:rPr>
                <w:sz w:val="20"/>
                <w:szCs w:val="20"/>
                <w:color w:val="auto"/>
              </w:rPr>
            </w:pPr>
            <w:r>
              <w:rPr>
                <w:rFonts w:ascii="Arial" w:cs="Arial" w:eastAsia="Arial" w:hAnsi="Arial"/>
                <w:sz w:val="16"/>
                <w:szCs w:val="16"/>
                <w:color w:val="auto"/>
              </w:rPr>
              <w:t>Earned Shares: Forfeit.</w:t>
            </w:r>
          </w:p>
        </w:tc>
        <w:tc>
          <w:tcPr>
            <w:tcW w:w="2580" w:type="dxa"/>
            <w:vAlign w:val="bottom"/>
            <w:tcBorders>
              <w:right w:val="single" w:sz="8" w:color="00548B"/>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40" w:type="dxa"/>
            <w:vAlign w:val="bottom"/>
            <w:tcBorders>
              <w:left w:val="single" w:sz="8" w:color="00548B"/>
              <w:bottom w:val="single" w:sz="8" w:color="00548B"/>
              <w:right w:val="single" w:sz="8" w:color="999999"/>
            </w:tcBorders>
          </w:tcPr>
          <w:p>
            <w:pPr>
              <w:spacing w:after="0" w:line="20" w:lineRule="exact"/>
              <w:rPr>
                <w:sz w:val="1"/>
                <w:szCs w:val="1"/>
                <w:color w:val="auto"/>
              </w:rPr>
            </w:pPr>
          </w:p>
        </w:tc>
        <w:tc>
          <w:tcPr>
            <w:tcW w:w="2660" w:type="dxa"/>
            <w:vAlign w:val="bottom"/>
            <w:tcBorders>
              <w:bottom w:val="single" w:sz="8" w:color="00548B"/>
              <w:right w:val="single" w:sz="8" w:color="999999"/>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080" w:type="dxa"/>
            <w:vAlign w:val="bottom"/>
            <w:tcBorders>
              <w:top w:val="single" w:sz="8" w:color="auto"/>
              <w:bottom w:val="single" w:sz="8" w:color="00548B"/>
            </w:tcBorders>
          </w:tcPr>
          <w:p>
            <w:pPr>
              <w:spacing w:after="0" w:line="20" w:lineRule="exact"/>
              <w:rPr>
                <w:sz w:val="1"/>
                <w:szCs w:val="1"/>
                <w:color w:val="auto"/>
              </w:rPr>
            </w:pPr>
          </w:p>
        </w:tc>
        <w:tc>
          <w:tcPr>
            <w:tcW w:w="42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right w:val="single" w:sz="8" w:color="999999"/>
            </w:tcBorders>
          </w:tcPr>
          <w:p>
            <w:pPr>
              <w:spacing w:after="0" w:line="20" w:lineRule="exact"/>
              <w:rPr>
                <w:sz w:val="1"/>
                <w:szCs w:val="1"/>
                <w:color w:val="auto"/>
              </w:rPr>
            </w:pPr>
          </w:p>
        </w:tc>
        <w:tc>
          <w:tcPr>
            <w:tcW w:w="2580" w:type="dxa"/>
            <w:vAlign w:val="bottom"/>
            <w:tcBorders>
              <w:bottom w:val="single" w:sz="8" w:color="00548B"/>
              <w:right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40</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184"/>
        </w:trPr>
        <w:tc>
          <w:tcPr>
            <w:tcW w:w="3140" w:type="dxa"/>
            <w:vAlign w:val="bottom"/>
            <w:tcBorders>
              <w:top w:val="single" w:sz="8" w:color="00548B"/>
              <w:left w:val="single" w:sz="8" w:color="00548B"/>
              <w:right w:val="single" w:sz="8" w:color="999999"/>
            </w:tcBorders>
            <w:shd w:val="clear" w:color="auto" w:fill="00548B"/>
          </w:tcPr>
          <w:p>
            <w:pPr>
              <w:spacing w:after="0"/>
              <w:rPr>
                <w:sz w:val="16"/>
                <w:szCs w:val="16"/>
                <w:color w:val="auto"/>
              </w:rPr>
            </w:pPr>
          </w:p>
        </w:tc>
        <w:tc>
          <w:tcPr>
            <w:tcW w:w="2660" w:type="dxa"/>
            <w:vAlign w:val="bottom"/>
            <w:tcBorders>
              <w:top w:val="single" w:sz="8" w:color="00548B"/>
              <w:right w:val="single" w:sz="8" w:color="999999"/>
            </w:tcBorders>
            <w:shd w:val="clear" w:color="auto" w:fill="00548B"/>
          </w:tcPr>
          <w:p>
            <w:pPr>
              <w:ind w:left="560"/>
              <w:spacing w:after="0"/>
              <w:rPr>
                <w:sz w:val="20"/>
                <w:szCs w:val="20"/>
                <w:color w:val="auto"/>
              </w:rPr>
            </w:pPr>
            <w:r>
              <w:rPr>
                <w:rFonts w:ascii="Arial" w:cs="Arial" w:eastAsia="Arial" w:hAnsi="Arial"/>
                <w:sz w:val="16"/>
                <w:szCs w:val="16"/>
                <w:b w:val="1"/>
                <w:bCs w:val="1"/>
                <w:color w:val="E5E5E5"/>
              </w:rPr>
              <w:t>Restricted Stock and</w:t>
            </w:r>
          </w:p>
        </w:tc>
        <w:tc>
          <w:tcPr>
            <w:tcW w:w="80" w:type="dxa"/>
            <w:vAlign w:val="bottom"/>
            <w:tcBorders>
              <w:top w:val="single" w:sz="8" w:color="00548B"/>
            </w:tcBorders>
            <w:shd w:val="clear" w:color="auto" w:fill="00548B"/>
          </w:tcPr>
          <w:p>
            <w:pPr>
              <w:spacing w:after="0"/>
              <w:rPr>
                <w:sz w:val="16"/>
                <w:szCs w:val="16"/>
                <w:color w:val="auto"/>
              </w:rPr>
            </w:pPr>
          </w:p>
        </w:tc>
        <w:tc>
          <w:tcPr>
            <w:tcW w:w="2080" w:type="dxa"/>
            <w:vAlign w:val="bottom"/>
            <w:tcBorders>
              <w:top w:val="single" w:sz="8" w:color="00548B"/>
            </w:tcBorders>
            <w:shd w:val="clear" w:color="auto" w:fill="00548B"/>
          </w:tcPr>
          <w:p>
            <w:pPr>
              <w:spacing w:after="0"/>
              <w:rPr>
                <w:sz w:val="16"/>
                <w:szCs w:val="16"/>
                <w:color w:val="auto"/>
              </w:rPr>
            </w:pPr>
          </w:p>
        </w:tc>
        <w:tc>
          <w:tcPr>
            <w:tcW w:w="140" w:type="dxa"/>
            <w:vAlign w:val="bottom"/>
            <w:tcBorders>
              <w:top w:val="single" w:sz="8" w:color="00548B"/>
              <w:right w:val="single" w:sz="8" w:color="00548B"/>
            </w:tcBorders>
            <w:shd w:val="clear" w:color="auto" w:fill="00548B"/>
          </w:tcPr>
          <w:p>
            <w:pPr>
              <w:spacing w:after="0"/>
              <w:rPr>
                <w:sz w:val="16"/>
                <w:szCs w:val="16"/>
                <w:color w:val="auto"/>
              </w:rPr>
            </w:pPr>
          </w:p>
        </w:tc>
        <w:tc>
          <w:tcPr>
            <w:tcW w:w="360" w:type="dxa"/>
            <w:vAlign w:val="bottom"/>
            <w:tcBorders>
              <w:top w:val="single" w:sz="8" w:color="00548B"/>
              <w:right w:val="single" w:sz="8" w:color="999999"/>
            </w:tcBorders>
            <w:shd w:val="clear" w:color="auto" w:fill="00548B"/>
          </w:tcPr>
          <w:p>
            <w:pPr>
              <w:spacing w:after="0"/>
              <w:rPr>
                <w:sz w:val="16"/>
                <w:szCs w:val="16"/>
                <w:color w:val="auto"/>
              </w:rPr>
            </w:pPr>
          </w:p>
        </w:tc>
        <w:tc>
          <w:tcPr>
            <w:tcW w:w="2580" w:type="dxa"/>
            <w:vAlign w:val="bottom"/>
            <w:tcBorders>
              <w:top w:val="single" w:sz="8" w:color="00548B"/>
              <w:right w:val="single" w:sz="8" w:color="00548B"/>
            </w:tcBorders>
            <w:shd w:val="clear" w:color="auto" w:fill="00548B"/>
          </w:tcPr>
          <w:p>
            <w:pPr>
              <w:spacing w:after="0"/>
              <w:rPr>
                <w:sz w:val="16"/>
                <w:szCs w:val="16"/>
                <w:color w:val="auto"/>
              </w:rPr>
            </w:pPr>
          </w:p>
        </w:tc>
      </w:tr>
      <w:tr>
        <w:trPr>
          <w:trHeight w:val="207"/>
        </w:trPr>
        <w:tc>
          <w:tcPr>
            <w:tcW w:w="3140" w:type="dxa"/>
            <w:vAlign w:val="bottom"/>
            <w:tcBorders>
              <w:left w:val="single" w:sz="8" w:color="00548B"/>
              <w:right w:val="single" w:sz="8" w:color="999999"/>
            </w:tcBorders>
            <w:shd w:val="clear" w:color="auto" w:fill="00548B"/>
          </w:tcPr>
          <w:p>
            <w:pPr>
              <w:ind w:left="1400"/>
              <w:spacing w:after="0"/>
              <w:rPr>
                <w:sz w:val="20"/>
                <w:szCs w:val="20"/>
                <w:color w:val="auto"/>
              </w:rPr>
            </w:pPr>
            <w:r>
              <w:rPr>
                <w:rFonts w:ascii="Arial" w:cs="Arial" w:eastAsia="Arial" w:hAnsi="Arial"/>
                <w:sz w:val="16"/>
                <w:szCs w:val="16"/>
                <w:b w:val="1"/>
                <w:bCs w:val="1"/>
                <w:color w:val="E5E5E5"/>
              </w:rPr>
              <w:t>Event</w:t>
            </w:r>
          </w:p>
        </w:tc>
        <w:tc>
          <w:tcPr>
            <w:tcW w:w="2660" w:type="dxa"/>
            <w:vAlign w:val="bottom"/>
            <w:tcBorders>
              <w:right w:val="single" w:sz="8" w:color="999999"/>
            </w:tcBorders>
            <w:shd w:val="clear" w:color="auto" w:fill="00548B"/>
          </w:tcPr>
          <w:p>
            <w:pPr>
              <w:ind w:left="1060"/>
              <w:spacing w:after="0"/>
              <w:rPr>
                <w:sz w:val="20"/>
                <w:szCs w:val="20"/>
                <w:color w:val="auto"/>
              </w:rPr>
            </w:pPr>
            <w:r>
              <w:rPr>
                <w:rFonts w:ascii="Arial" w:cs="Arial" w:eastAsia="Arial" w:hAnsi="Arial"/>
                <w:sz w:val="16"/>
                <w:szCs w:val="16"/>
                <w:b w:val="1"/>
                <w:bCs w:val="1"/>
                <w:color w:val="E5E5E5"/>
              </w:rPr>
              <w:t>Options</w:t>
            </w:r>
          </w:p>
        </w:tc>
        <w:tc>
          <w:tcPr>
            <w:tcW w:w="80" w:type="dxa"/>
            <w:vAlign w:val="bottom"/>
            <w:shd w:val="clear" w:color="auto" w:fill="00548B"/>
          </w:tcPr>
          <w:p>
            <w:pPr>
              <w:spacing w:after="0"/>
              <w:rPr>
                <w:sz w:val="18"/>
                <w:szCs w:val="18"/>
                <w:color w:val="auto"/>
              </w:rPr>
            </w:pPr>
          </w:p>
        </w:tc>
        <w:tc>
          <w:tcPr>
            <w:tcW w:w="2580" w:type="dxa"/>
            <w:vAlign w:val="bottom"/>
            <w:tcBorders>
              <w:right w:val="single" w:sz="8" w:color="999999"/>
            </w:tcBorders>
            <w:gridSpan w:val="3"/>
            <w:shd w:val="clear" w:color="auto" w:fill="00548B"/>
          </w:tcPr>
          <w:p>
            <w:pPr>
              <w:ind w:left="360"/>
              <w:spacing w:after="0"/>
              <w:rPr>
                <w:sz w:val="20"/>
                <w:szCs w:val="20"/>
                <w:color w:val="auto"/>
              </w:rPr>
            </w:pPr>
            <w:r>
              <w:rPr>
                <w:rFonts w:ascii="Arial" w:cs="Arial" w:eastAsia="Arial" w:hAnsi="Arial"/>
                <w:sz w:val="16"/>
                <w:szCs w:val="16"/>
                <w:b w:val="1"/>
                <w:bCs w:val="1"/>
                <w:color w:val="E5E5E5"/>
              </w:rPr>
              <w:t>2017 Performance Units</w:t>
            </w:r>
          </w:p>
        </w:tc>
        <w:tc>
          <w:tcPr>
            <w:tcW w:w="2580" w:type="dxa"/>
            <w:vAlign w:val="bottom"/>
            <w:tcBorders>
              <w:right w:val="single" w:sz="8" w:color="00548B"/>
            </w:tcBorders>
            <w:shd w:val="clear" w:color="auto" w:fill="00548B"/>
          </w:tcPr>
          <w:p>
            <w:pPr>
              <w:ind w:left="380"/>
              <w:spacing w:after="0"/>
              <w:rPr>
                <w:sz w:val="20"/>
                <w:szCs w:val="20"/>
                <w:color w:val="auto"/>
              </w:rPr>
            </w:pPr>
            <w:r>
              <w:rPr>
                <w:rFonts w:ascii="Arial" w:cs="Arial" w:eastAsia="Arial" w:hAnsi="Arial"/>
                <w:sz w:val="16"/>
                <w:szCs w:val="16"/>
                <w:b w:val="1"/>
                <w:bCs w:val="1"/>
                <w:color w:val="E5E5E5"/>
              </w:rPr>
              <w:t>2018 Performance Units</w:t>
            </w:r>
          </w:p>
        </w:tc>
      </w:tr>
      <w:tr>
        <w:trPr>
          <w:trHeight w:val="162"/>
        </w:trPr>
        <w:tc>
          <w:tcPr>
            <w:tcW w:w="3140" w:type="dxa"/>
            <w:vAlign w:val="bottom"/>
            <w:tcBorders>
              <w:left w:val="single" w:sz="8" w:color="00548B"/>
              <w:right w:val="single" w:sz="8" w:color="999999"/>
            </w:tcBorders>
          </w:tcPr>
          <w:p>
            <w:pPr>
              <w:ind w:left="140"/>
              <w:spacing w:after="0" w:line="162" w:lineRule="exact"/>
              <w:rPr>
                <w:sz w:val="20"/>
                <w:szCs w:val="20"/>
                <w:color w:val="auto"/>
              </w:rPr>
            </w:pPr>
            <w:r>
              <w:rPr>
                <w:rFonts w:ascii="Arial" w:cs="Arial" w:eastAsia="Arial" w:hAnsi="Arial"/>
                <w:sz w:val="16"/>
                <w:szCs w:val="16"/>
                <w:color w:val="auto"/>
              </w:rPr>
              <w:t>Approved Retirement (comply with</w:t>
            </w:r>
          </w:p>
        </w:tc>
        <w:tc>
          <w:tcPr>
            <w:tcW w:w="2660" w:type="dxa"/>
            <w:vAlign w:val="bottom"/>
            <w:tcBorders>
              <w:right w:val="single" w:sz="8" w:color="999999"/>
            </w:tcBorders>
          </w:tcPr>
          <w:p>
            <w:pPr>
              <w:ind w:left="80"/>
              <w:spacing w:after="0" w:line="162" w:lineRule="exact"/>
              <w:rPr>
                <w:sz w:val="20"/>
                <w:szCs w:val="20"/>
                <w:color w:val="auto"/>
              </w:rPr>
            </w:pPr>
            <w:r>
              <w:rPr>
                <w:rFonts w:ascii="Arial" w:cs="Arial" w:eastAsia="Arial" w:hAnsi="Arial"/>
                <w:sz w:val="16"/>
                <w:szCs w:val="16"/>
                <w:color w:val="auto"/>
              </w:rPr>
              <w:t>Subject to non-compete, vesting</w:t>
            </w:r>
          </w:p>
        </w:tc>
        <w:tc>
          <w:tcPr>
            <w:tcW w:w="80" w:type="dxa"/>
            <w:vAlign w:val="bottom"/>
          </w:tcPr>
          <w:p>
            <w:pPr>
              <w:spacing w:after="0"/>
              <w:rPr>
                <w:sz w:val="14"/>
                <w:szCs w:val="14"/>
                <w:color w:val="auto"/>
              </w:rPr>
            </w:pPr>
          </w:p>
        </w:tc>
        <w:tc>
          <w:tcPr>
            <w:tcW w:w="2580" w:type="dxa"/>
            <w:vAlign w:val="bottom"/>
            <w:tcBorders>
              <w:right w:val="single" w:sz="8" w:color="999999"/>
            </w:tcBorders>
            <w:gridSpan w:val="3"/>
          </w:tcPr>
          <w:p>
            <w:pPr>
              <w:spacing w:after="0" w:line="162" w:lineRule="exact"/>
              <w:rPr>
                <w:sz w:val="20"/>
                <w:szCs w:val="20"/>
                <w:color w:val="auto"/>
              </w:rPr>
            </w:pPr>
            <w:r>
              <w:rPr>
                <w:rFonts w:ascii="Arial" w:cs="Arial" w:eastAsia="Arial" w:hAnsi="Arial"/>
                <w:sz w:val="16"/>
                <w:szCs w:val="16"/>
                <w:color w:val="auto"/>
              </w:rPr>
              <w:t>One-Year Performance Units:</w:t>
            </w:r>
          </w:p>
        </w:tc>
        <w:tc>
          <w:tcPr>
            <w:tcW w:w="2580" w:type="dxa"/>
            <w:vAlign w:val="bottom"/>
            <w:tcBorders>
              <w:right w:val="single" w:sz="8" w:color="00548B"/>
            </w:tcBorders>
          </w:tcPr>
          <w:p>
            <w:pPr>
              <w:ind w:left="80"/>
              <w:spacing w:after="0" w:line="162" w:lineRule="exact"/>
              <w:rPr>
                <w:sz w:val="20"/>
                <w:szCs w:val="20"/>
                <w:color w:val="auto"/>
              </w:rPr>
            </w:pPr>
            <w:r>
              <w:rPr>
                <w:rFonts w:ascii="Arial" w:cs="Arial" w:eastAsia="Arial" w:hAnsi="Arial"/>
                <w:sz w:val="16"/>
                <w:szCs w:val="16"/>
                <w:color w:val="auto"/>
              </w:rPr>
              <w:t>Earned pro rata based on actual</w:t>
            </w:r>
          </w:p>
        </w:tc>
      </w:tr>
      <w:tr>
        <w:trPr>
          <w:trHeight w:val="20"/>
        </w:trPr>
        <w:tc>
          <w:tcPr>
            <w:tcW w:w="3140" w:type="dxa"/>
            <w:vAlign w:val="bottom"/>
            <w:tcBorders>
              <w:left w:val="single" w:sz="8" w:color="00548B"/>
              <w:right w:val="single" w:sz="8" w:color="999999"/>
            </w:tcBorders>
          </w:tcPr>
          <w:p>
            <w:pPr>
              <w:spacing w:after="0" w:line="20" w:lineRule="exact"/>
              <w:rPr>
                <w:sz w:val="1"/>
                <w:szCs w:val="1"/>
                <w:color w:val="auto"/>
              </w:rPr>
            </w:pPr>
          </w:p>
        </w:tc>
        <w:tc>
          <w:tcPr>
            <w:tcW w:w="26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999999"/>
            </w:tcBorders>
          </w:tcPr>
          <w:p>
            <w:pPr>
              <w:spacing w:after="0" w:line="20" w:lineRule="exact"/>
              <w:rPr>
                <w:sz w:val="1"/>
                <w:szCs w:val="1"/>
                <w:color w:val="auto"/>
              </w:rPr>
            </w:pPr>
          </w:p>
        </w:tc>
        <w:tc>
          <w:tcPr>
            <w:tcW w:w="2580" w:type="dxa"/>
            <w:vAlign w:val="bottom"/>
            <w:tcBorders>
              <w:right w:val="single" w:sz="8" w:color="00548B"/>
            </w:tcBorders>
          </w:tcPr>
          <w:p>
            <w:pPr>
              <w:spacing w:after="0" w:line="20" w:lineRule="exact"/>
              <w:rPr>
                <w:sz w:val="1"/>
                <w:szCs w:val="1"/>
                <w:color w:val="auto"/>
              </w:rPr>
            </w:pPr>
          </w:p>
        </w:tc>
      </w:tr>
      <w:tr>
        <w:trPr>
          <w:trHeight w:val="198"/>
        </w:trPr>
        <w:tc>
          <w:tcPr>
            <w:tcW w:w="314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non-compete provisions)</w:t>
            </w:r>
          </w:p>
        </w:tc>
        <w:tc>
          <w:tcPr>
            <w:tcW w:w="26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continues per normal course post-</w:t>
            </w:r>
          </w:p>
        </w:tc>
        <w:tc>
          <w:tcPr>
            <w:tcW w:w="80" w:type="dxa"/>
            <w:vAlign w:val="bottom"/>
          </w:tcPr>
          <w:p>
            <w:pPr>
              <w:spacing w:after="0"/>
              <w:rPr>
                <w:sz w:val="17"/>
                <w:szCs w:val="17"/>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Award continues in place per</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performance. Subject to</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retirement.</w:t>
            </w: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existing terms and vesting</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non-compete, vesting continues</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schedule, subject to non-compete.</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per normal course post-</w:t>
            </w:r>
          </w:p>
        </w:tc>
      </w:tr>
      <w:tr>
        <w:trPr>
          <w:trHeight w:val="195"/>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right w:val="single" w:sz="8" w:color="999999"/>
            </w:tcBorders>
          </w:tcPr>
          <w:p>
            <w:pPr>
              <w:spacing w:after="0"/>
              <w:rPr>
                <w:sz w:val="16"/>
                <w:szCs w:val="16"/>
                <w:color w:val="auto"/>
              </w:rPr>
            </w:pP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retirement.</w:t>
            </w:r>
          </w:p>
        </w:tc>
      </w:tr>
      <w:tr>
        <w:trPr>
          <w:trHeight w:val="168"/>
        </w:trPr>
        <w:tc>
          <w:tcPr>
            <w:tcW w:w="3140" w:type="dxa"/>
            <w:vAlign w:val="bottom"/>
            <w:tcBorders>
              <w:left w:val="single" w:sz="8" w:color="00548B"/>
              <w:right w:val="single" w:sz="8" w:color="999999"/>
            </w:tcBorders>
          </w:tcPr>
          <w:p>
            <w:pPr>
              <w:spacing w:after="0"/>
              <w:rPr>
                <w:sz w:val="14"/>
                <w:szCs w:val="14"/>
                <w:color w:val="auto"/>
              </w:rPr>
            </w:pPr>
          </w:p>
        </w:tc>
        <w:tc>
          <w:tcPr>
            <w:tcW w:w="2660" w:type="dxa"/>
            <w:vAlign w:val="bottom"/>
            <w:tcBorders>
              <w:right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tcBorders>
              <w:right w:val="single" w:sz="8" w:color="999999"/>
            </w:tcBorders>
            <w:gridSpan w:val="3"/>
          </w:tcPr>
          <w:p>
            <w:pPr>
              <w:spacing w:after="0" w:line="168" w:lineRule="exact"/>
              <w:rPr>
                <w:sz w:val="20"/>
                <w:szCs w:val="20"/>
                <w:color w:val="auto"/>
              </w:rPr>
            </w:pPr>
            <w:r>
              <w:rPr>
                <w:rFonts w:ascii="Arial" w:cs="Arial" w:eastAsia="Arial" w:hAnsi="Arial"/>
                <w:sz w:val="16"/>
                <w:szCs w:val="16"/>
                <w:color w:val="auto"/>
              </w:rPr>
              <w:t>Three-Year Performance Units:</w:t>
            </w:r>
          </w:p>
        </w:tc>
        <w:tc>
          <w:tcPr>
            <w:tcW w:w="2580" w:type="dxa"/>
            <w:vAlign w:val="bottom"/>
            <w:tcBorders>
              <w:right w:val="single" w:sz="8" w:color="00548B"/>
            </w:tcBorders>
          </w:tcPr>
          <w:p>
            <w:pPr>
              <w:spacing w:after="0"/>
              <w:rPr>
                <w:sz w:val="14"/>
                <w:szCs w:val="14"/>
                <w:color w:val="auto"/>
              </w:rPr>
            </w:pPr>
          </w:p>
        </w:tc>
      </w:tr>
      <w:tr>
        <w:trPr>
          <w:trHeight w:val="20"/>
        </w:trPr>
        <w:tc>
          <w:tcPr>
            <w:tcW w:w="3140" w:type="dxa"/>
            <w:vAlign w:val="bottom"/>
            <w:tcBorders>
              <w:left w:val="single" w:sz="8" w:color="00548B"/>
              <w:right w:val="single" w:sz="8" w:color="999999"/>
            </w:tcBorders>
          </w:tcPr>
          <w:p>
            <w:pPr>
              <w:spacing w:after="0" w:line="20" w:lineRule="exact"/>
              <w:rPr>
                <w:sz w:val="1"/>
                <w:szCs w:val="1"/>
                <w:color w:val="auto"/>
              </w:rPr>
            </w:pPr>
          </w:p>
        </w:tc>
        <w:tc>
          <w:tcPr>
            <w:tcW w:w="26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999999"/>
            </w:tcBorders>
          </w:tcPr>
          <w:p>
            <w:pPr>
              <w:spacing w:after="0" w:line="20" w:lineRule="exact"/>
              <w:rPr>
                <w:sz w:val="1"/>
                <w:szCs w:val="1"/>
                <w:color w:val="auto"/>
              </w:rPr>
            </w:pPr>
          </w:p>
        </w:tc>
        <w:tc>
          <w:tcPr>
            <w:tcW w:w="2580" w:type="dxa"/>
            <w:vAlign w:val="bottom"/>
            <w:tcBorders>
              <w:right w:val="single" w:sz="8" w:color="00548B"/>
            </w:tcBorders>
          </w:tcPr>
          <w:p>
            <w:pPr>
              <w:spacing w:after="0" w:line="20" w:lineRule="exact"/>
              <w:rPr>
                <w:sz w:val="1"/>
                <w:szCs w:val="1"/>
                <w:color w:val="auto"/>
              </w:rPr>
            </w:pPr>
          </w:p>
        </w:tc>
      </w:tr>
      <w:tr>
        <w:trPr>
          <w:trHeight w:val="198"/>
        </w:trPr>
        <w:tc>
          <w:tcPr>
            <w:tcW w:w="3140" w:type="dxa"/>
            <w:vAlign w:val="bottom"/>
            <w:tcBorders>
              <w:left w:val="single" w:sz="8" w:color="00548B"/>
              <w:right w:val="single" w:sz="8" w:color="999999"/>
            </w:tcBorders>
          </w:tcPr>
          <w:p>
            <w:pPr>
              <w:spacing w:after="0"/>
              <w:rPr>
                <w:sz w:val="17"/>
                <w:szCs w:val="17"/>
                <w:color w:val="auto"/>
              </w:rPr>
            </w:pPr>
          </w:p>
        </w:tc>
        <w:tc>
          <w:tcPr>
            <w:tcW w:w="266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Earned pro rata based on actual</w:t>
            </w:r>
          </w:p>
        </w:tc>
        <w:tc>
          <w:tcPr>
            <w:tcW w:w="2580" w:type="dxa"/>
            <w:vAlign w:val="bottom"/>
            <w:tcBorders>
              <w:right w:val="single" w:sz="8" w:color="00548B"/>
            </w:tcBorders>
          </w:tcPr>
          <w:p>
            <w:pPr>
              <w:spacing w:after="0"/>
              <w:rPr>
                <w:sz w:val="17"/>
                <w:szCs w:val="17"/>
                <w:color w:val="auto"/>
              </w:rPr>
            </w:pP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performance. Subject to</w:t>
            </w:r>
          </w:p>
        </w:tc>
        <w:tc>
          <w:tcPr>
            <w:tcW w:w="2580" w:type="dxa"/>
            <w:vAlign w:val="bottom"/>
            <w:tcBorders>
              <w:right w:val="single" w:sz="8" w:color="00548B"/>
            </w:tcBorders>
          </w:tcPr>
          <w:p>
            <w:pPr>
              <w:spacing w:after="0"/>
              <w:rPr>
                <w:sz w:val="16"/>
                <w:szCs w:val="16"/>
                <w:color w:val="auto"/>
              </w:rPr>
            </w:pP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non-compete, vesting continues</w:t>
            </w:r>
          </w:p>
        </w:tc>
        <w:tc>
          <w:tcPr>
            <w:tcW w:w="2580" w:type="dxa"/>
            <w:vAlign w:val="bottom"/>
            <w:tcBorders>
              <w:right w:val="single" w:sz="8" w:color="00548B"/>
            </w:tcBorders>
          </w:tcPr>
          <w:p>
            <w:pPr>
              <w:spacing w:after="0"/>
              <w:rPr>
                <w:sz w:val="16"/>
                <w:szCs w:val="16"/>
                <w:color w:val="auto"/>
              </w:rPr>
            </w:pPr>
          </w:p>
        </w:tc>
      </w:tr>
      <w:tr>
        <w:trPr>
          <w:trHeight w:val="198"/>
        </w:trPr>
        <w:tc>
          <w:tcPr>
            <w:tcW w:w="3140" w:type="dxa"/>
            <w:vAlign w:val="bottom"/>
            <w:tcBorders>
              <w:left w:val="single" w:sz="8" w:color="00548B"/>
              <w:bottom w:val="single" w:sz="8" w:color="999999"/>
              <w:right w:val="single" w:sz="8" w:color="999999"/>
            </w:tcBorders>
          </w:tcPr>
          <w:p>
            <w:pPr>
              <w:spacing w:after="0"/>
              <w:rPr>
                <w:sz w:val="17"/>
                <w:szCs w:val="17"/>
                <w:color w:val="auto"/>
              </w:rPr>
            </w:pPr>
          </w:p>
        </w:tc>
        <w:tc>
          <w:tcPr>
            <w:tcW w:w="2660" w:type="dxa"/>
            <w:vAlign w:val="bottom"/>
            <w:tcBorders>
              <w:bottom w:val="single" w:sz="8" w:color="999999"/>
              <w:right w:val="single" w:sz="8" w:color="999999"/>
            </w:tcBorders>
          </w:tcPr>
          <w:p>
            <w:pPr>
              <w:spacing w:after="0"/>
              <w:rPr>
                <w:sz w:val="17"/>
                <w:szCs w:val="17"/>
                <w:color w:val="auto"/>
              </w:rPr>
            </w:pPr>
          </w:p>
        </w:tc>
        <w:tc>
          <w:tcPr>
            <w:tcW w:w="80" w:type="dxa"/>
            <w:vAlign w:val="bottom"/>
            <w:tcBorders>
              <w:bottom w:val="single" w:sz="8" w:color="999999"/>
            </w:tcBorders>
          </w:tcPr>
          <w:p>
            <w:pPr>
              <w:spacing w:after="0"/>
              <w:rPr>
                <w:sz w:val="17"/>
                <w:szCs w:val="17"/>
                <w:color w:val="auto"/>
              </w:rPr>
            </w:pPr>
          </w:p>
        </w:tc>
        <w:tc>
          <w:tcPr>
            <w:tcW w:w="2580" w:type="dxa"/>
            <w:vAlign w:val="bottom"/>
            <w:tcBorders>
              <w:bottom w:val="single" w:sz="8" w:color="999999"/>
              <w:right w:val="single" w:sz="8" w:color="999999"/>
            </w:tcBorders>
            <w:gridSpan w:val="3"/>
          </w:tcPr>
          <w:p>
            <w:pPr>
              <w:spacing w:after="0"/>
              <w:rPr>
                <w:sz w:val="20"/>
                <w:szCs w:val="20"/>
                <w:color w:val="auto"/>
              </w:rPr>
            </w:pPr>
            <w:r>
              <w:rPr>
                <w:rFonts w:ascii="Arial" w:cs="Arial" w:eastAsia="Arial" w:hAnsi="Arial"/>
                <w:sz w:val="16"/>
                <w:szCs w:val="16"/>
                <w:color w:val="auto"/>
              </w:rPr>
              <w:t>per normal course post-retirement.</w:t>
            </w:r>
          </w:p>
        </w:tc>
        <w:tc>
          <w:tcPr>
            <w:tcW w:w="2580" w:type="dxa"/>
            <w:vAlign w:val="bottom"/>
            <w:tcBorders>
              <w:bottom w:val="single" w:sz="8" w:color="999999"/>
              <w:right w:val="single" w:sz="8" w:color="00548B"/>
            </w:tcBorders>
          </w:tcPr>
          <w:p>
            <w:pPr>
              <w:spacing w:after="0"/>
              <w:rPr>
                <w:sz w:val="17"/>
                <w:szCs w:val="17"/>
                <w:color w:val="auto"/>
              </w:rPr>
            </w:pPr>
          </w:p>
        </w:tc>
      </w:tr>
      <w:tr>
        <w:trPr>
          <w:trHeight w:val="159"/>
        </w:trPr>
        <w:tc>
          <w:tcPr>
            <w:tcW w:w="3140" w:type="dxa"/>
            <w:vAlign w:val="bottom"/>
            <w:tcBorders>
              <w:left w:val="single" w:sz="8" w:color="00548B"/>
              <w:right w:val="single" w:sz="8" w:color="999999"/>
            </w:tcBorders>
          </w:tcPr>
          <w:p>
            <w:pPr>
              <w:ind w:left="140"/>
              <w:spacing w:after="0" w:line="158" w:lineRule="exact"/>
              <w:rPr>
                <w:sz w:val="20"/>
                <w:szCs w:val="20"/>
                <w:color w:val="auto"/>
              </w:rPr>
            </w:pPr>
            <w:r>
              <w:rPr>
                <w:rFonts w:ascii="Arial" w:cs="Arial" w:eastAsia="Arial" w:hAnsi="Arial"/>
                <w:sz w:val="16"/>
                <w:szCs w:val="16"/>
                <w:color w:val="auto"/>
              </w:rPr>
              <w:t>Death or Disability</w:t>
            </w:r>
          </w:p>
        </w:tc>
        <w:tc>
          <w:tcPr>
            <w:tcW w:w="2660" w:type="dxa"/>
            <w:vAlign w:val="bottom"/>
            <w:tcBorders>
              <w:right w:val="single" w:sz="8" w:color="999999"/>
            </w:tcBorders>
          </w:tcPr>
          <w:p>
            <w:pPr>
              <w:ind w:left="80"/>
              <w:spacing w:after="0" w:line="158" w:lineRule="exact"/>
              <w:rPr>
                <w:sz w:val="20"/>
                <w:szCs w:val="20"/>
                <w:color w:val="auto"/>
              </w:rPr>
            </w:pPr>
            <w:r>
              <w:rPr>
                <w:rFonts w:ascii="Arial" w:cs="Arial" w:eastAsia="Arial" w:hAnsi="Arial"/>
                <w:sz w:val="16"/>
                <w:szCs w:val="16"/>
                <w:color w:val="auto"/>
              </w:rPr>
              <w:t>Full acceleration.</w:t>
            </w:r>
          </w:p>
        </w:tc>
        <w:tc>
          <w:tcPr>
            <w:tcW w:w="80" w:type="dxa"/>
            <w:vAlign w:val="bottom"/>
          </w:tcPr>
          <w:p>
            <w:pPr>
              <w:spacing w:after="0"/>
              <w:rPr>
                <w:sz w:val="13"/>
                <w:szCs w:val="13"/>
                <w:color w:val="auto"/>
              </w:rPr>
            </w:pPr>
          </w:p>
        </w:tc>
        <w:tc>
          <w:tcPr>
            <w:tcW w:w="2580" w:type="dxa"/>
            <w:vAlign w:val="bottom"/>
            <w:tcBorders>
              <w:right w:val="single" w:sz="8" w:color="999999"/>
            </w:tcBorders>
            <w:gridSpan w:val="3"/>
          </w:tcPr>
          <w:p>
            <w:pPr>
              <w:spacing w:after="0" w:line="158" w:lineRule="exact"/>
              <w:rPr>
                <w:sz w:val="20"/>
                <w:szCs w:val="20"/>
                <w:color w:val="auto"/>
              </w:rPr>
            </w:pPr>
            <w:r>
              <w:rPr>
                <w:rFonts w:ascii="Arial" w:cs="Arial" w:eastAsia="Arial" w:hAnsi="Arial"/>
                <w:sz w:val="16"/>
                <w:szCs w:val="16"/>
                <w:color w:val="auto"/>
              </w:rPr>
              <w:t>One-Year Performance Units: All</w:t>
            </w:r>
          </w:p>
        </w:tc>
        <w:tc>
          <w:tcPr>
            <w:tcW w:w="2580" w:type="dxa"/>
            <w:vAlign w:val="bottom"/>
            <w:tcBorders>
              <w:right w:val="single" w:sz="8" w:color="00548B"/>
            </w:tcBorders>
          </w:tcPr>
          <w:p>
            <w:pPr>
              <w:ind w:left="80"/>
              <w:spacing w:after="0" w:line="158" w:lineRule="exact"/>
              <w:rPr>
                <w:sz w:val="20"/>
                <w:szCs w:val="20"/>
                <w:color w:val="auto"/>
              </w:rPr>
            </w:pPr>
            <w:r>
              <w:rPr>
                <w:rFonts w:ascii="Arial" w:cs="Arial" w:eastAsia="Arial" w:hAnsi="Arial"/>
                <w:sz w:val="16"/>
                <w:szCs w:val="16"/>
                <w:color w:val="auto"/>
              </w:rPr>
              <w:t>Earned based on actual</w:t>
            </w:r>
          </w:p>
        </w:tc>
      </w:tr>
      <w:tr>
        <w:trPr>
          <w:trHeight w:val="20"/>
        </w:trPr>
        <w:tc>
          <w:tcPr>
            <w:tcW w:w="3140" w:type="dxa"/>
            <w:vAlign w:val="bottom"/>
            <w:tcBorders>
              <w:left w:val="single" w:sz="8" w:color="00548B"/>
              <w:right w:val="single" w:sz="8" w:color="999999"/>
            </w:tcBorders>
          </w:tcPr>
          <w:p>
            <w:pPr>
              <w:spacing w:after="0" w:line="20" w:lineRule="exact"/>
              <w:rPr>
                <w:sz w:val="1"/>
                <w:szCs w:val="1"/>
                <w:color w:val="auto"/>
              </w:rPr>
            </w:pPr>
          </w:p>
        </w:tc>
        <w:tc>
          <w:tcPr>
            <w:tcW w:w="26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999999"/>
            </w:tcBorders>
          </w:tcPr>
          <w:p>
            <w:pPr>
              <w:spacing w:after="0" w:line="20" w:lineRule="exact"/>
              <w:rPr>
                <w:sz w:val="1"/>
                <w:szCs w:val="1"/>
                <w:color w:val="auto"/>
              </w:rPr>
            </w:pPr>
          </w:p>
        </w:tc>
        <w:tc>
          <w:tcPr>
            <w:tcW w:w="2580" w:type="dxa"/>
            <w:vAlign w:val="bottom"/>
            <w:tcBorders>
              <w:right w:val="single" w:sz="8" w:color="00548B"/>
            </w:tcBorders>
          </w:tcPr>
          <w:p>
            <w:pPr>
              <w:spacing w:after="0" w:line="20" w:lineRule="exact"/>
              <w:rPr>
                <w:sz w:val="1"/>
                <w:szCs w:val="1"/>
                <w:color w:val="auto"/>
              </w:rPr>
            </w:pPr>
          </w:p>
        </w:tc>
      </w:tr>
      <w:tr>
        <w:trPr>
          <w:trHeight w:val="198"/>
        </w:trPr>
        <w:tc>
          <w:tcPr>
            <w:tcW w:w="3140" w:type="dxa"/>
            <w:vAlign w:val="bottom"/>
            <w:tcBorders>
              <w:left w:val="single" w:sz="8" w:color="00548B"/>
              <w:right w:val="single" w:sz="8" w:color="999999"/>
            </w:tcBorders>
          </w:tcPr>
          <w:p>
            <w:pPr>
              <w:spacing w:after="0"/>
              <w:rPr>
                <w:sz w:val="17"/>
                <w:szCs w:val="17"/>
                <w:color w:val="auto"/>
              </w:rPr>
            </w:pPr>
          </w:p>
        </w:tc>
        <w:tc>
          <w:tcPr>
            <w:tcW w:w="266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earned One-Year Performance</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performance and will vest on</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Shares fully vest within 30 days.</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March 1, 2021 on a pro rata</w:t>
            </w:r>
          </w:p>
        </w:tc>
      </w:tr>
      <w:tr>
        <w:trPr>
          <w:trHeight w:val="195"/>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right w:val="single" w:sz="8" w:color="999999"/>
            </w:tcBorders>
          </w:tcPr>
          <w:p>
            <w:pPr>
              <w:spacing w:after="0"/>
              <w:rPr>
                <w:sz w:val="16"/>
                <w:szCs w:val="16"/>
                <w:color w:val="auto"/>
              </w:rPr>
            </w:pP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basis.</w:t>
            </w:r>
          </w:p>
        </w:tc>
      </w:tr>
      <w:tr>
        <w:trPr>
          <w:trHeight w:val="168"/>
        </w:trPr>
        <w:tc>
          <w:tcPr>
            <w:tcW w:w="3140" w:type="dxa"/>
            <w:vAlign w:val="bottom"/>
            <w:tcBorders>
              <w:left w:val="single" w:sz="8" w:color="00548B"/>
              <w:right w:val="single" w:sz="8" w:color="999999"/>
            </w:tcBorders>
          </w:tcPr>
          <w:p>
            <w:pPr>
              <w:spacing w:after="0"/>
              <w:rPr>
                <w:sz w:val="14"/>
                <w:szCs w:val="14"/>
                <w:color w:val="auto"/>
              </w:rPr>
            </w:pPr>
          </w:p>
        </w:tc>
        <w:tc>
          <w:tcPr>
            <w:tcW w:w="2660" w:type="dxa"/>
            <w:vAlign w:val="bottom"/>
            <w:tcBorders>
              <w:right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tcBorders>
              <w:right w:val="single" w:sz="8" w:color="999999"/>
            </w:tcBorders>
            <w:gridSpan w:val="3"/>
          </w:tcPr>
          <w:p>
            <w:pPr>
              <w:spacing w:after="0" w:line="168" w:lineRule="exact"/>
              <w:rPr>
                <w:sz w:val="20"/>
                <w:szCs w:val="20"/>
                <w:color w:val="auto"/>
              </w:rPr>
            </w:pPr>
            <w:r>
              <w:rPr>
                <w:rFonts w:ascii="Arial" w:cs="Arial" w:eastAsia="Arial" w:hAnsi="Arial"/>
                <w:sz w:val="16"/>
                <w:szCs w:val="16"/>
                <w:color w:val="auto"/>
              </w:rPr>
              <w:t>Three-Year Performance Units:</w:t>
            </w:r>
          </w:p>
        </w:tc>
        <w:tc>
          <w:tcPr>
            <w:tcW w:w="2580" w:type="dxa"/>
            <w:vAlign w:val="bottom"/>
            <w:tcBorders>
              <w:right w:val="single" w:sz="8" w:color="00548B"/>
            </w:tcBorders>
          </w:tcPr>
          <w:p>
            <w:pPr>
              <w:spacing w:after="0"/>
              <w:rPr>
                <w:sz w:val="14"/>
                <w:szCs w:val="14"/>
                <w:color w:val="auto"/>
              </w:rPr>
            </w:pPr>
          </w:p>
        </w:tc>
      </w:tr>
      <w:tr>
        <w:trPr>
          <w:trHeight w:val="198"/>
        </w:trPr>
        <w:tc>
          <w:tcPr>
            <w:tcW w:w="3140" w:type="dxa"/>
            <w:vAlign w:val="bottom"/>
            <w:tcBorders>
              <w:left w:val="single" w:sz="8" w:color="00548B"/>
              <w:right w:val="single" w:sz="8" w:color="999999"/>
            </w:tcBorders>
          </w:tcPr>
          <w:p>
            <w:pPr>
              <w:spacing w:after="0"/>
              <w:rPr>
                <w:sz w:val="17"/>
                <w:szCs w:val="17"/>
                <w:color w:val="auto"/>
              </w:rPr>
            </w:pPr>
          </w:p>
        </w:tc>
        <w:tc>
          <w:tcPr>
            <w:tcW w:w="266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Earned based on actual</w:t>
            </w:r>
          </w:p>
        </w:tc>
        <w:tc>
          <w:tcPr>
            <w:tcW w:w="360" w:type="dxa"/>
            <w:vAlign w:val="bottom"/>
            <w:tcBorders>
              <w:right w:val="single" w:sz="8" w:color="999999"/>
            </w:tcBorders>
          </w:tcPr>
          <w:p>
            <w:pPr>
              <w:spacing w:after="0"/>
              <w:rPr>
                <w:sz w:val="17"/>
                <w:szCs w:val="17"/>
                <w:color w:val="auto"/>
              </w:rPr>
            </w:pPr>
          </w:p>
        </w:tc>
        <w:tc>
          <w:tcPr>
            <w:tcW w:w="2580" w:type="dxa"/>
            <w:vAlign w:val="bottom"/>
            <w:tcBorders>
              <w:right w:val="single" w:sz="8" w:color="00548B"/>
            </w:tcBorders>
          </w:tcPr>
          <w:p>
            <w:pPr>
              <w:spacing w:after="0"/>
              <w:rPr>
                <w:sz w:val="17"/>
                <w:szCs w:val="17"/>
                <w:color w:val="auto"/>
              </w:rPr>
            </w:pP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performance and will vest on</w:t>
            </w:r>
          </w:p>
        </w:tc>
        <w:tc>
          <w:tcPr>
            <w:tcW w:w="2580" w:type="dxa"/>
            <w:vAlign w:val="bottom"/>
            <w:tcBorders>
              <w:right w:val="single" w:sz="8" w:color="00548B"/>
            </w:tcBorders>
          </w:tcPr>
          <w:p>
            <w:pPr>
              <w:spacing w:after="0"/>
              <w:rPr>
                <w:sz w:val="16"/>
                <w:szCs w:val="16"/>
                <w:color w:val="auto"/>
              </w:rPr>
            </w:pP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March 15, 2020 on a pro rata</w:t>
            </w:r>
          </w:p>
        </w:tc>
        <w:tc>
          <w:tcPr>
            <w:tcW w:w="2580" w:type="dxa"/>
            <w:vAlign w:val="bottom"/>
            <w:tcBorders>
              <w:right w:val="single" w:sz="8" w:color="00548B"/>
            </w:tcBorders>
          </w:tcPr>
          <w:p>
            <w:pPr>
              <w:spacing w:after="0"/>
              <w:rPr>
                <w:sz w:val="16"/>
                <w:szCs w:val="16"/>
                <w:color w:val="auto"/>
              </w:rPr>
            </w:pPr>
          </w:p>
        </w:tc>
      </w:tr>
      <w:tr>
        <w:trPr>
          <w:trHeight w:val="198"/>
        </w:trPr>
        <w:tc>
          <w:tcPr>
            <w:tcW w:w="3140" w:type="dxa"/>
            <w:vAlign w:val="bottom"/>
            <w:tcBorders>
              <w:left w:val="single" w:sz="8" w:color="00548B"/>
              <w:bottom w:val="single" w:sz="8" w:color="999999"/>
              <w:right w:val="single" w:sz="8" w:color="999999"/>
            </w:tcBorders>
          </w:tcPr>
          <w:p>
            <w:pPr>
              <w:spacing w:after="0"/>
              <w:rPr>
                <w:sz w:val="17"/>
                <w:szCs w:val="17"/>
                <w:color w:val="auto"/>
              </w:rPr>
            </w:pPr>
          </w:p>
        </w:tc>
        <w:tc>
          <w:tcPr>
            <w:tcW w:w="2660" w:type="dxa"/>
            <w:vAlign w:val="bottom"/>
            <w:tcBorders>
              <w:bottom w:val="single" w:sz="8" w:color="999999"/>
              <w:right w:val="single" w:sz="8" w:color="999999"/>
            </w:tcBorders>
          </w:tcPr>
          <w:p>
            <w:pPr>
              <w:spacing w:after="0"/>
              <w:rPr>
                <w:sz w:val="17"/>
                <w:szCs w:val="17"/>
                <w:color w:val="auto"/>
              </w:rPr>
            </w:pPr>
          </w:p>
        </w:tc>
        <w:tc>
          <w:tcPr>
            <w:tcW w:w="80" w:type="dxa"/>
            <w:vAlign w:val="bottom"/>
            <w:tcBorders>
              <w:bottom w:val="single" w:sz="8" w:color="999999"/>
            </w:tcBorders>
          </w:tcPr>
          <w:p>
            <w:pPr>
              <w:spacing w:after="0"/>
              <w:rPr>
                <w:sz w:val="17"/>
                <w:szCs w:val="17"/>
                <w:color w:val="auto"/>
              </w:rPr>
            </w:pPr>
          </w:p>
        </w:tc>
        <w:tc>
          <w:tcPr>
            <w:tcW w:w="2580" w:type="dxa"/>
            <w:vAlign w:val="bottom"/>
            <w:tcBorders>
              <w:bottom w:val="single" w:sz="8" w:color="999999"/>
              <w:right w:val="single" w:sz="8" w:color="999999"/>
            </w:tcBorders>
            <w:gridSpan w:val="3"/>
          </w:tcPr>
          <w:p>
            <w:pPr>
              <w:spacing w:after="0"/>
              <w:rPr>
                <w:sz w:val="20"/>
                <w:szCs w:val="20"/>
                <w:color w:val="auto"/>
              </w:rPr>
            </w:pPr>
            <w:r>
              <w:rPr>
                <w:rFonts w:ascii="Arial" w:cs="Arial" w:eastAsia="Arial" w:hAnsi="Arial"/>
                <w:sz w:val="16"/>
                <w:szCs w:val="16"/>
                <w:color w:val="auto"/>
              </w:rPr>
              <w:t>basis.</w:t>
            </w:r>
          </w:p>
        </w:tc>
        <w:tc>
          <w:tcPr>
            <w:tcW w:w="2580" w:type="dxa"/>
            <w:vAlign w:val="bottom"/>
            <w:tcBorders>
              <w:bottom w:val="single" w:sz="8" w:color="999999"/>
              <w:right w:val="single" w:sz="8" w:color="00548B"/>
            </w:tcBorders>
          </w:tcPr>
          <w:p>
            <w:pPr>
              <w:spacing w:after="0"/>
              <w:rPr>
                <w:sz w:val="17"/>
                <w:szCs w:val="17"/>
                <w:color w:val="auto"/>
              </w:rPr>
            </w:pPr>
          </w:p>
        </w:tc>
      </w:tr>
      <w:tr>
        <w:trPr>
          <w:trHeight w:val="159"/>
        </w:trPr>
        <w:tc>
          <w:tcPr>
            <w:tcW w:w="3140" w:type="dxa"/>
            <w:vAlign w:val="bottom"/>
            <w:tcBorders>
              <w:left w:val="single" w:sz="8" w:color="00548B"/>
              <w:right w:val="single" w:sz="8" w:color="999999"/>
            </w:tcBorders>
          </w:tcPr>
          <w:p>
            <w:pPr>
              <w:ind w:left="140"/>
              <w:spacing w:after="0" w:line="158" w:lineRule="exact"/>
              <w:rPr>
                <w:sz w:val="20"/>
                <w:szCs w:val="20"/>
                <w:color w:val="auto"/>
              </w:rPr>
            </w:pPr>
            <w:r>
              <w:rPr>
                <w:rFonts w:ascii="Arial" w:cs="Arial" w:eastAsia="Arial" w:hAnsi="Arial"/>
                <w:sz w:val="16"/>
                <w:szCs w:val="16"/>
                <w:color w:val="auto"/>
              </w:rPr>
              <w:t>Involuntary/Good Reason Termination</w:t>
            </w:r>
          </w:p>
        </w:tc>
        <w:tc>
          <w:tcPr>
            <w:tcW w:w="2660" w:type="dxa"/>
            <w:vAlign w:val="bottom"/>
            <w:tcBorders>
              <w:right w:val="single" w:sz="8" w:color="999999"/>
            </w:tcBorders>
          </w:tcPr>
          <w:p>
            <w:pPr>
              <w:ind w:left="80"/>
              <w:spacing w:after="0" w:line="158" w:lineRule="exact"/>
              <w:rPr>
                <w:sz w:val="20"/>
                <w:szCs w:val="20"/>
                <w:color w:val="auto"/>
              </w:rPr>
            </w:pPr>
            <w:r>
              <w:rPr>
                <w:rFonts w:ascii="Arial" w:cs="Arial" w:eastAsia="Arial" w:hAnsi="Arial"/>
                <w:sz w:val="16"/>
                <w:szCs w:val="16"/>
                <w:color w:val="auto"/>
              </w:rPr>
              <w:t>Forfeit.</w:t>
            </w:r>
          </w:p>
        </w:tc>
        <w:tc>
          <w:tcPr>
            <w:tcW w:w="80" w:type="dxa"/>
            <w:vAlign w:val="bottom"/>
          </w:tcPr>
          <w:p>
            <w:pPr>
              <w:spacing w:after="0"/>
              <w:rPr>
                <w:sz w:val="13"/>
                <w:szCs w:val="13"/>
                <w:color w:val="auto"/>
              </w:rPr>
            </w:pPr>
          </w:p>
        </w:tc>
        <w:tc>
          <w:tcPr>
            <w:tcW w:w="2580" w:type="dxa"/>
            <w:vAlign w:val="bottom"/>
            <w:tcBorders>
              <w:right w:val="single" w:sz="8" w:color="999999"/>
            </w:tcBorders>
            <w:gridSpan w:val="3"/>
          </w:tcPr>
          <w:p>
            <w:pPr>
              <w:spacing w:after="0" w:line="158" w:lineRule="exact"/>
              <w:rPr>
                <w:sz w:val="20"/>
                <w:szCs w:val="20"/>
                <w:color w:val="auto"/>
              </w:rPr>
            </w:pPr>
            <w:r>
              <w:rPr>
                <w:rFonts w:ascii="Arial" w:cs="Arial" w:eastAsia="Arial" w:hAnsi="Arial"/>
                <w:sz w:val="16"/>
                <w:szCs w:val="16"/>
                <w:color w:val="auto"/>
              </w:rPr>
              <w:t>One-Year Performance Units: Will</w:t>
            </w:r>
          </w:p>
        </w:tc>
        <w:tc>
          <w:tcPr>
            <w:tcW w:w="2580" w:type="dxa"/>
            <w:vAlign w:val="bottom"/>
            <w:tcBorders>
              <w:right w:val="single" w:sz="8" w:color="00548B"/>
            </w:tcBorders>
          </w:tcPr>
          <w:p>
            <w:pPr>
              <w:ind w:left="80"/>
              <w:spacing w:after="0" w:line="158" w:lineRule="exact"/>
              <w:rPr>
                <w:sz w:val="20"/>
                <w:szCs w:val="20"/>
                <w:color w:val="auto"/>
              </w:rPr>
            </w:pPr>
            <w:r>
              <w:rPr>
                <w:rFonts w:ascii="Arial" w:cs="Arial" w:eastAsia="Arial" w:hAnsi="Arial"/>
                <w:sz w:val="16"/>
                <w:szCs w:val="16"/>
                <w:color w:val="auto"/>
              </w:rPr>
              <w:t>Will receive a pro rata amount of</w:t>
            </w:r>
          </w:p>
        </w:tc>
      </w:tr>
      <w:tr>
        <w:trPr>
          <w:trHeight w:val="20"/>
        </w:trPr>
        <w:tc>
          <w:tcPr>
            <w:tcW w:w="3140" w:type="dxa"/>
            <w:vAlign w:val="bottom"/>
            <w:tcBorders>
              <w:left w:val="single" w:sz="8" w:color="00548B"/>
              <w:right w:val="single" w:sz="8" w:color="999999"/>
            </w:tcBorders>
          </w:tcPr>
          <w:p>
            <w:pPr>
              <w:spacing w:after="0" w:line="20" w:lineRule="exact"/>
              <w:rPr>
                <w:sz w:val="1"/>
                <w:szCs w:val="1"/>
                <w:color w:val="auto"/>
              </w:rPr>
            </w:pPr>
          </w:p>
        </w:tc>
        <w:tc>
          <w:tcPr>
            <w:tcW w:w="26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00" w:type="dxa"/>
            <w:vAlign w:val="bottom"/>
            <w:tcBorders>
              <w:right w:val="single" w:sz="8" w:color="999999"/>
            </w:tcBorders>
            <w:gridSpan w:val="2"/>
          </w:tcPr>
          <w:p>
            <w:pPr>
              <w:spacing w:after="0" w:line="20" w:lineRule="exact"/>
              <w:rPr>
                <w:sz w:val="1"/>
                <w:szCs w:val="1"/>
                <w:color w:val="auto"/>
              </w:rPr>
            </w:pPr>
          </w:p>
        </w:tc>
        <w:tc>
          <w:tcPr>
            <w:tcW w:w="2580" w:type="dxa"/>
            <w:vAlign w:val="bottom"/>
            <w:tcBorders>
              <w:right w:val="single" w:sz="8" w:color="00548B"/>
            </w:tcBorders>
          </w:tcPr>
          <w:p>
            <w:pPr>
              <w:spacing w:after="0" w:line="20" w:lineRule="exact"/>
              <w:rPr>
                <w:sz w:val="1"/>
                <w:szCs w:val="1"/>
                <w:color w:val="auto"/>
              </w:rPr>
            </w:pPr>
          </w:p>
        </w:tc>
      </w:tr>
      <w:tr>
        <w:trPr>
          <w:trHeight w:val="198"/>
        </w:trPr>
        <w:tc>
          <w:tcPr>
            <w:tcW w:w="3140" w:type="dxa"/>
            <w:vAlign w:val="bottom"/>
            <w:tcBorders>
              <w:left w:val="single" w:sz="8" w:color="00548B"/>
              <w:right w:val="single" w:sz="8" w:color="999999"/>
            </w:tcBorders>
          </w:tcPr>
          <w:p>
            <w:pPr>
              <w:spacing w:after="0"/>
              <w:rPr>
                <w:sz w:val="17"/>
                <w:szCs w:val="17"/>
                <w:color w:val="auto"/>
              </w:rPr>
            </w:pPr>
          </w:p>
        </w:tc>
        <w:tc>
          <w:tcPr>
            <w:tcW w:w="266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vest in pro rata portion of next</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earned shares based on actual</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tranche to vest, with pro rata</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performance; vesting continues</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portion based on employment</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per normal course.</w:t>
            </w:r>
          </w:p>
        </w:tc>
      </w:tr>
      <w:tr>
        <w:trPr>
          <w:trHeight w:val="195"/>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during vesting period.</w:t>
            </w:r>
          </w:p>
        </w:tc>
        <w:tc>
          <w:tcPr>
            <w:tcW w:w="2580" w:type="dxa"/>
            <w:vAlign w:val="bottom"/>
            <w:tcBorders>
              <w:right w:val="single" w:sz="8" w:color="00548B"/>
            </w:tcBorders>
          </w:tcPr>
          <w:p>
            <w:pPr>
              <w:spacing w:after="0"/>
              <w:rPr>
                <w:sz w:val="16"/>
                <w:szCs w:val="16"/>
                <w:color w:val="auto"/>
              </w:rPr>
            </w:pPr>
          </w:p>
        </w:tc>
      </w:tr>
      <w:tr>
        <w:trPr>
          <w:trHeight w:val="357"/>
        </w:trPr>
        <w:tc>
          <w:tcPr>
            <w:tcW w:w="3140" w:type="dxa"/>
            <w:vAlign w:val="bottom"/>
            <w:tcBorders>
              <w:left w:val="single" w:sz="8" w:color="00548B"/>
              <w:right w:val="single" w:sz="8" w:color="999999"/>
            </w:tcBorders>
          </w:tcPr>
          <w:p>
            <w:pPr>
              <w:spacing w:after="0"/>
              <w:rPr>
                <w:sz w:val="24"/>
                <w:szCs w:val="24"/>
                <w:color w:val="auto"/>
              </w:rPr>
            </w:pPr>
          </w:p>
        </w:tc>
        <w:tc>
          <w:tcPr>
            <w:tcW w:w="2660" w:type="dxa"/>
            <w:vAlign w:val="bottom"/>
            <w:tcBorders>
              <w:right w:val="single" w:sz="8" w:color="999999"/>
            </w:tcBorders>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Three-Year Performance Units: Will</w:t>
            </w:r>
          </w:p>
        </w:tc>
        <w:tc>
          <w:tcPr>
            <w:tcW w:w="2580" w:type="dxa"/>
            <w:vAlign w:val="bottom"/>
            <w:tcBorders>
              <w:right w:val="single" w:sz="8" w:color="00548B"/>
            </w:tcBorders>
          </w:tcPr>
          <w:p>
            <w:pPr>
              <w:spacing w:after="0"/>
              <w:rPr>
                <w:sz w:val="24"/>
                <w:szCs w:val="24"/>
                <w:color w:val="auto"/>
              </w:rPr>
            </w:pPr>
          </w:p>
        </w:tc>
      </w:tr>
      <w:tr>
        <w:trPr>
          <w:trHeight w:val="198"/>
        </w:trPr>
        <w:tc>
          <w:tcPr>
            <w:tcW w:w="3140" w:type="dxa"/>
            <w:vAlign w:val="bottom"/>
            <w:tcBorders>
              <w:left w:val="single" w:sz="8" w:color="00548B"/>
              <w:right w:val="single" w:sz="8" w:color="999999"/>
            </w:tcBorders>
          </w:tcPr>
          <w:p>
            <w:pPr>
              <w:spacing w:after="0"/>
              <w:rPr>
                <w:sz w:val="17"/>
                <w:szCs w:val="17"/>
                <w:color w:val="auto"/>
              </w:rPr>
            </w:pPr>
          </w:p>
        </w:tc>
        <w:tc>
          <w:tcPr>
            <w:tcW w:w="266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receive a pro rata amount of</w:t>
            </w:r>
          </w:p>
        </w:tc>
        <w:tc>
          <w:tcPr>
            <w:tcW w:w="360" w:type="dxa"/>
            <w:vAlign w:val="bottom"/>
            <w:tcBorders>
              <w:right w:val="single" w:sz="8" w:color="999999"/>
            </w:tcBorders>
          </w:tcPr>
          <w:p>
            <w:pPr>
              <w:spacing w:after="0"/>
              <w:rPr>
                <w:sz w:val="17"/>
                <w:szCs w:val="17"/>
                <w:color w:val="auto"/>
              </w:rPr>
            </w:pPr>
          </w:p>
        </w:tc>
        <w:tc>
          <w:tcPr>
            <w:tcW w:w="2580" w:type="dxa"/>
            <w:vAlign w:val="bottom"/>
            <w:tcBorders>
              <w:right w:val="single" w:sz="8" w:color="00548B"/>
            </w:tcBorders>
          </w:tcPr>
          <w:p>
            <w:pPr>
              <w:spacing w:after="0"/>
              <w:rPr>
                <w:sz w:val="17"/>
                <w:szCs w:val="17"/>
                <w:color w:val="auto"/>
              </w:rPr>
            </w:pP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earned shares based on actual</w:t>
            </w:r>
          </w:p>
        </w:tc>
        <w:tc>
          <w:tcPr>
            <w:tcW w:w="2580" w:type="dxa"/>
            <w:vAlign w:val="bottom"/>
            <w:tcBorders>
              <w:right w:val="single" w:sz="8" w:color="00548B"/>
            </w:tcBorders>
          </w:tcPr>
          <w:p>
            <w:pPr>
              <w:spacing w:after="0"/>
              <w:rPr>
                <w:sz w:val="16"/>
                <w:szCs w:val="16"/>
                <w:color w:val="auto"/>
              </w:rPr>
            </w:pP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performance; vesting continues per</w:t>
            </w:r>
          </w:p>
        </w:tc>
        <w:tc>
          <w:tcPr>
            <w:tcW w:w="2580" w:type="dxa"/>
            <w:vAlign w:val="bottom"/>
            <w:tcBorders>
              <w:right w:val="single" w:sz="8" w:color="00548B"/>
            </w:tcBorders>
          </w:tcPr>
          <w:p>
            <w:pPr>
              <w:spacing w:after="0"/>
              <w:rPr>
                <w:sz w:val="16"/>
                <w:szCs w:val="16"/>
                <w:color w:val="auto"/>
              </w:rPr>
            </w:pPr>
          </w:p>
        </w:tc>
      </w:tr>
      <w:tr>
        <w:trPr>
          <w:trHeight w:val="198"/>
        </w:trPr>
        <w:tc>
          <w:tcPr>
            <w:tcW w:w="3140" w:type="dxa"/>
            <w:vAlign w:val="bottom"/>
            <w:tcBorders>
              <w:left w:val="single" w:sz="8" w:color="00548B"/>
              <w:bottom w:val="single" w:sz="8" w:color="00548B"/>
              <w:right w:val="single" w:sz="8" w:color="999999"/>
            </w:tcBorders>
          </w:tcPr>
          <w:p>
            <w:pPr>
              <w:spacing w:after="0"/>
              <w:rPr>
                <w:sz w:val="17"/>
                <w:szCs w:val="17"/>
                <w:color w:val="auto"/>
              </w:rPr>
            </w:pPr>
          </w:p>
        </w:tc>
        <w:tc>
          <w:tcPr>
            <w:tcW w:w="2660" w:type="dxa"/>
            <w:vAlign w:val="bottom"/>
            <w:tcBorders>
              <w:bottom w:val="single" w:sz="8" w:color="00548B"/>
              <w:right w:val="single" w:sz="8" w:color="999999"/>
            </w:tcBorders>
          </w:tcPr>
          <w:p>
            <w:pPr>
              <w:spacing w:after="0"/>
              <w:rPr>
                <w:sz w:val="17"/>
                <w:szCs w:val="17"/>
                <w:color w:val="auto"/>
              </w:rPr>
            </w:pPr>
          </w:p>
        </w:tc>
        <w:tc>
          <w:tcPr>
            <w:tcW w:w="80" w:type="dxa"/>
            <w:vAlign w:val="bottom"/>
            <w:tcBorders>
              <w:bottom w:val="single" w:sz="8" w:color="00548B"/>
            </w:tcBorders>
          </w:tcPr>
          <w:p>
            <w:pPr>
              <w:spacing w:after="0"/>
              <w:rPr>
                <w:sz w:val="17"/>
                <w:szCs w:val="17"/>
                <w:color w:val="auto"/>
              </w:rPr>
            </w:pPr>
          </w:p>
        </w:tc>
        <w:tc>
          <w:tcPr>
            <w:tcW w:w="2580" w:type="dxa"/>
            <w:vAlign w:val="bottom"/>
            <w:tcBorders>
              <w:bottom w:val="single" w:sz="8" w:color="00548B"/>
              <w:right w:val="single" w:sz="8" w:color="999999"/>
            </w:tcBorders>
            <w:gridSpan w:val="3"/>
          </w:tcPr>
          <w:p>
            <w:pPr>
              <w:spacing w:after="0"/>
              <w:rPr>
                <w:sz w:val="20"/>
                <w:szCs w:val="20"/>
                <w:color w:val="auto"/>
              </w:rPr>
            </w:pPr>
            <w:r>
              <w:rPr>
                <w:rFonts w:ascii="Arial" w:cs="Arial" w:eastAsia="Arial" w:hAnsi="Arial"/>
                <w:sz w:val="16"/>
                <w:szCs w:val="16"/>
                <w:color w:val="auto"/>
              </w:rPr>
              <w:t>normal course.</w:t>
            </w:r>
          </w:p>
        </w:tc>
        <w:tc>
          <w:tcPr>
            <w:tcW w:w="2580" w:type="dxa"/>
            <w:vAlign w:val="bottom"/>
            <w:tcBorders>
              <w:bottom w:val="single" w:sz="8" w:color="00548B"/>
              <w:right w:val="single" w:sz="8" w:color="00548B"/>
            </w:tcBorders>
          </w:tcPr>
          <w:p>
            <w:pPr>
              <w:spacing w:after="0"/>
              <w:rPr>
                <w:sz w:val="17"/>
                <w:szCs w:val="17"/>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41</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184"/>
        </w:trPr>
        <w:tc>
          <w:tcPr>
            <w:tcW w:w="3140" w:type="dxa"/>
            <w:vAlign w:val="bottom"/>
            <w:tcBorders>
              <w:top w:val="single" w:sz="8" w:color="00548B"/>
              <w:left w:val="single" w:sz="8" w:color="00548B"/>
              <w:right w:val="single" w:sz="8" w:color="999999"/>
            </w:tcBorders>
            <w:shd w:val="clear" w:color="auto" w:fill="00548B"/>
          </w:tcPr>
          <w:p>
            <w:pPr>
              <w:spacing w:after="0"/>
              <w:rPr>
                <w:sz w:val="16"/>
                <w:szCs w:val="16"/>
                <w:color w:val="auto"/>
              </w:rPr>
            </w:pPr>
          </w:p>
        </w:tc>
        <w:tc>
          <w:tcPr>
            <w:tcW w:w="2660" w:type="dxa"/>
            <w:vAlign w:val="bottom"/>
            <w:tcBorders>
              <w:top w:val="single" w:sz="8" w:color="00548B"/>
              <w:right w:val="single" w:sz="8" w:color="999999"/>
            </w:tcBorders>
            <w:shd w:val="clear" w:color="auto" w:fill="00548B"/>
          </w:tcPr>
          <w:p>
            <w:pPr>
              <w:jc w:val="center"/>
              <w:spacing w:after="0"/>
              <w:rPr>
                <w:sz w:val="20"/>
                <w:szCs w:val="20"/>
                <w:color w:val="auto"/>
              </w:rPr>
            </w:pPr>
            <w:r>
              <w:rPr>
                <w:rFonts w:ascii="Arial" w:cs="Arial" w:eastAsia="Arial" w:hAnsi="Arial"/>
                <w:sz w:val="16"/>
                <w:szCs w:val="16"/>
                <w:b w:val="1"/>
                <w:bCs w:val="1"/>
                <w:color w:val="E5E5E5"/>
              </w:rPr>
              <w:t>Restricted Stock and</w:t>
            </w:r>
          </w:p>
        </w:tc>
        <w:tc>
          <w:tcPr>
            <w:tcW w:w="80" w:type="dxa"/>
            <w:vAlign w:val="bottom"/>
            <w:tcBorders>
              <w:top w:val="single" w:sz="8" w:color="00548B"/>
            </w:tcBorders>
            <w:shd w:val="clear" w:color="auto" w:fill="00548B"/>
          </w:tcPr>
          <w:p>
            <w:pPr>
              <w:spacing w:after="0"/>
              <w:rPr>
                <w:sz w:val="16"/>
                <w:szCs w:val="16"/>
                <w:color w:val="auto"/>
              </w:rPr>
            </w:pPr>
          </w:p>
        </w:tc>
        <w:tc>
          <w:tcPr>
            <w:tcW w:w="1340" w:type="dxa"/>
            <w:vAlign w:val="bottom"/>
            <w:tcBorders>
              <w:top w:val="single" w:sz="8" w:color="00548B"/>
            </w:tcBorders>
            <w:shd w:val="clear" w:color="auto" w:fill="00548B"/>
          </w:tcPr>
          <w:p>
            <w:pPr>
              <w:spacing w:after="0"/>
              <w:rPr>
                <w:sz w:val="16"/>
                <w:szCs w:val="16"/>
                <w:color w:val="auto"/>
              </w:rPr>
            </w:pPr>
          </w:p>
        </w:tc>
        <w:tc>
          <w:tcPr>
            <w:tcW w:w="360" w:type="dxa"/>
            <w:vAlign w:val="bottom"/>
            <w:tcBorders>
              <w:top w:val="single" w:sz="8" w:color="00548B"/>
            </w:tcBorders>
            <w:shd w:val="clear" w:color="auto" w:fill="00548B"/>
          </w:tcPr>
          <w:p>
            <w:pPr>
              <w:spacing w:after="0"/>
              <w:rPr>
                <w:sz w:val="16"/>
                <w:szCs w:val="16"/>
                <w:color w:val="auto"/>
              </w:rPr>
            </w:pPr>
          </w:p>
        </w:tc>
        <w:tc>
          <w:tcPr>
            <w:tcW w:w="880" w:type="dxa"/>
            <w:vAlign w:val="bottom"/>
            <w:tcBorders>
              <w:top w:val="single" w:sz="8" w:color="00548B"/>
              <w:right w:val="single" w:sz="8" w:color="999999"/>
            </w:tcBorders>
            <w:shd w:val="clear" w:color="auto" w:fill="00548B"/>
          </w:tcPr>
          <w:p>
            <w:pPr>
              <w:spacing w:after="0"/>
              <w:rPr>
                <w:sz w:val="16"/>
                <w:szCs w:val="16"/>
                <w:color w:val="auto"/>
              </w:rPr>
            </w:pPr>
          </w:p>
        </w:tc>
        <w:tc>
          <w:tcPr>
            <w:tcW w:w="2580" w:type="dxa"/>
            <w:vAlign w:val="bottom"/>
            <w:tcBorders>
              <w:top w:val="single" w:sz="8" w:color="00548B"/>
              <w:right w:val="single" w:sz="8" w:color="00548B"/>
            </w:tcBorders>
            <w:shd w:val="clear" w:color="auto" w:fill="00548B"/>
          </w:tcPr>
          <w:p>
            <w:pPr>
              <w:spacing w:after="0"/>
              <w:rPr>
                <w:sz w:val="16"/>
                <w:szCs w:val="16"/>
                <w:color w:val="auto"/>
              </w:rPr>
            </w:pPr>
          </w:p>
        </w:tc>
      </w:tr>
      <w:tr>
        <w:trPr>
          <w:trHeight w:val="207"/>
        </w:trPr>
        <w:tc>
          <w:tcPr>
            <w:tcW w:w="3140" w:type="dxa"/>
            <w:vAlign w:val="bottom"/>
            <w:tcBorders>
              <w:left w:val="single" w:sz="8" w:color="00548B"/>
              <w:right w:val="single" w:sz="8" w:color="999999"/>
            </w:tcBorders>
            <w:shd w:val="clear" w:color="auto" w:fill="00548B"/>
          </w:tcPr>
          <w:p>
            <w:pPr>
              <w:ind w:left="1400"/>
              <w:spacing w:after="0"/>
              <w:rPr>
                <w:sz w:val="20"/>
                <w:szCs w:val="20"/>
                <w:color w:val="auto"/>
              </w:rPr>
            </w:pPr>
            <w:r>
              <w:rPr>
                <w:rFonts w:ascii="Arial" w:cs="Arial" w:eastAsia="Arial" w:hAnsi="Arial"/>
                <w:sz w:val="16"/>
                <w:szCs w:val="16"/>
                <w:b w:val="1"/>
                <w:bCs w:val="1"/>
                <w:color w:val="E5E5E5"/>
              </w:rPr>
              <w:t>Event</w:t>
            </w:r>
          </w:p>
        </w:tc>
        <w:tc>
          <w:tcPr>
            <w:tcW w:w="2660" w:type="dxa"/>
            <w:vAlign w:val="bottom"/>
            <w:tcBorders>
              <w:right w:val="single" w:sz="8" w:color="999999"/>
            </w:tcBorders>
            <w:shd w:val="clear" w:color="auto" w:fill="00548B"/>
          </w:tcPr>
          <w:p>
            <w:pPr>
              <w:jc w:val="center"/>
              <w:spacing w:after="0"/>
              <w:rPr>
                <w:sz w:val="20"/>
                <w:szCs w:val="20"/>
                <w:color w:val="auto"/>
              </w:rPr>
            </w:pPr>
            <w:r>
              <w:rPr>
                <w:rFonts w:ascii="Arial" w:cs="Arial" w:eastAsia="Arial" w:hAnsi="Arial"/>
                <w:sz w:val="16"/>
                <w:szCs w:val="16"/>
                <w:b w:val="1"/>
                <w:bCs w:val="1"/>
                <w:color w:val="E5E5E5"/>
                <w:w w:val="99"/>
              </w:rPr>
              <w:t>Options</w:t>
            </w:r>
          </w:p>
        </w:tc>
        <w:tc>
          <w:tcPr>
            <w:tcW w:w="80" w:type="dxa"/>
            <w:vAlign w:val="bottom"/>
            <w:shd w:val="clear" w:color="auto" w:fill="00548B"/>
          </w:tcPr>
          <w:p>
            <w:pPr>
              <w:spacing w:after="0"/>
              <w:rPr>
                <w:sz w:val="18"/>
                <w:szCs w:val="18"/>
                <w:color w:val="auto"/>
              </w:rPr>
            </w:pPr>
          </w:p>
        </w:tc>
        <w:tc>
          <w:tcPr>
            <w:tcW w:w="2580" w:type="dxa"/>
            <w:vAlign w:val="bottom"/>
            <w:tcBorders>
              <w:right w:val="single" w:sz="8" w:color="999999"/>
            </w:tcBorders>
            <w:gridSpan w:val="3"/>
            <w:shd w:val="clear" w:color="auto" w:fill="00548B"/>
          </w:tcPr>
          <w:p>
            <w:pPr>
              <w:ind w:left="360"/>
              <w:spacing w:after="0"/>
              <w:rPr>
                <w:sz w:val="20"/>
                <w:szCs w:val="20"/>
                <w:color w:val="auto"/>
              </w:rPr>
            </w:pPr>
            <w:r>
              <w:rPr>
                <w:rFonts w:ascii="Arial" w:cs="Arial" w:eastAsia="Arial" w:hAnsi="Arial"/>
                <w:sz w:val="16"/>
                <w:szCs w:val="16"/>
                <w:b w:val="1"/>
                <w:bCs w:val="1"/>
                <w:color w:val="E5E5E5"/>
              </w:rPr>
              <w:t>2017 Performance Units</w:t>
            </w:r>
          </w:p>
        </w:tc>
        <w:tc>
          <w:tcPr>
            <w:tcW w:w="2580" w:type="dxa"/>
            <w:vAlign w:val="bottom"/>
            <w:tcBorders>
              <w:right w:val="single" w:sz="8" w:color="00548B"/>
            </w:tcBorders>
            <w:shd w:val="clear" w:color="auto" w:fill="00548B"/>
          </w:tcPr>
          <w:p>
            <w:pPr>
              <w:ind w:left="380"/>
              <w:spacing w:after="0"/>
              <w:rPr>
                <w:sz w:val="20"/>
                <w:szCs w:val="20"/>
                <w:color w:val="auto"/>
              </w:rPr>
            </w:pPr>
            <w:r>
              <w:rPr>
                <w:rFonts w:ascii="Arial" w:cs="Arial" w:eastAsia="Arial" w:hAnsi="Arial"/>
                <w:sz w:val="16"/>
                <w:szCs w:val="16"/>
                <w:b w:val="1"/>
                <w:bCs w:val="1"/>
                <w:color w:val="E5E5E5"/>
              </w:rPr>
              <w:t>2018 Performance Units</w:t>
            </w:r>
          </w:p>
        </w:tc>
      </w:tr>
      <w:tr>
        <w:trPr>
          <w:trHeight w:val="162"/>
        </w:trPr>
        <w:tc>
          <w:tcPr>
            <w:tcW w:w="3140" w:type="dxa"/>
            <w:vAlign w:val="bottom"/>
            <w:tcBorders>
              <w:left w:val="single" w:sz="8" w:color="00548B"/>
              <w:right w:val="single" w:sz="8" w:color="999999"/>
            </w:tcBorders>
          </w:tcPr>
          <w:p>
            <w:pPr>
              <w:ind w:left="140"/>
              <w:spacing w:after="0" w:line="162" w:lineRule="exact"/>
              <w:rPr>
                <w:sz w:val="20"/>
                <w:szCs w:val="20"/>
                <w:color w:val="auto"/>
              </w:rPr>
            </w:pPr>
            <w:r>
              <w:rPr>
                <w:rFonts w:ascii="Arial" w:cs="Arial" w:eastAsia="Arial" w:hAnsi="Arial"/>
                <w:sz w:val="16"/>
                <w:szCs w:val="16"/>
                <w:color w:val="auto"/>
              </w:rPr>
              <w:t>Change of Control (“COC”), No</w:t>
            </w:r>
          </w:p>
        </w:tc>
        <w:tc>
          <w:tcPr>
            <w:tcW w:w="2660" w:type="dxa"/>
            <w:vAlign w:val="bottom"/>
            <w:tcBorders>
              <w:right w:val="single" w:sz="8" w:color="999999"/>
            </w:tcBorders>
          </w:tcPr>
          <w:p>
            <w:pPr>
              <w:ind w:left="80"/>
              <w:spacing w:after="0" w:line="162" w:lineRule="exact"/>
              <w:rPr>
                <w:sz w:val="20"/>
                <w:szCs w:val="20"/>
                <w:color w:val="auto"/>
              </w:rPr>
            </w:pPr>
            <w:r>
              <w:rPr>
                <w:rFonts w:ascii="Arial" w:cs="Arial" w:eastAsia="Arial" w:hAnsi="Arial"/>
                <w:sz w:val="16"/>
                <w:szCs w:val="16"/>
                <w:color w:val="auto"/>
              </w:rPr>
              <w:t>No impact, assumed by acquirer.</w:t>
            </w:r>
          </w:p>
        </w:tc>
        <w:tc>
          <w:tcPr>
            <w:tcW w:w="80" w:type="dxa"/>
            <w:vAlign w:val="bottom"/>
          </w:tcPr>
          <w:p>
            <w:pPr>
              <w:spacing w:after="0"/>
              <w:rPr>
                <w:sz w:val="14"/>
                <w:szCs w:val="14"/>
                <w:color w:val="auto"/>
              </w:rPr>
            </w:pPr>
          </w:p>
        </w:tc>
        <w:tc>
          <w:tcPr>
            <w:tcW w:w="170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6"/>
                <w:szCs w:val="16"/>
                <w:color w:val="auto"/>
                <w:w w:val="98"/>
              </w:rPr>
              <w:t>One-Year &amp; Three-Year</w:t>
            </w:r>
          </w:p>
        </w:tc>
        <w:tc>
          <w:tcPr>
            <w:tcW w:w="880" w:type="dxa"/>
            <w:vAlign w:val="bottom"/>
            <w:tcBorders>
              <w:right w:val="single" w:sz="8" w:color="999999"/>
            </w:tcBorders>
          </w:tcPr>
          <w:p>
            <w:pPr>
              <w:spacing w:after="0"/>
              <w:rPr>
                <w:sz w:val="14"/>
                <w:szCs w:val="14"/>
                <w:color w:val="auto"/>
              </w:rPr>
            </w:pPr>
          </w:p>
        </w:tc>
        <w:tc>
          <w:tcPr>
            <w:tcW w:w="2580" w:type="dxa"/>
            <w:vAlign w:val="bottom"/>
            <w:tcBorders>
              <w:right w:val="single" w:sz="8" w:color="00548B"/>
            </w:tcBorders>
          </w:tcPr>
          <w:p>
            <w:pPr>
              <w:ind w:left="80"/>
              <w:spacing w:after="0" w:line="162" w:lineRule="exact"/>
              <w:rPr>
                <w:sz w:val="20"/>
                <w:szCs w:val="20"/>
                <w:color w:val="auto"/>
              </w:rPr>
            </w:pPr>
            <w:r>
              <w:rPr>
                <w:rFonts w:ascii="Arial" w:cs="Arial" w:eastAsia="Arial" w:hAnsi="Arial"/>
                <w:sz w:val="16"/>
                <w:szCs w:val="16"/>
                <w:color w:val="auto"/>
              </w:rPr>
              <w:t>If assumed by acquirer and</w:t>
            </w:r>
          </w:p>
        </w:tc>
      </w:tr>
      <w:tr>
        <w:trPr>
          <w:trHeight w:val="169"/>
        </w:trPr>
        <w:tc>
          <w:tcPr>
            <w:tcW w:w="3140" w:type="dxa"/>
            <w:vAlign w:val="bottom"/>
            <w:tcBorders>
              <w:left w:val="single" w:sz="8" w:color="00548B"/>
              <w:right w:val="single" w:sz="8" w:color="999999"/>
            </w:tcBorders>
          </w:tcPr>
          <w:p>
            <w:pPr>
              <w:ind w:left="140"/>
              <w:spacing w:after="0" w:line="169" w:lineRule="exact"/>
              <w:rPr>
                <w:sz w:val="20"/>
                <w:szCs w:val="20"/>
                <w:color w:val="auto"/>
              </w:rPr>
            </w:pPr>
            <w:r>
              <w:rPr>
                <w:rFonts w:ascii="Arial" w:cs="Arial" w:eastAsia="Arial" w:hAnsi="Arial"/>
                <w:sz w:val="16"/>
                <w:szCs w:val="16"/>
                <w:color w:val="auto"/>
              </w:rPr>
              <w:t>Termination</w:t>
            </w:r>
          </w:p>
        </w:tc>
        <w:tc>
          <w:tcPr>
            <w:tcW w:w="2660" w:type="dxa"/>
            <w:vAlign w:val="bottom"/>
            <w:tcBorders>
              <w:right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tcBorders>
              <w:right w:val="single" w:sz="8" w:color="999999"/>
            </w:tcBorders>
            <w:gridSpan w:val="3"/>
          </w:tcPr>
          <w:p>
            <w:pPr>
              <w:spacing w:after="0" w:line="169" w:lineRule="exact"/>
              <w:rPr>
                <w:sz w:val="20"/>
                <w:szCs w:val="20"/>
                <w:color w:val="auto"/>
              </w:rPr>
            </w:pPr>
            <w:r>
              <w:rPr>
                <w:rFonts w:ascii="Arial" w:cs="Arial" w:eastAsia="Arial" w:hAnsi="Arial"/>
                <w:sz w:val="16"/>
                <w:szCs w:val="16"/>
                <w:color w:val="auto"/>
              </w:rPr>
              <w:t>Performance Units: If assumed by</w:t>
            </w:r>
          </w:p>
        </w:tc>
        <w:tc>
          <w:tcPr>
            <w:tcW w:w="2580" w:type="dxa"/>
            <w:vAlign w:val="bottom"/>
            <w:tcBorders>
              <w:right w:val="single" w:sz="8" w:color="00548B"/>
            </w:tcBorders>
          </w:tcPr>
          <w:p>
            <w:pPr>
              <w:ind w:left="80"/>
              <w:spacing w:after="0" w:line="169" w:lineRule="exact"/>
              <w:rPr>
                <w:sz w:val="20"/>
                <w:szCs w:val="20"/>
                <w:color w:val="auto"/>
              </w:rPr>
            </w:pPr>
            <w:r>
              <w:rPr>
                <w:rFonts w:ascii="Arial" w:cs="Arial" w:eastAsia="Arial" w:hAnsi="Arial"/>
                <w:sz w:val="16"/>
                <w:szCs w:val="16"/>
                <w:color w:val="auto"/>
              </w:rPr>
              <w:t>converts shares into right to</w:t>
            </w:r>
          </w:p>
        </w:tc>
      </w:tr>
      <w:tr>
        <w:trPr>
          <w:trHeight w:val="20"/>
        </w:trPr>
        <w:tc>
          <w:tcPr>
            <w:tcW w:w="3140" w:type="dxa"/>
            <w:vAlign w:val="bottom"/>
            <w:tcBorders>
              <w:left w:val="single" w:sz="8" w:color="00548B"/>
              <w:right w:val="single" w:sz="8" w:color="999999"/>
            </w:tcBorders>
          </w:tcPr>
          <w:p>
            <w:pPr>
              <w:spacing w:after="0" w:line="20" w:lineRule="exact"/>
              <w:rPr>
                <w:sz w:val="1"/>
                <w:szCs w:val="1"/>
                <w:color w:val="auto"/>
              </w:rPr>
            </w:pPr>
          </w:p>
        </w:tc>
        <w:tc>
          <w:tcPr>
            <w:tcW w:w="26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40" w:type="dxa"/>
            <w:vAlign w:val="bottom"/>
            <w:tcBorders>
              <w:right w:val="single" w:sz="8" w:color="999999"/>
            </w:tcBorders>
            <w:gridSpan w:val="2"/>
          </w:tcPr>
          <w:p>
            <w:pPr>
              <w:spacing w:after="0" w:line="20" w:lineRule="exact"/>
              <w:rPr>
                <w:sz w:val="1"/>
                <w:szCs w:val="1"/>
                <w:color w:val="auto"/>
              </w:rPr>
            </w:pPr>
          </w:p>
        </w:tc>
        <w:tc>
          <w:tcPr>
            <w:tcW w:w="2580" w:type="dxa"/>
            <w:vAlign w:val="bottom"/>
            <w:tcBorders>
              <w:right w:val="single" w:sz="8" w:color="00548B"/>
            </w:tcBorders>
          </w:tcPr>
          <w:p>
            <w:pPr>
              <w:spacing w:after="0" w:line="20" w:lineRule="exact"/>
              <w:rPr>
                <w:sz w:val="1"/>
                <w:szCs w:val="1"/>
                <w:color w:val="auto"/>
              </w:rPr>
            </w:pPr>
          </w:p>
        </w:tc>
      </w:tr>
      <w:tr>
        <w:trPr>
          <w:trHeight w:val="198"/>
        </w:trPr>
        <w:tc>
          <w:tcPr>
            <w:tcW w:w="3140" w:type="dxa"/>
            <w:vAlign w:val="bottom"/>
            <w:tcBorders>
              <w:left w:val="single" w:sz="8" w:color="00548B"/>
              <w:right w:val="single" w:sz="8" w:color="999999"/>
            </w:tcBorders>
          </w:tcPr>
          <w:p>
            <w:pPr>
              <w:spacing w:after="0"/>
              <w:rPr>
                <w:sz w:val="17"/>
                <w:szCs w:val="17"/>
                <w:color w:val="auto"/>
              </w:rPr>
            </w:pPr>
          </w:p>
        </w:tc>
        <w:tc>
          <w:tcPr>
            <w:tcW w:w="266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acquirer and converts earned</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receive equivalent value shares</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shares into right to receive</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in new entity then vesting</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equivalent value shares in new</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continues per normal course.</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entity then vesting continues per</w:t>
            </w:r>
          </w:p>
        </w:tc>
        <w:tc>
          <w:tcPr>
            <w:tcW w:w="2580" w:type="dxa"/>
            <w:vAlign w:val="bottom"/>
            <w:tcBorders>
              <w:right w:val="single" w:sz="8" w:color="00548B"/>
            </w:tcBorders>
          </w:tcPr>
          <w:p>
            <w:pPr>
              <w:spacing w:after="0"/>
              <w:rPr>
                <w:sz w:val="16"/>
                <w:szCs w:val="16"/>
                <w:color w:val="auto"/>
              </w:rPr>
            </w:pPr>
          </w:p>
        </w:tc>
      </w:tr>
      <w:tr>
        <w:trPr>
          <w:trHeight w:val="203"/>
        </w:trPr>
        <w:tc>
          <w:tcPr>
            <w:tcW w:w="3140" w:type="dxa"/>
            <w:vAlign w:val="bottom"/>
            <w:tcBorders>
              <w:left w:val="single" w:sz="8" w:color="00548B"/>
              <w:right w:val="single" w:sz="8" w:color="999999"/>
            </w:tcBorders>
          </w:tcPr>
          <w:p>
            <w:pPr>
              <w:spacing w:after="0"/>
              <w:rPr>
                <w:sz w:val="17"/>
                <w:szCs w:val="17"/>
                <w:color w:val="auto"/>
              </w:rPr>
            </w:pPr>
          </w:p>
        </w:tc>
        <w:tc>
          <w:tcPr>
            <w:tcW w:w="266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normal course.</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If not assumed by acquirer or</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Borders>
              <w:right w:val="single" w:sz="8" w:color="999999"/>
            </w:tcBorders>
          </w:tcPr>
          <w:p>
            <w:pPr>
              <w:spacing w:after="0"/>
              <w:rPr>
                <w:sz w:val="16"/>
                <w:szCs w:val="16"/>
                <w:color w:val="auto"/>
              </w:rPr>
            </w:pP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acquirer does not convert shares</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If not assumed by acquirer or</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into right to receive equivalent</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acquirer does not convert earned</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value in shares of new entity,</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shares into right to receive</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then 100% of earned shares will</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equivalent value in shares of new</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vest and one share of Company</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entity, then 100% of earned shares</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common stock will be exchanged</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will vest and one share of</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for each performance unit and</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Company common stock will be</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such common stock will receive</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exchanged for each performance</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the consideration paid by the</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unit and such common stock will</w:t>
            </w:r>
          </w:p>
        </w:tc>
        <w:tc>
          <w:tcPr>
            <w:tcW w:w="2580" w:type="dxa"/>
            <w:vAlign w:val="bottom"/>
            <w:tcBorders>
              <w:right w:val="single" w:sz="8" w:color="00548B"/>
            </w:tcBorders>
          </w:tcPr>
          <w:p>
            <w:pPr>
              <w:ind w:left="80"/>
              <w:spacing w:after="0"/>
              <w:rPr>
                <w:sz w:val="20"/>
                <w:szCs w:val="20"/>
                <w:color w:val="auto"/>
              </w:rPr>
            </w:pPr>
            <w:r>
              <w:rPr>
                <w:rFonts w:ascii="Arial" w:cs="Arial" w:eastAsia="Arial" w:hAnsi="Arial"/>
                <w:sz w:val="16"/>
                <w:szCs w:val="16"/>
                <w:color w:val="auto"/>
              </w:rPr>
              <w:t>acquirer in the COC.</w:t>
            </w:r>
          </w:p>
        </w:tc>
      </w:tr>
      <w:tr>
        <w:trPr>
          <w:trHeight w:val="189"/>
        </w:trPr>
        <w:tc>
          <w:tcPr>
            <w:tcW w:w="3140" w:type="dxa"/>
            <w:vAlign w:val="bottom"/>
            <w:tcBorders>
              <w:left w:val="single" w:sz="8" w:color="00548B"/>
              <w:right w:val="single" w:sz="8" w:color="999999"/>
            </w:tcBorders>
          </w:tcPr>
          <w:p>
            <w:pPr>
              <w:spacing w:after="0"/>
              <w:rPr>
                <w:sz w:val="16"/>
                <w:szCs w:val="16"/>
                <w:color w:val="auto"/>
              </w:rPr>
            </w:pPr>
          </w:p>
        </w:tc>
        <w:tc>
          <w:tcPr>
            <w:tcW w:w="266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right w:val="single" w:sz="8" w:color="999999"/>
            </w:tcBorders>
            <w:gridSpan w:val="3"/>
          </w:tcPr>
          <w:p>
            <w:pPr>
              <w:spacing w:after="0"/>
              <w:rPr>
                <w:sz w:val="20"/>
                <w:szCs w:val="20"/>
                <w:color w:val="auto"/>
              </w:rPr>
            </w:pPr>
            <w:r>
              <w:rPr>
                <w:rFonts w:ascii="Arial" w:cs="Arial" w:eastAsia="Arial" w:hAnsi="Arial"/>
                <w:sz w:val="16"/>
                <w:szCs w:val="16"/>
                <w:color w:val="auto"/>
              </w:rPr>
              <w:t>receive the consideration paid by</w:t>
            </w:r>
          </w:p>
        </w:tc>
        <w:tc>
          <w:tcPr>
            <w:tcW w:w="2580" w:type="dxa"/>
            <w:vAlign w:val="bottom"/>
            <w:tcBorders>
              <w:right w:val="single" w:sz="8" w:color="00548B"/>
            </w:tcBorders>
          </w:tcPr>
          <w:p>
            <w:pPr>
              <w:spacing w:after="0"/>
              <w:rPr>
                <w:sz w:val="16"/>
                <w:szCs w:val="16"/>
                <w:color w:val="auto"/>
              </w:rPr>
            </w:pPr>
          </w:p>
        </w:tc>
      </w:tr>
      <w:tr>
        <w:trPr>
          <w:trHeight w:val="198"/>
        </w:trPr>
        <w:tc>
          <w:tcPr>
            <w:tcW w:w="3140" w:type="dxa"/>
            <w:vAlign w:val="bottom"/>
            <w:tcBorders>
              <w:left w:val="single" w:sz="8" w:color="00548B"/>
              <w:bottom w:val="single" w:sz="8" w:color="999999"/>
              <w:right w:val="single" w:sz="8" w:color="999999"/>
            </w:tcBorders>
          </w:tcPr>
          <w:p>
            <w:pPr>
              <w:spacing w:after="0"/>
              <w:rPr>
                <w:sz w:val="17"/>
                <w:szCs w:val="17"/>
                <w:color w:val="auto"/>
              </w:rPr>
            </w:pPr>
          </w:p>
        </w:tc>
        <w:tc>
          <w:tcPr>
            <w:tcW w:w="2660" w:type="dxa"/>
            <w:vAlign w:val="bottom"/>
            <w:tcBorders>
              <w:bottom w:val="single" w:sz="8" w:color="999999"/>
              <w:right w:val="single" w:sz="8" w:color="999999"/>
            </w:tcBorders>
          </w:tcPr>
          <w:p>
            <w:pPr>
              <w:spacing w:after="0"/>
              <w:rPr>
                <w:sz w:val="17"/>
                <w:szCs w:val="17"/>
                <w:color w:val="auto"/>
              </w:rPr>
            </w:pPr>
          </w:p>
        </w:tc>
        <w:tc>
          <w:tcPr>
            <w:tcW w:w="80" w:type="dxa"/>
            <w:vAlign w:val="bottom"/>
            <w:tcBorders>
              <w:bottom w:val="single" w:sz="8" w:color="999999"/>
            </w:tcBorders>
          </w:tcPr>
          <w:p>
            <w:pPr>
              <w:spacing w:after="0"/>
              <w:rPr>
                <w:sz w:val="17"/>
                <w:szCs w:val="17"/>
                <w:color w:val="auto"/>
              </w:rPr>
            </w:pPr>
          </w:p>
        </w:tc>
        <w:tc>
          <w:tcPr>
            <w:tcW w:w="2580" w:type="dxa"/>
            <w:vAlign w:val="bottom"/>
            <w:tcBorders>
              <w:bottom w:val="single" w:sz="8" w:color="999999"/>
              <w:right w:val="single" w:sz="8" w:color="999999"/>
            </w:tcBorders>
            <w:gridSpan w:val="3"/>
          </w:tcPr>
          <w:p>
            <w:pPr>
              <w:spacing w:after="0"/>
              <w:rPr>
                <w:sz w:val="20"/>
                <w:szCs w:val="20"/>
                <w:color w:val="auto"/>
              </w:rPr>
            </w:pPr>
            <w:r>
              <w:rPr>
                <w:rFonts w:ascii="Arial" w:cs="Arial" w:eastAsia="Arial" w:hAnsi="Arial"/>
                <w:sz w:val="16"/>
                <w:szCs w:val="16"/>
                <w:color w:val="auto"/>
              </w:rPr>
              <w:t>the acquirer in the COC.</w:t>
            </w:r>
          </w:p>
        </w:tc>
        <w:tc>
          <w:tcPr>
            <w:tcW w:w="2580" w:type="dxa"/>
            <w:vAlign w:val="bottom"/>
            <w:tcBorders>
              <w:bottom w:val="single" w:sz="8" w:color="999999"/>
              <w:right w:val="single" w:sz="8" w:color="00548B"/>
            </w:tcBorders>
          </w:tcPr>
          <w:p>
            <w:pPr>
              <w:spacing w:after="0"/>
              <w:rPr>
                <w:sz w:val="17"/>
                <w:szCs w:val="17"/>
                <w:color w:val="auto"/>
              </w:rPr>
            </w:pPr>
          </w:p>
        </w:tc>
      </w:tr>
      <w:tr>
        <w:trPr>
          <w:trHeight w:val="159"/>
        </w:trPr>
        <w:tc>
          <w:tcPr>
            <w:tcW w:w="3140" w:type="dxa"/>
            <w:vAlign w:val="bottom"/>
            <w:tcBorders>
              <w:left w:val="single" w:sz="8" w:color="00548B"/>
              <w:right w:val="single" w:sz="8" w:color="999999"/>
            </w:tcBorders>
          </w:tcPr>
          <w:p>
            <w:pPr>
              <w:ind w:left="140"/>
              <w:spacing w:after="0" w:line="158" w:lineRule="exact"/>
              <w:rPr>
                <w:sz w:val="20"/>
                <w:szCs w:val="20"/>
                <w:color w:val="auto"/>
              </w:rPr>
            </w:pPr>
            <w:r>
              <w:rPr>
                <w:rFonts w:ascii="Arial" w:cs="Arial" w:eastAsia="Arial" w:hAnsi="Arial"/>
                <w:sz w:val="16"/>
                <w:szCs w:val="16"/>
                <w:color w:val="auto"/>
              </w:rPr>
              <w:t>Involuntary/Good Reason Termination</w:t>
            </w:r>
          </w:p>
        </w:tc>
        <w:tc>
          <w:tcPr>
            <w:tcW w:w="2660" w:type="dxa"/>
            <w:vAlign w:val="bottom"/>
            <w:tcBorders>
              <w:right w:val="single" w:sz="8" w:color="999999"/>
            </w:tcBorders>
          </w:tcPr>
          <w:p>
            <w:pPr>
              <w:ind w:left="80"/>
              <w:spacing w:after="0" w:line="158" w:lineRule="exact"/>
              <w:rPr>
                <w:sz w:val="20"/>
                <w:szCs w:val="20"/>
                <w:color w:val="auto"/>
              </w:rPr>
            </w:pPr>
            <w:r>
              <w:rPr>
                <w:rFonts w:ascii="Arial" w:cs="Arial" w:eastAsia="Arial" w:hAnsi="Arial"/>
                <w:sz w:val="16"/>
                <w:szCs w:val="16"/>
                <w:color w:val="auto"/>
              </w:rPr>
              <w:t>Full acceleration.</w:t>
            </w:r>
          </w:p>
        </w:tc>
        <w:tc>
          <w:tcPr>
            <w:tcW w:w="80" w:type="dxa"/>
            <w:vAlign w:val="bottom"/>
          </w:tcPr>
          <w:p>
            <w:pPr>
              <w:spacing w:after="0"/>
              <w:rPr>
                <w:sz w:val="13"/>
                <w:szCs w:val="13"/>
                <w:color w:val="auto"/>
              </w:rPr>
            </w:pPr>
          </w:p>
        </w:tc>
        <w:tc>
          <w:tcPr>
            <w:tcW w:w="1700" w:type="dxa"/>
            <w:vAlign w:val="bottom"/>
            <w:tcBorders>
              <w:bottom w:val="single" w:sz="8" w:color="auto"/>
            </w:tcBorders>
            <w:gridSpan w:val="2"/>
          </w:tcPr>
          <w:p>
            <w:pPr>
              <w:spacing w:after="0" w:line="158" w:lineRule="exact"/>
              <w:rPr>
                <w:sz w:val="20"/>
                <w:szCs w:val="20"/>
                <w:color w:val="auto"/>
              </w:rPr>
            </w:pPr>
            <w:r>
              <w:rPr>
                <w:rFonts w:ascii="Arial" w:cs="Arial" w:eastAsia="Arial" w:hAnsi="Arial"/>
                <w:sz w:val="16"/>
                <w:szCs w:val="16"/>
                <w:color w:val="auto"/>
                <w:w w:val="98"/>
              </w:rPr>
              <w:t>One-Year &amp; Three-Year</w:t>
            </w:r>
          </w:p>
        </w:tc>
        <w:tc>
          <w:tcPr>
            <w:tcW w:w="880" w:type="dxa"/>
            <w:vAlign w:val="bottom"/>
            <w:tcBorders>
              <w:right w:val="single" w:sz="8" w:color="999999"/>
            </w:tcBorders>
          </w:tcPr>
          <w:p>
            <w:pPr>
              <w:spacing w:after="0"/>
              <w:rPr>
                <w:sz w:val="13"/>
                <w:szCs w:val="13"/>
                <w:color w:val="auto"/>
              </w:rPr>
            </w:pPr>
          </w:p>
        </w:tc>
        <w:tc>
          <w:tcPr>
            <w:tcW w:w="2580" w:type="dxa"/>
            <w:vAlign w:val="bottom"/>
            <w:tcBorders>
              <w:right w:val="single" w:sz="8" w:color="00548B"/>
            </w:tcBorders>
          </w:tcPr>
          <w:p>
            <w:pPr>
              <w:ind w:left="80"/>
              <w:spacing w:after="0" w:line="158" w:lineRule="exact"/>
              <w:rPr>
                <w:sz w:val="20"/>
                <w:szCs w:val="20"/>
                <w:color w:val="auto"/>
              </w:rPr>
            </w:pPr>
            <w:r>
              <w:rPr>
                <w:rFonts w:ascii="Arial" w:cs="Arial" w:eastAsia="Arial" w:hAnsi="Arial"/>
                <w:sz w:val="16"/>
                <w:szCs w:val="16"/>
                <w:color w:val="auto"/>
              </w:rPr>
              <w:t>Earned shares shall immediately</w:t>
            </w:r>
          </w:p>
        </w:tc>
      </w:tr>
      <w:tr>
        <w:trPr>
          <w:trHeight w:val="169"/>
        </w:trPr>
        <w:tc>
          <w:tcPr>
            <w:tcW w:w="3140" w:type="dxa"/>
            <w:vAlign w:val="bottom"/>
            <w:tcBorders>
              <w:left w:val="single" w:sz="8" w:color="00548B"/>
              <w:right w:val="single" w:sz="8" w:color="999999"/>
            </w:tcBorders>
          </w:tcPr>
          <w:p>
            <w:pPr>
              <w:ind w:left="140"/>
              <w:spacing w:after="0" w:line="169" w:lineRule="exact"/>
              <w:rPr>
                <w:sz w:val="20"/>
                <w:szCs w:val="20"/>
                <w:color w:val="auto"/>
              </w:rPr>
            </w:pPr>
            <w:r>
              <w:rPr>
                <w:rFonts w:ascii="Arial" w:cs="Arial" w:eastAsia="Arial" w:hAnsi="Arial"/>
                <w:sz w:val="16"/>
                <w:szCs w:val="16"/>
                <w:color w:val="auto"/>
              </w:rPr>
              <w:t>Post-COC</w:t>
            </w:r>
          </w:p>
        </w:tc>
        <w:tc>
          <w:tcPr>
            <w:tcW w:w="2660" w:type="dxa"/>
            <w:vAlign w:val="bottom"/>
            <w:tcBorders>
              <w:right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tcBorders>
              <w:right w:val="single" w:sz="8" w:color="999999"/>
            </w:tcBorders>
            <w:gridSpan w:val="3"/>
          </w:tcPr>
          <w:p>
            <w:pPr>
              <w:spacing w:after="0" w:line="169" w:lineRule="exact"/>
              <w:rPr>
                <w:sz w:val="20"/>
                <w:szCs w:val="20"/>
                <w:color w:val="auto"/>
              </w:rPr>
            </w:pPr>
            <w:r>
              <w:rPr>
                <w:rFonts w:ascii="Arial" w:cs="Arial" w:eastAsia="Arial" w:hAnsi="Arial"/>
                <w:sz w:val="16"/>
                <w:szCs w:val="16"/>
                <w:color w:val="auto"/>
              </w:rPr>
              <w:t>Performance Units: Earned shares</w:t>
            </w:r>
          </w:p>
        </w:tc>
        <w:tc>
          <w:tcPr>
            <w:tcW w:w="2580" w:type="dxa"/>
            <w:vAlign w:val="bottom"/>
            <w:tcBorders>
              <w:right w:val="single" w:sz="8" w:color="00548B"/>
            </w:tcBorders>
          </w:tcPr>
          <w:p>
            <w:pPr>
              <w:ind w:left="80"/>
              <w:spacing w:after="0" w:line="169" w:lineRule="exact"/>
              <w:rPr>
                <w:sz w:val="20"/>
                <w:szCs w:val="20"/>
                <w:color w:val="auto"/>
              </w:rPr>
            </w:pPr>
            <w:r>
              <w:rPr>
                <w:rFonts w:ascii="Arial" w:cs="Arial" w:eastAsia="Arial" w:hAnsi="Arial"/>
                <w:sz w:val="16"/>
                <w:szCs w:val="16"/>
                <w:color w:val="auto"/>
              </w:rPr>
              <w:t>fully vest.</w:t>
            </w:r>
          </w:p>
        </w:tc>
      </w:tr>
      <w:tr>
        <w:trPr>
          <w:trHeight w:val="20"/>
        </w:trPr>
        <w:tc>
          <w:tcPr>
            <w:tcW w:w="3140" w:type="dxa"/>
            <w:vAlign w:val="bottom"/>
            <w:tcBorders>
              <w:left w:val="single" w:sz="8" w:color="00548B"/>
              <w:right w:val="single" w:sz="8" w:color="999999"/>
            </w:tcBorders>
          </w:tcPr>
          <w:p>
            <w:pPr>
              <w:spacing w:after="0" w:line="20" w:lineRule="exact"/>
              <w:rPr>
                <w:sz w:val="1"/>
                <w:szCs w:val="1"/>
                <w:color w:val="auto"/>
              </w:rPr>
            </w:pPr>
          </w:p>
        </w:tc>
        <w:tc>
          <w:tcPr>
            <w:tcW w:w="266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40" w:type="dxa"/>
            <w:vAlign w:val="bottom"/>
            <w:tcBorders>
              <w:right w:val="single" w:sz="8" w:color="999999"/>
            </w:tcBorders>
            <w:gridSpan w:val="2"/>
          </w:tcPr>
          <w:p>
            <w:pPr>
              <w:spacing w:after="0" w:line="20" w:lineRule="exact"/>
              <w:rPr>
                <w:sz w:val="1"/>
                <w:szCs w:val="1"/>
                <w:color w:val="auto"/>
              </w:rPr>
            </w:pPr>
          </w:p>
        </w:tc>
        <w:tc>
          <w:tcPr>
            <w:tcW w:w="2580" w:type="dxa"/>
            <w:vAlign w:val="bottom"/>
            <w:tcBorders>
              <w:right w:val="single" w:sz="8" w:color="00548B"/>
            </w:tcBorders>
          </w:tcPr>
          <w:p>
            <w:pPr>
              <w:spacing w:after="0" w:line="20" w:lineRule="exact"/>
              <w:rPr>
                <w:sz w:val="1"/>
                <w:szCs w:val="1"/>
                <w:color w:val="auto"/>
              </w:rPr>
            </w:pPr>
          </w:p>
        </w:tc>
      </w:tr>
      <w:tr>
        <w:trPr>
          <w:trHeight w:val="196"/>
        </w:trPr>
        <w:tc>
          <w:tcPr>
            <w:tcW w:w="3140" w:type="dxa"/>
            <w:vAlign w:val="bottom"/>
            <w:tcBorders>
              <w:left w:val="single" w:sz="8" w:color="00548B"/>
              <w:bottom w:val="single" w:sz="8" w:color="00548B"/>
              <w:right w:val="single" w:sz="8" w:color="999999"/>
            </w:tcBorders>
          </w:tcPr>
          <w:p>
            <w:pPr>
              <w:spacing w:after="0"/>
              <w:rPr>
                <w:sz w:val="17"/>
                <w:szCs w:val="17"/>
                <w:color w:val="auto"/>
              </w:rPr>
            </w:pPr>
          </w:p>
        </w:tc>
        <w:tc>
          <w:tcPr>
            <w:tcW w:w="2660" w:type="dxa"/>
            <w:vAlign w:val="bottom"/>
            <w:tcBorders>
              <w:bottom w:val="single" w:sz="8" w:color="00548B"/>
              <w:right w:val="single" w:sz="8" w:color="999999"/>
            </w:tcBorders>
          </w:tcPr>
          <w:p>
            <w:pPr>
              <w:spacing w:after="0"/>
              <w:rPr>
                <w:sz w:val="17"/>
                <w:szCs w:val="17"/>
                <w:color w:val="auto"/>
              </w:rPr>
            </w:pPr>
          </w:p>
        </w:tc>
        <w:tc>
          <w:tcPr>
            <w:tcW w:w="80" w:type="dxa"/>
            <w:vAlign w:val="bottom"/>
            <w:tcBorders>
              <w:bottom w:val="single" w:sz="8" w:color="00548B"/>
            </w:tcBorders>
          </w:tcPr>
          <w:p>
            <w:pPr>
              <w:spacing w:after="0"/>
              <w:rPr>
                <w:sz w:val="17"/>
                <w:szCs w:val="17"/>
                <w:color w:val="auto"/>
              </w:rPr>
            </w:pPr>
          </w:p>
        </w:tc>
        <w:tc>
          <w:tcPr>
            <w:tcW w:w="2580" w:type="dxa"/>
            <w:vAlign w:val="bottom"/>
            <w:tcBorders>
              <w:bottom w:val="single" w:sz="8" w:color="00548B"/>
              <w:right w:val="single" w:sz="8" w:color="999999"/>
            </w:tcBorders>
            <w:gridSpan w:val="3"/>
          </w:tcPr>
          <w:p>
            <w:pPr>
              <w:spacing w:after="0"/>
              <w:rPr>
                <w:sz w:val="20"/>
                <w:szCs w:val="20"/>
                <w:color w:val="auto"/>
              </w:rPr>
            </w:pPr>
            <w:r>
              <w:rPr>
                <w:rFonts w:ascii="Arial" w:cs="Arial" w:eastAsia="Arial" w:hAnsi="Arial"/>
                <w:sz w:val="16"/>
                <w:szCs w:val="16"/>
                <w:color w:val="auto"/>
              </w:rPr>
              <w:t>shall immediately fully vest.</w:t>
            </w:r>
          </w:p>
        </w:tc>
        <w:tc>
          <w:tcPr>
            <w:tcW w:w="2580" w:type="dxa"/>
            <w:vAlign w:val="bottom"/>
            <w:tcBorders>
              <w:bottom w:val="single" w:sz="8" w:color="00548B"/>
              <w:right w:val="single" w:sz="8" w:color="00548B"/>
            </w:tcBorders>
          </w:tcPr>
          <w:p>
            <w:pPr>
              <w:spacing w:after="0"/>
              <w:rPr>
                <w:sz w:val="17"/>
                <w:szCs w:val="17"/>
                <w:color w:val="auto"/>
              </w:rPr>
            </w:pPr>
          </w:p>
        </w:tc>
      </w:tr>
    </w:tbl>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Other Benefits</w:t>
      </w:r>
    </w:p>
    <w:p>
      <w:pPr>
        <w:spacing w:after="0" w:line="25"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Mr. Roth, Mr. Hussey, Mr. Kelly and Ms. Ratekin will be eligible to participate in the Company’s various health and welfare benefit plans for its similarly situated key management employees.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Restrictive Covenants on Termination</w:t>
      </w:r>
    </w:p>
    <w:p>
      <w:pPr>
        <w:spacing w:after="0" w:line="25"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For the applicable restricted period set forth in each executive officer’s Senior Management Agreement, he or she may not directly or indirectly (i) hire any employees of the Company or solicit, induce or encourage any employee of the Company or any client of the Company to leave, alter or cease his or her relationship with it or (ii) provide services that are the same as or similar to those offered by the Company to any client of the Company that he or she obtained as a client for the Company, to whom he or she provided services within the 12 months preceding termination of employment, or to whom he or she submitted a proposal during the six months prior to termination of employment. The restricted period for Mr. Roth is 12 to 24 months (depending on the type of termination) following termination of employment. The restricted period for Mr. Hussey, Mr. Kelly and Ms. Ratekin is 12 months following termination of employment for any reason. In addition, for a period of 12 to 24 months (depending on the type of termination) following the termination of his employment, Mr. Roth may not, directly or indirectly, provide services that are competitive with those of the Company to any person, firm or other business entity. Executives are also subject to a confidentiality and non-disclosure covenant.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42</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Key Definitions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Definition of “Change of Control”</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Change of Control is defined in all four agreements as:</w:t>
      </w:r>
    </w:p>
    <w:p>
      <w:pPr>
        <w:spacing w:after="0" w:line="127" w:lineRule="exact"/>
        <w:rPr>
          <w:sz w:val="20"/>
          <w:szCs w:val="20"/>
          <w:color w:val="auto"/>
        </w:rPr>
      </w:pPr>
    </w:p>
    <w:p>
      <w:pPr>
        <w:ind w:left="960" w:hanging="432"/>
        <w:spacing w:after="0"/>
        <w:tabs>
          <w:tab w:leader="none" w:pos="960" w:val="left"/>
        </w:tabs>
        <w:numPr>
          <w:ilvl w:val="0"/>
          <w:numId w:val="46"/>
        </w:numPr>
        <w:rPr>
          <w:rFonts w:ascii="Arial" w:cs="Arial" w:eastAsia="Arial" w:hAnsi="Arial"/>
          <w:sz w:val="16"/>
          <w:szCs w:val="16"/>
          <w:color w:val="00548B"/>
        </w:rPr>
      </w:pPr>
      <w:r>
        <w:rPr>
          <w:rFonts w:ascii="Arial" w:cs="Arial" w:eastAsia="Arial" w:hAnsi="Arial"/>
          <w:sz w:val="16"/>
          <w:szCs w:val="16"/>
          <w:color w:val="auto"/>
        </w:rPr>
        <w:t>any person becomes a beneficial owner of 40% or more of the Company’s outstanding securities;</w:t>
      </w:r>
    </w:p>
    <w:p>
      <w:pPr>
        <w:spacing w:after="0" w:line="5" w:lineRule="exact"/>
        <w:rPr>
          <w:rFonts w:ascii="Arial" w:cs="Arial" w:eastAsia="Arial" w:hAnsi="Arial"/>
          <w:sz w:val="16"/>
          <w:szCs w:val="16"/>
          <w:color w:val="00548B"/>
        </w:rPr>
      </w:pPr>
    </w:p>
    <w:p>
      <w:pPr>
        <w:jc w:val="both"/>
        <w:ind w:left="960" w:hanging="432"/>
        <w:spacing w:after="0" w:line="246" w:lineRule="auto"/>
        <w:tabs>
          <w:tab w:leader="none" w:pos="960" w:val="left"/>
        </w:tabs>
        <w:numPr>
          <w:ilvl w:val="0"/>
          <w:numId w:val="46"/>
        </w:numPr>
        <w:rPr>
          <w:rFonts w:ascii="Arial" w:cs="Arial" w:eastAsia="Arial" w:hAnsi="Arial"/>
          <w:sz w:val="16"/>
          <w:szCs w:val="16"/>
          <w:color w:val="00548B"/>
        </w:rPr>
      </w:pPr>
      <w:r>
        <w:rPr>
          <w:rFonts w:ascii="Arial" w:cs="Arial" w:eastAsia="Arial" w:hAnsi="Arial"/>
          <w:sz w:val="16"/>
          <w:szCs w:val="16"/>
          <w:color w:val="auto"/>
        </w:rPr>
        <w:t>there is a consummation of a merger or consolidation with any person unless (a) the voting securities of the Company outstanding immediately prior to the transaction continue to represent at least 50% of the combined voting power of the securities of the Company or such other surviving entity; (b) the merger is a recapitalization in which no person other than existing security holders becomes a beneficial owner representing 50% or more of the Company’s then outstanding securities; or (c) the merger does not represent a sale of all or substantially all of the Company’s assets;</w:t>
      </w:r>
    </w:p>
    <w:p>
      <w:pPr>
        <w:spacing w:after="0" w:line="2" w:lineRule="exact"/>
        <w:rPr>
          <w:rFonts w:ascii="Arial" w:cs="Arial" w:eastAsia="Arial" w:hAnsi="Arial"/>
          <w:sz w:val="16"/>
          <w:szCs w:val="16"/>
          <w:color w:val="00548B"/>
        </w:rPr>
      </w:pPr>
    </w:p>
    <w:p>
      <w:pPr>
        <w:ind w:left="960" w:hanging="432"/>
        <w:spacing w:after="0"/>
        <w:tabs>
          <w:tab w:leader="none" w:pos="960" w:val="left"/>
        </w:tabs>
        <w:numPr>
          <w:ilvl w:val="0"/>
          <w:numId w:val="46"/>
        </w:numPr>
        <w:rPr>
          <w:rFonts w:ascii="Arial" w:cs="Arial" w:eastAsia="Arial" w:hAnsi="Arial"/>
          <w:sz w:val="16"/>
          <w:szCs w:val="16"/>
          <w:color w:val="00548B"/>
        </w:rPr>
      </w:pPr>
      <w:r>
        <w:rPr>
          <w:rFonts w:ascii="Arial" w:cs="Arial" w:eastAsia="Arial" w:hAnsi="Arial"/>
          <w:sz w:val="16"/>
          <w:szCs w:val="16"/>
          <w:color w:val="auto"/>
        </w:rPr>
        <w:t>the stockholders approve a plan of complete liquidation or dissolution; or</w:t>
      </w:r>
    </w:p>
    <w:p>
      <w:pPr>
        <w:spacing w:after="0" w:line="5" w:lineRule="exact"/>
        <w:rPr>
          <w:rFonts w:ascii="Arial" w:cs="Arial" w:eastAsia="Arial" w:hAnsi="Arial"/>
          <w:sz w:val="16"/>
          <w:szCs w:val="16"/>
          <w:color w:val="00548B"/>
        </w:rPr>
      </w:pPr>
    </w:p>
    <w:p>
      <w:pPr>
        <w:ind w:left="960" w:hanging="432"/>
        <w:spacing w:after="0" w:line="260" w:lineRule="auto"/>
        <w:tabs>
          <w:tab w:leader="none" w:pos="960" w:val="left"/>
        </w:tabs>
        <w:numPr>
          <w:ilvl w:val="0"/>
          <w:numId w:val="46"/>
        </w:numPr>
        <w:rPr>
          <w:rFonts w:ascii="Arial" w:cs="Arial" w:eastAsia="Arial" w:hAnsi="Arial"/>
          <w:sz w:val="16"/>
          <w:szCs w:val="16"/>
          <w:color w:val="00548B"/>
        </w:rPr>
      </w:pPr>
      <w:r>
        <w:rPr>
          <w:rFonts w:ascii="Arial" w:cs="Arial" w:eastAsia="Arial" w:hAnsi="Arial"/>
          <w:sz w:val="16"/>
          <w:szCs w:val="16"/>
          <w:color w:val="auto"/>
        </w:rPr>
        <w:t>there is a disposition or sale of all or substantially all of the Company’s assets other than a sale or disposition in which at least 50% of the combined voting power of the voting securities are owned by shareholders of Huron.</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Definition of “Good Reason”</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definition of “Good Reason” is defined in all four agreements to mean a resignation following: (i) a change in primary location of employment to a location that is more than 50 miles from Chicago, Illinois; (ii) a failure to comply with any material term of the agreement by the Company or (iii) a material reduction in base salary or benefits coverage, provided that such reduction is without his or her consent, is not warranted by the Company’s financial condition, and is not a change that applies uniformly to similarly situated Company executives. The agreements provide the Company the right to cure prior to a senior executive’s resignation for Good Reason.</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Definition of “Good Reason” in Relation to a Change of Control</w:t>
      </w:r>
    </w:p>
    <w:p>
      <w:pPr>
        <w:spacing w:after="0" w:line="2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Under all four agreements, a Change of Control Good Reason occurs if certain adverse changes occur in anticipation of, or within twenty-four months following, a Change of Control including:</w:t>
      </w:r>
    </w:p>
    <w:p>
      <w:pPr>
        <w:spacing w:after="0" w:line="101" w:lineRule="exact"/>
        <w:rPr>
          <w:sz w:val="20"/>
          <w:szCs w:val="20"/>
          <w:color w:val="auto"/>
        </w:rPr>
      </w:pPr>
    </w:p>
    <w:p>
      <w:pPr>
        <w:ind w:left="960" w:hanging="432"/>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material breach of the Senior Management Agreement by the Company,</w:t>
      </w:r>
    </w:p>
    <w:p>
      <w:pPr>
        <w:spacing w:after="0" w:line="5" w:lineRule="exact"/>
        <w:rPr>
          <w:rFonts w:ascii="Arial" w:cs="Arial" w:eastAsia="Arial" w:hAnsi="Arial"/>
          <w:sz w:val="16"/>
          <w:szCs w:val="16"/>
          <w:color w:val="auto"/>
        </w:rPr>
      </w:pPr>
    </w:p>
    <w:p>
      <w:pPr>
        <w:ind w:left="960" w:hanging="432"/>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material adverse change in the executive’s status, responsibilities or position with the Company,</w:t>
      </w:r>
    </w:p>
    <w:p>
      <w:pPr>
        <w:spacing w:after="0" w:line="5" w:lineRule="exact"/>
        <w:rPr>
          <w:rFonts w:ascii="Arial" w:cs="Arial" w:eastAsia="Arial" w:hAnsi="Arial"/>
          <w:sz w:val="16"/>
          <w:szCs w:val="16"/>
          <w:color w:val="auto"/>
        </w:rPr>
      </w:pPr>
    </w:p>
    <w:p>
      <w:pPr>
        <w:ind w:left="960" w:hanging="432"/>
        <w:spacing w:after="0" w:line="246"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material reduction in his or her base salary or target bonus, other than in connection with an across-the-board reduction in base salaries applicable in like proportions to all similarly situated executives of the Company and any direct or indirect parent of the Company,</w:t>
      </w:r>
    </w:p>
    <w:p>
      <w:pPr>
        <w:jc w:val="both"/>
        <w:ind w:left="960" w:hanging="432"/>
        <w:spacing w:after="0" w:line="246"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assignment of duties to the executive that are materially inconsistent with his or her position and responsibilities described in the Senior Management Agreement, including, specifically, assignment of a position other than as Chief Executive Officer of the surviving Company in the case of Mr. Roth, or</w:t>
      </w:r>
    </w:p>
    <w:p>
      <w:pPr>
        <w:spacing w:after="0" w:line="1" w:lineRule="exact"/>
        <w:rPr>
          <w:rFonts w:ascii="Arial" w:cs="Arial" w:eastAsia="Arial" w:hAnsi="Arial"/>
          <w:sz w:val="16"/>
          <w:szCs w:val="16"/>
          <w:color w:val="auto"/>
        </w:rPr>
      </w:pPr>
    </w:p>
    <w:p>
      <w:pPr>
        <w:ind w:left="960" w:hanging="432"/>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requiring the executive to be principally based at any office or location that is greater than 50 miles from Chicago, Illinois.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Termination without Cause or Resignation for Good Reason</w:t>
      </w:r>
    </w:p>
    <w:p>
      <w:pPr>
        <w:spacing w:after="0" w:line="2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If any of the NEOs is terminated without Cause or resigns for Good Reason, as defined in his or her Senior Management Agreement, upon executing a general release and waiver, the Company is obligated to pay severance and continuation of benefits in varying amounts. In addition, NEOs will receive pro rata vesting of performance units that would otherwise have been earned in the performance period.</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43</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except in the case of a Change of Control, as of December 31, 2018:</w:t>
      </w:r>
    </w:p>
    <w:p>
      <w:pPr>
        <w:spacing w:after="0" w:line="19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1920" w:type="dxa"/>
            <w:vAlign w:val="bottom"/>
            <w:tcBorders>
              <w:left w:val="single" w:sz="8" w:color="00548B"/>
              <w:right w:val="single" w:sz="8" w:color="999999"/>
            </w:tcBorders>
            <w:shd w:val="clear" w:color="auto" w:fill="00548B"/>
          </w:tcPr>
          <w:p>
            <w:pPr>
              <w:ind w:left="140"/>
              <w:spacing w:after="0"/>
              <w:rPr>
                <w:sz w:val="20"/>
                <w:szCs w:val="20"/>
                <w:color w:val="auto"/>
              </w:rPr>
            </w:pPr>
            <w:r>
              <w:rPr>
                <w:rFonts w:ascii="Arial" w:cs="Arial" w:eastAsia="Arial" w:hAnsi="Arial"/>
                <w:sz w:val="14"/>
                <w:szCs w:val="14"/>
                <w:b w:val="1"/>
                <w:bCs w:val="1"/>
                <w:color w:val="D8D8D8"/>
              </w:rPr>
              <w:t>Executive</w:t>
            </w:r>
          </w:p>
        </w:tc>
        <w:tc>
          <w:tcPr>
            <w:tcW w:w="9120" w:type="dxa"/>
            <w:vAlign w:val="bottom"/>
            <w:tcBorders>
              <w:right w:val="single" w:sz="8" w:color="00548B"/>
            </w:tcBorders>
            <w:shd w:val="clear" w:color="auto" w:fill="00548B"/>
          </w:tcPr>
          <w:p>
            <w:pPr>
              <w:ind w:left="3960"/>
              <w:spacing w:after="0"/>
              <w:rPr>
                <w:sz w:val="20"/>
                <w:szCs w:val="20"/>
                <w:color w:val="auto"/>
              </w:rPr>
            </w:pPr>
            <w:r>
              <w:rPr>
                <w:rFonts w:ascii="Arial" w:cs="Arial" w:eastAsia="Arial" w:hAnsi="Arial"/>
                <w:sz w:val="14"/>
                <w:szCs w:val="14"/>
                <w:b w:val="1"/>
                <w:bCs w:val="1"/>
                <w:color w:val="D8D8D8"/>
              </w:rPr>
              <w:t>Severance Benefits</w:t>
            </w:r>
          </w:p>
        </w:tc>
      </w:tr>
      <w:tr>
        <w:trPr>
          <w:trHeight w:val="191"/>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James H. Roth</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two times the sum of his then current annual base salary and his then current target bonus; pro</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rata bonus in the year of termination based on actual results; 24 months’ continuation of medical insurance; and pro rata</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vesting of performance units that would otherwise have been earned in the performance period. Severance amounts are</w:t>
            </w:r>
          </w:p>
        </w:tc>
      </w:tr>
      <w:tr>
        <w:trPr>
          <w:trHeight w:val="187"/>
        </w:trPr>
        <w:tc>
          <w:tcPr>
            <w:tcW w:w="1920" w:type="dxa"/>
            <w:vAlign w:val="bottom"/>
            <w:tcBorders>
              <w:left w:val="single" w:sz="8" w:color="00548B"/>
              <w:bottom w:val="single" w:sz="8" w:color="999999"/>
              <w:right w:val="single" w:sz="8" w:color="999999"/>
            </w:tcBorders>
          </w:tcPr>
          <w:p>
            <w:pPr>
              <w:spacing w:after="0"/>
              <w:rPr>
                <w:sz w:val="16"/>
                <w:szCs w:val="16"/>
                <w:color w:val="auto"/>
              </w:rPr>
            </w:pPr>
          </w:p>
        </w:tc>
        <w:tc>
          <w:tcPr>
            <w:tcW w:w="912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payable in a lump sum.</w:t>
            </w:r>
          </w:p>
        </w:tc>
      </w:tr>
      <w:tr>
        <w:trPr>
          <w:trHeight w:val="184"/>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C. Mark Hussey</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one and one-half times the sum of his then current annual base salary and his then current</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target bonus; pro rata bonus in the year of termination based on actual results; 18 months’ continuation of medical</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insurance; and pro rata vesting of performance units that would otherwise have been earned in the performance period.</w:t>
            </w:r>
          </w:p>
        </w:tc>
      </w:tr>
      <w:tr>
        <w:trPr>
          <w:trHeight w:val="187"/>
        </w:trPr>
        <w:tc>
          <w:tcPr>
            <w:tcW w:w="1920" w:type="dxa"/>
            <w:vAlign w:val="bottom"/>
            <w:tcBorders>
              <w:left w:val="single" w:sz="8" w:color="00548B"/>
              <w:bottom w:val="single" w:sz="8" w:color="999999"/>
              <w:right w:val="single" w:sz="8" w:color="999999"/>
            </w:tcBorders>
          </w:tcPr>
          <w:p>
            <w:pPr>
              <w:spacing w:after="0"/>
              <w:rPr>
                <w:sz w:val="16"/>
                <w:szCs w:val="16"/>
                <w:color w:val="auto"/>
              </w:rPr>
            </w:pPr>
          </w:p>
        </w:tc>
        <w:tc>
          <w:tcPr>
            <w:tcW w:w="912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Severance amounts are payable in a lump sum.</w:t>
            </w:r>
          </w:p>
        </w:tc>
      </w:tr>
      <w:tr>
        <w:trPr>
          <w:trHeight w:val="184"/>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John D. Kelly &amp; Diane</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the sum of his or her then current annual base salary and his or her then current target bonus;</w:t>
            </w:r>
          </w:p>
        </w:tc>
      </w:tr>
      <w:tr>
        <w:trPr>
          <w:trHeight w:val="189"/>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E. Ratekin</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pro rata bonus in the year of termination based on actual results; 12 months’ continuation of medical insurance; and pro</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rata vesting of performance units that would otherwise have been earned in the performance period. Severance amounts</w:t>
            </w:r>
          </w:p>
        </w:tc>
      </w:tr>
      <w:tr>
        <w:trPr>
          <w:trHeight w:val="187"/>
        </w:trPr>
        <w:tc>
          <w:tcPr>
            <w:tcW w:w="1920" w:type="dxa"/>
            <w:vAlign w:val="bottom"/>
            <w:tcBorders>
              <w:left w:val="single" w:sz="8" w:color="00548B"/>
              <w:bottom w:val="single" w:sz="8" w:color="00548B"/>
              <w:right w:val="single" w:sz="8" w:color="999999"/>
            </w:tcBorders>
          </w:tcPr>
          <w:p>
            <w:pPr>
              <w:spacing w:after="0"/>
              <w:rPr>
                <w:sz w:val="16"/>
                <w:szCs w:val="16"/>
                <w:color w:val="auto"/>
              </w:rPr>
            </w:pPr>
          </w:p>
        </w:tc>
        <w:tc>
          <w:tcPr>
            <w:tcW w:w="9120" w:type="dxa"/>
            <w:vAlign w:val="bottom"/>
            <w:tcBorders>
              <w:bottom w:val="single" w:sz="8" w:color="00548B"/>
              <w:right w:val="single" w:sz="8" w:color="00548B"/>
            </w:tcBorders>
          </w:tcPr>
          <w:p>
            <w:pPr>
              <w:ind w:left="180"/>
              <w:spacing w:after="0"/>
              <w:rPr>
                <w:sz w:val="20"/>
                <w:szCs w:val="20"/>
                <w:color w:val="auto"/>
              </w:rPr>
            </w:pPr>
            <w:r>
              <w:rPr>
                <w:rFonts w:ascii="Arial" w:cs="Arial" w:eastAsia="Arial" w:hAnsi="Arial"/>
                <w:sz w:val="16"/>
                <w:szCs w:val="16"/>
                <w:color w:val="auto"/>
              </w:rPr>
              <w:t>are payable in a lump sum.</w:t>
            </w:r>
          </w:p>
        </w:tc>
      </w:tr>
    </w:tbl>
    <w:p>
      <w:pPr>
        <w:spacing w:after="0" w:line="191"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In the event an executive qualifies for an approved retirement and signs a non-compete agreement, he or she would receive continued vesting of his or her stock options and restricted stock. There would be no acceleration, but the equity would continue to vest per the schedule as outlined in the grant agreements.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Termination of Employment Due to Death or Disability</w:t>
      </w:r>
    </w:p>
    <w:p>
      <w:pPr>
        <w:spacing w:after="0" w:line="25"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If any of our executives dies or becomes disabled, his or her estate will receive payment of base salary and a pro rata bonus at target through the date of termination. The executive and/or his or her eligible dependents shall receive continuation of medical benefits for six months. In addition, unvested time-based equity outstanding will vest and unvested performance-based awards will vest in accordance with the applicable performance share equity agreement.</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Termination of Employment Due to Termination other than for Resignation for Good Reason or Due to Cause</w:t>
      </w:r>
    </w:p>
    <w:p>
      <w:pPr>
        <w:spacing w:after="0" w:line="25"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No severance or benefits are paid if an executive officer is terminated for Cause or resigns other than for Good Reason as defined in the executive’s Senior Management Agreement.</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Termination without Cause or Resignation for Good Reason Related to a Change of Control</w:t>
      </w:r>
    </w:p>
    <w:p>
      <w:pPr>
        <w:spacing w:after="0" w:line="2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If any of our executives with a Senior Management Agreement is terminated without Cause or resigns for Good Reason in conjunction with a Change of Control, as defined in his or her Senior Management Agreement, upon executing a general release and waiver, the Company is obligated to pay severance and continuation of benefits in varying amounts.</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44</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right="20"/>
        <w:spacing w:after="0" w:line="260"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in the case of a Change of Control, as of December 31, 2018:</w:t>
      </w:r>
    </w:p>
    <w:p>
      <w:pPr>
        <w:spacing w:after="0" w:line="19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1920" w:type="dxa"/>
            <w:vAlign w:val="bottom"/>
            <w:tcBorders>
              <w:left w:val="single" w:sz="8" w:color="00548B"/>
              <w:right w:val="single" w:sz="8" w:color="999999"/>
            </w:tcBorders>
            <w:shd w:val="clear" w:color="auto" w:fill="00548B"/>
          </w:tcPr>
          <w:p>
            <w:pPr>
              <w:ind w:left="140"/>
              <w:spacing w:after="0"/>
              <w:rPr>
                <w:sz w:val="20"/>
                <w:szCs w:val="20"/>
                <w:color w:val="auto"/>
              </w:rPr>
            </w:pPr>
            <w:r>
              <w:rPr>
                <w:rFonts w:ascii="Arial" w:cs="Arial" w:eastAsia="Arial" w:hAnsi="Arial"/>
                <w:sz w:val="14"/>
                <w:szCs w:val="14"/>
                <w:b w:val="1"/>
                <w:bCs w:val="1"/>
                <w:color w:val="D8D8D8"/>
              </w:rPr>
              <w:t>Executive</w:t>
            </w:r>
          </w:p>
        </w:tc>
        <w:tc>
          <w:tcPr>
            <w:tcW w:w="9120" w:type="dxa"/>
            <w:vAlign w:val="bottom"/>
            <w:tcBorders>
              <w:right w:val="single" w:sz="8" w:color="00548B"/>
            </w:tcBorders>
            <w:shd w:val="clear" w:color="auto" w:fill="00548B"/>
          </w:tcPr>
          <w:p>
            <w:pPr>
              <w:ind w:left="3960"/>
              <w:spacing w:after="0"/>
              <w:rPr>
                <w:sz w:val="20"/>
                <w:szCs w:val="20"/>
                <w:color w:val="auto"/>
              </w:rPr>
            </w:pPr>
            <w:r>
              <w:rPr>
                <w:rFonts w:ascii="Arial" w:cs="Arial" w:eastAsia="Arial" w:hAnsi="Arial"/>
                <w:sz w:val="14"/>
                <w:szCs w:val="14"/>
                <w:b w:val="1"/>
                <w:bCs w:val="1"/>
                <w:color w:val="D8D8D8"/>
              </w:rPr>
              <w:t>Severance Benefits</w:t>
            </w:r>
          </w:p>
        </w:tc>
      </w:tr>
      <w:tr>
        <w:trPr>
          <w:trHeight w:val="191"/>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James H. Roth</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two and one-half times the sum of his then current annual base salary and his then current</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target bonus, pro rata target bonus in the year of termination, 30 months’ continuation of medical insurance, and</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accelerated vesting of all outstanding equity grants that were awarded at or prior to the time of the Change of Control.</w:t>
            </w:r>
          </w:p>
        </w:tc>
      </w:tr>
      <w:tr>
        <w:trPr>
          <w:trHeight w:val="187"/>
        </w:trPr>
        <w:tc>
          <w:tcPr>
            <w:tcW w:w="1920" w:type="dxa"/>
            <w:vAlign w:val="bottom"/>
            <w:tcBorders>
              <w:left w:val="single" w:sz="8" w:color="00548B"/>
              <w:bottom w:val="single" w:sz="8" w:color="999999"/>
              <w:right w:val="single" w:sz="8" w:color="999999"/>
            </w:tcBorders>
          </w:tcPr>
          <w:p>
            <w:pPr>
              <w:spacing w:after="0"/>
              <w:rPr>
                <w:sz w:val="16"/>
                <w:szCs w:val="16"/>
                <w:color w:val="auto"/>
              </w:rPr>
            </w:pPr>
          </w:p>
        </w:tc>
        <w:tc>
          <w:tcPr>
            <w:tcW w:w="912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Severance amounts are payable in a lump sum.</w:t>
            </w:r>
          </w:p>
        </w:tc>
      </w:tr>
      <w:tr>
        <w:trPr>
          <w:trHeight w:val="184"/>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C. Mark Hussey</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two times the sum of his then current annual base salary and his then current target bonus, pro</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rata target bonus in the year of termination, 24 months’ continuation of medical insurance, and accelerated vesting of all</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outstanding equity grants that were awarded at or prior to the time of the Change of Control. Severance amounts are</w:t>
            </w:r>
          </w:p>
        </w:tc>
      </w:tr>
      <w:tr>
        <w:trPr>
          <w:trHeight w:val="187"/>
        </w:trPr>
        <w:tc>
          <w:tcPr>
            <w:tcW w:w="1920" w:type="dxa"/>
            <w:vAlign w:val="bottom"/>
            <w:tcBorders>
              <w:left w:val="single" w:sz="8" w:color="00548B"/>
              <w:bottom w:val="single" w:sz="8" w:color="999999"/>
              <w:right w:val="single" w:sz="8" w:color="999999"/>
            </w:tcBorders>
          </w:tcPr>
          <w:p>
            <w:pPr>
              <w:spacing w:after="0"/>
              <w:rPr>
                <w:sz w:val="16"/>
                <w:szCs w:val="16"/>
                <w:color w:val="auto"/>
              </w:rPr>
            </w:pPr>
          </w:p>
        </w:tc>
        <w:tc>
          <w:tcPr>
            <w:tcW w:w="912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payable in a lump sum.</w:t>
            </w:r>
          </w:p>
        </w:tc>
      </w:tr>
      <w:tr>
        <w:trPr>
          <w:trHeight w:val="184"/>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John D. Kelly &amp; Diane</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one and one-half times the sum of his or her then current annual base salary and his or her</w:t>
            </w:r>
          </w:p>
        </w:tc>
      </w:tr>
      <w:tr>
        <w:trPr>
          <w:trHeight w:val="189"/>
        </w:trPr>
        <w:tc>
          <w:tcPr>
            <w:tcW w:w="192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E. Ratekin</w:t>
            </w: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then current target bonus, pro rata target bonus in the year of termination, 18 months’ continuation of medical insurance,</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and accelerated vesting of all outstanding equity grants that were awarded at or prior to the time of the Change of Control.</w:t>
            </w:r>
          </w:p>
        </w:tc>
      </w:tr>
      <w:tr>
        <w:trPr>
          <w:trHeight w:val="187"/>
        </w:trPr>
        <w:tc>
          <w:tcPr>
            <w:tcW w:w="1920" w:type="dxa"/>
            <w:vAlign w:val="bottom"/>
            <w:tcBorders>
              <w:left w:val="single" w:sz="8" w:color="00548B"/>
              <w:bottom w:val="single" w:sz="8" w:color="00548B"/>
              <w:right w:val="single" w:sz="8" w:color="999999"/>
            </w:tcBorders>
          </w:tcPr>
          <w:p>
            <w:pPr>
              <w:spacing w:after="0"/>
              <w:rPr>
                <w:sz w:val="16"/>
                <w:szCs w:val="16"/>
                <w:color w:val="auto"/>
              </w:rPr>
            </w:pPr>
          </w:p>
        </w:tc>
        <w:tc>
          <w:tcPr>
            <w:tcW w:w="9120" w:type="dxa"/>
            <w:vAlign w:val="bottom"/>
            <w:tcBorders>
              <w:bottom w:val="single" w:sz="8" w:color="00548B"/>
              <w:right w:val="single" w:sz="8" w:color="00548B"/>
            </w:tcBorders>
          </w:tcPr>
          <w:p>
            <w:pPr>
              <w:ind w:left="180"/>
              <w:spacing w:after="0"/>
              <w:rPr>
                <w:sz w:val="20"/>
                <w:szCs w:val="20"/>
                <w:color w:val="auto"/>
              </w:rPr>
            </w:pPr>
            <w:r>
              <w:rPr>
                <w:rFonts w:ascii="Arial" w:cs="Arial" w:eastAsia="Arial" w:hAnsi="Arial"/>
                <w:sz w:val="16"/>
                <w:szCs w:val="16"/>
                <w:color w:val="auto"/>
              </w:rPr>
              <w:t>Severance amounts are payable in a lump sum.</w:t>
            </w:r>
          </w:p>
        </w:tc>
      </w:tr>
    </w:tbl>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Golden Parachute Cutback</w:t>
      </w:r>
    </w:p>
    <w:p>
      <w:pPr>
        <w:spacing w:after="0" w:line="25"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All four Senior Management Agreements provide that, if any amount, right or benefit paid or payable to the executive under his or her Senior Management Agreement or any other plan, program or arrangement would constitute an “excess parachute payment” under Section 280G of the Code, subject to the excise tax imposed by Section 4999 of the Code, then the amount of payments payable to the executive under his or her Senior Management Agreement will be reduced to the extent necessary so that no portion of such payments is subject to such excise tax.</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P</w:t>
      </w:r>
      <w:r>
        <w:rPr>
          <w:rFonts w:ascii="Arial" w:cs="Arial" w:eastAsia="Arial" w:hAnsi="Arial"/>
          <w:sz w:val="15"/>
          <w:szCs w:val="15"/>
          <w:b w:val="1"/>
          <w:bCs w:val="1"/>
          <w:color w:val="00548B"/>
        </w:rPr>
        <w:t>OTENTIAL</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AYMENTS UPON</w:t>
      </w:r>
      <w:r>
        <w:rPr>
          <w:rFonts w:ascii="Arial" w:cs="Arial" w:eastAsia="Arial" w:hAnsi="Arial"/>
          <w:sz w:val="18"/>
          <w:szCs w:val="18"/>
          <w:b w:val="1"/>
          <w:bCs w:val="1"/>
          <w:color w:val="00548B"/>
        </w:rPr>
        <w:t xml:space="preserve"> T</w:t>
      </w:r>
      <w:r>
        <w:rPr>
          <w:rFonts w:ascii="Arial" w:cs="Arial" w:eastAsia="Arial" w:hAnsi="Arial"/>
          <w:sz w:val="15"/>
          <w:szCs w:val="15"/>
          <w:b w:val="1"/>
          <w:bCs w:val="1"/>
          <w:color w:val="00548B"/>
        </w:rPr>
        <w:t>ERMINATION OR</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HANGE OF</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ONTROL</w:t>
      </w:r>
    </w:p>
    <w:p>
      <w:pPr>
        <w:spacing w:after="0" w:line="20" w:lineRule="exact"/>
        <w:rPr>
          <w:sz w:val="20"/>
          <w:szCs w:val="20"/>
          <w:color w:val="auto"/>
        </w:rPr>
      </w:pPr>
    </w:p>
    <w:p>
      <w:pPr>
        <w:jc w:val="both"/>
        <w:ind w:left="200" w:right="20"/>
        <w:spacing w:after="0" w:line="249" w:lineRule="auto"/>
        <w:rPr>
          <w:sz w:val="20"/>
          <w:szCs w:val="20"/>
          <w:color w:val="auto"/>
        </w:rPr>
      </w:pPr>
      <w:r>
        <w:rPr>
          <w:rFonts w:ascii="Arial" w:cs="Arial" w:eastAsia="Arial" w:hAnsi="Arial"/>
          <w:sz w:val="16"/>
          <w:szCs w:val="16"/>
          <w:color w:val="auto"/>
        </w:rPr>
        <w:t>The estimated amount payable or provided to each named executive officer in each situation is summarized below. These estimates are based on the assumption that the various triggering events occurred on the last day of 2018, along with other material assumptions noted below. The actual amounts that would be paid to a named executive officer upon termination or a change of control can only be determined at the time the actual triggering event occurs. The estimated amount of compensation and benefits described below does not take into account compensation and benefits that a named executive officer has earned prior to the applicable triggering event, such as equity awards that have previously vested in accordance with their terms or vested benefits otherwise payable under our compensation programs.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45</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following table and summary set forth potential payments we would be required to make to our named executive officers upon termination of employment or change of control. The table assumes termination of employment on December 31, 2018 and uses a share price of $51.31, the closing price of our stock on December 31,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shd w:val="clear" w:color="auto" w:fill="00548B"/>
          </w:tcPr>
          <w:p>
            <w:pPr>
              <w:spacing w:after="0"/>
              <w:rPr>
                <w:sz w:val="14"/>
                <w:szCs w:val="14"/>
                <w:color w:val="auto"/>
              </w:rPr>
            </w:pPr>
          </w:p>
        </w:tc>
        <w:tc>
          <w:tcPr>
            <w:tcW w:w="2040" w:type="dxa"/>
            <w:vAlign w:val="bottom"/>
            <w:shd w:val="clear" w:color="auto" w:fill="00548B"/>
          </w:tcPr>
          <w:p>
            <w:pPr>
              <w:spacing w:after="0"/>
              <w:rPr>
                <w:sz w:val="14"/>
                <w:szCs w:val="14"/>
                <w:color w:val="auto"/>
              </w:rPr>
            </w:pPr>
          </w:p>
        </w:tc>
        <w:tc>
          <w:tcPr>
            <w:tcW w:w="1280" w:type="dxa"/>
            <w:vAlign w:val="bottom"/>
            <w:shd w:val="clear" w:color="auto" w:fill="00548B"/>
          </w:tcPr>
          <w:p>
            <w:pPr>
              <w:jc w:val="center"/>
              <w:ind w:left="148"/>
              <w:spacing w:after="0"/>
              <w:rPr>
                <w:sz w:val="20"/>
                <w:szCs w:val="20"/>
                <w:color w:val="auto"/>
              </w:rPr>
            </w:pPr>
            <w:r>
              <w:rPr>
                <w:rFonts w:ascii="Arial" w:cs="Arial" w:eastAsia="Arial" w:hAnsi="Arial"/>
                <w:sz w:val="14"/>
                <w:szCs w:val="14"/>
                <w:b w:val="1"/>
                <w:bCs w:val="1"/>
                <w:color w:val="D8D8D8"/>
              </w:rPr>
              <w:t>Voluntary</w:t>
            </w:r>
          </w:p>
        </w:tc>
        <w:tc>
          <w:tcPr>
            <w:tcW w:w="380" w:type="dxa"/>
            <w:vAlign w:val="bottom"/>
            <w:shd w:val="clear" w:color="auto" w:fill="00548B"/>
          </w:tcPr>
          <w:p>
            <w:pPr>
              <w:spacing w:after="0"/>
              <w:rPr>
                <w:sz w:val="14"/>
                <w:szCs w:val="14"/>
                <w:color w:val="auto"/>
              </w:rPr>
            </w:pPr>
          </w:p>
        </w:tc>
        <w:tc>
          <w:tcPr>
            <w:tcW w:w="2020" w:type="dxa"/>
            <w:vAlign w:val="bottom"/>
            <w:shd w:val="clear" w:color="auto" w:fill="00548B"/>
          </w:tcPr>
          <w:p>
            <w:pPr>
              <w:jc w:val="right"/>
              <w:ind w:right="300"/>
              <w:spacing w:after="0"/>
              <w:rPr>
                <w:sz w:val="20"/>
                <w:szCs w:val="20"/>
                <w:color w:val="auto"/>
              </w:rPr>
            </w:pPr>
            <w:r>
              <w:rPr>
                <w:rFonts w:ascii="Arial" w:cs="Arial" w:eastAsia="Arial" w:hAnsi="Arial"/>
                <w:sz w:val="14"/>
                <w:szCs w:val="14"/>
                <w:b w:val="1"/>
                <w:bCs w:val="1"/>
                <w:color w:val="D8D8D8"/>
              </w:rPr>
              <w:t>Termination without</w:t>
            </w:r>
          </w:p>
        </w:tc>
        <w:tc>
          <w:tcPr>
            <w:tcW w:w="1860" w:type="dxa"/>
            <w:vAlign w:val="bottom"/>
            <w:shd w:val="clear" w:color="auto" w:fill="00548B"/>
          </w:tcPr>
          <w:p>
            <w:pPr>
              <w:spacing w:after="0"/>
              <w:rPr>
                <w:sz w:val="14"/>
                <w:szCs w:val="14"/>
                <w:color w:val="auto"/>
              </w:rPr>
            </w:pPr>
          </w:p>
        </w:tc>
        <w:tc>
          <w:tcPr>
            <w:tcW w:w="21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Involuntary</w:t>
            </w:r>
          </w:p>
        </w:tc>
      </w:tr>
      <w:tr>
        <w:trPr>
          <w:trHeight w:val="162"/>
        </w:trPr>
        <w:tc>
          <w:tcPr>
            <w:tcW w:w="20" w:type="dxa"/>
            <w:vAlign w:val="bottom"/>
          </w:tcPr>
          <w:p>
            <w:pPr>
              <w:spacing w:after="0"/>
              <w:rPr>
                <w:sz w:val="14"/>
                <w:szCs w:val="14"/>
                <w:color w:val="auto"/>
              </w:rPr>
            </w:pPr>
          </w:p>
        </w:tc>
        <w:tc>
          <w:tcPr>
            <w:tcW w:w="1340" w:type="dxa"/>
            <w:vAlign w:val="bottom"/>
            <w:shd w:val="clear" w:color="auto" w:fill="00548B"/>
          </w:tcPr>
          <w:p>
            <w:pPr>
              <w:spacing w:after="0"/>
              <w:rPr>
                <w:sz w:val="14"/>
                <w:szCs w:val="14"/>
                <w:color w:val="auto"/>
              </w:rPr>
            </w:pPr>
          </w:p>
        </w:tc>
        <w:tc>
          <w:tcPr>
            <w:tcW w:w="2040" w:type="dxa"/>
            <w:vAlign w:val="bottom"/>
            <w:shd w:val="clear" w:color="auto" w:fill="00548B"/>
          </w:tcPr>
          <w:p>
            <w:pPr>
              <w:spacing w:after="0"/>
              <w:rPr>
                <w:sz w:val="14"/>
                <w:szCs w:val="14"/>
                <w:color w:val="auto"/>
              </w:rPr>
            </w:pPr>
          </w:p>
        </w:tc>
        <w:tc>
          <w:tcPr>
            <w:tcW w:w="1280" w:type="dxa"/>
            <w:vAlign w:val="bottom"/>
            <w:shd w:val="clear" w:color="auto" w:fill="00548B"/>
          </w:tcPr>
          <w:p>
            <w:pPr>
              <w:jc w:val="center"/>
              <w:ind w:left="148"/>
              <w:spacing w:after="0"/>
              <w:rPr>
                <w:sz w:val="20"/>
                <w:szCs w:val="20"/>
                <w:color w:val="auto"/>
              </w:rPr>
            </w:pPr>
            <w:r>
              <w:rPr>
                <w:rFonts w:ascii="Arial" w:cs="Arial" w:eastAsia="Arial" w:hAnsi="Arial"/>
                <w:sz w:val="14"/>
                <w:szCs w:val="14"/>
                <w:b w:val="1"/>
                <w:bCs w:val="1"/>
                <w:color w:val="D8D8D8"/>
              </w:rPr>
              <w:t>Termination/</w:t>
            </w:r>
          </w:p>
        </w:tc>
        <w:tc>
          <w:tcPr>
            <w:tcW w:w="380" w:type="dxa"/>
            <w:vAlign w:val="bottom"/>
            <w:shd w:val="clear" w:color="auto" w:fill="00548B"/>
          </w:tcPr>
          <w:p>
            <w:pPr>
              <w:spacing w:after="0"/>
              <w:rPr>
                <w:sz w:val="14"/>
                <w:szCs w:val="14"/>
                <w:color w:val="auto"/>
              </w:rPr>
            </w:pPr>
          </w:p>
        </w:tc>
        <w:tc>
          <w:tcPr>
            <w:tcW w:w="2020" w:type="dxa"/>
            <w:vAlign w:val="bottom"/>
            <w:shd w:val="clear" w:color="auto" w:fill="00548B"/>
          </w:tcPr>
          <w:p>
            <w:pPr>
              <w:jc w:val="right"/>
              <w:ind w:right="260"/>
              <w:spacing w:after="0"/>
              <w:rPr>
                <w:sz w:val="20"/>
                <w:szCs w:val="20"/>
                <w:color w:val="auto"/>
              </w:rPr>
            </w:pPr>
            <w:r>
              <w:rPr>
                <w:rFonts w:ascii="Arial" w:cs="Arial" w:eastAsia="Arial" w:hAnsi="Arial"/>
                <w:sz w:val="14"/>
                <w:szCs w:val="14"/>
                <w:b w:val="1"/>
                <w:bCs w:val="1"/>
                <w:color w:val="D8D8D8"/>
              </w:rPr>
              <w:t>Cause or resignation</w:t>
            </w:r>
          </w:p>
        </w:tc>
        <w:tc>
          <w:tcPr>
            <w:tcW w:w="1860" w:type="dxa"/>
            <w:vAlign w:val="bottom"/>
            <w:shd w:val="clear" w:color="auto" w:fill="00548B"/>
          </w:tcPr>
          <w:p>
            <w:pPr>
              <w:jc w:val="right"/>
              <w:ind w:right="160"/>
              <w:spacing w:after="0"/>
              <w:rPr>
                <w:sz w:val="20"/>
                <w:szCs w:val="20"/>
                <w:color w:val="auto"/>
              </w:rPr>
            </w:pPr>
            <w:r>
              <w:rPr>
                <w:rFonts w:ascii="Arial" w:cs="Arial" w:eastAsia="Arial" w:hAnsi="Arial"/>
                <w:sz w:val="14"/>
                <w:szCs w:val="14"/>
                <w:b w:val="1"/>
                <w:bCs w:val="1"/>
                <w:color w:val="D8D8D8"/>
              </w:rPr>
              <w:t>Permanent Disability</w:t>
            </w:r>
          </w:p>
        </w:tc>
        <w:tc>
          <w:tcPr>
            <w:tcW w:w="21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Termination Following</w:t>
            </w:r>
          </w:p>
        </w:tc>
      </w:tr>
      <w:tr>
        <w:trPr>
          <w:trHeight w:val="189"/>
        </w:trPr>
        <w:tc>
          <w:tcPr>
            <w:tcW w:w="20" w:type="dxa"/>
            <w:vAlign w:val="bottom"/>
          </w:tcPr>
          <w:p>
            <w:pPr>
              <w:spacing w:after="0"/>
              <w:rPr>
                <w:sz w:val="16"/>
                <w:szCs w:val="16"/>
                <w:color w:val="auto"/>
              </w:rPr>
            </w:pPr>
          </w:p>
        </w:tc>
        <w:tc>
          <w:tcPr>
            <w:tcW w:w="134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2040" w:type="dxa"/>
            <w:vAlign w:val="bottom"/>
            <w:shd w:val="clear" w:color="auto" w:fill="00548B"/>
          </w:tcPr>
          <w:p>
            <w:pPr>
              <w:ind w:left="820"/>
              <w:spacing w:after="0"/>
              <w:rPr>
                <w:sz w:val="20"/>
                <w:szCs w:val="20"/>
                <w:color w:val="auto"/>
              </w:rPr>
            </w:pPr>
            <w:r>
              <w:rPr>
                <w:rFonts w:ascii="Arial" w:cs="Arial" w:eastAsia="Arial" w:hAnsi="Arial"/>
                <w:sz w:val="14"/>
                <w:szCs w:val="14"/>
                <w:b w:val="1"/>
                <w:bCs w:val="1"/>
                <w:color w:val="D8D8D8"/>
              </w:rPr>
              <w:t>Benefit</w:t>
            </w:r>
          </w:p>
        </w:tc>
        <w:tc>
          <w:tcPr>
            <w:tcW w:w="1280" w:type="dxa"/>
            <w:vAlign w:val="bottom"/>
            <w:shd w:val="clear" w:color="auto" w:fill="00548B"/>
          </w:tcPr>
          <w:p>
            <w:pPr>
              <w:jc w:val="center"/>
              <w:ind w:left="148"/>
              <w:spacing w:after="0"/>
              <w:rPr>
                <w:sz w:val="20"/>
                <w:szCs w:val="20"/>
                <w:color w:val="auto"/>
              </w:rPr>
            </w:pPr>
            <w:r>
              <w:rPr>
                <w:rFonts w:ascii="Arial" w:cs="Arial" w:eastAsia="Arial" w:hAnsi="Arial"/>
                <w:sz w:val="14"/>
                <w:szCs w:val="14"/>
                <w:b w:val="1"/>
                <w:bCs w:val="1"/>
                <w:color w:val="D8D8D8"/>
              </w:rPr>
              <w:t>Retirement ($)</w:t>
            </w:r>
          </w:p>
        </w:tc>
        <w:tc>
          <w:tcPr>
            <w:tcW w:w="380" w:type="dxa"/>
            <w:vAlign w:val="bottom"/>
            <w:shd w:val="clear" w:color="auto" w:fill="00548B"/>
          </w:tcPr>
          <w:p>
            <w:pPr>
              <w:spacing w:after="0"/>
              <w:rPr>
                <w:sz w:val="16"/>
                <w:szCs w:val="16"/>
                <w:color w:val="auto"/>
              </w:rPr>
            </w:pPr>
          </w:p>
        </w:tc>
        <w:tc>
          <w:tcPr>
            <w:tcW w:w="2020" w:type="dxa"/>
            <w:vAlign w:val="bottom"/>
            <w:shd w:val="clear" w:color="auto" w:fill="00548B"/>
          </w:tcPr>
          <w:p>
            <w:pPr>
              <w:jc w:val="right"/>
              <w:ind w:right="260"/>
              <w:spacing w:after="0"/>
              <w:rPr>
                <w:sz w:val="20"/>
                <w:szCs w:val="20"/>
                <w:color w:val="auto"/>
              </w:rPr>
            </w:pPr>
            <w:r>
              <w:rPr>
                <w:rFonts w:ascii="Arial" w:cs="Arial" w:eastAsia="Arial" w:hAnsi="Arial"/>
                <w:sz w:val="14"/>
                <w:szCs w:val="14"/>
                <w:b w:val="1"/>
                <w:bCs w:val="1"/>
                <w:color w:val="D8D8D8"/>
              </w:rPr>
              <w:t>For Good Reason ($)</w:t>
            </w:r>
          </w:p>
        </w:tc>
        <w:tc>
          <w:tcPr>
            <w:tcW w:w="1860" w:type="dxa"/>
            <w:vAlign w:val="bottom"/>
            <w:shd w:val="clear" w:color="auto" w:fill="00548B"/>
          </w:tcPr>
          <w:p>
            <w:pPr>
              <w:jc w:val="right"/>
              <w:ind w:right="480"/>
              <w:spacing w:after="0"/>
              <w:rPr>
                <w:sz w:val="20"/>
                <w:szCs w:val="20"/>
                <w:color w:val="auto"/>
              </w:rPr>
            </w:pPr>
            <w:r>
              <w:rPr>
                <w:rFonts w:ascii="Arial" w:cs="Arial" w:eastAsia="Arial" w:hAnsi="Arial"/>
                <w:sz w:val="14"/>
                <w:szCs w:val="14"/>
                <w:b w:val="1"/>
                <w:bCs w:val="1"/>
                <w:color w:val="D8D8D8"/>
              </w:rPr>
              <w:t>or Death ($)</w:t>
            </w:r>
          </w:p>
        </w:tc>
        <w:tc>
          <w:tcPr>
            <w:tcW w:w="21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Change of Control ($)</w:t>
            </w:r>
          </w:p>
        </w:tc>
      </w:tr>
      <w:tr>
        <w:trPr>
          <w:trHeight w:val="191"/>
        </w:trPr>
        <w:tc>
          <w:tcPr>
            <w:tcW w:w="1360" w:type="dxa"/>
            <w:vAlign w:val="bottom"/>
            <w:gridSpan w:val="2"/>
          </w:tcPr>
          <w:p>
            <w:pPr>
              <w:spacing w:after="0"/>
              <w:rPr>
                <w:sz w:val="20"/>
                <w:szCs w:val="20"/>
                <w:color w:val="auto"/>
              </w:rPr>
            </w:pPr>
            <w:r>
              <w:rPr>
                <w:rFonts w:ascii="Arial" w:cs="Arial" w:eastAsia="Arial" w:hAnsi="Arial"/>
                <w:sz w:val="16"/>
                <w:szCs w:val="16"/>
                <w:color w:val="auto"/>
              </w:rPr>
              <w:t>James H. Roth</w:t>
            </w:r>
          </w:p>
        </w:tc>
        <w:tc>
          <w:tcPr>
            <w:tcW w:w="2040" w:type="dxa"/>
            <w:vAlign w:val="bottom"/>
          </w:tcPr>
          <w:p>
            <w:pPr>
              <w:ind w:left="160"/>
              <w:spacing w:after="0"/>
              <w:rPr>
                <w:sz w:val="20"/>
                <w:szCs w:val="20"/>
                <w:color w:val="auto"/>
              </w:rPr>
            </w:pPr>
            <w:r>
              <w:rPr>
                <w:rFonts w:ascii="Arial" w:cs="Arial" w:eastAsia="Arial" w:hAnsi="Arial"/>
                <w:sz w:val="16"/>
                <w:szCs w:val="16"/>
                <w:color w:val="auto"/>
              </w:rPr>
              <w:t>Salary</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1,800,000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2,250,000</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Bonus</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1,980,000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2,475,000</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Pro rata bonus (1)</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1,161,270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990,000</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1,161,270</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Equity acceleration (2)</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5,953,623</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5,953,623</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Benefits continuation</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29,434</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7,359</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36,793</w:t>
            </w:r>
          </w:p>
        </w:tc>
      </w:tr>
      <w:tr>
        <w:trPr>
          <w:trHeight w:val="187"/>
        </w:trPr>
        <w:tc>
          <w:tcPr>
            <w:tcW w:w="20" w:type="dxa"/>
            <w:vAlign w:val="bottom"/>
          </w:tcPr>
          <w:p>
            <w:pPr>
              <w:spacing w:after="0"/>
              <w:rPr>
                <w:sz w:val="16"/>
                <w:szCs w:val="16"/>
                <w:color w:val="auto"/>
              </w:rPr>
            </w:pPr>
          </w:p>
        </w:tc>
        <w:tc>
          <w:tcPr>
            <w:tcW w:w="1340" w:type="dxa"/>
            <w:vAlign w:val="bottom"/>
            <w:tcBorders>
              <w:bottom w:val="single" w:sz="8" w:color="999999"/>
            </w:tcBorders>
          </w:tcPr>
          <w:p>
            <w:pPr>
              <w:spacing w:after="0"/>
              <w:rPr>
                <w:sz w:val="16"/>
                <w:szCs w:val="16"/>
                <w:color w:val="auto"/>
              </w:rPr>
            </w:pPr>
          </w:p>
        </w:tc>
        <w:tc>
          <w:tcPr>
            <w:tcW w:w="2040" w:type="dxa"/>
            <w:vAlign w:val="bottom"/>
            <w:tcBorders>
              <w:bottom w:val="single" w:sz="8" w:color="999999"/>
            </w:tcBorders>
          </w:tcPr>
          <w:p>
            <w:pPr>
              <w:ind w:left="160"/>
              <w:spacing w:after="0"/>
              <w:rPr>
                <w:sz w:val="20"/>
                <w:szCs w:val="20"/>
                <w:color w:val="auto"/>
              </w:rPr>
            </w:pPr>
            <w:r>
              <w:rPr>
                <w:rFonts w:ascii="Arial" w:cs="Arial" w:eastAsia="Arial" w:hAnsi="Arial"/>
                <w:sz w:val="16"/>
                <w:szCs w:val="16"/>
                <w:color w:val="auto"/>
              </w:rPr>
              <w:t>Cutback (3)</w:t>
            </w:r>
          </w:p>
        </w:tc>
        <w:tc>
          <w:tcPr>
            <w:tcW w:w="1280" w:type="dxa"/>
            <w:vAlign w:val="bottom"/>
            <w:tcBorders>
              <w:bottom w:val="single" w:sz="8" w:color="999999"/>
            </w:tcBorders>
          </w:tcPr>
          <w:p>
            <w:pPr>
              <w:spacing w:after="0"/>
              <w:rPr>
                <w:sz w:val="16"/>
                <w:szCs w:val="16"/>
                <w:color w:val="auto"/>
              </w:rPr>
            </w:pPr>
          </w:p>
        </w:tc>
        <w:tc>
          <w:tcPr>
            <w:tcW w:w="380" w:type="dxa"/>
            <w:vAlign w:val="bottom"/>
            <w:tcBorders>
              <w:bottom w:val="single" w:sz="8" w:color="999999"/>
            </w:tcBorders>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tcPr>
          <w:p>
            <w:pPr>
              <w:jc w:val="right"/>
              <w:ind w:right="100"/>
              <w:spacing w:after="0"/>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ind w:right="160"/>
              <w:spacing w:after="0"/>
              <w:rPr>
                <w:sz w:val="20"/>
                <w:szCs w:val="20"/>
                <w:color w:val="auto"/>
              </w:rPr>
            </w:pPr>
            <w:r>
              <w:rPr>
                <w:rFonts w:ascii="Arial" w:cs="Arial" w:eastAsia="Arial" w:hAnsi="Arial"/>
                <w:sz w:val="16"/>
                <w:szCs w:val="16"/>
                <w:color w:val="auto"/>
              </w:rPr>
              <w:t>0</w:t>
            </w:r>
          </w:p>
        </w:tc>
        <w:tc>
          <w:tcPr>
            <w:tcW w:w="2100" w:type="dxa"/>
            <w:vAlign w:val="bottom"/>
            <w:tcBorders>
              <w:bottom w:val="single" w:sz="8" w:color="999999"/>
            </w:tcBorders>
          </w:tcPr>
          <w:p>
            <w:pPr>
              <w:jc w:val="right"/>
              <w:ind w:right="120"/>
              <w:spacing w:after="0"/>
              <w:rPr>
                <w:sz w:val="20"/>
                <w:szCs w:val="20"/>
                <w:color w:val="auto"/>
              </w:rPr>
            </w:pPr>
            <w:r>
              <w:rPr>
                <w:rFonts w:ascii="Arial" w:cs="Arial" w:eastAsia="Arial" w:hAnsi="Arial"/>
                <w:sz w:val="16"/>
                <w:szCs w:val="16"/>
                <w:color w:val="auto"/>
              </w:rPr>
              <w:t>-713,859</w:t>
            </w:r>
          </w:p>
        </w:tc>
      </w:tr>
      <w:tr>
        <w:trPr>
          <w:trHeight w:val="183"/>
        </w:trPr>
        <w:tc>
          <w:tcPr>
            <w:tcW w:w="20" w:type="dxa"/>
            <w:vAlign w:val="bottom"/>
          </w:tcPr>
          <w:p>
            <w:pPr>
              <w:spacing w:after="0"/>
              <w:rPr>
                <w:sz w:val="15"/>
                <w:szCs w:val="15"/>
                <w:color w:val="auto"/>
              </w:rPr>
            </w:pPr>
          </w:p>
        </w:tc>
        <w:tc>
          <w:tcPr>
            <w:tcW w:w="1340" w:type="dxa"/>
            <w:vAlign w:val="bottom"/>
            <w:tcBorders>
              <w:bottom w:val="single" w:sz="8" w:color="999999"/>
            </w:tcBorders>
          </w:tcPr>
          <w:p>
            <w:pPr>
              <w:spacing w:after="0"/>
              <w:rPr>
                <w:sz w:val="15"/>
                <w:szCs w:val="15"/>
                <w:color w:val="auto"/>
              </w:rPr>
            </w:pPr>
          </w:p>
        </w:tc>
        <w:tc>
          <w:tcPr>
            <w:tcW w:w="2040" w:type="dxa"/>
            <w:vAlign w:val="bottom"/>
            <w:tcBorders>
              <w:bottom w:val="single" w:sz="8" w:color="999999"/>
            </w:tcBorders>
          </w:tcPr>
          <w:p>
            <w:pPr>
              <w:ind w:left="160"/>
              <w:spacing w:after="0" w:line="183" w:lineRule="exact"/>
              <w:rPr>
                <w:sz w:val="20"/>
                <w:szCs w:val="20"/>
                <w:color w:val="auto"/>
              </w:rPr>
            </w:pPr>
            <w:r>
              <w:rPr>
                <w:rFonts w:ascii="Arial" w:cs="Arial" w:eastAsia="Arial" w:hAnsi="Arial"/>
                <w:sz w:val="16"/>
                <w:szCs w:val="16"/>
                <w:b w:val="1"/>
                <w:bCs w:val="1"/>
                <w:color w:val="auto"/>
              </w:rPr>
              <w:t>Total Value</w:t>
            </w:r>
          </w:p>
        </w:tc>
        <w:tc>
          <w:tcPr>
            <w:tcW w:w="1280" w:type="dxa"/>
            <w:vAlign w:val="bottom"/>
            <w:tcBorders>
              <w:bottom w:val="single" w:sz="8" w:color="999999"/>
            </w:tcBorders>
          </w:tcPr>
          <w:p>
            <w:pPr>
              <w:spacing w:after="0"/>
              <w:rPr>
                <w:sz w:val="15"/>
                <w:szCs w:val="15"/>
                <w:color w:val="auto"/>
              </w:rPr>
            </w:pPr>
          </w:p>
        </w:tc>
        <w:tc>
          <w:tcPr>
            <w:tcW w:w="380" w:type="dxa"/>
            <w:vAlign w:val="bottom"/>
            <w:tcBorders>
              <w:bottom w:val="single" w:sz="8" w:color="999999"/>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0</w:t>
            </w:r>
          </w:p>
        </w:tc>
        <w:tc>
          <w:tcPr>
            <w:tcW w:w="2020" w:type="dxa"/>
            <w:vAlign w:val="bottom"/>
            <w:tcBorders>
              <w:bottom w:val="single" w:sz="8" w:color="999999"/>
            </w:tcBorders>
          </w:tcPr>
          <w:p>
            <w:pPr>
              <w:jc w:val="right"/>
              <w:ind w:right="100"/>
              <w:spacing w:after="0" w:line="183" w:lineRule="exact"/>
              <w:rPr>
                <w:sz w:val="20"/>
                <w:szCs w:val="20"/>
                <w:color w:val="auto"/>
              </w:rPr>
            </w:pPr>
            <w:r>
              <w:rPr>
                <w:rFonts w:ascii="Arial" w:cs="Arial" w:eastAsia="Arial" w:hAnsi="Arial"/>
                <w:sz w:val="16"/>
                <w:szCs w:val="16"/>
                <w:b w:val="1"/>
                <w:bCs w:val="1"/>
                <w:color w:val="auto"/>
              </w:rPr>
              <w:t>4,970,704</w:t>
            </w:r>
          </w:p>
        </w:tc>
        <w:tc>
          <w:tcPr>
            <w:tcW w:w="186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6,950,982</w:t>
            </w:r>
          </w:p>
        </w:tc>
        <w:tc>
          <w:tcPr>
            <w:tcW w:w="2100" w:type="dxa"/>
            <w:vAlign w:val="bottom"/>
            <w:tcBorders>
              <w:bottom w:val="single" w:sz="8" w:color="999999"/>
            </w:tcBorders>
          </w:tcPr>
          <w:p>
            <w:pPr>
              <w:jc w:val="right"/>
              <w:ind w:right="120"/>
              <w:spacing w:after="0" w:line="183" w:lineRule="exact"/>
              <w:rPr>
                <w:sz w:val="20"/>
                <w:szCs w:val="20"/>
                <w:color w:val="auto"/>
              </w:rPr>
            </w:pPr>
            <w:r>
              <w:rPr>
                <w:rFonts w:ascii="Arial" w:cs="Arial" w:eastAsia="Arial" w:hAnsi="Arial"/>
                <w:sz w:val="16"/>
                <w:szCs w:val="16"/>
                <w:b w:val="1"/>
                <w:bCs w:val="1"/>
                <w:color w:val="auto"/>
              </w:rPr>
              <w:t>11,162,827</w:t>
            </w:r>
          </w:p>
        </w:tc>
      </w:tr>
      <w:tr>
        <w:trPr>
          <w:trHeight w:val="184"/>
        </w:trPr>
        <w:tc>
          <w:tcPr>
            <w:tcW w:w="1360" w:type="dxa"/>
            <w:vAlign w:val="bottom"/>
            <w:gridSpan w:val="2"/>
          </w:tcPr>
          <w:p>
            <w:pPr>
              <w:spacing w:after="0"/>
              <w:rPr>
                <w:sz w:val="20"/>
                <w:szCs w:val="20"/>
                <w:color w:val="auto"/>
              </w:rPr>
            </w:pPr>
            <w:r>
              <w:rPr>
                <w:rFonts w:ascii="Arial" w:cs="Arial" w:eastAsia="Arial" w:hAnsi="Arial"/>
                <w:sz w:val="16"/>
                <w:szCs w:val="16"/>
                <w:color w:val="auto"/>
              </w:rPr>
              <w:t>C. Mark Hussey</w:t>
            </w:r>
          </w:p>
        </w:tc>
        <w:tc>
          <w:tcPr>
            <w:tcW w:w="2040" w:type="dxa"/>
            <w:vAlign w:val="bottom"/>
          </w:tcPr>
          <w:p>
            <w:pPr>
              <w:ind w:left="160"/>
              <w:spacing w:after="0"/>
              <w:rPr>
                <w:sz w:val="20"/>
                <w:szCs w:val="20"/>
                <w:color w:val="auto"/>
              </w:rPr>
            </w:pPr>
            <w:r>
              <w:rPr>
                <w:rFonts w:ascii="Arial" w:cs="Arial" w:eastAsia="Arial" w:hAnsi="Arial"/>
                <w:sz w:val="16"/>
                <w:szCs w:val="16"/>
                <w:color w:val="auto"/>
              </w:rPr>
              <w:t>Salary</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1,125,000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1,500,000</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Bonus</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1,125,000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1,500,000</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Pro rata bonus (1)</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879,750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750,000</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879,750</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Equity acceleration (2)</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4,119,485</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4,119,485</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Benefits continuation</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22,074</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7,358</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29,432</w:t>
            </w:r>
          </w:p>
        </w:tc>
      </w:tr>
      <w:tr>
        <w:trPr>
          <w:trHeight w:val="187"/>
        </w:trPr>
        <w:tc>
          <w:tcPr>
            <w:tcW w:w="20" w:type="dxa"/>
            <w:vAlign w:val="bottom"/>
          </w:tcPr>
          <w:p>
            <w:pPr>
              <w:spacing w:after="0"/>
              <w:rPr>
                <w:sz w:val="16"/>
                <w:szCs w:val="16"/>
                <w:color w:val="auto"/>
              </w:rPr>
            </w:pPr>
          </w:p>
        </w:tc>
        <w:tc>
          <w:tcPr>
            <w:tcW w:w="1340" w:type="dxa"/>
            <w:vAlign w:val="bottom"/>
            <w:tcBorders>
              <w:bottom w:val="single" w:sz="8" w:color="999999"/>
            </w:tcBorders>
          </w:tcPr>
          <w:p>
            <w:pPr>
              <w:spacing w:after="0"/>
              <w:rPr>
                <w:sz w:val="16"/>
                <w:szCs w:val="16"/>
                <w:color w:val="auto"/>
              </w:rPr>
            </w:pPr>
          </w:p>
        </w:tc>
        <w:tc>
          <w:tcPr>
            <w:tcW w:w="2040" w:type="dxa"/>
            <w:vAlign w:val="bottom"/>
            <w:tcBorders>
              <w:bottom w:val="single" w:sz="8" w:color="999999"/>
            </w:tcBorders>
          </w:tcPr>
          <w:p>
            <w:pPr>
              <w:ind w:left="160"/>
              <w:spacing w:after="0"/>
              <w:rPr>
                <w:sz w:val="20"/>
                <w:szCs w:val="20"/>
                <w:color w:val="auto"/>
              </w:rPr>
            </w:pPr>
            <w:r>
              <w:rPr>
                <w:rFonts w:ascii="Arial" w:cs="Arial" w:eastAsia="Arial" w:hAnsi="Arial"/>
                <w:sz w:val="16"/>
                <w:szCs w:val="16"/>
                <w:color w:val="auto"/>
              </w:rPr>
              <w:t>Cutback (3)</w:t>
            </w:r>
          </w:p>
        </w:tc>
        <w:tc>
          <w:tcPr>
            <w:tcW w:w="1280" w:type="dxa"/>
            <w:vAlign w:val="bottom"/>
            <w:tcBorders>
              <w:bottom w:val="single" w:sz="8" w:color="999999"/>
            </w:tcBorders>
          </w:tcPr>
          <w:p>
            <w:pPr>
              <w:spacing w:after="0"/>
              <w:rPr>
                <w:sz w:val="16"/>
                <w:szCs w:val="16"/>
                <w:color w:val="auto"/>
              </w:rPr>
            </w:pPr>
          </w:p>
        </w:tc>
        <w:tc>
          <w:tcPr>
            <w:tcW w:w="380" w:type="dxa"/>
            <w:vAlign w:val="bottom"/>
            <w:tcBorders>
              <w:bottom w:val="single" w:sz="8" w:color="999999"/>
            </w:tcBorders>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tcPr>
          <w:p>
            <w:pPr>
              <w:jc w:val="right"/>
              <w:ind w:right="100"/>
              <w:spacing w:after="0"/>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ind w:right="160"/>
              <w:spacing w:after="0"/>
              <w:rPr>
                <w:sz w:val="20"/>
                <w:szCs w:val="20"/>
                <w:color w:val="auto"/>
              </w:rPr>
            </w:pPr>
            <w:r>
              <w:rPr>
                <w:rFonts w:ascii="Arial" w:cs="Arial" w:eastAsia="Arial" w:hAnsi="Arial"/>
                <w:sz w:val="16"/>
                <w:szCs w:val="16"/>
                <w:color w:val="auto"/>
              </w:rPr>
              <w:t>0</w:t>
            </w:r>
          </w:p>
        </w:tc>
        <w:tc>
          <w:tcPr>
            <w:tcW w:w="2100" w:type="dxa"/>
            <w:vAlign w:val="bottom"/>
            <w:tcBorders>
              <w:bottom w:val="single" w:sz="8" w:color="999999"/>
            </w:tcBorders>
          </w:tcPr>
          <w:p>
            <w:pPr>
              <w:jc w:val="right"/>
              <w:ind w:right="120"/>
              <w:spacing w:after="0"/>
              <w:rPr>
                <w:sz w:val="20"/>
                <w:szCs w:val="20"/>
                <w:color w:val="auto"/>
              </w:rPr>
            </w:pPr>
            <w:r>
              <w:rPr>
                <w:rFonts w:ascii="Arial" w:cs="Arial" w:eastAsia="Arial" w:hAnsi="Arial"/>
                <w:sz w:val="16"/>
                <w:szCs w:val="16"/>
                <w:color w:val="auto"/>
              </w:rPr>
              <w:t>-1,694,606</w:t>
            </w:r>
          </w:p>
        </w:tc>
      </w:tr>
      <w:tr>
        <w:trPr>
          <w:trHeight w:val="183"/>
        </w:trPr>
        <w:tc>
          <w:tcPr>
            <w:tcW w:w="20" w:type="dxa"/>
            <w:vAlign w:val="bottom"/>
          </w:tcPr>
          <w:p>
            <w:pPr>
              <w:spacing w:after="0"/>
              <w:rPr>
                <w:sz w:val="15"/>
                <w:szCs w:val="15"/>
                <w:color w:val="auto"/>
              </w:rPr>
            </w:pPr>
          </w:p>
        </w:tc>
        <w:tc>
          <w:tcPr>
            <w:tcW w:w="1340" w:type="dxa"/>
            <w:vAlign w:val="bottom"/>
            <w:tcBorders>
              <w:bottom w:val="single" w:sz="8" w:color="999999"/>
            </w:tcBorders>
          </w:tcPr>
          <w:p>
            <w:pPr>
              <w:spacing w:after="0"/>
              <w:rPr>
                <w:sz w:val="15"/>
                <w:szCs w:val="15"/>
                <w:color w:val="auto"/>
              </w:rPr>
            </w:pPr>
          </w:p>
        </w:tc>
        <w:tc>
          <w:tcPr>
            <w:tcW w:w="2040" w:type="dxa"/>
            <w:vAlign w:val="bottom"/>
            <w:tcBorders>
              <w:bottom w:val="single" w:sz="8" w:color="999999"/>
            </w:tcBorders>
          </w:tcPr>
          <w:p>
            <w:pPr>
              <w:ind w:left="160"/>
              <w:spacing w:after="0" w:line="183" w:lineRule="exact"/>
              <w:rPr>
                <w:sz w:val="20"/>
                <w:szCs w:val="20"/>
                <w:color w:val="auto"/>
              </w:rPr>
            </w:pPr>
            <w:r>
              <w:rPr>
                <w:rFonts w:ascii="Arial" w:cs="Arial" w:eastAsia="Arial" w:hAnsi="Arial"/>
                <w:sz w:val="16"/>
                <w:szCs w:val="16"/>
                <w:b w:val="1"/>
                <w:bCs w:val="1"/>
                <w:color w:val="auto"/>
              </w:rPr>
              <w:t>Total Value</w:t>
            </w:r>
          </w:p>
        </w:tc>
        <w:tc>
          <w:tcPr>
            <w:tcW w:w="1280" w:type="dxa"/>
            <w:vAlign w:val="bottom"/>
            <w:tcBorders>
              <w:bottom w:val="single" w:sz="8" w:color="999999"/>
            </w:tcBorders>
          </w:tcPr>
          <w:p>
            <w:pPr>
              <w:spacing w:after="0"/>
              <w:rPr>
                <w:sz w:val="15"/>
                <w:szCs w:val="15"/>
                <w:color w:val="auto"/>
              </w:rPr>
            </w:pPr>
          </w:p>
        </w:tc>
        <w:tc>
          <w:tcPr>
            <w:tcW w:w="380" w:type="dxa"/>
            <w:vAlign w:val="bottom"/>
            <w:tcBorders>
              <w:bottom w:val="single" w:sz="8" w:color="999999"/>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0</w:t>
            </w:r>
          </w:p>
        </w:tc>
        <w:tc>
          <w:tcPr>
            <w:tcW w:w="2020" w:type="dxa"/>
            <w:vAlign w:val="bottom"/>
            <w:tcBorders>
              <w:bottom w:val="single" w:sz="8" w:color="999999"/>
            </w:tcBorders>
          </w:tcPr>
          <w:p>
            <w:pPr>
              <w:jc w:val="right"/>
              <w:ind w:right="100"/>
              <w:spacing w:after="0" w:line="183" w:lineRule="exact"/>
              <w:rPr>
                <w:sz w:val="20"/>
                <w:szCs w:val="20"/>
                <w:color w:val="auto"/>
              </w:rPr>
            </w:pPr>
            <w:r>
              <w:rPr>
                <w:rFonts w:ascii="Arial" w:cs="Arial" w:eastAsia="Arial" w:hAnsi="Arial"/>
                <w:sz w:val="16"/>
                <w:szCs w:val="16"/>
                <w:b w:val="1"/>
                <w:bCs w:val="1"/>
                <w:color w:val="auto"/>
              </w:rPr>
              <w:t>3,151,824</w:t>
            </w:r>
          </w:p>
        </w:tc>
        <w:tc>
          <w:tcPr>
            <w:tcW w:w="186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4,876,843</w:t>
            </w:r>
          </w:p>
        </w:tc>
        <w:tc>
          <w:tcPr>
            <w:tcW w:w="2100" w:type="dxa"/>
            <w:vAlign w:val="bottom"/>
            <w:tcBorders>
              <w:bottom w:val="single" w:sz="8" w:color="999999"/>
            </w:tcBorders>
          </w:tcPr>
          <w:p>
            <w:pPr>
              <w:jc w:val="right"/>
              <w:ind w:right="120"/>
              <w:spacing w:after="0" w:line="183" w:lineRule="exact"/>
              <w:rPr>
                <w:sz w:val="20"/>
                <w:szCs w:val="20"/>
                <w:color w:val="auto"/>
              </w:rPr>
            </w:pPr>
            <w:r>
              <w:rPr>
                <w:rFonts w:ascii="Arial" w:cs="Arial" w:eastAsia="Arial" w:hAnsi="Arial"/>
                <w:sz w:val="16"/>
                <w:szCs w:val="16"/>
                <w:b w:val="1"/>
                <w:bCs w:val="1"/>
                <w:color w:val="auto"/>
              </w:rPr>
              <w:t>6,334,061</w:t>
            </w:r>
          </w:p>
        </w:tc>
      </w:tr>
      <w:tr>
        <w:trPr>
          <w:trHeight w:val="184"/>
        </w:trPr>
        <w:tc>
          <w:tcPr>
            <w:tcW w:w="1360" w:type="dxa"/>
            <w:vAlign w:val="bottom"/>
            <w:gridSpan w:val="2"/>
          </w:tcPr>
          <w:p>
            <w:pPr>
              <w:spacing w:after="0"/>
              <w:rPr>
                <w:sz w:val="20"/>
                <w:szCs w:val="20"/>
                <w:color w:val="auto"/>
              </w:rPr>
            </w:pPr>
            <w:r>
              <w:rPr>
                <w:rFonts w:ascii="Arial" w:cs="Arial" w:eastAsia="Arial" w:hAnsi="Arial"/>
                <w:sz w:val="16"/>
                <w:szCs w:val="16"/>
                <w:color w:val="auto"/>
              </w:rPr>
              <w:t>John D. Kelly</w:t>
            </w:r>
          </w:p>
        </w:tc>
        <w:tc>
          <w:tcPr>
            <w:tcW w:w="2040" w:type="dxa"/>
            <w:vAlign w:val="bottom"/>
          </w:tcPr>
          <w:p>
            <w:pPr>
              <w:ind w:left="160"/>
              <w:spacing w:after="0"/>
              <w:rPr>
                <w:sz w:val="20"/>
                <w:szCs w:val="20"/>
                <w:color w:val="auto"/>
              </w:rPr>
            </w:pPr>
            <w:r>
              <w:rPr>
                <w:rFonts w:ascii="Arial" w:cs="Arial" w:eastAsia="Arial" w:hAnsi="Arial"/>
                <w:sz w:val="16"/>
                <w:szCs w:val="16"/>
                <w:color w:val="auto"/>
              </w:rPr>
              <w:t>Salary</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400,000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600,000</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Bonus</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280,000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420,000</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Pro rata bonus (1)</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328,440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280,000</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328,440</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Equity acceleration (2)</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927,140</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927,140</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Benefits continuation</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13,732</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6,866</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20,598</w:t>
            </w:r>
          </w:p>
        </w:tc>
      </w:tr>
      <w:tr>
        <w:trPr>
          <w:trHeight w:val="187"/>
        </w:trPr>
        <w:tc>
          <w:tcPr>
            <w:tcW w:w="20" w:type="dxa"/>
            <w:vAlign w:val="bottom"/>
          </w:tcPr>
          <w:p>
            <w:pPr>
              <w:spacing w:after="0"/>
              <w:rPr>
                <w:sz w:val="16"/>
                <w:szCs w:val="16"/>
                <w:color w:val="auto"/>
              </w:rPr>
            </w:pPr>
          </w:p>
        </w:tc>
        <w:tc>
          <w:tcPr>
            <w:tcW w:w="1340" w:type="dxa"/>
            <w:vAlign w:val="bottom"/>
            <w:tcBorders>
              <w:bottom w:val="single" w:sz="8" w:color="999999"/>
            </w:tcBorders>
          </w:tcPr>
          <w:p>
            <w:pPr>
              <w:spacing w:after="0"/>
              <w:rPr>
                <w:sz w:val="16"/>
                <w:szCs w:val="16"/>
                <w:color w:val="auto"/>
              </w:rPr>
            </w:pPr>
          </w:p>
        </w:tc>
        <w:tc>
          <w:tcPr>
            <w:tcW w:w="2040" w:type="dxa"/>
            <w:vAlign w:val="bottom"/>
            <w:tcBorders>
              <w:bottom w:val="single" w:sz="8" w:color="999999"/>
            </w:tcBorders>
          </w:tcPr>
          <w:p>
            <w:pPr>
              <w:ind w:left="160"/>
              <w:spacing w:after="0"/>
              <w:rPr>
                <w:sz w:val="20"/>
                <w:szCs w:val="20"/>
                <w:color w:val="auto"/>
              </w:rPr>
            </w:pPr>
            <w:r>
              <w:rPr>
                <w:rFonts w:ascii="Arial" w:cs="Arial" w:eastAsia="Arial" w:hAnsi="Arial"/>
                <w:sz w:val="16"/>
                <w:szCs w:val="16"/>
                <w:color w:val="auto"/>
              </w:rPr>
              <w:t>Cutback (3)</w:t>
            </w:r>
          </w:p>
        </w:tc>
        <w:tc>
          <w:tcPr>
            <w:tcW w:w="1280" w:type="dxa"/>
            <w:vAlign w:val="bottom"/>
            <w:tcBorders>
              <w:bottom w:val="single" w:sz="8" w:color="999999"/>
            </w:tcBorders>
          </w:tcPr>
          <w:p>
            <w:pPr>
              <w:spacing w:after="0"/>
              <w:rPr>
                <w:sz w:val="16"/>
                <w:szCs w:val="16"/>
                <w:color w:val="auto"/>
              </w:rPr>
            </w:pPr>
          </w:p>
        </w:tc>
        <w:tc>
          <w:tcPr>
            <w:tcW w:w="380" w:type="dxa"/>
            <w:vAlign w:val="bottom"/>
            <w:tcBorders>
              <w:bottom w:val="single" w:sz="8" w:color="999999"/>
            </w:tcBorders>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tcPr>
          <w:p>
            <w:pPr>
              <w:jc w:val="right"/>
              <w:ind w:right="100"/>
              <w:spacing w:after="0"/>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ind w:right="160"/>
              <w:spacing w:after="0"/>
              <w:rPr>
                <w:sz w:val="20"/>
                <w:szCs w:val="20"/>
                <w:color w:val="auto"/>
              </w:rPr>
            </w:pPr>
            <w:r>
              <w:rPr>
                <w:rFonts w:ascii="Arial" w:cs="Arial" w:eastAsia="Arial" w:hAnsi="Arial"/>
                <w:sz w:val="16"/>
                <w:szCs w:val="16"/>
                <w:color w:val="auto"/>
              </w:rPr>
              <w:t>0</w:t>
            </w:r>
          </w:p>
        </w:tc>
        <w:tc>
          <w:tcPr>
            <w:tcW w:w="2100" w:type="dxa"/>
            <w:vAlign w:val="bottom"/>
            <w:tcBorders>
              <w:bottom w:val="single" w:sz="8" w:color="999999"/>
            </w:tcBorders>
          </w:tcPr>
          <w:p>
            <w:pPr>
              <w:jc w:val="right"/>
              <w:ind w:right="120"/>
              <w:spacing w:after="0"/>
              <w:rPr>
                <w:sz w:val="20"/>
                <w:szCs w:val="20"/>
                <w:color w:val="auto"/>
              </w:rPr>
            </w:pPr>
            <w:r>
              <w:rPr>
                <w:rFonts w:ascii="Arial" w:cs="Arial" w:eastAsia="Arial" w:hAnsi="Arial"/>
                <w:sz w:val="16"/>
                <w:szCs w:val="16"/>
                <w:color w:val="auto"/>
              </w:rPr>
              <w:t>-671,205</w:t>
            </w:r>
          </w:p>
        </w:tc>
      </w:tr>
      <w:tr>
        <w:trPr>
          <w:trHeight w:val="183"/>
        </w:trPr>
        <w:tc>
          <w:tcPr>
            <w:tcW w:w="20" w:type="dxa"/>
            <w:vAlign w:val="bottom"/>
          </w:tcPr>
          <w:p>
            <w:pPr>
              <w:spacing w:after="0"/>
              <w:rPr>
                <w:sz w:val="15"/>
                <w:szCs w:val="15"/>
                <w:color w:val="auto"/>
              </w:rPr>
            </w:pPr>
          </w:p>
        </w:tc>
        <w:tc>
          <w:tcPr>
            <w:tcW w:w="1340" w:type="dxa"/>
            <w:vAlign w:val="bottom"/>
            <w:tcBorders>
              <w:bottom w:val="single" w:sz="8" w:color="999999"/>
            </w:tcBorders>
          </w:tcPr>
          <w:p>
            <w:pPr>
              <w:spacing w:after="0"/>
              <w:rPr>
                <w:sz w:val="15"/>
                <w:szCs w:val="15"/>
                <w:color w:val="auto"/>
              </w:rPr>
            </w:pPr>
          </w:p>
        </w:tc>
        <w:tc>
          <w:tcPr>
            <w:tcW w:w="2040" w:type="dxa"/>
            <w:vAlign w:val="bottom"/>
            <w:tcBorders>
              <w:bottom w:val="single" w:sz="8" w:color="999999"/>
            </w:tcBorders>
          </w:tcPr>
          <w:p>
            <w:pPr>
              <w:ind w:left="160"/>
              <w:spacing w:after="0" w:line="183" w:lineRule="exact"/>
              <w:rPr>
                <w:sz w:val="20"/>
                <w:szCs w:val="20"/>
                <w:color w:val="auto"/>
              </w:rPr>
            </w:pPr>
            <w:r>
              <w:rPr>
                <w:rFonts w:ascii="Arial" w:cs="Arial" w:eastAsia="Arial" w:hAnsi="Arial"/>
                <w:sz w:val="16"/>
                <w:szCs w:val="16"/>
                <w:b w:val="1"/>
                <w:bCs w:val="1"/>
                <w:color w:val="auto"/>
              </w:rPr>
              <w:t>Total Value</w:t>
            </w:r>
          </w:p>
        </w:tc>
        <w:tc>
          <w:tcPr>
            <w:tcW w:w="1280" w:type="dxa"/>
            <w:vAlign w:val="bottom"/>
            <w:tcBorders>
              <w:bottom w:val="single" w:sz="8" w:color="999999"/>
            </w:tcBorders>
          </w:tcPr>
          <w:p>
            <w:pPr>
              <w:spacing w:after="0"/>
              <w:rPr>
                <w:sz w:val="15"/>
                <w:szCs w:val="15"/>
                <w:color w:val="auto"/>
              </w:rPr>
            </w:pPr>
          </w:p>
        </w:tc>
        <w:tc>
          <w:tcPr>
            <w:tcW w:w="380" w:type="dxa"/>
            <w:vAlign w:val="bottom"/>
            <w:tcBorders>
              <w:bottom w:val="single" w:sz="8" w:color="999999"/>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0</w:t>
            </w:r>
          </w:p>
        </w:tc>
        <w:tc>
          <w:tcPr>
            <w:tcW w:w="2020" w:type="dxa"/>
            <w:vAlign w:val="bottom"/>
            <w:tcBorders>
              <w:bottom w:val="single" w:sz="8" w:color="999999"/>
            </w:tcBorders>
          </w:tcPr>
          <w:p>
            <w:pPr>
              <w:jc w:val="right"/>
              <w:ind w:right="100"/>
              <w:spacing w:after="0" w:line="183" w:lineRule="exact"/>
              <w:rPr>
                <w:sz w:val="20"/>
                <w:szCs w:val="20"/>
                <w:color w:val="auto"/>
              </w:rPr>
            </w:pPr>
            <w:r>
              <w:rPr>
                <w:rFonts w:ascii="Arial" w:cs="Arial" w:eastAsia="Arial" w:hAnsi="Arial"/>
                <w:sz w:val="16"/>
                <w:szCs w:val="16"/>
                <w:b w:val="1"/>
                <w:bCs w:val="1"/>
                <w:color w:val="auto"/>
              </w:rPr>
              <w:t>1,022,172</w:t>
            </w:r>
          </w:p>
        </w:tc>
        <w:tc>
          <w:tcPr>
            <w:tcW w:w="186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1,214,006</w:t>
            </w:r>
          </w:p>
        </w:tc>
        <w:tc>
          <w:tcPr>
            <w:tcW w:w="2100" w:type="dxa"/>
            <w:vAlign w:val="bottom"/>
            <w:tcBorders>
              <w:bottom w:val="single" w:sz="8" w:color="999999"/>
            </w:tcBorders>
          </w:tcPr>
          <w:p>
            <w:pPr>
              <w:jc w:val="right"/>
              <w:ind w:right="120"/>
              <w:spacing w:after="0" w:line="183" w:lineRule="exact"/>
              <w:rPr>
                <w:sz w:val="20"/>
                <w:szCs w:val="20"/>
                <w:color w:val="auto"/>
              </w:rPr>
            </w:pPr>
            <w:r>
              <w:rPr>
                <w:rFonts w:ascii="Arial" w:cs="Arial" w:eastAsia="Arial" w:hAnsi="Arial"/>
                <w:sz w:val="16"/>
                <w:szCs w:val="16"/>
                <w:b w:val="1"/>
                <w:bCs w:val="1"/>
                <w:color w:val="auto"/>
              </w:rPr>
              <w:t>1,624,973</w:t>
            </w:r>
          </w:p>
        </w:tc>
      </w:tr>
      <w:tr>
        <w:trPr>
          <w:trHeight w:val="184"/>
        </w:trPr>
        <w:tc>
          <w:tcPr>
            <w:tcW w:w="1360" w:type="dxa"/>
            <w:vAlign w:val="bottom"/>
            <w:gridSpan w:val="2"/>
          </w:tcPr>
          <w:p>
            <w:pPr>
              <w:spacing w:after="0"/>
              <w:rPr>
                <w:sz w:val="20"/>
                <w:szCs w:val="20"/>
                <w:color w:val="auto"/>
              </w:rPr>
            </w:pPr>
            <w:r>
              <w:rPr>
                <w:rFonts w:ascii="Arial" w:cs="Arial" w:eastAsia="Arial" w:hAnsi="Arial"/>
                <w:sz w:val="16"/>
                <w:szCs w:val="16"/>
                <w:color w:val="auto"/>
              </w:rPr>
              <w:t>Diane E. Ratekin</w:t>
            </w:r>
          </w:p>
        </w:tc>
        <w:tc>
          <w:tcPr>
            <w:tcW w:w="2040" w:type="dxa"/>
            <w:vAlign w:val="bottom"/>
          </w:tcPr>
          <w:p>
            <w:pPr>
              <w:ind w:left="160"/>
              <w:spacing w:after="0"/>
              <w:rPr>
                <w:sz w:val="20"/>
                <w:szCs w:val="20"/>
                <w:color w:val="auto"/>
              </w:rPr>
            </w:pPr>
            <w:r>
              <w:rPr>
                <w:rFonts w:ascii="Arial" w:cs="Arial" w:eastAsia="Arial" w:hAnsi="Arial"/>
                <w:sz w:val="16"/>
                <w:szCs w:val="16"/>
                <w:color w:val="auto"/>
              </w:rPr>
              <w:t>Salary</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400,000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600,000</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Bonus</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200,000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300,000</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Pro rata bonus (1)</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234,600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200,000</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234,600</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Equity acceleration (2)</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1,022,815</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1,022,815</w:t>
            </w: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40" w:type="dxa"/>
            <w:vAlign w:val="bottom"/>
          </w:tcPr>
          <w:p>
            <w:pPr>
              <w:ind w:left="160"/>
              <w:spacing w:after="0"/>
              <w:rPr>
                <w:sz w:val="20"/>
                <w:szCs w:val="20"/>
                <w:color w:val="auto"/>
              </w:rPr>
            </w:pPr>
            <w:r>
              <w:rPr>
                <w:rFonts w:ascii="Arial" w:cs="Arial" w:eastAsia="Arial" w:hAnsi="Arial"/>
                <w:sz w:val="16"/>
                <w:szCs w:val="16"/>
                <w:color w:val="auto"/>
              </w:rPr>
              <w:t>Benefits continuation</w:t>
            </w:r>
          </w:p>
        </w:tc>
        <w:tc>
          <w:tcPr>
            <w:tcW w:w="1280" w:type="dxa"/>
            <w:vAlign w:val="bottom"/>
          </w:tcPr>
          <w:p>
            <w:pPr>
              <w:spacing w:after="0"/>
              <w:rPr>
                <w:sz w:val="16"/>
                <w:szCs w:val="16"/>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Pr>
          <w:p>
            <w:pPr>
              <w:jc w:val="right"/>
              <w:ind w:right="100"/>
              <w:spacing w:after="0"/>
              <w:rPr>
                <w:sz w:val="20"/>
                <w:szCs w:val="20"/>
                <w:color w:val="auto"/>
              </w:rPr>
            </w:pPr>
            <w:r>
              <w:rPr>
                <w:rFonts w:ascii="Arial" w:cs="Arial" w:eastAsia="Arial" w:hAnsi="Arial"/>
                <w:sz w:val="16"/>
                <w:szCs w:val="16"/>
                <w:color w:val="auto"/>
              </w:rPr>
              <w:t>13,732</w:t>
            </w:r>
          </w:p>
        </w:tc>
        <w:tc>
          <w:tcPr>
            <w:tcW w:w="1860" w:type="dxa"/>
            <w:vAlign w:val="bottom"/>
          </w:tcPr>
          <w:p>
            <w:pPr>
              <w:jc w:val="right"/>
              <w:ind w:right="160"/>
              <w:spacing w:after="0"/>
              <w:rPr>
                <w:sz w:val="20"/>
                <w:szCs w:val="20"/>
                <w:color w:val="auto"/>
              </w:rPr>
            </w:pPr>
            <w:r>
              <w:rPr>
                <w:rFonts w:ascii="Arial" w:cs="Arial" w:eastAsia="Arial" w:hAnsi="Arial"/>
                <w:sz w:val="16"/>
                <w:szCs w:val="16"/>
                <w:color w:val="auto"/>
              </w:rPr>
              <w:t>6,866</w:t>
            </w:r>
          </w:p>
        </w:tc>
        <w:tc>
          <w:tcPr>
            <w:tcW w:w="2100" w:type="dxa"/>
            <w:vAlign w:val="bottom"/>
          </w:tcPr>
          <w:p>
            <w:pPr>
              <w:jc w:val="right"/>
              <w:ind w:right="120"/>
              <w:spacing w:after="0"/>
              <w:rPr>
                <w:sz w:val="20"/>
                <w:szCs w:val="20"/>
                <w:color w:val="auto"/>
              </w:rPr>
            </w:pPr>
            <w:r>
              <w:rPr>
                <w:rFonts w:ascii="Arial" w:cs="Arial" w:eastAsia="Arial" w:hAnsi="Arial"/>
                <w:sz w:val="16"/>
                <w:szCs w:val="16"/>
                <w:color w:val="auto"/>
              </w:rPr>
              <w:t>20,598</w:t>
            </w:r>
          </w:p>
        </w:tc>
      </w:tr>
      <w:tr>
        <w:trPr>
          <w:trHeight w:val="187"/>
        </w:trPr>
        <w:tc>
          <w:tcPr>
            <w:tcW w:w="20" w:type="dxa"/>
            <w:vAlign w:val="bottom"/>
          </w:tcPr>
          <w:p>
            <w:pPr>
              <w:spacing w:after="0"/>
              <w:rPr>
                <w:sz w:val="16"/>
                <w:szCs w:val="16"/>
                <w:color w:val="auto"/>
              </w:rPr>
            </w:pPr>
          </w:p>
        </w:tc>
        <w:tc>
          <w:tcPr>
            <w:tcW w:w="1340" w:type="dxa"/>
            <w:vAlign w:val="bottom"/>
            <w:tcBorders>
              <w:bottom w:val="single" w:sz="8" w:color="999999"/>
            </w:tcBorders>
          </w:tcPr>
          <w:p>
            <w:pPr>
              <w:spacing w:after="0"/>
              <w:rPr>
                <w:sz w:val="16"/>
                <w:szCs w:val="16"/>
                <w:color w:val="auto"/>
              </w:rPr>
            </w:pPr>
          </w:p>
        </w:tc>
        <w:tc>
          <w:tcPr>
            <w:tcW w:w="2040" w:type="dxa"/>
            <w:vAlign w:val="bottom"/>
            <w:tcBorders>
              <w:bottom w:val="single" w:sz="8" w:color="999999"/>
            </w:tcBorders>
          </w:tcPr>
          <w:p>
            <w:pPr>
              <w:ind w:left="160"/>
              <w:spacing w:after="0"/>
              <w:rPr>
                <w:sz w:val="20"/>
                <w:szCs w:val="20"/>
                <w:color w:val="auto"/>
              </w:rPr>
            </w:pPr>
            <w:r>
              <w:rPr>
                <w:rFonts w:ascii="Arial" w:cs="Arial" w:eastAsia="Arial" w:hAnsi="Arial"/>
                <w:sz w:val="16"/>
                <w:szCs w:val="16"/>
                <w:color w:val="auto"/>
              </w:rPr>
              <w:t>Cutback (3)</w:t>
            </w:r>
          </w:p>
        </w:tc>
        <w:tc>
          <w:tcPr>
            <w:tcW w:w="1280" w:type="dxa"/>
            <w:vAlign w:val="bottom"/>
            <w:tcBorders>
              <w:bottom w:val="single" w:sz="8" w:color="999999"/>
            </w:tcBorders>
          </w:tcPr>
          <w:p>
            <w:pPr>
              <w:spacing w:after="0"/>
              <w:rPr>
                <w:sz w:val="16"/>
                <w:szCs w:val="16"/>
                <w:color w:val="auto"/>
              </w:rPr>
            </w:pPr>
          </w:p>
        </w:tc>
        <w:tc>
          <w:tcPr>
            <w:tcW w:w="380" w:type="dxa"/>
            <w:vAlign w:val="bottom"/>
            <w:tcBorders>
              <w:bottom w:val="single" w:sz="8" w:color="999999"/>
            </w:tcBorders>
          </w:tcPr>
          <w:p>
            <w:pPr>
              <w:jc w:val="right"/>
              <w:ind w:right="179"/>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tcPr>
          <w:p>
            <w:pPr>
              <w:jc w:val="right"/>
              <w:ind w:right="100"/>
              <w:spacing w:after="0"/>
              <w:rPr>
                <w:sz w:val="20"/>
                <w:szCs w:val="20"/>
                <w:color w:val="auto"/>
              </w:rPr>
            </w:pPr>
            <w:r>
              <w:rPr>
                <w:rFonts w:ascii="Arial" w:cs="Arial" w:eastAsia="Arial" w:hAnsi="Arial"/>
                <w:sz w:val="16"/>
                <w:szCs w:val="16"/>
                <w:color w:val="auto"/>
              </w:rPr>
              <w:t>0</w:t>
            </w:r>
          </w:p>
        </w:tc>
        <w:tc>
          <w:tcPr>
            <w:tcW w:w="1860" w:type="dxa"/>
            <w:vAlign w:val="bottom"/>
            <w:tcBorders>
              <w:bottom w:val="single" w:sz="8" w:color="999999"/>
            </w:tcBorders>
          </w:tcPr>
          <w:p>
            <w:pPr>
              <w:jc w:val="right"/>
              <w:ind w:right="160"/>
              <w:spacing w:after="0"/>
              <w:rPr>
                <w:sz w:val="20"/>
                <w:szCs w:val="20"/>
                <w:color w:val="auto"/>
              </w:rPr>
            </w:pPr>
            <w:r>
              <w:rPr>
                <w:rFonts w:ascii="Arial" w:cs="Arial" w:eastAsia="Arial" w:hAnsi="Arial"/>
                <w:sz w:val="16"/>
                <w:szCs w:val="16"/>
                <w:color w:val="auto"/>
              </w:rPr>
              <w:t>0</w:t>
            </w:r>
          </w:p>
        </w:tc>
        <w:tc>
          <w:tcPr>
            <w:tcW w:w="2100" w:type="dxa"/>
            <w:vAlign w:val="bottom"/>
            <w:tcBorders>
              <w:bottom w:val="single" w:sz="8" w:color="999999"/>
            </w:tcBorders>
          </w:tcPr>
          <w:p>
            <w:pPr>
              <w:jc w:val="right"/>
              <w:ind w:right="120"/>
              <w:spacing w:after="0"/>
              <w:rPr>
                <w:sz w:val="20"/>
                <w:szCs w:val="20"/>
                <w:color w:val="auto"/>
              </w:rPr>
            </w:pPr>
            <w:r>
              <w:rPr>
                <w:rFonts w:ascii="Arial" w:cs="Arial" w:eastAsia="Arial" w:hAnsi="Arial"/>
                <w:sz w:val="16"/>
                <w:szCs w:val="16"/>
                <w:color w:val="auto"/>
              </w:rPr>
              <w:t>0</w:t>
            </w:r>
          </w:p>
        </w:tc>
      </w:tr>
      <w:tr>
        <w:trPr>
          <w:trHeight w:val="183"/>
        </w:trPr>
        <w:tc>
          <w:tcPr>
            <w:tcW w:w="20" w:type="dxa"/>
            <w:vAlign w:val="bottom"/>
          </w:tcPr>
          <w:p>
            <w:pPr>
              <w:spacing w:after="0"/>
              <w:rPr>
                <w:sz w:val="15"/>
                <w:szCs w:val="15"/>
                <w:color w:val="auto"/>
              </w:rPr>
            </w:pPr>
          </w:p>
        </w:tc>
        <w:tc>
          <w:tcPr>
            <w:tcW w:w="1340" w:type="dxa"/>
            <w:vAlign w:val="bottom"/>
            <w:tcBorders>
              <w:bottom w:val="single" w:sz="8" w:color="00548B"/>
            </w:tcBorders>
          </w:tcPr>
          <w:p>
            <w:pPr>
              <w:spacing w:after="0"/>
              <w:rPr>
                <w:sz w:val="15"/>
                <w:szCs w:val="15"/>
                <w:color w:val="auto"/>
              </w:rPr>
            </w:pPr>
          </w:p>
        </w:tc>
        <w:tc>
          <w:tcPr>
            <w:tcW w:w="2040" w:type="dxa"/>
            <w:vAlign w:val="bottom"/>
            <w:tcBorders>
              <w:bottom w:val="single" w:sz="8" w:color="00548B"/>
            </w:tcBorders>
          </w:tcPr>
          <w:p>
            <w:pPr>
              <w:ind w:left="160"/>
              <w:spacing w:after="0" w:line="183" w:lineRule="exact"/>
              <w:rPr>
                <w:sz w:val="20"/>
                <w:szCs w:val="20"/>
                <w:color w:val="auto"/>
              </w:rPr>
            </w:pPr>
            <w:r>
              <w:rPr>
                <w:rFonts w:ascii="Arial" w:cs="Arial" w:eastAsia="Arial" w:hAnsi="Arial"/>
                <w:sz w:val="16"/>
                <w:szCs w:val="16"/>
                <w:b w:val="1"/>
                <w:bCs w:val="1"/>
                <w:color w:val="auto"/>
              </w:rPr>
              <w:t>Total Value</w:t>
            </w:r>
          </w:p>
        </w:tc>
        <w:tc>
          <w:tcPr>
            <w:tcW w:w="1280" w:type="dxa"/>
            <w:vAlign w:val="bottom"/>
            <w:tcBorders>
              <w:bottom w:val="single" w:sz="8" w:color="00548B"/>
            </w:tcBorders>
          </w:tcPr>
          <w:p>
            <w:pPr>
              <w:spacing w:after="0"/>
              <w:rPr>
                <w:sz w:val="15"/>
                <w:szCs w:val="15"/>
                <w:color w:val="auto"/>
              </w:rPr>
            </w:pPr>
          </w:p>
        </w:tc>
        <w:tc>
          <w:tcPr>
            <w:tcW w:w="380" w:type="dxa"/>
            <w:vAlign w:val="bottom"/>
            <w:tcBorders>
              <w:bottom w:val="single" w:sz="8" w:color="00548B"/>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0</w:t>
            </w:r>
          </w:p>
        </w:tc>
        <w:tc>
          <w:tcPr>
            <w:tcW w:w="2020" w:type="dxa"/>
            <w:vAlign w:val="bottom"/>
            <w:tcBorders>
              <w:bottom w:val="single" w:sz="8" w:color="00548B"/>
            </w:tcBorders>
          </w:tcPr>
          <w:p>
            <w:pPr>
              <w:jc w:val="right"/>
              <w:ind w:right="100"/>
              <w:spacing w:after="0" w:line="183" w:lineRule="exact"/>
              <w:rPr>
                <w:sz w:val="20"/>
                <w:szCs w:val="20"/>
                <w:color w:val="auto"/>
              </w:rPr>
            </w:pPr>
            <w:r>
              <w:rPr>
                <w:rFonts w:ascii="Arial" w:cs="Arial" w:eastAsia="Arial" w:hAnsi="Arial"/>
                <w:sz w:val="16"/>
                <w:szCs w:val="16"/>
                <w:b w:val="1"/>
                <w:bCs w:val="1"/>
                <w:color w:val="auto"/>
              </w:rPr>
              <w:t>848,332</w:t>
            </w:r>
          </w:p>
        </w:tc>
        <w:tc>
          <w:tcPr>
            <w:tcW w:w="1860" w:type="dxa"/>
            <w:vAlign w:val="bottom"/>
            <w:tcBorders>
              <w:bottom w:val="single" w:sz="8" w:color="00548B"/>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1,229,681</w:t>
            </w:r>
          </w:p>
        </w:tc>
        <w:tc>
          <w:tcPr>
            <w:tcW w:w="2100" w:type="dxa"/>
            <w:vAlign w:val="bottom"/>
            <w:tcBorders>
              <w:bottom w:val="single" w:sz="8" w:color="00548B"/>
            </w:tcBorders>
          </w:tcPr>
          <w:p>
            <w:pPr>
              <w:jc w:val="right"/>
              <w:ind w:right="120"/>
              <w:spacing w:after="0" w:line="183" w:lineRule="exact"/>
              <w:rPr>
                <w:sz w:val="20"/>
                <w:szCs w:val="20"/>
                <w:color w:val="auto"/>
              </w:rPr>
            </w:pPr>
            <w:r>
              <w:rPr>
                <w:rFonts w:ascii="Arial" w:cs="Arial" w:eastAsia="Arial" w:hAnsi="Arial"/>
                <w:sz w:val="16"/>
                <w:szCs w:val="16"/>
                <w:b w:val="1"/>
                <w:bCs w:val="1"/>
                <w:color w:val="auto"/>
              </w:rPr>
              <w:t>2,178,013</w:t>
            </w:r>
          </w:p>
        </w:tc>
      </w:tr>
    </w:tbl>
    <w:p>
      <w:pPr>
        <w:spacing w:after="0" w:line="218" w:lineRule="exact"/>
        <w:rPr>
          <w:sz w:val="20"/>
          <w:szCs w:val="20"/>
          <w:color w:val="auto"/>
        </w:rPr>
      </w:pPr>
    </w:p>
    <w:p>
      <w:pPr>
        <w:jc w:val="both"/>
        <w:ind w:left="740" w:right="20" w:hanging="536"/>
        <w:spacing w:after="0" w:line="246" w:lineRule="auto"/>
        <w:tabs>
          <w:tab w:leader="none" w:pos="7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 rata bonus for termination without Cause or resignation for Good Reason is based on actual performance from 2018. For retirement eligible individuals, executive would receive the full bonus earned payable at the originally scheduled payout date consistent with other executives and thus is not included in the table. (As of 12/31/18, Ms. Ratekin satisfied the age and service retirement criteria for these programs.) See CD&amp;A for disclosure regarding amount earned.</w:t>
      </w:r>
    </w:p>
    <w:p>
      <w:pPr>
        <w:spacing w:after="0" w:line="1" w:lineRule="exact"/>
        <w:rPr>
          <w:rFonts w:ascii="Arial" w:cs="Arial" w:eastAsia="Arial" w:hAnsi="Arial"/>
          <w:sz w:val="16"/>
          <w:szCs w:val="16"/>
          <w:color w:val="auto"/>
        </w:rPr>
      </w:pPr>
    </w:p>
    <w:p>
      <w:pPr>
        <w:jc w:val="both"/>
        <w:ind w:left="740" w:right="20" w:hanging="536"/>
        <w:spacing w:after="0" w:line="253" w:lineRule="auto"/>
        <w:tabs>
          <w:tab w:leader="none" w:pos="7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acceleration of equity varies by grant and type of termination as outlined in the preceding sections. The value shown is equal to the number of accelerated shares times the closing price on the last day of the fiscal year. These amounts do not include the value of stock that continues to vest per the original schedule post termination, including:</w:t>
      </w:r>
    </w:p>
    <w:p>
      <w:pPr>
        <w:spacing w:after="0" w:line="66" w:lineRule="exact"/>
        <w:rPr>
          <w:rFonts w:ascii="Arial" w:cs="Arial" w:eastAsia="Arial" w:hAnsi="Arial"/>
          <w:sz w:val="16"/>
          <w:szCs w:val="16"/>
          <w:color w:val="auto"/>
        </w:rPr>
      </w:pPr>
    </w:p>
    <w:p>
      <w:pPr>
        <w:jc w:val="both"/>
        <w:ind w:left="1400" w:right="20" w:hanging="426"/>
        <w:spacing w:after="0" w:line="246" w:lineRule="auto"/>
        <w:tabs>
          <w:tab w:leader="none" w:pos="14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 portion of the 2018 performance units would continue to vest for each of the named executive officers with the number of shares determined based on actual performance through December 31, 2020 and prorated for the number of days that the executive was employed during the performance period.</w:t>
      </w:r>
    </w:p>
    <w:p>
      <w:pPr>
        <w:spacing w:after="0" w:line="1" w:lineRule="exact"/>
        <w:rPr>
          <w:rFonts w:ascii="Arial" w:cs="Arial" w:eastAsia="Arial" w:hAnsi="Arial"/>
          <w:sz w:val="16"/>
          <w:szCs w:val="16"/>
          <w:color w:val="auto"/>
        </w:rPr>
      </w:pPr>
    </w:p>
    <w:p>
      <w:pPr>
        <w:jc w:val="both"/>
        <w:ind w:left="1400" w:right="20" w:hanging="426"/>
        <w:spacing w:after="0" w:line="253" w:lineRule="auto"/>
        <w:tabs>
          <w:tab w:leader="none" w:pos="14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 portion of the 2017 performance shares would continue to vest for each of the named executive officers with the number of shares determined based on actual performance through December 31, 2019 and prorated for the number of days that the executive was employed during the performance period.</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46</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400" w:hanging="426"/>
        <w:spacing w:after="0" w:line="246" w:lineRule="auto"/>
        <w:tabs>
          <w:tab w:leader="none" w:pos="14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Additionally, in the event an executive qualifies for an approved retirement, they would receive continued vesting of their stock per the schedule as outlined in the grant agreements. (As of 12/31/18, Ms. Ratekin satisfied the age and service retirement criteria for these programs.)</w:t>
      </w:r>
    </w:p>
    <w:p>
      <w:pPr>
        <w:spacing w:after="0" w:line="1" w:lineRule="exact"/>
        <w:rPr>
          <w:rFonts w:ascii="Arial" w:cs="Arial" w:eastAsia="Arial" w:hAnsi="Arial"/>
          <w:sz w:val="16"/>
          <w:szCs w:val="16"/>
          <w:color w:val="auto"/>
        </w:rPr>
      </w:pPr>
    </w:p>
    <w:p>
      <w:pPr>
        <w:ind w:left="1400" w:hanging="426"/>
        <w:spacing w:after="0"/>
        <w:tabs>
          <w:tab w:leader="none" w:pos="14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Time-based RSAs are forfeited in the event of a termination without Cause or resignation for Good Reason.</w:t>
      </w:r>
    </w:p>
    <w:p>
      <w:pPr>
        <w:spacing w:after="0" w:line="86" w:lineRule="exact"/>
        <w:rPr>
          <w:rFonts w:ascii="Arial" w:cs="Arial" w:eastAsia="Arial" w:hAnsi="Arial"/>
          <w:sz w:val="16"/>
          <w:szCs w:val="16"/>
          <w:color w:val="auto"/>
        </w:rPr>
      </w:pPr>
    </w:p>
    <w:p>
      <w:pPr>
        <w:ind w:left="740" w:hanging="536"/>
        <w:spacing w:after="0" w:line="260" w:lineRule="auto"/>
        <w:tabs>
          <w:tab w:leader="none" w:pos="7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the event the total COC severance exceeds the IRC 280G safe harbor amount, then the executive’s cash severance is reduced to the maximum safe harbor threshold amount as to not trigger any excise tax.</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OMPENSATION</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w:t>
      </w:r>
      <w:r>
        <w:rPr>
          <w:rFonts w:ascii="Arial" w:cs="Arial" w:eastAsia="Arial" w:hAnsi="Arial"/>
          <w:sz w:val="18"/>
          <w:szCs w:val="18"/>
          <w:b w:val="1"/>
          <w:bCs w:val="1"/>
          <w:color w:val="00548B"/>
        </w:rPr>
        <w:t xml:space="preserve"> I</w:t>
      </w:r>
      <w:r>
        <w:rPr>
          <w:rFonts w:ascii="Arial" w:cs="Arial" w:eastAsia="Arial" w:hAnsi="Arial"/>
          <w:sz w:val="15"/>
          <w:szCs w:val="15"/>
          <w:b w:val="1"/>
          <w:bCs w:val="1"/>
          <w:color w:val="00548B"/>
        </w:rPr>
        <w:t>NTERLOCKS AND</w:t>
      </w:r>
      <w:r>
        <w:rPr>
          <w:rFonts w:ascii="Arial" w:cs="Arial" w:eastAsia="Arial" w:hAnsi="Arial"/>
          <w:sz w:val="18"/>
          <w:szCs w:val="18"/>
          <w:b w:val="1"/>
          <w:bCs w:val="1"/>
          <w:color w:val="00548B"/>
        </w:rPr>
        <w:t xml:space="preserve"> I</w:t>
      </w:r>
      <w:r>
        <w:rPr>
          <w:rFonts w:ascii="Arial" w:cs="Arial" w:eastAsia="Arial" w:hAnsi="Arial"/>
          <w:sz w:val="15"/>
          <w:szCs w:val="15"/>
          <w:b w:val="1"/>
          <w:bCs w:val="1"/>
          <w:color w:val="00548B"/>
        </w:rPr>
        <w:t>NSIDER</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ARTICIPATION</w:t>
      </w:r>
    </w:p>
    <w:p>
      <w:pPr>
        <w:spacing w:after="0" w:line="20"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During 2018, there were no Compensation Committee interlocks and no insider participation in Compensation Committee decisions that were required to be reported under the rules and regulations of the 1934 Act.</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5"/>
          <w:szCs w:val="15"/>
          <w:b w:val="1"/>
          <w:bCs w:val="1"/>
          <w:color w:val="00548B"/>
        </w:rPr>
        <w:t>ERTAIN</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ELATIONSHIPS AND</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ELATED</w:t>
      </w:r>
      <w:r>
        <w:rPr>
          <w:rFonts w:ascii="Arial" w:cs="Arial" w:eastAsia="Arial" w:hAnsi="Arial"/>
          <w:sz w:val="18"/>
          <w:szCs w:val="18"/>
          <w:b w:val="1"/>
          <w:bCs w:val="1"/>
          <w:color w:val="00548B"/>
        </w:rPr>
        <w:t xml:space="preserve"> T</w:t>
      </w:r>
      <w:r>
        <w:rPr>
          <w:rFonts w:ascii="Arial" w:cs="Arial" w:eastAsia="Arial" w:hAnsi="Arial"/>
          <w:sz w:val="15"/>
          <w:szCs w:val="15"/>
          <w:b w:val="1"/>
          <w:bCs w:val="1"/>
          <w:color w:val="00548B"/>
        </w:rPr>
        <w:t>RANSACTIONS</w:t>
      </w:r>
    </w:p>
    <w:p>
      <w:pPr>
        <w:spacing w:after="0" w:line="20"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It is the responsibility of the Audit Committee to review and approve, ratify or disapprove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63"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On and effective February 8, 2018, the board of directors of Huron elected Hugh E. Sawyer as a Class II Director of Huron, to serve until the May 2018 Annual Meeting, at which time he was re-elected as a director by Huron’s shareholders. Since April 2017, Mr. Sawyer has served as the President and Chief Executive Officer, as well as a director, of Regis Corporation (“Regis”), a company that owns, franchises and operates beauty salons worldwide. Prior to that, Mr. Sawyer served as a managing director at Huron.</w:t>
      </w:r>
    </w:p>
    <w:p>
      <w:pPr>
        <w:spacing w:after="0" w:line="176"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Company has provided general business advisory and transaction advisory services to Regis beginning in 2016. The aggregate revenues from Regis were $299,164 in 2018 and $462 through February, 2019.</w:t>
      </w:r>
    </w:p>
    <w:p>
      <w:pPr>
        <w:spacing w:after="0" w:line="15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In addition, Huron has a Code of Business Conduct and Ethics (the “Code of Conduct”), a copy of which is posted on our web site at www.huronconsultinggroup.com, that applies to directors and employees and their family members. The Code of Conduct, among other things, has a policy governing conflicts of interest generally and, in particular, prohibiting certain business arrangements with the Company and clients of the Company, entering into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of Conduct also prohibits Huron from making any personal loans or guaranteeing any personal obligations of board members and executive officers.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47</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548B"/>
        </w:rPr>
        <w:t>PROPOSAL 2</w:t>
      </w:r>
    </w:p>
    <w:p>
      <w:pPr>
        <w:spacing w:after="0" w:line="8" w:lineRule="exact"/>
        <w:rPr>
          <w:sz w:val="20"/>
          <w:szCs w:val="20"/>
          <w:color w:val="auto"/>
        </w:rPr>
      </w:pPr>
    </w:p>
    <w:p>
      <w:pPr>
        <w:ind w:left="200" w:right="1100"/>
        <w:spacing w:after="0" w:line="238" w:lineRule="auto"/>
        <w:rPr>
          <w:sz w:val="20"/>
          <w:szCs w:val="20"/>
          <w:color w:val="auto"/>
        </w:rPr>
      </w:pPr>
      <w:r>
        <w:rPr>
          <w:rFonts w:ascii="Arial" w:cs="Arial" w:eastAsia="Arial" w:hAnsi="Arial"/>
          <w:sz w:val="22"/>
          <w:szCs w:val="22"/>
          <w:b w:val="1"/>
          <w:bCs w:val="1"/>
          <w:color w:val="00548B"/>
        </w:rPr>
        <w:t>TO APPROVE AN AMENDMENT TO THE COMPANY’S AMENDED AND RESTATED 2012 OMNIBUS INCENTIVE PLAN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Background and Reasons for Amending the Plan</w:t>
      </w:r>
    </w:p>
    <w:p>
      <w:pPr>
        <w:spacing w:after="0" w:line="20"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The board of directors believes that the continued growth and profitability of the Company depend on our ability to attract and retain highly qualified employees. Our Amended and Restated 2012 Omnibus Incentive Plan (the “Plan”) was approved by stockholders at our 2012 annual meeting and authorized for issuance up to 1,398,204 shares of our common stock for stock-based incentive compensation to eligible employees, non-employee directors and independent contractors. At our 2014 annual meeting, stockholders approved and authorized an additional 850,000 shares of common stock for issuance under the Plan. At our 2017 annual meeting, stockholders approved and authorized an additional 804,000 shares of common stock for issuance under the Plan. As of March 6, 2019, we had issued 1,608,392 shares of common stock under the Plan that are no longer subject to outstanding awards, 1,107,917 shares of common stock that are subject to unexercised options or unvested restricted stock awards and up to 412,660 shares that may be issued pursuant to outstanding performance share awards, leaving 451,971 shares of common stock available for grant. In addition, we have 117,680 shares of common stock that are subject to unexercised options under the 2004 Omnibus Stock Plan. The weighted average exercise price and remaining contractual life of the 154,297 total stock options outstanding from all plans were $30.52 and 2.34 years, respectively. The total number of unvested restricted stock awards and performance share awards outstanding from all plans was 1,366,280. See the summary table below.</w:t>
      </w:r>
    </w:p>
    <w:p>
      <w:pPr>
        <w:spacing w:after="0" w:line="202"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9700" w:type="dxa"/>
            <w:vAlign w:val="bottom"/>
            <w:tcBorders>
              <w:left w:val="single" w:sz="8" w:color="00548B"/>
              <w:right w:val="single" w:sz="8" w:color="00548B"/>
            </w:tcBorders>
            <w:shd w:val="clear" w:color="auto" w:fill="00548B"/>
          </w:tcPr>
          <w:p>
            <w:pPr>
              <w:ind w:left="140"/>
              <w:spacing w:after="0"/>
              <w:rPr>
                <w:sz w:val="20"/>
                <w:szCs w:val="20"/>
                <w:color w:val="auto"/>
              </w:rPr>
            </w:pPr>
            <w:r>
              <w:rPr>
                <w:rFonts w:ascii="Arial" w:cs="Arial" w:eastAsia="Arial" w:hAnsi="Arial"/>
                <w:sz w:val="13"/>
                <w:szCs w:val="13"/>
                <w:b w:val="1"/>
                <w:bCs w:val="1"/>
                <w:color w:val="D8D8D8"/>
              </w:rPr>
              <w:t>As of March 6, 2019:</w:t>
            </w:r>
          </w:p>
        </w:tc>
        <w:tc>
          <w:tcPr>
            <w:tcW w:w="1340" w:type="dxa"/>
            <w:vAlign w:val="bottom"/>
            <w:tcBorders>
              <w:right w:val="single" w:sz="8" w:color="00548B"/>
            </w:tcBorders>
            <w:shd w:val="clear" w:color="auto" w:fill="00548B"/>
          </w:tcPr>
          <w:p>
            <w:pPr>
              <w:spacing w:after="0"/>
              <w:rPr>
                <w:sz w:val="13"/>
                <w:szCs w:val="13"/>
                <w:color w:val="auto"/>
              </w:rPr>
            </w:pPr>
          </w:p>
        </w:tc>
      </w:tr>
      <w:tr>
        <w:trPr>
          <w:trHeight w:val="189"/>
        </w:trPr>
        <w:tc>
          <w:tcPr>
            <w:tcW w:w="9700" w:type="dxa"/>
            <w:vAlign w:val="bottom"/>
            <w:tcBorders>
              <w:left w:val="single" w:sz="8" w:color="00548B"/>
              <w:bottom w:val="single" w:sz="8" w:color="999999"/>
              <w:right w:val="single" w:sz="8" w:color="999999"/>
            </w:tcBorders>
          </w:tcPr>
          <w:p>
            <w:pPr>
              <w:ind w:left="140"/>
              <w:spacing w:after="0"/>
              <w:rPr>
                <w:sz w:val="20"/>
                <w:szCs w:val="20"/>
                <w:color w:val="auto"/>
              </w:rPr>
            </w:pPr>
            <w:r>
              <w:rPr>
                <w:rFonts w:ascii="Arial" w:cs="Arial" w:eastAsia="Arial" w:hAnsi="Arial"/>
                <w:sz w:val="16"/>
                <w:szCs w:val="16"/>
                <w:color w:val="auto"/>
              </w:rPr>
              <w:t>Stock options outstanding</w:t>
            </w:r>
          </w:p>
        </w:tc>
        <w:tc>
          <w:tcPr>
            <w:tcW w:w="134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154,297</w:t>
            </w:r>
          </w:p>
        </w:tc>
      </w:tr>
      <w:tr>
        <w:trPr>
          <w:trHeight w:val="183"/>
        </w:trPr>
        <w:tc>
          <w:tcPr>
            <w:tcW w:w="9700" w:type="dxa"/>
            <w:vAlign w:val="bottom"/>
            <w:tcBorders>
              <w:left w:val="single" w:sz="8" w:color="00548B"/>
              <w:bottom w:val="single" w:sz="8" w:color="999999"/>
              <w:right w:val="single" w:sz="8" w:color="999999"/>
            </w:tcBorders>
          </w:tcPr>
          <w:p>
            <w:pPr>
              <w:ind w:left="140"/>
              <w:spacing w:after="0" w:line="183" w:lineRule="exact"/>
              <w:rPr>
                <w:sz w:val="20"/>
                <w:szCs w:val="20"/>
                <w:color w:val="auto"/>
              </w:rPr>
            </w:pPr>
            <w:r>
              <w:rPr>
                <w:rFonts w:ascii="Arial" w:cs="Arial" w:eastAsia="Arial" w:hAnsi="Arial"/>
                <w:sz w:val="16"/>
                <w:szCs w:val="16"/>
                <w:color w:val="auto"/>
              </w:rPr>
              <w:t>Weighted average exercise price of stock options outstanding</w:t>
            </w:r>
          </w:p>
        </w:tc>
        <w:tc>
          <w:tcPr>
            <w:tcW w:w="1340" w:type="dxa"/>
            <w:vAlign w:val="bottom"/>
            <w:tcBorders>
              <w:bottom w:val="single" w:sz="8" w:color="999999"/>
              <w:right w:val="single" w:sz="8" w:color="00548B"/>
            </w:tcBorders>
          </w:tcPr>
          <w:p>
            <w:pPr>
              <w:ind w:left="200"/>
              <w:spacing w:after="0" w:line="183" w:lineRule="exact"/>
              <w:rPr>
                <w:sz w:val="20"/>
                <w:szCs w:val="20"/>
                <w:color w:val="auto"/>
              </w:rPr>
            </w:pPr>
            <w:r>
              <w:rPr>
                <w:rFonts w:ascii="Arial" w:cs="Arial" w:eastAsia="Arial" w:hAnsi="Arial"/>
                <w:sz w:val="16"/>
                <w:szCs w:val="16"/>
                <w:color w:val="auto"/>
              </w:rPr>
              <w:t>$30.52</w:t>
            </w:r>
          </w:p>
        </w:tc>
      </w:tr>
      <w:tr>
        <w:trPr>
          <w:trHeight w:val="183"/>
        </w:trPr>
        <w:tc>
          <w:tcPr>
            <w:tcW w:w="9700" w:type="dxa"/>
            <w:vAlign w:val="bottom"/>
            <w:tcBorders>
              <w:left w:val="single" w:sz="8" w:color="00548B"/>
              <w:bottom w:val="single" w:sz="8" w:color="999999"/>
              <w:right w:val="single" w:sz="8" w:color="999999"/>
            </w:tcBorders>
          </w:tcPr>
          <w:p>
            <w:pPr>
              <w:ind w:left="140"/>
              <w:spacing w:after="0" w:line="183" w:lineRule="exact"/>
              <w:rPr>
                <w:sz w:val="20"/>
                <w:szCs w:val="20"/>
                <w:color w:val="auto"/>
              </w:rPr>
            </w:pPr>
            <w:r>
              <w:rPr>
                <w:rFonts w:ascii="Arial" w:cs="Arial" w:eastAsia="Arial" w:hAnsi="Arial"/>
                <w:sz w:val="16"/>
                <w:szCs w:val="16"/>
                <w:color w:val="auto"/>
              </w:rPr>
              <w:t>Weighted average remaining contractual life of stock options outstanding</w:t>
            </w:r>
          </w:p>
        </w:tc>
        <w:tc>
          <w:tcPr>
            <w:tcW w:w="1340" w:type="dxa"/>
            <w:vAlign w:val="bottom"/>
            <w:tcBorders>
              <w:bottom w:val="single" w:sz="8" w:color="999999"/>
              <w:right w:val="single" w:sz="8" w:color="00548B"/>
            </w:tcBorders>
          </w:tcPr>
          <w:p>
            <w:pPr>
              <w:ind w:left="200"/>
              <w:spacing w:after="0" w:line="183" w:lineRule="exact"/>
              <w:rPr>
                <w:sz w:val="20"/>
                <w:szCs w:val="20"/>
                <w:color w:val="auto"/>
              </w:rPr>
            </w:pPr>
            <w:r>
              <w:rPr>
                <w:rFonts w:ascii="Arial" w:cs="Arial" w:eastAsia="Arial" w:hAnsi="Arial"/>
                <w:sz w:val="16"/>
                <w:szCs w:val="16"/>
                <w:color w:val="auto"/>
              </w:rPr>
              <w:t>2.34 years</w:t>
            </w:r>
          </w:p>
        </w:tc>
      </w:tr>
      <w:tr>
        <w:trPr>
          <w:trHeight w:val="183"/>
        </w:trPr>
        <w:tc>
          <w:tcPr>
            <w:tcW w:w="9700" w:type="dxa"/>
            <w:vAlign w:val="bottom"/>
            <w:tcBorders>
              <w:left w:val="single" w:sz="8" w:color="00548B"/>
              <w:bottom w:val="single" w:sz="8" w:color="999999"/>
              <w:right w:val="single" w:sz="8" w:color="999999"/>
            </w:tcBorders>
          </w:tcPr>
          <w:p>
            <w:pPr>
              <w:ind w:left="140"/>
              <w:spacing w:after="0" w:line="183" w:lineRule="exact"/>
              <w:rPr>
                <w:sz w:val="20"/>
                <w:szCs w:val="20"/>
                <w:color w:val="auto"/>
              </w:rPr>
            </w:pPr>
            <w:r>
              <w:rPr>
                <w:rFonts w:ascii="Arial" w:cs="Arial" w:eastAsia="Arial" w:hAnsi="Arial"/>
                <w:sz w:val="16"/>
                <w:szCs w:val="16"/>
                <w:color w:val="auto"/>
              </w:rPr>
              <w:t>Shares subject to outstanding restricted stock and other full value awards (unvested and unearned)</w:t>
            </w:r>
          </w:p>
        </w:tc>
        <w:tc>
          <w:tcPr>
            <w:tcW w:w="1340" w:type="dxa"/>
            <w:vAlign w:val="bottom"/>
            <w:tcBorders>
              <w:bottom w:val="single" w:sz="8" w:color="999999"/>
              <w:right w:val="single" w:sz="8" w:color="00548B"/>
            </w:tcBorders>
          </w:tcPr>
          <w:p>
            <w:pPr>
              <w:ind w:left="200"/>
              <w:spacing w:after="0" w:line="183" w:lineRule="exact"/>
              <w:rPr>
                <w:sz w:val="20"/>
                <w:szCs w:val="20"/>
                <w:color w:val="auto"/>
              </w:rPr>
            </w:pPr>
            <w:r>
              <w:rPr>
                <w:rFonts w:ascii="Arial" w:cs="Arial" w:eastAsia="Arial" w:hAnsi="Arial"/>
                <w:sz w:val="16"/>
                <w:szCs w:val="16"/>
                <w:color w:val="auto"/>
              </w:rPr>
              <w:t>1,366,280</w:t>
            </w:r>
          </w:p>
        </w:tc>
      </w:tr>
      <w:tr>
        <w:trPr>
          <w:trHeight w:val="183"/>
        </w:trPr>
        <w:tc>
          <w:tcPr>
            <w:tcW w:w="9700" w:type="dxa"/>
            <w:vAlign w:val="bottom"/>
            <w:tcBorders>
              <w:left w:val="single" w:sz="8" w:color="00548B"/>
              <w:bottom w:val="single" w:sz="8" w:color="00548B"/>
              <w:right w:val="single" w:sz="8" w:color="999999"/>
            </w:tcBorders>
          </w:tcPr>
          <w:p>
            <w:pPr>
              <w:ind w:left="140"/>
              <w:spacing w:after="0" w:line="183" w:lineRule="exact"/>
              <w:rPr>
                <w:sz w:val="20"/>
                <w:szCs w:val="20"/>
                <w:color w:val="auto"/>
              </w:rPr>
            </w:pPr>
            <w:r>
              <w:rPr>
                <w:rFonts w:ascii="Arial" w:cs="Arial" w:eastAsia="Arial" w:hAnsi="Arial"/>
                <w:sz w:val="16"/>
                <w:szCs w:val="16"/>
                <w:color w:val="auto"/>
              </w:rPr>
              <w:t>Shares remaining for grant under the existing Amended and Restated 2012 Omnibus Incentive Plan</w:t>
            </w:r>
          </w:p>
        </w:tc>
        <w:tc>
          <w:tcPr>
            <w:tcW w:w="1340" w:type="dxa"/>
            <w:vAlign w:val="bottom"/>
            <w:tcBorders>
              <w:bottom w:val="single" w:sz="8" w:color="00548B"/>
              <w:right w:val="single" w:sz="8" w:color="00548B"/>
            </w:tcBorders>
          </w:tcPr>
          <w:p>
            <w:pPr>
              <w:ind w:left="200"/>
              <w:spacing w:after="0" w:line="183" w:lineRule="exact"/>
              <w:rPr>
                <w:sz w:val="20"/>
                <w:szCs w:val="20"/>
                <w:color w:val="auto"/>
              </w:rPr>
            </w:pPr>
            <w:r>
              <w:rPr>
                <w:rFonts w:ascii="Arial" w:cs="Arial" w:eastAsia="Arial" w:hAnsi="Arial"/>
                <w:sz w:val="16"/>
                <w:szCs w:val="16"/>
                <w:color w:val="auto"/>
              </w:rPr>
              <w:t>451,971</w:t>
            </w:r>
          </w:p>
        </w:tc>
      </w:tr>
    </w:tbl>
    <w:p>
      <w:pPr>
        <w:spacing w:after="0" w:line="177" w:lineRule="exact"/>
        <w:rPr>
          <w:sz w:val="20"/>
          <w:szCs w:val="20"/>
          <w:color w:val="auto"/>
        </w:rPr>
      </w:pPr>
    </w:p>
    <w:p>
      <w:pPr>
        <w:jc w:val="both"/>
        <w:ind w:left="200" w:right="20"/>
        <w:spacing w:after="0" w:line="247" w:lineRule="auto"/>
        <w:rPr>
          <w:sz w:val="20"/>
          <w:szCs w:val="20"/>
          <w:color w:val="auto"/>
        </w:rPr>
      </w:pPr>
      <w:r>
        <w:rPr>
          <w:rFonts w:ascii="Arial" w:cs="Arial" w:eastAsia="Arial" w:hAnsi="Arial"/>
          <w:sz w:val="16"/>
          <w:szCs w:val="16"/>
          <w:color w:val="auto"/>
        </w:rPr>
        <w:t>In order to increase the number of shares of common stock available as equity compensation to our employees, non-employee directors, and independent contractors and those of our subsidiaries, our board of directors has approved an amendment to the Plan to increase the number of shares available for grant thereunder by 600,000 shares of common stock, subject to stockholder approval. We believe the additional shares authorized under the Plan will enable us to offer competitive compensation packages that reward performance while also creating a compelling reason to remain at Huron and deliver results that benefit all constituents. We annually grant a sizable portion of equity to our managing directors. (An average of 76% of total equity granted in the last three years was awarded to our managing directors; by contrast, approximately 19% of total equity granted in the last three years was awarded to our NEOs with the remaining 5% awarded to our directors and other employees.) As a professional services firm, we recognize that our managing directors are key to growing our business, generating revenue, enhancing our market reputation, and developing our people. As such, they are critical to the overall success of Huron. We use stock as both a retention tool and an incentive to encourage behaviors that will benefit our shareholders and the Company. Approximately 50% of the annual bonus compensation of our Practice Leaders and client-facing managing directors consists of restricted stock that vests over four years and is awarded based on prior year performance. We believe the amount of equity provided below the NEO level aligns the interests of our individual practices with the Company as a whole and significantly differentiates Huron’s compensation program from the programs of our competitors. Our ability to offer equity as a long-term component of compensation also helps us recruit talent that is critical for Huron’s continued growth. We believe that our ability to offer long-term equity incentives encourages a balanced focus on short-term goals, long-term goals and performance that cannot be as effectively achieved with cash awards alone.</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48</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0548B"/>
        </w:rPr>
        <w:t>Approval Required</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approval of the amendment to the Plan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the proposal. Broker non-votes will not be considered shares entitled to vote with respect to approval of the proposal and will not be counted as votes for or against the proposal and will therefore have no effect on the outcome of the proposal. Executed proxies will be voted “FOR” the approval of the proposal, unless specified otherwise.</w:t>
      </w:r>
    </w:p>
    <w:p>
      <w:pPr>
        <w:spacing w:after="0" w:line="156"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AMENDMENT TO THE COMPANY’S AMENDED AND RESTATED 2012 OMNIBUS INCENTIVE PLAN.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0548B"/>
        </w:rPr>
        <w:t>Description of the Plan</w:t>
      </w:r>
    </w:p>
    <w:p>
      <w:pPr>
        <w:spacing w:after="0" w:line="2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summary of the material features of the Plan set forth below is qualified in its entirety by the full text of the Plan attached as Appendix A to the Proxy Statement in connection with the Company’s 2017 annual meeting of stockholders filed with the SEC on March 27, 2017. A copy of the amendment to the Plan is attached as Appendix A to this Proxy Statement.</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There are several types of awards that may be granted under the Plan:</w:t>
      </w:r>
    </w:p>
    <w:p>
      <w:pPr>
        <w:spacing w:after="0" w:line="221" w:lineRule="exact"/>
        <w:rPr>
          <w:sz w:val="20"/>
          <w:szCs w:val="20"/>
          <w:color w:val="auto"/>
        </w:rPr>
      </w:pPr>
    </w:p>
    <w:p>
      <w:pPr>
        <w:ind w:left="960" w:hanging="432"/>
        <w:spacing w:after="0" w:line="246" w:lineRule="auto"/>
        <w:tabs>
          <w:tab w:leader="none" w:pos="960" w:val="left"/>
        </w:tabs>
        <w:numPr>
          <w:ilvl w:val="0"/>
          <w:numId w:val="51"/>
        </w:numPr>
        <w:rPr>
          <w:rFonts w:ascii="Arial" w:cs="Arial" w:eastAsia="Arial" w:hAnsi="Arial"/>
          <w:sz w:val="16"/>
          <w:szCs w:val="16"/>
          <w:color w:val="00548B"/>
        </w:rPr>
      </w:pPr>
      <w:r>
        <w:rPr>
          <w:rFonts w:ascii="Arial" w:cs="Arial" w:eastAsia="Arial" w:hAnsi="Arial"/>
          <w:sz w:val="16"/>
          <w:szCs w:val="16"/>
          <w:color w:val="auto"/>
        </w:rPr>
        <w:t>stock options (including both incentive stock options (“ISOs”), within the meaning of Section 422 of the Code and nonqualified options (“NQSOs”), which are options that do not qualify as ISOs);</w:t>
      </w:r>
    </w:p>
    <w:p>
      <w:pPr>
        <w:ind w:left="960" w:hanging="432"/>
        <w:spacing w:after="0"/>
        <w:tabs>
          <w:tab w:leader="none" w:pos="960" w:val="left"/>
        </w:tabs>
        <w:numPr>
          <w:ilvl w:val="0"/>
          <w:numId w:val="51"/>
        </w:numPr>
        <w:rPr>
          <w:rFonts w:ascii="Arial" w:cs="Arial" w:eastAsia="Arial" w:hAnsi="Arial"/>
          <w:sz w:val="16"/>
          <w:szCs w:val="16"/>
          <w:color w:val="00548B"/>
        </w:rPr>
      </w:pPr>
      <w:r>
        <w:rPr>
          <w:rFonts w:ascii="Arial" w:cs="Arial" w:eastAsia="Arial" w:hAnsi="Arial"/>
          <w:sz w:val="16"/>
          <w:szCs w:val="16"/>
          <w:color w:val="auto"/>
        </w:rPr>
        <w:t>SARs;</w:t>
      </w:r>
    </w:p>
    <w:p>
      <w:pPr>
        <w:spacing w:after="0" w:line="5" w:lineRule="exact"/>
        <w:rPr>
          <w:rFonts w:ascii="Arial" w:cs="Arial" w:eastAsia="Arial" w:hAnsi="Arial"/>
          <w:sz w:val="16"/>
          <w:szCs w:val="16"/>
          <w:color w:val="00548B"/>
        </w:rPr>
      </w:pPr>
    </w:p>
    <w:p>
      <w:pPr>
        <w:ind w:left="960" w:hanging="432"/>
        <w:spacing w:after="0" w:line="246" w:lineRule="auto"/>
        <w:tabs>
          <w:tab w:leader="none" w:pos="960" w:val="left"/>
        </w:tabs>
        <w:numPr>
          <w:ilvl w:val="0"/>
          <w:numId w:val="51"/>
        </w:numPr>
        <w:rPr>
          <w:rFonts w:ascii="Arial" w:cs="Arial" w:eastAsia="Arial" w:hAnsi="Arial"/>
          <w:sz w:val="16"/>
          <w:szCs w:val="16"/>
          <w:color w:val="00548B"/>
        </w:rPr>
      </w:pPr>
      <w:r>
        <w:rPr>
          <w:rFonts w:ascii="Arial" w:cs="Arial" w:eastAsia="Arial" w:hAnsi="Arial"/>
          <w:sz w:val="16"/>
          <w:szCs w:val="16"/>
          <w:color w:val="auto"/>
        </w:rPr>
        <w:t>full value awards, which means a grant of one or more shares of common stock or a right to receive one or more shares of common stock, subject to one or more of the conditions, restrictions and contingencies determined at the time of the award; and</w:t>
      </w:r>
    </w:p>
    <w:p>
      <w:pPr>
        <w:ind w:left="960" w:hanging="432"/>
        <w:spacing w:after="0"/>
        <w:tabs>
          <w:tab w:leader="none" w:pos="960" w:val="left"/>
        </w:tabs>
        <w:numPr>
          <w:ilvl w:val="0"/>
          <w:numId w:val="51"/>
        </w:numPr>
        <w:rPr>
          <w:rFonts w:ascii="Arial" w:cs="Arial" w:eastAsia="Arial" w:hAnsi="Arial"/>
          <w:sz w:val="16"/>
          <w:szCs w:val="16"/>
          <w:color w:val="00548B"/>
        </w:rPr>
      </w:pPr>
      <w:r>
        <w:rPr>
          <w:rFonts w:ascii="Arial" w:cs="Arial" w:eastAsia="Arial" w:hAnsi="Arial"/>
          <w:sz w:val="16"/>
          <w:szCs w:val="16"/>
          <w:color w:val="auto"/>
        </w:rPr>
        <w:t>cash incentive awards.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If this proposal is approved by stockholders, there would be approximately 1,051,971 shares available for issuance under the Plan as of May 3, 2019.</w:t>
      </w:r>
      <w:r>
        <w:rPr>
          <w:rFonts w:ascii="Arial" w:cs="Arial" w:eastAsia="Arial" w:hAnsi="Arial"/>
          <w:sz w:val="27"/>
          <w:szCs w:val="27"/>
          <w:color w:val="auto"/>
          <w:vertAlign w:val="superscript"/>
        </w:rPr>
        <w:t>8</w:t>
      </w:r>
    </w:p>
    <w:p>
      <w:pPr>
        <w:spacing w:after="0" w:line="59"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Shares subject to an award under the Plan that remain unissued upon the cancellation, surrender, exchange, forfeiture or termination of the award without having been exercised or settled will again become available for award under the Plan. In addition, to the extent an award under the Plan is paid or settled in cash, the number of shares of common stock with respect to which such payment or settlement is made shall again be available for grants of awards pursuant to the Plan. Any shares subject to an award under the Plan that are retained by us as payment of the exercise price of an option or to satisfy (A) all tax withholding obligations with respect to a stock option or stock appreciation right, or (B) tax withholding obligations in excess of the minimum required withholding amount with respect to a full value award, and any shares purchased by us using stock option exercise proceeds, will not again be made available for future grants under the Plan. Further, for stock-settled stock appreciation rights (to the extent they are utilized in the future), the shares subject to the award shall be counted against the plan reserve, regardless of the number of shares issued.</w:t>
      </w:r>
    </w:p>
    <w:p>
      <w:pPr>
        <w:spacing w:after="0" w:line="167"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Plan does not permit dividend payments on stock options and SARs, and requires dividends and dividend equivalents (if any) on unvested awards to be held until the underlying award is vested. The Plan adds a minimum one-year vesting requirement to all equity awards with a limited carve out of 5% of the total pool to allow for exceptions, as necessary. In addition, the Plan limits the ability of shares withheld for taxes or exercise price of an award to be returned to the Plan to be made available for future grants. The Plan provides a limit on awards to non-employee directors for any calendar year (along with cash retainer and meeting fees).</w:t>
      </w:r>
    </w:p>
    <w:p>
      <w:pPr>
        <w:spacing w:after="0" w:line="176"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In addition, if a corporation acquired by (or combined with) Huron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will not reduce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10464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31" w:lineRule="exact"/>
        <w:rPr>
          <w:sz w:val="20"/>
          <w:szCs w:val="20"/>
          <w:color w:val="auto"/>
        </w:rPr>
      </w:pPr>
    </w:p>
    <w:p>
      <w:pPr>
        <w:ind w:left="420" w:hanging="216"/>
        <w:spacing w:after="0"/>
        <w:tabs>
          <w:tab w:leader="none" w:pos="420" w:val="left"/>
        </w:tabs>
        <w:numPr>
          <w:ilvl w:val="0"/>
          <w:numId w:val="52"/>
        </w:numPr>
        <w:rPr>
          <w:rFonts w:ascii="Arial" w:cs="Arial" w:eastAsia="Arial" w:hAnsi="Arial"/>
          <w:sz w:val="12"/>
          <w:szCs w:val="12"/>
          <w:i w:val="1"/>
          <w:iCs w:val="1"/>
          <w:color w:val="auto"/>
        </w:rPr>
      </w:pPr>
      <w:r>
        <w:rPr>
          <w:rFonts w:ascii="Arial" w:cs="Arial" w:eastAsia="Arial" w:hAnsi="Arial"/>
          <w:sz w:val="12"/>
          <w:szCs w:val="12"/>
          <w:i w:val="1"/>
          <w:iCs w:val="1"/>
          <w:color w:val="auto"/>
        </w:rPr>
        <w:t>May 3, 2019 Annual Meeting of Stockholders.</w:t>
      </w:r>
    </w:p>
    <w:p>
      <w:pPr>
        <w:spacing w:after="0" w:line="1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49</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shares authorized for grant under the Plan. Any such awards may not, however, be made after the date awards or grants could have been made under the terms of the pre-existing plan, absent the acquisition or combination, and may only be made to individuals who were not employees or directors of Huron or any subsidiary prior to such acquisition or combination. Notwithstanding the foregoing, such shares may not increase the number of shares available for awards of incentive stock options unless such additional share limit is approved by the shareholders in accordance with Section 422 of the Code.</w:t>
      </w:r>
    </w:p>
    <w:p>
      <w:pPr>
        <w:spacing w:after="0" w:line="176"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The Plan will be administered by the Compensation Committee. Our executive officers and Huron’s other officers, employees numbering approximately 3,200 in total, and outside directors as of March 1, 2019, will be eligible to receive awards under the Plan at the discretion of the Compensation Committee. The Compensation Committee has the authority to administer the Plan and to exercise all of the powers and authorities specifically granted to it under the Plan as necessary or advisable in the administration of the Plan, including the authority to:</w:t>
      </w:r>
    </w:p>
    <w:p>
      <w:pPr>
        <w:spacing w:after="0" w:line="203" w:lineRule="exact"/>
        <w:rPr>
          <w:sz w:val="20"/>
          <w:szCs w:val="20"/>
          <w:color w:val="auto"/>
        </w:rPr>
      </w:pPr>
    </w:p>
    <w:p>
      <w:pPr>
        <w:ind w:left="960" w:hanging="432"/>
        <w:spacing w:after="0"/>
        <w:tabs>
          <w:tab w:leader="none" w:pos="96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grant awards;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determine the individuals to whom, and the time or times at which, awards will be granted;</w:t>
      </w:r>
    </w:p>
    <w:p>
      <w:pPr>
        <w:spacing w:after="0" w:line="5" w:lineRule="exact"/>
        <w:rPr>
          <w:rFonts w:ascii="Arial" w:cs="Arial" w:eastAsia="Arial" w:hAnsi="Arial"/>
          <w:sz w:val="16"/>
          <w:szCs w:val="16"/>
          <w:color w:val="00548B"/>
        </w:rPr>
      </w:pPr>
    </w:p>
    <w:p>
      <w:pPr>
        <w:ind w:left="960" w:hanging="432"/>
        <w:spacing w:after="0" w:line="246" w:lineRule="auto"/>
        <w:tabs>
          <w:tab w:leader="none" w:pos="96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determine the type and number of awards to be granted, the number of shares of common stock or cash or other property to which an award may relate and the terms, conditions, restrictions and performance criteria relating to any award;</w:t>
      </w:r>
    </w:p>
    <w:p>
      <w:pPr>
        <w:ind w:left="960" w:hanging="432"/>
        <w:spacing w:after="0"/>
        <w:tabs>
          <w:tab w:leader="none" w:pos="96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determine whether, to what extent and under what circumstances an award may be settled, cancelled, forfeited, exchanged or surrendered;</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conclusively interpret the Plan and all awards;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prescribe, amend and rescind rules and regulations relating to the Plan;</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determine the terms and provisions of any award agreements; and</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make all other determinations deemed necessary or advisable for the operation and administration of the Plan.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Subject to the provisions of the Plan, the Compensation Committee may:</w:t>
      </w:r>
    </w:p>
    <w:p>
      <w:pPr>
        <w:spacing w:after="0" w:line="221" w:lineRule="exact"/>
        <w:rPr>
          <w:sz w:val="20"/>
          <w:szCs w:val="20"/>
          <w:color w:val="auto"/>
        </w:rPr>
      </w:pPr>
    </w:p>
    <w:p>
      <w:pPr>
        <w:ind w:left="960" w:hanging="432"/>
        <w:spacing w:after="0"/>
        <w:tabs>
          <w:tab w:leader="none" w:pos="960" w:val="left"/>
        </w:tabs>
        <w:numPr>
          <w:ilvl w:val="0"/>
          <w:numId w:val="54"/>
        </w:numPr>
        <w:rPr>
          <w:rFonts w:ascii="Arial" w:cs="Arial" w:eastAsia="Arial" w:hAnsi="Arial"/>
          <w:sz w:val="16"/>
          <w:szCs w:val="16"/>
          <w:color w:val="00548B"/>
        </w:rPr>
      </w:pPr>
      <w:r>
        <w:rPr>
          <w:rFonts w:ascii="Arial" w:cs="Arial" w:eastAsia="Arial" w:hAnsi="Arial"/>
          <w:sz w:val="16"/>
          <w:szCs w:val="16"/>
          <w:color w:val="auto"/>
        </w:rPr>
        <w:t>accelerate the date on which any ISO, NQSO or SAR becomes exercisable;</w:t>
      </w:r>
    </w:p>
    <w:p>
      <w:pPr>
        <w:spacing w:after="0" w:line="5" w:lineRule="exact"/>
        <w:rPr>
          <w:rFonts w:ascii="Arial" w:cs="Arial" w:eastAsia="Arial" w:hAnsi="Arial"/>
          <w:sz w:val="16"/>
          <w:szCs w:val="16"/>
          <w:color w:val="00548B"/>
        </w:rPr>
      </w:pPr>
    </w:p>
    <w:p>
      <w:pPr>
        <w:ind w:left="960" w:hanging="432"/>
        <w:spacing w:after="0" w:line="246" w:lineRule="auto"/>
        <w:tabs>
          <w:tab w:leader="none" w:pos="960" w:val="left"/>
        </w:tabs>
        <w:numPr>
          <w:ilvl w:val="0"/>
          <w:numId w:val="54"/>
        </w:numPr>
        <w:rPr>
          <w:rFonts w:ascii="Arial" w:cs="Arial" w:eastAsia="Arial" w:hAnsi="Arial"/>
          <w:sz w:val="16"/>
          <w:szCs w:val="16"/>
          <w:color w:val="00548B"/>
        </w:rPr>
      </w:pPr>
      <w:r>
        <w:rPr>
          <w:rFonts w:ascii="Arial" w:cs="Arial" w:eastAsia="Arial" w:hAnsi="Arial"/>
          <w:sz w:val="16"/>
          <w:szCs w:val="16"/>
          <w:color w:val="auto"/>
        </w:rPr>
        <w:t>waive or amend the operation of the Plan provisions respecting exercise of an option or a SAR after termination of employment to a period no longer than 10 years from the date of grant of the award;</w:t>
      </w:r>
    </w:p>
    <w:p>
      <w:pPr>
        <w:ind w:left="960" w:hanging="432"/>
        <w:spacing w:after="0"/>
        <w:tabs>
          <w:tab w:leader="none" w:pos="960" w:val="left"/>
        </w:tabs>
        <w:numPr>
          <w:ilvl w:val="0"/>
          <w:numId w:val="54"/>
        </w:numPr>
        <w:rPr>
          <w:rFonts w:ascii="Arial" w:cs="Arial" w:eastAsia="Arial" w:hAnsi="Arial"/>
          <w:sz w:val="16"/>
          <w:szCs w:val="16"/>
          <w:color w:val="00548B"/>
        </w:rPr>
      </w:pPr>
      <w:r>
        <w:rPr>
          <w:rFonts w:ascii="Arial" w:cs="Arial" w:eastAsia="Arial" w:hAnsi="Arial"/>
          <w:sz w:val="16"/>
          <w:szCs w:val="16"/>
          <w:color w:val="auto"/>
        </w:rPr>
        <w:t>accelerate the vesting date, or waive any condition imposed by the Plan, with respect to any full value award; and</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4"/>
        </w:numPr>
        <w:rPr>
          <w:rFonts w:ascii="Arial" w:cs="Arial" w:eastAsia="Arial" w:hAnsi="Arial"/>
          <w:sz w:val="16"/>
          <w:szCs w:val="16"/>
          <w:color w:val="00548B"/>
        </w:rPr>
      </w:pPr>
      <w:r>
        <w:rPr>
          <w:rFonts w:ascii="Arial" w:cs="Arial" w:eastAsia="Arial" w:hAnsi="Arial"/>
          <w:sz w:val="16"/>
          <w:szCs w:val="16"/>
          <w:color w:val="auto"/>
        </w:rPr>
        <w:t>otherwise adjust any of the terms applicable to any award in a manner consistent with the terms of the Plan.</w:t>
      </w:r>
    </w:p>
    <w:p>
      <w:pPr>
        <w:spacing w:after="0" w:line="181"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Compensation Committee may delegate some of its authority under the Plan to one or more of our officers, to act on behalf of the Compensation Committee with respect to any matter that is the responsibility of the Compensation Committee, as described above, and to approve awards for certain other employees.</w:t>
      </w:r>
    </w:p>
    <w:p>
      <w:pPr>
        <w:spacing w:after="0" w:line="174"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Our board of directors may suspend or terminate the Plan or revise or amend it in any respect, subject to stockholder approval where required to satisfy legal or applicable stock exchange requirements. No amendment may be made without the approval of our stockholders if such amendment would:</w:t>
      </w:r>
    </w:p>
    <w:p>
      <w:pPr>
        <w:spacing w:after="0" w:line="196" w:lineRule="exact"/>
        <w:rPr>
          <w:sz w:val="20"/>
          <w:szCs w:val="20"/>
          <w:color w:val="auto"/>
        </w:rPr>
      </w:pPr>
    </w:p>
    <w:p>
      <w:pPr>
        <w:ind w:left="960" w:hanging="432"/>
        <w:spacing w:after="0"/>
        <w:tabs>
          <w:tab w:leader="none" w:pos="960" w:val="left"/>
        </w:tabs>
        <w:numPr>
          <w:ilvl w:val="0"/>
          <w:numId w:val="55"/>
        </w:numPr>
        <w:rPr>
          <w:rFonts w:ascii="Arial" w:cs="Arial" w:eastAsia="Arial" w:hAnsi="Arial"/>
          <w:sz w:val="16"/>
          <w:szCs w:val="16"/>
          <w:color w:val="00548B"/>
        </w:rPr>
      </w:pPr>
      <w:r>
        <w:rPr>
          <w:rFonts w:ascii="Arial" w:cs="Arial" w:eastAsia="Arial" w:hAnsi="Arial"/>
          <w:sz w:val="16"/>
          <w:szCs w:val="16"/>
          <w:color w:val="auto"/>
        </w:rPr>
        <w:t>materially increase the benefits accruing to a participant under the Plan;</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5"/>
        </w:numPr>
        <w:rPr>
          <w:rFonts w:ascii="Arial" w:cs="Arial" w:eastAsia="Arial" w:hAnsi="Arial"/>
          <w:sz w:val="16"/>
          <w:szCs w:val="16"/>
          <w:color w:val="00548B"/>
        </w:rPr>
      </w:pPr>
      <w:r>
        <w:rPr>
          <w:rFonts w:ascii="Arial" w:cs="Arial" w:eastAsia="Arial" w:hAnsi="Arial"/>
          <w:sz w:val="16"/>
          <w:szCs w:val="16"/>
          <w:color w:val="auto"/>
        </w:rPr>
        <w:t>increase the aggregate number of shares of common stock that may be issued under the Plan;</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5"/>
        </w:numPr>
        <w:rPr>
          <w:rFonts w:ascii="Arial" w:cs="Arial" w:eastAsia="Arial" w:hAnsi="Arial"/>
          <w:sz w:val="16"/>
          <w:szCs w:val="16"/>
          <w:color w:val="00548B"/>
        </w:rPr>
      </w:pPr>
      <w:r>
        <w:rPr>
          <w:rFonts w:ascii="Arial" w:cs="Arial" w:eastAsia="Arial" w:hAnsi="Arial"/>
          <w:sz w:val="16"/>
          <w:szCs w:val="16"/>
          <w:color w:val="auto"/>
        </w:rPr>
        <w:t>modify the requirements as to eligibility to participate in the Plan; or</w:t>
      </w:r>
    </w:p>
    <w:p>
      <w:pPr>
        <w:spacing w:after="0" w:line="5" w:lineRule="exact"/>
        <w:rPr>
          <w:rFonts w:ascii="Arial" w:cs="Arial" w:eastAsia="Arial" w:hAnsi="Arial"/>
          <w:sz w:val="16"/>
          <w:szCs w:val="16"/>
          <w:color w:val="00548B"/>
        </w:rPr>
      </w:pPr>
    </w:p>
    <w:p>
      <w:pPr>
        <w:ind w:left="960" w:hanging="432"/>
        <w:spacing w:after="0" w:line="260" w:lineRule="auto"/>
        <w:tabs>
          <w:tab w:leader="none" w:pos="960" w:val="left"/>
        </w:tabs>
        <w:numPr>
          <w:ilvl w:val="0"/>
          <w:numId w:val="55"/>
        </w:numPr>
        <w:rPr>
          <w:rFonts w:ascii="Arial" w:cs="Arial" w:eastAsia="Arial" w:hAnsi="Arial"/>
          <w:sz w:val="16"/>
          <w:szCs w:val="16"/>
          <w:color w:val="00548B"/>
        </w:rPr>
      </w:pPr>
      <w:r>
        <w:rPr>
          <w:rFonts w:ascii="Arial" w:cs="Arial" w:eastAsia="Arial" w:hAnsi="Arial"/>
          <w:sz w:val="16"/>
          <w:szCs w:val="16"/>
          <w:color w:val="auto"/>
        </w:rPr>
        <w:t>result in the repricing or buy-back of options where the exercise price of the option is greater than the then current fair market value of a share of common stock (that is, if it is “underwater”).</w:t>
      </w:r>
    </w:p>
    <w:p>
      <w:pPr>
        <w:spacing w:after="0" w:line="15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Plan will terminate no later than May 1, 2027. Awards granted before the termination of the Plan may extend beyond that date in accordance with their terms.</w:t>
      </w:r>
    </w:p>
    <w:p>
      <w:pPr>
        <w:spacing w:after="0" w:line="15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Notwithstanding the provisions of the Plan, the Compensation Committee may grant awards to persons who are foreign nationals on such terms and conditions different from those specified in the Plan as may be necessary or desirable to foster and promote achievement of the purposes of the Plan, subject in any specific case to</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50</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applicable requirements, such as stockholder approval. Specifically, the Compensation Committee may make such modifications, amendments, procedures and subplans as may be necessary or advisable to comply with provisions of laws in other countries or jurisdictions in which Huron operates or has employees.</w:t>
      </w:r>
    </w:p>
    <w:p>
      <w:pPr>
        <w:spacing w:after="0" w:line="174"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Except for adjustments pursuant to the Plan or reductions of the exercise price approved by stockholders, the exercise price of any outstanding option or SAR may not be decreased after the date of grant, nor may an outstanding option or SAR granted under the Plan be surrendered to the Company as consideration for the grant of a replacement option or SAR with a lower exercise price. Except as approved by the Company’s stockholders, in no event may any option or SAR be surrendered to the Company in consideration for a cash payment if, at the time of the surrender, the option or SAR is underwater. Finally, no repricing of an option may be made without the approval of the Company’s stockholders if approval is required under the rules of any stock exchange on which the Company’s common stock is listed.</w:t>
      </w:r>
    </w:p>
    <w:p>
      <w:pPr>
        <w:spacing w:after="0" w:line="16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Vesting terms of any award will be specified at the time an award is made, although vesting of an award will be accelerated if a participant’s employment is terminated by Huron or its successor for reasons other than cause within 12 months of a change of control or if the Plan is terminated within 12 months of a change of control without provision for the continuation of outstanding awards. In addition, if a participant is terminated for cause, all of that person’s outstanding unexercised awards will expire on the date prior to the termination. Except for awards that do not exceed 5% of the total number of shares reserved for issuance under the Plan, in no event will the required period of service for full vesting be less than one year (subject, to the extent provided by the Compensation Committee, to acceleration of vesting in the event of a participant’s death, disability, or change of control).</w:t>
      </w:r>
    </w:p>
    <w:p>
      <w:pPr>
        <w:spacing w:after="0" w:line="16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Under the Plan, the maximum number of shares of stock that may be granted to any participant during any calendar year period with respect to full value awards that are intended to be performance-based compensation shall not exceed 500,000 shares in the aggregate (subject to equitable adjustment as provided). The maximum number of shares of stock to which ISOs relate that may be granted to any participant under the Plan is 325,000 (subject to equitable adjustment as provided). In addition, the maximum amount payable to any person for any 12-month performance period with respect to a cash incentive award that is intended to be performance-based compensation, which we discuss in further detail in the next subsection, is $10,000,000. Finally, for any participant who is an outside director, the aggregate grant date fair value of awards granted to such individual during any calendar year, along with any regular cash retainer or meeting fees paid to such participant during such calendar year, will not exceed $1,500,000.</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0548B"/>
        </w:rPr>
        <w:t>Performance Criteria</w:t>
      </w:r>
    </w:p>
    <w:p>
      <w:pPr>
        <w:spacing w:after="0" w:line="2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exercisability or payment of awards may be based upon one or more of the following business criteria as established by the Compensation Committee:</w:t>
      </w:r>
    </w:p>
    <w:p>
      <w:pPr>
        <w:spacing w:after="0" w:line="200" w:lineRule="exact"/>
        <w:rPr>
          <w:sz w:val="20"/>
          <w:szCs w:val="20"/>
          <w:color w:val="auto"/>
        </w:rPr>
      </w:pPr>
    </w:p>
    <w:p>
      <w:pPr>
        <w:spacing w:after="0" w:line="203" w:lineRule="exact"/>
        <w:rPr>
          <w:sz w:val="20"/>
          <w:szCs w:val="20"/>
          <w:color w:val="auto"/>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return on total stockholder equity;</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earnings or book value per share of Company common stock (“EPS”);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adjusted EPS;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net income (before or after taxes);</w:t>
      </w:r>
    </w:p>
    <w:p>
      <w:pPr>
        <w:spacing w:after="0" w:line="5" w:lineRule="exact"/>
        <w:rPr>
          <w:rFonts w:ascii="Arial" w:cs="Arial" w:eastAsia="Arial" w:hAnsi="Arial"/>
          <w:sz w:val="16"/>
          <w:szCs w:val="16"/>
          <w:color w:val="00548B"/>
        </w:rPr>
      </w:pPr>
    </w:p>
    <w:p>
      <w:pPr>
        <w:ind w:left="960" w:hanging="432"/>
        <w:spacing w:after="0" w:line="246" w:lineRule="auto"/>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earnings before all or any interest, taxes, depreciation and/or amortization (“EBIT,” “EBITA” or “EBITDA”) measured as a dollar amount or a percentage of revenue;</w:t>
      </w: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adjusted EBITDA measured as a dollar amount or a percentage of revenue;</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return on assets, capital or investment;</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market share;</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market capitalization;</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cost reduction goals;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levels of expense, costs or liabilities;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department, division or business unit level performance;</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operating income;</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sales or revenues;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stock price appreciation;</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total stockholder return (TSR);</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implementation or completion of critical projects or processes;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days sales outstanding (DSO);</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51</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960" w:hanging="432"/>
        <w:spacing w:after="0"/>
        <w:tabs>
          <w:tab w:leader="none" w:pos="960" w:val="left"/>
        </w:tabs>
        <w:numPr>
          <w:ilvl w:val="0"/>
          <w:numId w:val="57"/>
        </w:numPr>
        <w:rPr>
          <w:rFonts w:ascii="Arial" w:cs="Arial" w:eastAsia="Arial" w:hAnsi="Arial"/>
          <w:sz w:val="16"/>
          <w:szCs w:val="16"/>
          <w:color w:val="00548B"/>
        </w:rPr>
      </w:pPr>
      <w:r>
        <w:rPr>
          <w:rFonts w:ascii="Arial" w:cs="Arial" w:eastAsia="Arial" w:hAnsi="Arial"/>
          <w:sz w:val="16"/>
          <w:szCs w:val="16"/>
          <w:color w:val="auto"/>
        </w:rPr>
        <w:t>financial coverage ratios;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7"/>
        </w:numPr>
        <w:rPr>
          <w:rFonts w:ascii="Arial" w:cs="Arial" w:eastAsia="Arial" w:hAnsi="Arial"/>
          <w:sz w:val="16"/>
          <w:szCs w:val="16"/>
          <w:color w:val="00548B"/>
        </w:rPr>
      </w:pPr>
      <w:r>
        <w:rPr>
          <w:rFonts w:ascii="Arial" w:cs="Arial" w:eastAsia="Arial" w:hAnsi="Arial"/>
          <w:sz w:val="16"/>
          <w:szCs w:val="16"/>
          <w:color w:val="auto"/>
        </w:rPr>
        <w:t>other non-GAAP financial measures; and</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7"/>
        </w:numPr>
        <w:rPr>
          <w:rFonts w:ascii="Arial" w:cs="Arial" w:eastAsia="Arial" w:hAnsi="Arial"/>
          <w:sz w:val="16"/>
          <w:szCs w:val="16"/>
          <w:color w:val="00548B"/>
        </w:rPr>
      </w:pPr>
      <w:r>
        <w:rPr>
          <w:rFonts w:ascii="Arial" w:cs="Arial" w:eastAsia="Arial" w:hAnsi="Arial"/>
          <w:sz w:val="16"/>
          <w:szCs w:val="16"/>
          <w:color w:val="auto"/>
        </w:rPr>
        <w:t>any combination of the foregoing.</w:t>
      </w:r>
    </w:p>
    <w:p>
      <w:pPr>
        <w:spacing w:after="0" w:line="194"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These business criteria may be applied to results including or excluding discontinued operations, expressed in terms of attaining a specified level of the particular criteria or the attainment of a percentage increase or decrease in the particular criteria, and may be applied to one or more of the Company, an affiliate of the Company, or a department, division or strategic business unit of the Company and/or one or more affiliates of the Company. The business criteria also may be applied to the performance of the Company and/or one or more affiliates of the Company relative to a market index, a group of other companies or a combination thereof, as determined by the Compensation Committee. The business criteria may be subject to:</w:t>
      </w:r>
    </w:p>
    <w:p>
      <w:pPr>
        <w:spacing w:after="0" w:line="203" w:lineRule="exact"/>
        <w:rPr>
          <w:sz w:val="20"/>
          <w:szCs w:val="20"/>
          <w:color w:val="auto"/>
        </w:rPr>
      </w:pPr>
    </w:p>
    <w:p>
      <w:pPr>
        <w:ind w:left="960" w:hanging="432"/>
        <w:spacing w:after="0"/>
        <w:tabs>
          <w:tab w:leader="none" w:pos="96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a threshold level of performance below which no payment will be made (or no vesting will occur);</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levels of performance at which specified payments will be made (or specified vesting will occur); and</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a maximum level of performance above which no additional payment will be made (or at which full vesting will occur).</w:t>
      </w:r>
    </w:p>
    <w:p>
      <w:pPr>
        <w:spacing w:after="0" w:line="181"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Each of the business criteria will be determined, where applicable, in accordance with generally accepted accounting principles and will be subject to certification by the Compensation Committee. The Compensation Committee has the authority to make equitable adjustments to the business criteria in recognition of:</w:t>
      </w:r>
    </w:p>
    <w:p>
      <w:pPr>
        <w:spacing w:after="0" w:line="201" w:lineRule="exact"/>
        <w:rPr>
          <w:sz w:val="20"/>
          <w:szCs w:val="20"/>
          <w:color w:val="auto"/>
        </w:rPr>
      </w:pPr>
    </w:p>
    <w:p>
      <w:pPr>
        <w:ind w:left="960" w:hanging="432"/>
        <w:spacing w:after="0" w:line="246" w:lineRule="auto"/>
        <w:tabs>
          <w:tab w:leader="none" w:pos="96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special, unusual or non-recurring events affecting the Company or any of its affiliates or the financial statements of the Company or any of its affiliates;</w:t>
      </w:r>
    </w:p>
    <w:p>
      <w:pPr>
        <w:ind w:left="960" w:hanging="432"/>
        <w:spacing w:after="0"/>
        <w:tabs>
          <w:tab w:leader="none" w:pos="96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changes in applicable laws or regulations;</w:t>
      </w:r>
    </w:p>
    <w:p>
      <w:pPr>
        <w:spacing w:after="0" w:line="5" w:lineRule="exact"/>
        <w:rPr>
          <w:rFonts w:ascii="Arial" w:cs="Arial" w:eastAsia="Arial" w:hAnsi="Arial"/>
          <w:sz w:val="16"/>
          <w:szCs w:val="16"/>
          <w:color w:val="00548B"/>
        </w:rPr>
      </w:pPr>
    </w:p>
    <w:p>
      <w:pPr>
        <w:ind w:left="960" w:hanging="432"/>
        <w:spacing w:after="0" w:line="246" w:lineRule="auto"/>
        <w:tabs>
          <w:tab w:leader="none" w:pos="96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gains, losses or expenses determined to be extraordinary or unusual in nature or infrequent in occurrence or related to the disposal of a segment of a business or related to a change in accounting principles;</w:t>
      </w:r>
    </w:p>
    <w:p>
      <w:pPr>
        <w:ind w:left="960" w:hanging="432"/>
        <w:spacing w:after="0"/>
        <w:tabs>
          <w:tab w:leader="none" w:pos="96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asset write-downs;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litigation, claim judgments, settlements or restatement related expenses;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accruals for reorganization and restructuring programs;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acquisitions or divestitures (including expenses related thereto);</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foreign exchange gains and losses;</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non-cash interest; and</w:t>
      </w:r>
    </w:p>
    <w:p>
      <w:pPr>
        <w:spacing w:after="0" w:line="5" w:lineRule="exact"/>
        <w:rPr>
          <w:rFonts w:ascii="Arial" w:cs="Arial" w:eastAsia="Arial" w:hAnsi="Arial"/>
          <w:sz w:val="16"/>
          <w:szCs w:val="16"/>
          <w:color w:val="00548B"/>
        </w:rPr>
      </w:pPr>
    </w:p>
    <w:p>
      <w:pPr>
        <w:ind w:left="960" w:hanging="432"/>
        <w:spacing w:after="0"/>
        <w:tabs>
          <w:tab w:leader="none" w:pos="96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an event either not directly related to the operations of the Company or not within reasonable control of the Company’s management.</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0548B"/>
        </w:rPr>
        <w:t>Tax Consequences</w:t>
      </w:r>
    </w:p>
    <w:p>
      <w:pPr>
        <w:spacing w:after="0" w:line="2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The following provides only a general description of the application of U.S. federal income tax laws to certain awards under the Plan. This discussion is intended for the information of our stockholders considering how to vote at the Annual Meeting and not as tax guidance to participants in the Plan, as the consequences may vary with the types of awards made, the identity of the recipients and the method of payment or settlement. Different tax rules may apply, including in the case of variations in transactions that are permitted under the Plan (such as payment of the exercise price of an option by surrender of previously acquired shares of common stock). This summary does not address in any detail the effects of other federal taxes (including possible “golden parachute” excise taxes) or taxes imposed under state, local or foreign tax laws.</w:t>
      </w:r>
    </w:p>
    <w:p>
      <w:pPr>
        <w:spacing w:after="0" w:line="178"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We generally will be entitled to withhold any required taxes in connection with the exercise or payment of any award, and may require the participant to pay such taxes as a condition to the exercise or payment of an award. ISOs may only be granted to our employees and employees of certain of our subsidiaries.</w:t>
      </w:r>
    </w:p>
    <w:p>
      <w:pPr>
        <w:spacing w:after="0" w:line="141"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b w:val="1"/>
          <w:bCs w:val="1"/>
          <w:i w:val="1"/>
          <w:iCs w:val="1"/>
          <w:color w:val="00548B"/>
        </w:rPr>
        <w:t>Stock Options</w:t>
      </w:r>
      <w:r>
        <w:rPr>
          <w:rFonts w:ascii="Arial" w:cs="Arial" w:eastAsia="Arial" w:hAnsi="Arial"/>
          <w:sz w:val="16"/>
          <w:szCs w:val="16"/>
          <w:color w:val="000000"/>
        </w:rPr>
        <w:t>. ISOs and NQSOs are treated differently for federal income tax purposes. ISOs are intended to satisfy the requirements of Section 422 of</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the Code. NQSOs need not satisfy such requirements.</w:t>
      </w:r>
    </w:p>
    <w:p>
      <w:pPr>
        <w:spacing w:after="0" w:line="13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Generally, a participant is not taxed on the grant of an ISO and is not taxed on the exercise of an ISO, except as described in the next sentence and provided that the participant has been an employee of the Company and its subsidiaries (determined in accordance with Internal Revenue Code rules) from the date the ISO was granted until three months before the date of exercise. The difference between the exercise price and the fair market</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52</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value of the shares on the exercise date, however, will be a preference item for purposes of the alternative minimum tax, and thus a participant could be subject to the alternative minimum tax as a result of the exercise of an ISO. If a participant holds the shares acquired upon exercise of an ISO for at least two years following the ISO grant date and at least one year following exercise, the participant recognizes capital gain (or loss, as applicable), if any, upon a subsequent disposition of such shares. The measure of the gain is the difference between the proceeds received on disposition and the participant’s basis in the shares (which generally equals the exercise price).</w:t>
      </w:r>
    </w:p>
    <w:p>
      <w:pPr>
        <w:spacing w:after="0" w:line="176"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If a participant disposes of shares acquired pursuant to exercise of an ISO before satisfying the one-year and two-year holding periods described above, then: (i) if the proceeds received exceed the exercise price of the ISO, the participant will recognize long-term or short-term capital gain (as applicable) equal to the excess, if any, of the proceeds received over the fair market value of the shares on the date of exercise, and will recognize ordinary income equal to the excess, if any, of the lesser of the proceeds received or the fair market value of the shares on the date of exercise over the exercise price of an ISO; or (ii) if the proceeds received are less than the exercise price of the ISO, the participant will recognize a capital loss equal to the excess of the exercise price of the ISO over the proceeds received.</w:t>
      </w:r>
    </w:p>
    <w:p>
      <w:pPr>
        <w:spacing w:after="0" w:line="165" w:lineRule="exact"/>
        <w:rPr>
          <w:sz w:val="20"/>
          <w:szCs w:val="20"/>
          <w:color w:val="auto"/>
        </w:rPr>
      </w:pPr>
    </w:p>
    <w:p>
      <w:pPr>
        <w:jc w:val="both"/>
        <w:ind w:left="200"/>
        <w:spacing w:after="0" w:line="252" w:lineRule="auto"/>
        <w:rPr>
          <w:sz w:val="20"/>
          <w:szCs w:val="20"/>
          <w:color w:val="auto"/>
        </w:rPr>
      </w:pPr>
      <w:r>
        <w:rPr>
          <w:rFonts w:ascii="Arial" w:cs="Arial" w:eastAsia="Arial" w:hAnsi="Arial"/>
          <w:sz w:val="16"/>
          <w:szCs w:val="16"/>
          <w:color w:val="auto"/>
        </w:rPr>
        <w:t>We are not entitled to an income tax deduction on the grant or exercise of an ISO or on the participant’s disposition of the shares after satisfying the holding period requirements described above. If the holding periods are not satisfied, we will be entitled to a deduction (subject to the limit under Section 162(m) of the Code discussed below) in the year the participant disposes of the shares in an amount equal to the ordinary income recognized by the participant.</w:t>
      </w:r>
    </w:p>
    <w:p>
      <w:pPr>
        <w:spacing w:after="0" w:line="352"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A recipient generally will not realize any taxable income upon the grant of an NQSO. Upon exercise of an NQSO, the participant will realize ordinary income in an amount generally measured by the excess, if any, of the fair market value of the shares on the date of exercise over the stock option exercise price. We will generally be entitled to a deduction (subject to the limit under Section 162(m) of the Code) in the same amount as the ordinary income realized by the participant. Upon the sale of shares acquired upon exercise of an NQSO, the participant will realize short-term or long-term capital gain or loss, depending upon the length of time the shares are held. Such gain or loss will be measured by the difference between the sale price of the shares and the fair market value on the date of exercise.</w:t>
      </w:r>
    </w:p>
    <w:p>
      <w:pPr>
        <w:spacing w:after="0" w:line="158" w:lineRule="exact"/>
        <w:rPr>
          <w:sz w:val="20"/>
          <w:szCs w:val="20"/>
          <w:color w:val="auto"/>
        </w:rPr>
      </w:pPr>
    </w:p>
    <w:p>
      <w:pPr>
        <w:jc w:val="both"/>
        <w:ind w:left="200"/>
        <w:spacing w:after="0" w:line="259" w:lineRule="auto"/>
        <w:rPr>
          <w:sz w:val="20"/>
          <w:szCs w:val="20"/>
          <w:color w:val="auto"/>
        </w:rPr>
      </w:pPr>
      <w:r>
        <w:rPr>
          <w:rFonts w:ascii="Arial" w:cs="Arial" w:eastAsia="Arial" w:hAnsi="Arial"/>
          <w:sz w:val="16"/>
          <w:szCs w:val="16"/>
          <w:b w:val="1"/>
          <w:bCs w:val="1"/>
          <w:i w:val="1"/>
          <w:iCs w:val="1"/>
          <w:color w:val="00548B"/>
        </w:rPr>
        <w:t xml:space="preserve">SARs. </w:t>
      </w:r>
      <w:r>
        <w:rPr>
          <w:rFonts w:ascii="Arial" w:cs="Arial" w:eastAsia="Arial" w:hAnsi="Arial"/>
          <w:sz w:val="16"/>
          <w:szCs w:val="16"/>
          <w:color w:val="000000"/>
        </w:rPr>
        <w:t>A participant generally will not realize any taxable income upon the grant of a SAR. Upon the exercise of such right, the participant will recognize</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ordinary income in an amount equal to the amount of cash and/or the fair market value, at the date of such exercise, of the shares received by the participant as a result of such exercise. We will generally be entitled to a deduction (subject to the limit under Section 162(m) of the Code) in the same amount as the ordinary income realized by the participant.</w:t>
      </w:r>
    </w:p>
    <w:p>
      <w:pPr>
        <w:spacing w:after="0" w:line="138"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b w:val="1"/>
          <w:bCs w:val="1"/>
          <w:i w:val="1"/>
          <w:iCs w:val="1"/>
          <w:color w:val="00548B"/>
        </w:rPr>
        <w:t xml:space="preserve">Full Value Awards. </w:t>
      </w:r>
      <w:r>
        <w:rPr>
          <w:rFonts w:ascii="Arial" w:cs="Arial" w:eastAsia="Arial" w:hAnsi="Arial"/>
          <w:sz w:val="16"/>
          <w:szCs w:val="16"/>
          <w:color w:val="000000"/>
        </w:rPr>
        <w:t>If a restriction on transferability and substantial risk of forfeiture applies to shares of common stock or other property actually</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distributed to a participant under an award (such as, for example, a grant of restricted stock), the participant generally must recognize ordinary income equal to the fair market value of the transferred amounts at the earliest time either the transferability restriction or risk of forfeiture lapses. In the usual case, we can claim a tax deduction (subject to the limit under Section 162(m) of the Code) in an amount equal to the ordinary income recognized by the participant, except as discussed below. A participant may elect to be taxed at the time of grant of restricted stock or other property rather than upon lapse of restrictions on transferability or the risk of forfeiture, but if the participant subsequently forfeits such shares of common stock or property he or she would not be entitled to any tax deduction, including as a capital loss, for the value of shares of common stock on which he or she previously paid tax.</w:t>
      </w:r>
    </w:p>
    <w:p>
      <w:pPr>
        <w:spacing w:after="0" w:line="161"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If no substantial risk of forfeiture applies to property distributed to a participant, the participant generally must recognize ordinary income equal to the fair market value of shares of common stock actually received.</w:t>
      </w:r>
    </w:p>
    <w:p>
      <w:pPr>
        <w:spacing w:after="0" w:line="169"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If an award does not consist of property (such as stock units), the participant generally must recognize ordinary income for U.S. income tax purposes when the award is paid in an amount equal to the amount payable or, if the award is settled in shares of common stock, the fair market value on the date of distribution, and we would normally be entitled to a corresponding deduction (subject to the limit under Section 162(m) of the Code).</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53</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In general, under Section 162(m) of the Code, income tax deductions of publicly held corporations may be limited to the extent total compensation (including base salary, annual bonus, stock option exercises and nonqualified benefits) for certain executive officers exceeds $1.0 million (less the amount of any “excess parachute payments” as defined in Section 280G of the Code) in any taxable year of the corporation. The exception for qualified “performance-based” compensation was eliminated by the Tax Cuts and Jobs Act of 2017 for tax years beginning on or after January 1, 2018. As a result, any new equity awards under the Plan will be subject to the $1 million deduction limitation. Under the Tax Cuts and Jobs Act, the term “covered employee” now includes any individual who served as the chief executive officer or chief financial officer at any time during the taxable year and the three other most highly compensated officers for the taxable year. Once an individual becomes a covered employee, that individual will remain a covered employee for all future years, including after termination or death.</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54</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548B"/>
        </w:rPr>
        <w:t>PROPOSAL 3</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548B"/>
        </w:rPr>
        <w:t>ADVISORY VOTE TO APPROVE THE COMPANY’S EXECUTIVE COMPENSATION</w:t>
      </w:r>
    </w:p>
    <w:p>
      <w:pPr>
        <w:spacing w:after="0" w:line="363"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As required by the Dodd-Frank Wall Street Reform and Consumer Protection Act of 2010 (the “Dodd-Frank Act”) and the SEC, Huron annually is asking its stockholders to indicate their support for our named executive officer compensation, which includes the compensation discussion and analysis, the compensation tables and the related narrative disclosures, all as described in the section entitled “EXECUTIVE COMPENSATION— Compensation Discussion and Analysis.”</w:t>
      </w:r>
    </w:p>
    <w:p>
      <w:pPr>
        <w:spacing w:after="0" w:line="162"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to the extent determined appropriate, take into account the outcome of the vote during future deliberations on executive compensation arrangements.</w:t>
      </w:r>
    </w:p>
    <w:p>
      <w:pPr>
        <w:spacing w:after="0" w:line="17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161"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will have the same effect as a vote against the proposal. Broker non-votes will not be considered shares entitled to vote with respect to the proposal and will not be counted as votes for or against the proposal and will therefore have no effect on the outcome of the proposal. Proxies submitted pursuant to this solicitation will be voted “FOR” the approval of the advisory vote on the compensation arrangements of our named executive officers, unless specified otherwise.</w:t>
      </w:r>
    </w:p>
    <w:p>
      <w:pPr>
        <w:spacing w:after="0" w:line="143" w:lineRule="exact"/>
        <w:rPr>
          <w:sz w:val="20"/>
          <w:szCs w:val="20"/>
          <w:color w:val="auto"/>
        </w:rPr>
      </w:pPr>
    </w:p>
    <w:p>
      <w:pPr>
        <w:jc w:val="both"/>
        <w:ind w:left="200"/>
        <w:spacing w:after="0" w:line="266"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COMPENSATION OF OUR NAMED EXECUTIVE OFFICERS AS DISCLOSED IN THE COMPENSATION DISCUSSION AND ANALYSIS SECTION AND THE ACCOMPANYING COMPENSATION TABLES AND NARRATIVE DISCUSSION IN THIS PROXY STATEMENT.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55</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548B"/>
        </w:rPr>
        <w:t>PROPOSAL 4</w:t>
      </w:r>
    </w:p>
    <w:p>
      <w:pPr>
        <w:spacing w:after="0" w:line="8" w:lineRule="exact"/>
        <w:rPr>
          <w:sz w:val="20"/>
          <w:szCs w:val="20"/>
          <w:color w:val="auto"/>
        </w:rPr>
      </w:pPr>
    </w:p>
    <w:p>
      <w:pPr>
        <w:ind w:left="200" w:right="3240"/>
        <w:spacing w:after="0" w:line="238" w:lineRule="auto"/>
        <w:rPr>
          <w:sz w:val="20"/>
          <w:szCs w:val="20"/>
          <w:color w:val="auto"/>
        </w:rPr>
      </w:pPr>
      <w:r>
        <w:rPr>
          <w:rFonts w:ascii="Arial" w:cs="Arial" w:eastAsia="Arial" w:hAnsi="Arial"/>
          <w:sz w:val="22"/>
          <w:szCs w:val="22"/>
          <w:b w:val="1"/>
          <w:bCs w:val="1"/>
          <w:color w:val="00548B"/>
        </w:rPr>
        <w:t>RATIFICATION OF APPOINTMENT OF INDEPENDENT REGISTERED PUBLIC ACCOUNTING FIRM</w:t>
      </w:r>
    </w:p>
    <w:p>
      <w:pPr>
        <w:spacing w:after="0" w:line="357"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2019. This appointment is being presented to the stockholders for ratification. 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and will therefore have no effect on the outcome of this proposal. Proxies submitted pursuant to this solicitation will be voted “FOR” the ratification of PwC as the Company’s independent registered public accounting firm for the fiscal year ending December 31, 2019, unless specified otherwise.</w:t>
      </w:r>
    </w:p>
    <w:p>
      <w:pPr>
        <w:spacing w:after="0" w:line="146" w:lineRule="exact"/>
        <w:rPr>
          <w:sz w:val="20"/>
          <w:szCs w:val="20"/>
          <w:color w:val="auto"/>
        </w:rPr>
      </w:pPr>
    </w:p>
    <w:p>
      <w:pPr>
        <w:jc w:val="both"/>
        <w:ind w:left="200"/>
        <w:spacing w:after="0" w:line="266"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PRICEWATERHOUSECOOPERS LLP AS THE COMPANY’S INDEPENDENT REGISTERED PUBLIC ACCOUNTING FIRM FOR THE FISCAL YEAR ENDING DECEMBER 31, 2019.</w:t>
      </w:r>
    </w:p>
    <w:p>
      <w:pPr>
        <w:spacing w:after="0" w:line="16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Representatives of PwC are expected to be present at the Annual Meeting and will be provided an opportunity to make a statement and to respond to appropriate inquiries from stockholders.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A</w:t>
      </w:r>
      <w:r>
        <w:rPr>
          <w:rFonts w:ascii="Arial" w:cs="Arial" w:eastAsia="Arial" w:hAnsi="Arial"/>
          <w:sz w:val="15"/>
          <w:szCs w:val="15"/>
          <w:b w:val="1"/>
          <w:bCs w:val="1"/>
          <w:color w:val="00548B"/>
        </w:rPr>
        <w:t>UDIT AND</w:t>
      </w:r>
      <w:r>
        <w:rPr>
          <w:rFonts w:ascii="Arial" w:cs="Arial" w:eastAsia="Arial" w:hAnsi="Arial"/>
          <w:sz w:val="18"/>
          <w:szCs w:val="18"/>
          <w:b w:val="1"/>
          <w:bCs w:val="1"/>
          <w:color w:val="00548B"/>
        </w:rPr>
        <w:t xml:space="preserve"> N</w:t>
      </w:r>
      <w:r>
        <w:rPr>
          <w:rFonts w:ascii="Arial" w:cs="Arial" w:eastAsia="Arial" w:hAnsi="Arial"/>
          <w:sz w:val="15"/>
          <w:szCs w:val="15"/>
          <w:b w:val="1"/>
          <w:bCs w:val="1"/>
          <w:color w:val="00548B"/>
        </w:rPr>
        <w:t>ON</w:t>
      </w:r>
      <w:r>
        <w:rPr>
          <w:rFonts w:ascii="Arial" w:cs="Arial" w:eastAsia="Arial" w:hAnsi="Arial"/>
          <w:sz w:val="18"/>
          <w:szCs w:val="18"/>
          <w:b w:val="1"/>
          <w:bCs w:val="1"/>
          <w:color w:val="00548B"/>
        </w:rPr>
        <w:t>-A</w:t>
      </w:r>
      <w:r>
        <w:rPr>
          <w:rFonts w:ascii="Arial" w:cs="Arial" w:eastAsia="Arial" w:hAnsi="Arial"/>
          <w:sz w:val="15"/>
          <w:szCs w:val="15"/>
          <w:b w:val="1"/>
          <w:bCs w:val="1"/>
          <w:color w:val="00548B"/>
        </w:rPr>
        <w:t>UDIT</w:t>
      </w:r>
      <w:r>
        <w:rPr>
          <w:rFonts w:ascii="Arial" w:cs="Arial" w:eastAsia="Arial" w:hAnsi="Arial"/>
          <w:sz w:val="18"/>
          <w:szCs w:val="18"/>
          <w:b w:val="1"/>
          <w:bCs w:val="1"/>
          <w:color w:val="00548B"/>
        </w:rPr>
        <w:t xml:space="preserve"> F</w:t>
      </w:r>
      <w:r>
        <w:rPr>
          <w:rFonts w:ascii="Arial" w:cs="Arial" w:eastAsia="Arial" w:hAnsi="Arial"/>
          <w:sz w:val="15"/>
          <w:szCs w:val="15"/>
          <w:b w:val="1"/>
          <w:bCs w:val="1"/>
          <w:color w:val="00548B"/>
        </w:rPr>
        <w:t>EES</w:t>
      </w:r>
    </w:p>
    <w:p>
      <w:pPr>
        <w:spacing w:after="0" w:line="20"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following table presents fees for professional audit services rendered by PwC for the audit of the Company’s annual financial statements for the years ended December 31, 2018 and December 31, 2017, and fees for other services rendered by PwC during those periods:</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400" w:type="dxa"/>
            <w:vAlign w:val="bottom"/>
            <w:shd w:val="clear" w:color="auto" w:fill="00548B"/>
          </w:tcPr>
          <w:p>
            <w:pPr>
              <w:spacing w:after="0"/>
              <w:rPr>
                <w:sz w:val="14"/>
                <w:szCs w:val="14"/>
                <w:color w:val="auto"/>
              </w:rPr>
            </w:pPr>
          </w:p>
        </w:tc>
        <w:tc>
          <w:tcPr>
            <w:tcW w:w="300" w:type="dxa"/>
            <w:vAlign w:val="bottom"/>
            <w:shd w:val="clear" w:color="auto" w:fill="00548B"/>
          </w:tcPr>
          <w:p>
            <w:pPr>
              <w:spacing w:after="0"/>
              <w:rPr>
                <w:sz w:val="14"/>
                <w:szCs w:val="14"/>
                <w:color w:val="auto"/>
              </w:rPr>
            </w:pPr>
          </w:p>
        </w:tc>
        <w:tc>
          <w:tcPr>
            <w:tcW w:w="1000" w:type="dxa"/>
            <w:vAlign w:val="bottom"/>
            <w:shd w:val="clear" w:color="auto" w:fill="00548B"/>
          </w:tcPr>
          <w:p>
            <w:pPr>
              <w:jc w:val="right"/>
              <w:ind w:right="483"/>
              <w:spacing w:after="0"/>
              <w:rPr>
                <w:sz w:val="20"/>
                <w:szCs w:val="20"/>
                <w:color w:val="auto"/>
              </w:rPr>
            </w:pPr>
            <w:r>
              <w:rPr>
                <w:rFonts w:ascii="Arial" w:cs="Arial" w:eastAsia="Arial" w:hAnsi="Arial"/>
                <w:sz w:val="14"/>
                <w:szCs w:val="14"/>
                <w:b w:val="1"/>
                <w:bCs w:val="1"/>
                <w:color w:val="D8D8D8"/>
              </w:rPr>
              <w:t>2018</w:t>
            </w:r>
          </w:p>
        </w:tc>
        <w:tc>
          <w:tcPr>
            <w:tcW w:w="520" w:type="dxa"/>
            <w:vAlign w:val="bottom"/>
            <w:shd w:val="clear" w:color="auto" w:fill="00548B"/>
          </w:tcPr>
          <w:p>
            <w:pPr>
              <w:spacing w:after="0"/>
              <w:rPr>
                <w:sz w:val="14"/>
                <w:szCs w:val="14"/>
                <w:color w:val="auto"/>
              </w:rPr>
            </w:pPr>
          </w:p>
        </w:tc>
        <w:tc>
          <w:tcPr>
            <w:tcW w:w="900" w:type="dxa"/>
            <w:vAlign w:val="bottom"/>
            <w:shd w:val="clear" w:color="auto" w:fill="00548B"/>
          </w:tcPr>
          <w:p>
            <w:pPr>
              <w:jc w:val="right"/>
              <w:ind w:right="420"/>
              <w:spacing w:after="0"/>
              <w:rPr>
                <w:sz w:val="20"/>
                <w:szCs w:val="20"/>
                <w:color w:val="auto"/>
              </w:rPr>
            </w:pPr>
            <w:r>
              <w:rPr>
                <w:rFonts w:ascii="Arial" w:cs="Arial" w:eastAsia="Arial" w:hAnsi="Arial"/>
                <w:sz w:val="14"/>
                <w:szCs w:val="14"/>
                <w:b w:val="1"/>
                <w:bCs w:val="1"/>
                <w:color w:val="D8D8D8"/>
              </w:rPr>
              <w:t>2017</w:t>
            </w:r>
          </w:p>
        </w:tc>
      </w:tr>
      <w:tr>
        <w:trPr>
          <w:trHeight w:val="142"/>
        </w:trPr>
        <w:tc>
          <w:tcPr>
            <w:tcW w:w="20" w:type="dxa"/>
            <w:vAlign w:val="bottom"/>
          </w:tcPr>
          <w:p>
            <w:pPr>
              <w:spacing w:after="0"/>
              <w:rPr>
                <w:sz w:val="12"/>
                <w:szCs w:val="12"/>
                <w:color w:val="auto"/>
              </w:rPr>
            </w:pPr>
          </w:p>
        </w:tc>
        <w:tc>
          <w:tcPr>
            <w:tcW w:w="7400" w:type="dxa"/>
            <w:vAlign w:val="bottom"/>
            <w:shd w:val="clear" w:color="auto" w:fill="00548B"/>
          </w:tcPr>
          <w:p>
            <w:pPr>
              <w:spacing w:after="0"/>
              <w:rPr>
                <w:sz w:val="12"/>
                <w:szCs w:val="12"/>
                <w:color w:val="auto"/>
              </w:rPr>
            </w:pPr>
          </w:p>
        </w:tc>
        <w:tc>
          <w:tcPr>
            <w:tcW w:w="300" w:type="dxa"/>
            <w:vAlign w:val="bottom"/>
            <w:shd w:val="clear" w:color="auto" w:fill="00548B"/>
          </w:tcPr>
          <w:p>
            <w:pPr>
              <w:spacing w:after="0"/>
              <w:rPr>
                <w:sz w:val="12"/>
                <w:szCs w:val="12"/>
                <w:color w:val="auto"/>
              </w:rPr>
            </w:pPr>
          </w:p>
        </w:tc>
        <w:tc>
          <w:tcPr>
            <w:tcW w:w="1520" w:type="dxa"/>
            <w:vAlign w:val="bottom"/>
            <w:gridSpan w:val="2"/>
            <w:shd w:val="clear" w:color="auto" w:fill="00548B"/>
          </w:tcPr>
          <w:p>
            <w:pPr>
              <w:jc w:val="right"/>
              <w:spacing w:after="0" w:line="142" w:lineRule="exact"/>
              <w:rPr>
                <w:sz w:val="20"/>
                <w:szCs w:val="20"/>
                <w:color w:val="auto"/>
              </w:rPr>
            </w:pPr>
            <w:r>
              <w:rPr>
                <w:rFonts w:ascii="Arial" w:cs="Arial" w:eastAsia="Arial" w:hAnsi="Arial"/>
                <w:sz w:val="13"/>
                <w:szCs w:val="13"/>
                <w:b w:val="1"/>
                <w:bCs w:val="1"/>
                <w:color w:val="E5E5E5"/>
              </w:rPr>
              <w:t>(in thousands)</w:t>
            </w:r>
          </w:p>
        </w:tc>
        <w:tc>
          <w:tcPr>
            <w:tcW w:w="900" w:type="dxa"/>
            <w:vAlign w:val="bottom"/>
            <w:shd w:val="clear" w:color="auto" w:fill="00548B"/>
          </w:tcPr>
          <w:p>
            <w:pPr>
              <w:spacing w:after="0"/>
              <w:rPr>
                <w:sz w:val="12"/>
                <w:szCs w:val="12"/>
                <w:color w:val="auto"/>
              </w:rPr>
            </w:pPr>
          </w:p>
        </w:tc>
      </w:tr>
      <w:tr>
        <w:trPr>
          <w:trHeight w:val="189"/>
        </w:trPr>
        <w:tc>
          <w:tcPr>
            <w:tcW w:w="742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color w:val="auto"/>
              </w:rPr>
              <w:t>Audit Fees</w:t>
            </w:r>
          </w:p>
        </w:tc>
        <w:tc>
          <w:tcPr>
            <w:tcW w:w="300" w:type="dxa"/>
            <w:vAlign w:val="bottom"/>
            <w:tcBorders>
              <w:bottom w:val="single" w:sz="8" w:color="999999"/>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999999"/>
            </w:tcBorders>
          </w:tcPr>
          <w:p>
            <w:pPr>
              <w:jc w:val="right"/>
              <w:ind w:right="203"/>
              <w:spacing w:after="0"/>
              <w:rPr>
                <w:sz w:val="20"/>
                <w:szCs w:val="20"/>
                <w:color w:val="auto"/>
              </w:rPr>
            </w:pPr>
            <w:r>
              <w:rPr>
                <w:rFonts w:ascii="Arial" w:cs="Arial" w:eastAsia="Arial" w:hAnsi="Arial"/>
                <w:sz w:val="16"/>
                <w:szCs w:val="16"/>
                <w:color w:val="auto"/>
              </w:rPr>
              <w:t>1,411</w:t>
            </w:r>
          </w:p>
        </w:tc>
        <w:tc>
          <w:tcPr>
            <w:tcW w:w="520" w:type="dxa"/>
            <w:vAlign w:val="bottom"/>
            <w:tcBorders>
              <w:bottom w:val="single" w:sz="8" w:color="999999"/>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99999"/>
            </w:tcBorders>
          </w:tcPr>
          <w:p>
            <w:pPr>
              <w:jc w:val="right"/>
              <w:ind w:right="140"/>
              <w:spacing w:after="0"/>
              <w:rPr>
                <w:sz w:val="20"/>
                <w:szCs w:val="20"/>
                <w:color w:val="auto"/>
              </w:rPr>
            </w:pPr>
            <w:r>
              <w:rPr>
                <w:rFonts w:ascii="Arial" w:cs="Arial" w:eastAsia="Arial" w:hAnsi="Arial"/>
                <w:sz w:val="16"/>
                <w:szCs w:val="16"/>
                <w:color w:val="auto"/>
              </w:rPr>
              <w:t>1,686</w:t>
            </w:r>
          </w:p>
        </w:tc>
      </w:tr>
      <w:tr>
        <w:trPr>
          <w:trHeight w:val="183"/>
        </w:trPr>
        <w:tc>
          <w:tcPr>
            <w:tcW w:w="742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Audit-Related Fees</w:t>
            </w:r>
          </w:p>
        </w:tc>
        <w:tc>
          <w:tcPr>
            <w:tcW w:w="30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999999"/>
            </w:tcBorders>
          </w:tcPr>
          <w:p>
            <w:pPr>
              <w:jc w:val="right"/>
              <w:ind w:right="203"/>
              <w:spacing w:after="0" w:line="183" w:lineRule="exact"/>
              <w:rPr>
                <w:sz w:val="20"/>
                <w:szCs w:val="20"/>
                <w:color w:val="auto"/>
              </w:rPr>
            </w:pPr>
            <w:r>
              <w:rPr>
                <w:rFonts w:ascii="Arial" w:cs="Arial" w:eastAsia="Arial" w:hAnsi="Arial"/>
                <w:sz w:val="16"/>
                <w:szCs w:val="16"/>
                <w:color w:val="auto"/>
              </w:rPr>
              <w:t>44</w:t>
            </w:r>
          </w:p>
        </w:tc>
        <w:tc>
          <w:tcPr>
            <w:tcW w:w="520" w:type="dxa"/>
            <w:vAlign w:val="bottom"/>
            <w:tcBorders>
              <w:bottom w:val="single" w:sz="8" w:color="999999"/>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999999"/>
            </w:tcBorders>
          </w:tcPr>
          <w:p>
            <w:pPr>
              <w:jc w:val="right"/>
              <w:ind w:right="140"/>
              <w:spacing w:after="0" w:line="183" w:lineRule="exact"/>
              <w:rPr>
                <w:sz w:val="20"/>
                <w:szCs w:val="20"/>
                <w:color w:val="auto"/>
              </w:rPr>
            </w:pPr>
            <w:r>
              <w:rPr>
                <w:rFonts w:ascii="Arial" w:cs="Arial" w:eastAsia="Arial" w:hAnsi="Arial"/>
                <w:sz w:val="16"/>
                <w:szCs w:val="16"/>
                <w:color w:val="auto"/>
              </w:rPr>
              <w:t>53</w:t>
            </w:r>
          </w:p>
        </w:tc>
      </w:tr>
      <w:tr>
        <w:trPr>
          <w:trHeight w:val="183"/>
        </w:trPr>
        <w:tc>
          <w:tcPr>
            <w:tcW w:w="742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Tax Fees</w:t>
            </w:r>
          </w:p>
        </w:tc>
        <w:tc>
          <w:tcPr>
            <w:tcW w:w="30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999999"/>
            </w:tcBorders>
          </w:tcPr>
          <w:p>
            <w:pPr>
              <w:jc w:val="right"/>
              <w:ind w:right="203"/>
              <w:spacing w:after="0" w:line="183" w:lineRule="exact"/>
              <w:rPr>
                <w:sz w:val="20"/>
                <w:szCs w:val="20"/>
                <w:color w:val="auto"/>
              </w:rPr>
            </w:pPr>
            <w:r>
              <w:rPr>
                <w:rFonts w:ascii="Arial" w:cs="Arial" w:eastAsia="Arial" w:hAnsi="Arial"/>
                <w:sz w:val="16"/>
                <w:szCs w:val="16"/>
                <w:color w:val="auto"/>
              </w:rPr>
              <w:t>140</w:t>
            </w:r>
          </w:p>
        </w:tc>
        <w:tc>
          <w:tcPr>
            <w:tcW w:w="520" w:type="dxa"/>
            <w:vAlign w:val="bottom"/>
            <w:tcBorders>
              <w:bottom w:val="single" w:sz="8" w:color="999999"/>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999999"/>
            </w:tcBorders>
          </w:tcPr>
          <w:p>
            <w:pPr>
              <w:jc w:val="right"/>
              <w:ind w:right="140"/>
              <w:spacing w:after="0" w:line="183" w:lineRule="exact"/>
              <w:rPr>
                <w:sz w:val="20"/>
                <w:szCs w:val="20"/>
                <w:color w:val="auto"/>
              </w:rPr>
            </w:pPr>
            <w:r>
              <w:rPr>
                <w:rFonts w:ascii="Arial" w:cs="Arial" w:eastAsia="Arial" w:hAnsi="Arial"/>
                <w:sz w:val="16"/>
                <w:szCs w:val="16"/>
                <w:color w:val="auto"/>
              </w:rPr>
              <w:t>35</w:t>
            </w:r>
          </w:p>
        </w:tc>
      </w:tr>
      <w:tr>
        <w:trPr>
          <w:trHeight w:val="183"/>
        </w:trPr>
        <w:tc>
          <w:tcPr>
            <w:tcW w:w="742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color w:val="auto"/>
              </w:rPr>
              <w:t>All Other Fees</w:t>
            </w:r>
          </w:p>
        </w:tc>
        <w:tc>
          <w:tcPr>
            <w:tcW w:w="30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999999"/>
            </w:tcBorders>
          </w:tcPr>
          <w:p>
            <w:pPr>
              <w:jc w:val="right"/>
              <w:ind w:right="203"/>
              <w:spacing w:after="0" w:line="183" w:lineRule="exact"/>
              <w:rPr>
                <w:sz w:val="20"/>
                <w:szCs w:val="20"/>
                <w:color w:val="auto"/>
              </w:rPr>
            </w:pPr>
            <w:r>
              <w:rPr>
                <w:rFonts w:ascii="Arial" w:cs="Arial" w:eastAsia="Arial" w:hAnsi="Arial"/>
                <w:sz w:val="16"/>
                <w:szCs w:val="16"/>
                <w:color w:val="auto"/>
              </w:rPr>
              <w:t>3</w:t>
            </w:r>
          </w:p>
        </w:tc>
        <w:tc>
          <w:tcPr>
            <w:tcW w:w="520" w:type="dxa"/>
            <w:vAlign w:val="bottom"/>
            <w:tcBorders>
              <w:bottom w:val="single" w:sz="8" w:color="999999"/>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999999"/>
            </w:tcBorders>
          </w:tcPr>
          <w:p>
            <w:pPr>
              <w:jc w:val="right"/>
              <w:ind w:right="140"/>
              <w:spacing w:after="0" w:line="183" w:lineRule="exact"/>
              <w:rPr>
                <w:sz w:val="20"/>
                <w:szCs w:val="20"/>
                <w:color w:val="auto"/>
              </w:rPr>
            </w:pPr>
            <w:r>
              <w:rPr>
                <w:rFonts w:ascii="Arial" w:cs="Arial" w:eastAsia="Arial" w:hAnsi="Arial"/>
                <w:sz w:val="16"/>
                <w:szCs w:val="16"/>
                <w:color w:val="auto"/>
              </w:rPr>
              <w:t>3</w:t>
            </w:r>
          </w:p>
        </w:tc>
      </w:tr>
      <w:tr>
        <w:trPr>
          <w:trHeight w:val="183"/>
        </w:trPr>
        <w:tc>
          <w:tcPr>
            <w:tcW w:w="7420" w:type="dxa"/>
            <w:vAlign w:val="bottom"/>
            <w:tcBorders>
              <w:bottom w:val="single" w:sz="8" w:color="00548B"/>
            </w:tcBorders>
            <w:gridSpan w:val="2"/>
          </w:tcPr>
          <w:p>
            <w:pPr>
              <w:spacing w:after="0" w:line="183" w:lineRule="exact"/>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00548B"/>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00548B"/>
            </w:tcBorders>
          </w:tcPr>
          <w:p>
            <w:pPr>
              <w:jc w:val="right"/>
              <w:ind w:right="203"/>
              <w:spacing w:after="0" w:line="183" w:lineRule="exact"/>
              <w:rPr>
                <w:sz w:val="20"/>
                <w:szCs w:val="20"/>
                <w:color w:val="auto"/>
              </w:rPr>
            </w:pPr>
            <w:r>
              <w:rPr>
                <w:rFonts w:ascii="Arial" w:cs="Arial" w:eastAsia="Arial" w:hAnsi="Arial"/>
                <w:sz w:val="16"/>
                <w:szCs w:val="16"/>
                <w:b w:val="1"/>
                <w:bCs w:val="1"/>
                <w:color w:val="auto"/>
              </w:rPr>
              <w:t>1,598</w:t>
            </w:r>
          </w:p>
        </w:tc>
        <w:tc>
          <w:tcPr>
            <w:tcW w:w="520" w:type="dxa"/>
            <w:vAlign w:val="bottom"/>
            <w:tcBorders>
              <w:bottom w:val="single" w:sz="8" w:color="00548B"/>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00548B"/>
            </w:tcBorders>
          </w:tcPr>
          <w:p>
            <w:pPr>
              <w:jc w:val="right"/>
              <w:ind w:right="140"/>
              <w:spacing w:after="0" w:line="183" w:lineRule="exact"/>
              <w:rPr>
                <w:sz w:val="20"/>
                <w:szCs w:val="20"/>
                <w:color w:val="auto"/>
              </w:rPr>
            </w:pPr>
            <w:r>
              <w:rPr>
                <w:rFonts w:ascii="Arial" w:cs="Arial" w:eastAsia="Arial" w:hAnsi="Arial"/>
                <w:sz w:val="16"/>
                <w:szCs w:val="16"/>
                <w:b w:val="1"/>
                <w:bCs w:val="1"/>
                <w:color w:val="auto"/>
              </w:rPr>
              <w:t>1,777</w:t>
            </w:r>
          </w:p>
        </w:tc>
      </w:tr>
    </w:tbl>
    <w:p>
      <w:pPr>
        <w:spacing w:after="0" w:line="177"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For fiscal year 2018, 100% of All Other Fees were approved by the Audit Committee pursuant to the de minimis exception to the preapproval requirements under 17 CFR 210.2-01(c)(7)(i)(C). These fees include $545 paid for a real estate survey provided by PwC.</w:t>
      </w:r>
    </w:p>
    <w:p>
      <w:pPr>
        <w:spacing w:after="0" w:line="153" w:lineRule="exact"/>
        <w:rPr>
          <w:sz w:val="20"/>
          <w:szCs w:val="20"/>
          <w:color w:val="auto"/>
        </w:rPr>
      </w:pPr>
    </w:p>
    <w:p>
      <w:pPr>
        <w:jc w:val="both"/>
        <w:ind w:left="200"/>
        <w:spacing w:after="0" w:line="264"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—all services, including tax services and accounting consultation, necessary to perform an audit of the consolidated financial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Huron; services in connection with statutory and regulatory filings or engagements, comfort letters, statutory audits, attest services and consents; and assistance with and review of documents filed with the SEC.</w:t>
      </w:r>
    </w:p>
    <w:p>
      <w:pPr>
        <w:spacing w:after="0" w:line="136" w:lineRule="exact"/>
        <w:rPr>
          <w:sz w:val="20"/>
          <w:szCs w:val="20"/>
          <w:color w:val="auto"/>
        </w:rPr>
      </w:pPr>
    </w:p>
    <w:p>
      <w:pPr>
        <w:jc w:val="both"/>
        <w:ind w:left="200"/>
        <w:spacing w:after="0" w:line="281"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—consultation and procedures performed concerning new financial accounting and reporting standards and attest services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required by statute or regulations.</w:t>
      </w:r>
    </w:p>
    <w:p>
      <w:pPr>
        <w:spacing w:after="0" w:line="123" w:lineRule="exact"/>
        <w:rPr>
          <w:sz w:val="20"/>
          <w:szCs w:val="20"/>
          <w:color w:val="auto"/>
        </w:rPr>
      </w:pPr>
    </w:p>
    <w:p>
      <w:pPr>
        <w:jc w:val="both"/>
        <w:ind w:left="200"/>
        <w:spacing w:after="0" w:line="272"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—tax compliance (review of original and amended tax returns, claims for refund and tax payment-planning services); tax planning; and other tax</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(assistance with tax audits and appeals, tax advice related to structural matters, and requests for rulings or technical advice from taxing authorities).</w:t>
      </w:r>
    </w:p>
    <w:p>
      <w:pPr>
        <w:spacing w:after="0" w:line="339"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—any other work that is not audit, audit-related or a tax service.</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56</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The Audit Committee considers whether the provision of these services is compatible with maintaining the independence of the independent registered public accounting firm and has determined such services for fiscal 2018 and 2017 were compatible.</w:t>
      </w:r>
    </w:p>
    <w:p>
      <w:pPr>
        <w:spacing w:after="0" w:line="144" w:lineRule="exact"/>
        <w:rPr>
          <w:sz w:val="20"/>
          <w:szCs w:val="20"/>
          <w:color w:val="auto"/>
        </w:rPr>
      </w:pPr>
    </w:p>
    <w:p>
      <w:pPr>
        <w:jc w:val="both"/>
        <w:ind w:left="200"/>
        <w:spacing w:after="0" w:line="249" w:lineRule="auto"/>
        <w:rPr>
          <w:sz w:val="20"/>
          <w:szCs w:val="20"/>
          <w:color w:val="auto"/>
        </w:rPr>
      </w:pPr>
      <w:r>
        <w:rPr>
          <w:rFonts w:ascii="Arial" w:cs="Arial" w:eastAsia="Arial" w:hAnsi="Arial"/>
          <w:sz w:val="18"/>
          <w:szCs w:val="18"/>
          <w:b w:val="1"/>
          <w:bCs w:val="1"/>
          <w:color w:val="00548B"/>
        </w:rPr>
        <w:t>P</w:t>
      </w:r>
      <w:r>
        <w:rPr>
          <w:rFonts w:ascii="Arial" w:cs="Arial" w:eastAsia="Arial" w:hAnsi="Arial"/>
          <w:sz w:val="15"/>
          <w:szCs w:val="15"/>
          <w:b w:val="1"/>
          <w:bCs w:val="1"/>
          <w:color w:val="00548B"/>
        </w:rPr>
        <w:t>OLICY ON</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UDIT</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REAPPROVAL OF</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UDIT AND</w:t>
      </w:r>
      <w:r>
        <w:rPr>
          <w:rFonts w:ascii="Arial" w:cs="Arial" w:eastAsia="Arial" w:hAnsi="Arial"/>
          <w:sz w:val="18"/>
          <w:szCs w:val="18"/>
          <w:b w:val="1"/>
          <w:bCs w:val="1"/>
          <w:color w:val="00548B"/>
        </w:rPr>
        <w:t xml:space="preserve"> N</w:t>
      </w:r>
      <w:r>
        <w:rPr>
          <w:rFonts w:ascii="Arial" w:cs="Arial" w:eastAsia="Arial" w:hAnsi="Arial"/>
          <w:sz w:val="15"/>
          <w:szCs w:val="15"/>
          <w:b w:val="1"/>
          <w:bCs w:val="1"/>
          <w:color w:val="00548B"/>
        </w:rPr>
        <w:t>ON</w:t>
      </w:r>
      <w:r>
        <w:rPr>
          <w:rFonts w:ascii="Arial" w:cs="Arial" w:eastAsia="Arial" w:hAnsi="Arial"/>
          <w:sz w:val="18"/>
          <w:szCs w:val="18"/>
          <w:b w:val="1"/>
          <w:bCs w:val="1"/>
          <w:color w:val="00548B"/>
        </w:rPr>
        <w:t>-A</w:t>
      </w:r>
      <w:r>
        <w:rPr>
          <w:rFonts w:ascii="Arial" w:cs="Arial" w:eastAsia="Arial" w:hAnsi="Arial"/>
          <w:sz w:val="15"/>
          <w:szCs w:val="15"/>
          <w:b w:val="1"/>
          <w:bCs w:val="1"/>
          <w:color w:val="00548B"/>
        </w:rPr>
        <w:t>UDIT</w:t>
      </w:r>
      <w:r>
        <w:rPr>
          <w:rFonts w:ascii="Arial" w:cs="Arial" w:eastAsia="Arial" w:hAnsi="Arial"/>
          <w:sz w:val="18"/>
          <w:szCs w:val="18"/>
          <w:b w:val="1"/>
          <w:bCs w:val="1"/>
          <w:color w:val="00548B"/>
        </w:rPr>
        <w:t xml:space="preserve"> S</w:t>
      </w:r>
      <w:r>
        <w:rPr>
          <w:rFonts w:ascii="Arial" w:cs="Arial" w:eastAsia="Arial" w:hAnsi="Arial"/>
          <w:sz w:val="15"/>
          <w:szCs w:val="15"/>
          <w:b w:val="1"/>
          <w:bCs w:val="1"/>
          <w:color w:val="00548B"/>
        </w:rPr>
        <w:t>ERVICES OF</w:t>
      </w:r>
      <w:r>
        <w:rPr>
          <w:rFonts w:ascii="Arial" w:cs="Arial" w:eastAsia="Arial" w:hAnsi="Arial"/>
          <w:sz w:val="18"/>
          <w:szCs w:val="18"/>
          <w:b w:val="1"/>
          <w:bCs w:val="1"/>
          <w:color w:val="00548B"/>
        </w:rPr>
        <w:t xml:space="preserve"> I</w:t>
      </w:r>
      <w:r>
        <w:rPr>
          <w:rFonts w:ascii="Arial" w:cs="Arial" w:eastAsia="Arial" w:hAnsi="Arial"/>
          <w:sz w:val="15"/>
          <w:szCs w:val="15"/>
          <w:b w:val="1"/>
          <w:bCs w:val="1"/>
          <w:color w:val="00548B"/>
        </w:rPr>
        <w:t>NDEPENDENT</w:t>
      </w:r>
      <w:r>
        <w:rPr>
          <w:rFonts w:ascii="Arial" w:cs="Arial" w:eastAsia="Arial" w:hAnsi="Arial"/>
          <w:sz w:val="18"/>
          <w:szCs w:val="18"/>
          <w:b w:val="1"/>
          <w:bCs w:val="1"/>
          <w:color w:val="00548B"/>
        </w:rPr>
        <w:t xml:space="preserve"> R</w:t>
      </w:r>
      <w:r>
        <w:rPr>
          <w:rFonts w:ascii="Arial" w:cs="Arial" w:eastAsia="Arial" w:hAnsi="Arial"/>
          <w:sz w:val="15"/>
          <w:szCs w:val="15"/>
          <w:b w:val="1"/>
          <w:bCs w:val="1"/>
          <w:color w:val="00548B"/>
        </w:rPr>
        <w:t>EGISTERED</w:t>
      </w:r>
      <w:r>
        <w:rPr>
          <w:rFonts w:ascii="Arial" w:cs="Arial" w:eastAsia="Arial" w:hAnsi="Arial"/>
          <w:sz w:val="18"/>
          <w:szCs w:val="18"/>
          <w:b w:val="1"/>
          <w:bCs w:val="1"/>
          <w:color w:val="00548B"/>
        </w:rPr>
        <w:t xml:space="preserve"> P</w:t>
      </w:r>
      <w:r>
        <w:rPr>
          <w:rFonts w:ascii="Arial" w:cs="Arial" w:eastAsia="Arial" w:hAnsi="Arial"/>
          <w:sz w:val="15"/>
          <w:szCs w:val="15"/>
          <w:b w:val="1"/>
          <w:bCs w:val="1"/>
          <w:color w:val="00548B"/>
        </w:rPr>
        <w:t>UBLIC</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CCOUNTING</w:t>
      </w:r>
      <w:r>
        <w:rPr>
          <w:rFonts w:ascii="Arial" w:cs="Arial" w:eastAsia="Arial" w:hAnsi="Arial"/>
          <w:sz w:val="18"/>
          <w:szCs w:val="18"/>
          <w:b w:val="1"/>
          <w:bCs w:val="1"/>
          <w:color w:val="00548B"/>
        </w:rPr>
        <w:t xml:space="preserve"> F</w:t>
      </w:r>
      <w:r>
        <w:rPr>
          <w:rFonts w:ascii="Arial" w:cs="Arial" w:eastAsia="Arial" w:hAnsi="Arial"/>
          <w:sz w:val="15"/>
          <w:szCs w:val="15"/>
          <w:b w:val="1"/>
          <w:bCs w:val="1"/>
          <w:color w:val="00548B"/>
        </w:rPr>
        <w:t>IRM</w:t>
      </w:r>
    </w:p>
    <w:p>
      <w:pPr>
        <w:jc w:val="both"/>
        <w:ind w:left="200"/>
        <w:spacing w:after="0" w:line="253" w:lineRule="auto"/>
        <w:rPr>
          <w:sz w:val="20"/>
          <w:szCs w:val="20"/>
          <w:color w:val="auto"/>
        </w:rPr>
      </w:pPr>
      <w:r>
        <w:rPr>
          <w:rFonts w:ascii="Arial" w:cs="Arial" w:eastAsia="Arial" w:hAnsi="Arial"/>
          <w:sz w:val="16"/>
          <w:szCs w:val="16"/>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161"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Except for those non-audit services discussed above, in 2018 no services were undertaken that were not preapproved.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R</w:t>
      </w:r>
      <w:r>
        <w:rPr>
          <w:rFonts w:ascii="Arial" w:cs="Arial" w:eastAsia="Arial" w:hAnsi="Arial"/>
          <w:sz w:val="15"/>
          <w:szCs w:val="15"/>
          <w:b w:val="1"/>
          <w:bCs w:val="1"/>
          <w:color w:val="00548B"/>
        </w:rPr>
        <w:t>EPORT OF THE</w:t>
      </w:r>
      <w:r>
        <w:rPr>
          <w:rFonts w:ascii="Arial" w:cs="Arial" w:eastAsia="Arial" w:hAnsi="Arial"/>
          <w:sz w:val="18"/>
          <w:szCs w:val="18"/>
          <w:b w:val="1"/>
          <w:bCs w:val="1"/>
          <w:color w:val="00548B"/>
        </w:rPr>
        <w:t xml:space="preserve"> A</w:t>
      </w:r>
      <w:r>
        <w:rPr>
          <w:rFonts w:ascii="Arial" w:cs="Arial" w:eastAsia="Arial" w:hAnsi="Arial"/>
          <w:sz w:val="15"/>
          <w:szCs w:val="15"/>
          <w:b w:val="1"/>
          <w:bCs w:val="1"/>
          <w:color w:val="00548B"/>
        </w:rPr>
        <w:t>UDIT</w:t>
      </w:r>
      <w:r>
        <w:rPr>
          <w:rFonts w:ascii="Arial" w:cs="Arial" w:eastAsia="Arial" w:hAnsi="Arial"/>
          <w:sz w:val="18"/>
          <w:szCs w:val="18"/>
          <w:b w:val="1"/>
          <w:bCs w:val="1"/>
          <w:color w:val="00548B"/>
        </w:rPr>
        <w:t xml:space="preserve"> C</w:t>
      </w:r>
      <w:r>
        <w:rPr>
          <w:rFonts w:ascii="Arial" w:cs="Arial" w:eastAsia="Arial" w:hAnsi="Arial"/>
          <w:sz w:val="15"/>
          <w:szCs w:val="15"/>
          <w:b w:val="1"/>
          <w:bCs w:val="1"/>
          <w:color w:val="00548B"/>
        </w:rPr>
        <w:t>OMMITTEE</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w:t>
      </w:r>
    </w:p>
    <w:p>
      <w:pPr>
        <w:spacing w:after="0" w:line="161"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w:t>
      </w:r>
    </w:p>
    <w:p>
      <w:pPr>
        <w:spacing w:after="0" w:line="17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2018.</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These activities included, but were not limited to, the following for the fiscal year ended December 31, 2018:</w:t>
      </w:r>
    </w:p>
    <w:p>
      <w:pPr>
        <w:spacing w:after="0" w:line="221" w:lineRule="exact"/>
        <w:rPr>
          <w:sz w:val="20"/>
          <w:szCs w:val="20"/>
          <w:color w:val="auto"/>
        </w:rPr>
      </w:pPr>
    </w:p>
    <w:p>
      <w:pPr>
        <w:ind w:left="960" w:hanging="432"/>
        <w:spacing w:after="0"/>
        <w:tabs>
          <w:tab w:leader="none" w:pos="960" w:val="left"/>
        </w:tabs>
        <w:numPr>
          <w:ilvl w:val="0"/>
          <w:numId w:val="60"/>
        </w:numPr>
        <w:rPr>
          <w:rFonts w:ascii="Arial" w:cs="Arial" w:eastAsia="Arial" w:hAnsi="Arial"/>
          <w:sz w:val="16"/>
          <w:szCs w:val="16"/>
          <w:color w:val="00548B"/>
        </w:rPr>
      </w:pPr>
      <w:r>
        <w:rPr>
          <w:rFonts w:ascii="Arial" w:cs="Arial" w:eastAsia="Arial" w:hAnsi="Arial"/>
          <w:sz w:val="16"/>
          <w:szCs w:val="16"/>
          <w:color w:val="auto"/>
        </w:rPr>
        <w:t>Discussed with Huron’s internal auditors their continuing work in support of examination of internal controls and financial compliance controls.</w:t>
      </w:r>
    </w:p>
    <w:p>
      <w:pPr>
        <w:spacing w:after="0" w:line="5" w:lineRule="exact"/>
        <w:rPr>
          <w:rFonts w:ascii="Arial" w:cs="Arial" w:eastAsia="Arial" w:hAnsi="Arial"/>
          <w:sz w:val="16"/>
          <w:szCs w:val="16"/>
          <w:color w:val="00548B"/>
        </w:rPr>
      </w:pPr>
    </w:p>
    <w:p>
      <w:pPr>
        <w:ind w:left="960" w:hanging="432"/>
        <w:spacing w:after="0" w:line="246" w:lineRule="auto"/>
        <w:tabs>
          <w:tab w:leader="none" w:pos="960" w:val="left"/>
        </w:tabs>
        <w:numPr>
          <w:ilvl w:val="0"/>
          <w:numId w:val="60"/>
        </w:numPr>
        <w:rPr>
          <w:rFonts w:ascii="Arial" w:cs="Arial" w:eastAsia="Arial" w:hAnsi="Arial"/>
          <w:sz w:val="16"/>
          <w:szCs w:val="16"/>
          <w:color w:val="00548B"/>
        </w:rPr>
      </w:pPr>
      <w:r>
        <w:rPr>
          <w:rFonts w:ascii="Arial" w:cs="Arial" w:eastAsia="Arial" w:hAnsi="Arial"/>
          <w:sz w:val="16"/>
          <w:szCs w:val="16"/>
          <w:color w:val="auto"/>
        </w:rPr>
        <w:t>Reviewed and discussed with management and PwC the audited financial statements and the quarterly financial statements for the year ended December 31, 2018. Management has the primary responsibility for such financial statements.</w:t>
      </w:r>
    </w:p>
    <w:p>
      <w:pPr>
        <w:ind w:left="960" w:hanging="432"/>
        <w:spacing w:after="0"/>
        <w:tabs>
          <w:tab w:leader="none" w:pos="960" w:val="left"/>
        </w:tabs>
        <w:numPr>
          <w:ilvl w:val="0"/>
          <w:numId w:val="60"/>
        </w:numPr>
        <w:rPr>
          <w:rFonts w:ascii="Arial" w:cs="Arial" w:eastAsia="Arial" w:hAnsi="Arial"/>
          <w:sz w:val="16"/>
          <w:szCs w:val="16"/>
          <w:color w:val="00548B"/>
        </w:rPr>
      </w:pPr>
      <w:r>
        <w:rPr>
          <w:rFonts w:ascii="Arial" w:cs="Arial" w:eastAsia="Arial" w:hAnsi="Arial"/>
          <w:sz w:val="16"/>
          <w:szCs w:val="16"/>
          <w:color w:val="auto"/>
        </w:rPr>
        <w:t>Discussed with PwC the matters requiring discussion under current auditing standards.</w:t>
      </w:r>
    </w:p>
    <w:p>
      <w:pPr>
        <w:spacing w:after="0" w:line="5" w:lineRule="exact"/>
        <w:rPr>
          <w:rFonts w:ascii="Arial" w:cs="Arial" w:eastAsia="Arial" w:hAnsi="Arial"/>
          <w:sz w:val="16"/>
          <w:szCs w:val="16"/>
          <w:color w:val="00548B"/>
        </w:rPr>
      </w:pPr>
    </w:p>
    <w:p>
      <w:pPr>
        <w:ind w:left="960" w:hanging="432"/>
        <w:spacing w:after="0" w:line="260" w:lineRule="auto"/>
        <w:tabs>
          <w:tab w:leader="none" w:pos="960" w:val="left"/>
        </w:tabs>
        <w:numPr>
          <w:ilvl w:val="0"/>
          <w:numId w:val="60"/>
        </w:numPr>
        <w:rPr>
          <w:rFonts w:ascii="Arial" w:cs="Arial" w:eastAsia="Arial" w:hAnsi="Arial"/>
          <w:sz w:val="16"/>
          <w:szCs w:val="16"/>
          <w:color w:val="00548B"/>
        </w:rPr>
      </w:pPr>
      <w:r>
        <w:rPr>
          <w:rFonts w:ascii="Arial" w:cs="Arial" w:eastAsia="Arial" w:hAnsi="Arial"/>
          <w:sz w:val="16"/>
          <w:szCs w:val="16"/>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15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In reliance on the Committee’s review and discussions of the matters referred to above, the Audit Committee recommended to the board of directors that the audited financial statements be included in Huron’s Annual Report on Form 10-K for the fiscal year ended December 31, 2018 for filing with the Securities and Exchange Commission.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 Eugene Lockhart, Chairman</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John McCartney</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John S. Moody</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57</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548B"/>
        </w:rPr>
        <w:t>SUBMISSION OF STOCKHOLDER PROPOSALS</w:t>
      </w:r>
    </w:p>
    <w:p>
      <w:pPr>
        <w:spacing w:after="0" w:line="389"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In order to be included in the Company’s proxy statement relating to its next annual meeting, stockholder proposals must be received no later than November 23, 2019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4, 2020 and no later than February 3, 2020. Notice of stockholder proposals must contain the information required by the Company’s bylaws. The inclusion of any such proposal in such proxy material shall be subject to the requirements of the proxy rules adopted under the 1934 Act.</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548B"/>
        </w:rPr>
        <w:t>OTHER MATTERS</w:t>
      </w:r>
    </w:p>
    <w:p>
      <w:pPr>
        <w:spacing w:after="0" w:line="376"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Management does not now intend to bring before the Annual Meeting any matters other than those disclosed in the Notice of Annual Meeting of Stockholders, and it does not know of any business that persons, other than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w:t>
      </w:r>
    </w:p>
    <w:p>
      <w:pPr>
        <w:spacing w:after="0" w:line="176"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Company will bear the cost of soliciting proxies. The Company has retained Innisfree M&amp;A Incorporated to provide general advice and potential assistance in the solicitation process for a fee of approximately $50,000, plus reasonable out-of-pocket expenses. In addition,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208"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53340</wp:posOffset>
            </wp:positionV>
            <wp:extent cx="1646555" cy="308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Diane E. Ratekin</w:t>
      </w:r>
    </w:p>
    <w:p>
      <w:pPr>
        <w:spacing w:after="0" w:line="5" w:lineRule="exact"/>
        <w:rPr>
          <w:sz w:val="20"/>
          <w:szCs w:val="20"/>
          <w:color w:val="auto"/>
        </w:rPr>
      </w:pPr>
    </w:p>
    <w:p>
      <w:pPr>
        <w:ind w:left="6820"/>
        <w:spacing w:after="0"/>
        <w:rPr>
          <w:sz w:val="20"/>
          <w:szCs w:val="20"/>
          <w:color w:val="auto"/>
        </w:rPr>
      </w:pPr>
      <w:r>
        <w:rPr>
          <w:rFonts w:ascii="Arial" w:cs="Arial" w:eastAsia="Arial" w:hAnsi="Arial"/>
          <w:sz w:val="16"/>
          <w:szCs w:val="16"/>
          <w:i w:val="1"/>
          <w:iCs w:val="1"/>
          <w:color w:val="auto"/>
        </w:rPr>
        <w:t>Executive Vice President, General Counsel</w:t>
      </w:r>
    </w:p>
    <w:p>
      <w:pPr>
        <w:spacing w:after="0" w:line="5" w:lineRule="exact"/>
        <w:rPr>
          <w:sz w:val="20"/>
          <w:szCs w:val="20"/>
          <w:color w:val="auto"/>
        </w:rPr>
      </w:pPr>
    </w:p>
    <w:p>
      <w:pPr>
        <w:ind w:left="6820"/>
        <w:spacing w:after="0"/>
        <w:rPr>
          <w:sz w:val="20"/>
          <w:szCs w:val="20"/>
          <w:color w:val="auto"/>
        </w:rPr>
      </w:pPr>
      <w:r>
        <w:rPr>
          <w:rFonts w:ascii="Arial" w:cs="Arial" w:eastAsia="Arial" w:hAnsi="Arial"/>
          <w:sz w:val="16"/>
          <w:szCs w:val="16"/>
          <w:i w:val="1"/>
          <w:iCs w:val="1"/>
          <w:color w:val="auto"/>
        </w:rPr>
        <w:t>and Corporate Secretary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Chicago, Illinois</w:t>
      </w:r>
    </w:p>
    <w:p>
      <w:pPr>
        <w:ind w:left="200"/>
        <w:spacing w:after="0"/>
        <w:rPr>
          <w:sz w:val="20"/>
          <w:szCs w:val="20"/>
          <w:color w:val="auto"/>
        </w:rPr>
      </w:pPr>
      <w:r>
        <w:rPr>
          <w:rFonts w:ascii="Arial" w:cs="Arial" w:eastAsia="Arial" w:hAnsi="Arial"/>
          <w:sz w:val="18"/>
          <w:szCs w:val="18"/>
          <w:color w:val="auto"/>
        </w:rPr>
        <w:t>March 22, 2019</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58</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548B"/>
        </w:rPr>
        <w:t>Appendix A</w:t>
      </w:r>
    </w:p>
    <w:p>
      <w:pPr>
        <w:spacing w:after="0" w:line="8" w:lineRule="exact"/>
        <w:rPr>
          <w:sz w:val="20"/>
          <w:szCs w:val="20"/>
          <w:color w:val="auto"/>
        </w:rPr>
      </w:pPr>
    </w:p>
    <w:p>
      <w:pPr>
        <w:ind w:left="200" w:right="600"/>
        <w:spacing w:after="0" w:line="238" w:lineRule="auto"/>
        <w:rPr>
          <w:sz w:val="20"/>
          <w:szCs w:val="20"/>
          <w:color w:val="auto"/>
        </w:rPr>
      </w:pPr>
      <w:r>
        <w:rPr>
          <w:rFonts w:ascii="Arial" w:cs="Arial" w:eastAsia="Arial" w:hAnsi="Arial"/>
          <w:sz w:val="22"/>
          <w:szCs w:val="22"/>
          <w:b w:val="1"/>
          <w:bCs w:val="1"/>
          <w:color w:val="00548B"/>
        </w:rPr>
        <w:t>AMENDMENT TO THE HURON CONSULTING GROUP INC. AMENDED AND RESTATED 2012 OMNIBUS INCENTIVE PLAN</w:t>
      </w:r>
    </w:p>
    <w:p>
      <w:pPr>
        <w:spacing w:after="0" w:line="337" w:lineRule="exact"/>
        <w:rPr>
          <w:sz w:val="20"/>
          <w:szCs w:val="20"/>
          <w:color w:val="auto"/>
        </w:rPr>
      </w:pPr>
    </w:p>
    <w:p>
      <w:pPr>
        <w:jc w:val="both"/>
        <w:ind w:left="200"/>
        <w:spacing w:after="0" w:line="257" w:lineRule="auto"/>
        <w:rPr>
          <w:sz w:val="20"/>
          <w:szCs w:val="20"/>
          <w:color w:val="auto"/>
        </w:rPr>
      </w:pPr>
      <w:r>
        <w:rPr>
          <w:rFonts w:ascii="Arial" w:cs="Arial" w:eastAsia="Arial" w:hAnsi="Arial"/>
          <w:sz w:val="16"/>
          <w:szCs w:val="16"/>
          <w:b w:val="1"/>
          <w:bCs w:val="1"/>
          <w:color w:val="auto"/>
        </w:rPr>
        <w:t xml:space="preserve">THIS AMENDMENT </w:t>
      </w:r>
      <w:r>
        <w:rPr>
          <w:rFonts w:ascii="Arial" w:cs="Arial" w:eastAsia="Arial" w:hAnsi="Arial"/>
          <w:sz w:val="16"/>
          <w:szCs w:val="16"/>
          <w:color w:val="auto"/>
        </w:rPr>
        <w:t>(this “Amendment”) to the Huron Consulting Group Inc. Amended and Restated 2012 Omnibus Incentive Plan, as amended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(the “Plan”) is adopted by the Board of Directors (the “Board”) of Huron Consulting Group Inc., a Delaware corporation (the “Company”), on March 13, 2019, effective as of the date of the Company’s Annual Meeting of Stockholders that occurs in 2019, provided that it is approved by the Company’s stockholders on that date (the “Amendment Date”). Any capitalized terms used and not defined herein shall have the meanings set forth in the Plan.</w:t>
      </w:r>
    </w:p>
    <w:p>
      <w:pPr>
        <w:spacing w:after="0" w:line="333" w:lineRule="exact"/>
        <w:rPr>
          <w:sz w:val="20"/>
          <w:szCs w:val="20"/>
          <w:color w:val="auto"/>
        </w:rPr>
      </w:pPr>
    </w:p>
    <w:p>
      <w:pPr>
        <w:jc w:val="both"/>
        <w:ind w:left="200"/>
        <w:spacing w:after="0" w:line="26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16 of the Plan, the Board may at any time revise or amend the Plan, provided that no amendment to the Plan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made without the approval of the Company’s stockholders if such amendment would increase the aggregate number of shares of Common Stock that may be issued under the Plan; and</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to amend the Plan in the manner set forth below, subject to approval by the stockholders.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the Plan is hereby amended as follows, subject to approval by the stockholders: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 The first sentence of Section 4(b) of the Plan is hereby amended and restated in its entirety as follows:</w:t>
      </w:r>
    </w:p>
    <w:p>
      <w:pPr>
        <w:spacing w:after="0" w:line="174" w:lineRule="exact"/>
        <w:rPr>
          <w:sz w:val="20"/>
          <w:szCs w:val="20"/>
          <w:color w:val="auto"/>
        </w:rPr>
      </w:pPr>
    </w:p>
    <w:p>
      <w:pPr>
        <w:jc w:val="both"/>
        <w:ind w:left="200"/>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 Available for Awards</w:t>
      </w:r>
      <w:r>
        <w:rPr>
          <w:rFonts w:ascii="Arial" w:cs="Arial" w:eastAsia="Arial" w:hAnsi="Arial"/>
          <w:sz w:val="16"/>
          <w:szCs w:val="16"/>
          <w:color w:val="auto"/>
        </w:rPr>
        <w:t>. Subject to the terms and conditions of the Plan, the number of shares of Common Stock reserved for issuance under the Plan shall be 3,652,204 shares (comprised of: (i) the 1,398,204 shares of Common Stock authorized under the Plan as originally adopted, (ii) an additional 850,000 shares of Common Stock authorized in the amendment and restatement of the Plan effective May 2, 2014, (iii) an additional 804,000 shares of Common Stock authorized in the amendment and restatement of the Plan effective May 1, 2017, and (iv) an additional 600,000 shares of Common Stock authorized in the amendment of the Plan effective May 3, 2019), subject to adjustment as provided herein.”</w:t>
      </w:r>
    </w:p>
    <w:p>
      <w:pPr>
        <w:spacing w:after="0" w:line="160" w:lineRule="exact"/>
        <w:rPr>
          <w:sz w:val="20"/>
          <w:szCs w:val="20"/>
          <w:color w:val="auto"/>
        </w:rPr>
      </w:pPr>
    </w:p>
    <w:p>
      <w:pPr>
        <w:ind w:left="380" w:hanging="176"/>
        <w:spacing w:after="0"/>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Amendment shall be and, as of the Amendment Date, is hereby incorporated in and forms a part of the Plan.</w:t>
      </w:r>
    </w:p>
    <w:p>
      <w:pPr>
        <w:spacing w:after="0" w:line="180" w:lineRule="exact"/>
        <w:rPr>
          <w:rFonts w:ascii="Arial" w:cs="Arial" w:eastAsia="Arial" w:hAnsi="Arial"/>
          <w:sz w:val="16"/>
          <w:szCs w:val="16"/>
          <w:color w:val="auto"/>
        </w:rPr>
      </w:pPr>
    </w:p>
    <w:p>
      <w:pPr>
        <w:ind w:left="200" w:firstLine="4"/>
        <w:spacing w:after="0" w:line="260" w:lineRule="auto"/>
        <w:tabs>
          <w:tab w:leader="none" w:pos="40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Amendment and all determinations made and actions taken pursuant hereto shall be governed by the laws of the State of Delaware without reference to its principles of conflicts of law.</w:t>
      </w:r>
    </w:p>
    <w:p>
      <w:pPr>
        <w:spacing w:after="0" w:line="168" w:lineRule="exact"/>
        <w:rPr>
          <w:rFonts w:ascii="Arial" w:cs="Arial" w:eastAsia="Arial" w:hAnsi="Arial"/>
          <w:sz w:val="16"/>
          <w:szCs w:val="16"/>
          <w:color w:val="auto"/>
        </w:rPr>
      </w:pPr>
    </w:p>
    <w:p>
      <w:pPr>
        <w:ind w:left="380" w:hanging="176"/>
        <w:spacing w:after="0"/>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Except as amended above, the Plan shall remain in full force and effect.</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1063625" cy="643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63625" cy="64325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240030</wp:posOffset>
            </wp:positionV>
            <wp:extent cx="685800" cy="4286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Your vote matters – here’s how to vote!</w:t>
      </w:r>
    </w:p>
    <w:p>
      <w:pPr>
        <w:spacing w:after="0" w:line="6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You may vote online instead of mailing this card.</w:t>
      </w:r>
    </w:p>
    <w:p>
      <w:pPr>
        <w:spacing w:after="0" w:line="372" w:lineRule="exact"/>
        <w:rPr>
          <w:sz w:val="20"/>
          <w:szCs w:val="20"/>
          <w:color w:val="auto"/>
        </w:rPr>
      </w:pPr>
    </w:p>
    <w:p>
      <w:pPr>
        <w:ind w:left="6580"/>
        <w:spacing w:after="0"/>
        <w:rPr>
          <w:sz w:val="20"/>
          <w:szCs w:val="20"/>
          <w:color w:val="auto"/>
        </w:rPr>
      </w:pPr>
      <w:r>
        <w:rPr>
          <w:rFonts w:ascii="Arial" w:cs="Arial" w:eastAsia="Arial" w:hAnsi="Arial"/>
          <w:sz w:val="15"/>
          <w:szCs w:val="15"/>
          <w:b w:val="1"/>
          <w:bCs w:val="1"/>
          <w:color w:val="auto"/>
        </w:rPr>
        <w:t>Votes submitted electronically must be received</w:t>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by 1:00am, Central Time, on May 3, 2019</w:t>
      </w:r>
    </w:p>
    <w:p>
      <w:pPr>
        <w:spacing w:after="0" w:line="200" w:lineRule="exact"/>
        <w:rPr>
          <w:sz w:val="20"/>
          <w:szCs w:val="20"/>
          <w:color w:val="auto"/>
        </w:rPr>
      </w:pP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Online</w:t>
      </w:r>
    </w:p>
    <w:p>
      <w:pPr>
        <w:spacing w:after="0" w:line="27"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 xml:space="preserve">Go to </w:t>
      </w:r>
      <w:r>
        <w:rPr>
          <w:rFonts w:ascii="Arial" w:cs="Arial" w:eastAsia="Arial" w:hAnsi="Arial"/>
          <w:sz w:val="17"/>
          <w:szCs w:val="17"/>
          <w:b w:val="1"/>
          <w:bCs w:val="1"/>
          <w:color w:val="auto"/>
        </w:rPr>
        <w:t>www.envisionreports.com/HURN</w:t>
      </w:r>
      <w:r>
        <w:rPr>
          <w:rFonts w:ascii="Arial" w:cs="Arial" w:eastAsia="Arial" w:hAnsi="Arial"/>
          <w:sz w:val="17"/>
          <w:szCs w:val="17"/>
          <w:color w:val="auto"/>
        </w:rPr>
        <w:t xml:space="preserve"> or</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scan the QR code — login details are</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located in the shaded bar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580" w:right="1480"/>
        <w:spacing w:after="0" w:line="324" w:lineRule="auto"/>
        <w:rPr>
          <w:sz w:val="20"/>
          <w:szCs w:val="20"/>
          <w:color w:val="auto"/>
        </w:rPr>
      </w:pPr>
      <w:r>
        <w:rPr>
          <w:rFonts w:ascii="Arial" w:cs="Arial" w:eastAsia="Arial" w:hAnsi="Arial"/>
          <w:sz w:val="18"/>
          <w:szCs w:val="18"/>
          <w:b w:val="1"/>
          <w:bCs w:val="1"/>
          <w:color w:val="auto"/>
        </w:rPr>
        <w:t>Save paper, time and money! Sign up for electronic delivery at www.envisionreports.com/HURN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128270</wp:posOffset>
            </wp:positionV>
            <wp:extent cx="291465" cy="266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1465" cy="26606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-471170</wp:posOffset>
            </wp:positionV>
            <wp:extent cx="368935" cy="3689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8935" cy="368935"/>
                    </a:xfrm>
                    <a:prstGeom prst="rect">
                      <a:avLst/>
                    </a:prstGeom>
                    <a:noFill/>
                  </pic:spPr>
                </pic:pic>
              </a:graphicData>
            </a:graphic>
          </wp:anchor>
        </w:drawing>
      </w:r>
    </w:p>
    <w:p>
      <w:pPr>
        <w:spacing w:after="0" w:line="213" w:lineRule="exact"/>
        <w:rPr>
          <w:sz w:val="20"/>
          <w:szCs w:val="20"/>
          <w:color w:val="auto"/>
        </w:rPr>
      </w:pPr>
    </w:p>
    <w:p>
      <w:pPr>
        <w:jc w:val="both"/>
        <w:ind w:left="200" w:right="7320"/>
        <w:spacing w:after="0" w:line="342" w:lineRule="auto"/>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73660</wp:posOffset>
            </wp:positionV>
            <wp:extent cx="6860540" cy="3175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60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08" w:lineRule="exact"/>
        <w:rPr>
          <w:sz w:val="20"/>
          <w:szCs w:val="20"/>
          <w:color w:val="auto"/>
        </w:rPr>
      </w:pPr>
    </w:p>
    <w:p>
      <w:pPr>
        <w:ind w:left="540" w:hanging="286"/>
        <w:spacing w:after="0"/>
        <w:tabs>
          <w:tab w:leader="none" w:pos="540" w:val="left"/>
        </w:tabs>
        <w:numPr>
          <w:ilvl w:val="0"/>
          <w:numId w:val="62"/>
        </w:numPr>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Proposals — The Board of Directors recommend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50875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08750" cy="137160"/>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p>
      <w:pPr>
        <w:spacing w:after="0" w:line="116" w:lineRule="exact"/>
        <w:rPr>
          <w:sz w:val="20"/>
          <w:szCs w:val="20"/>
          <w:color w:val="auto"/>
        </w:rPr>
      </w:pPr>
    </w:p>
    <w:p>
      <w:pPr>
        <w:ind w:left="540" w:hanging="336"/>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Election of Directors:</w:t>
      </w:r>
    </w:p>
    <w:p>
      <w:pPr>
        <w:ind w:left="2740"/>
        <w:spacing w:after="0"/>
        <w:tabs>
          <w:tab w:leader="none" w:pos="308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3"/>
          <w:szCs w:val="13"/>
          <w:b w:val="1"/>
          <w:bCs w:val="1"/>
          <w:color w:val="auto"/>
        </w:rPr>
        <w:t>Withhold</w:t>
      </w:r>
    </w:p>
    <w:p>
      <w:pPr>
        <w:ind w:left="540"/>
        <w:spacing w:after="0" w:line="325" w:lineRule="exact"/>
        <w:tabs>
          <w:tab w:leader="none" w:pos="2740" w:val="left"/>
          <w:tab w:leader="none" w:pos="3300" w:val="left"/>
        </w:tabs>
        <w:rPr>
          <w:sz w:val="20"/>
          <w:szCs w:val="20"/>
          <w:color w:val="auto"/>
        </w:rPr>
      </w:pPr>
      <w:r>
        <w:rPr>
          <w:rFonts w:ascii="Arial" w:cs="Arial" w:eastAsia="Arial" w:hAnsi="Arial"/>
          <w:sz w:val="14"/>
          <w:szCs w:val="14"/>
          <w:color w:val="auto"/>
        </w:rPr>
        <w:t>01 - John McCartney</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MS PGothic" w:cs="MS PGothic" w:eastAsia="MS PGothic" w:hAnsi="MS PGothic"/>
          <w:sz w:val="24"/>
          <w:szCs w:val="24"/>
          <w:color w:val="auto"/>
          <w:vertAlign w:val="subscript"/>
        </w:rPr>
        <w:t>☐</w:t>
      </w:r>
    </w:p>
    <w:p>
      <w:pPr>
        <w:spacing w:after="0" w:line="200" w:lineRule="exact"/>
        <w:rPr>
          <w:sz w:val="20"/>
          <w:szCs w:val="20"/>
          <w:color w:val="auto"/>
        </w:rPr>
      </w:pPr>
    </w:p>
    <w:p>
      <w:pPr>
        <w:spacing w:after="0" w:line="275" w:lineRule="exact"/>
        <w:rPr>
          <w:sz w:val="20"/>
          <w:szCs w:val="20"/>
          <w:color w:val="auto"/>
        </w:rPr>
      </w:pPr>
    </w:p>
    <w:p>
      <w:pPr>
        <w:ind w:left="540" w:right="20" w:hanging="336"/>
        <w:spacing w:after="0" w:line="335" w:lineRule="auto"/>
        <w:tabs>
          <w:tab w:leader="none" w:pos="5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To approve an amendment to the Company’s Amended and Restated 2012 Omnibus Incentive Plan.</w:t>
      </w:r>
    </w:p>
    <w:p>
      <w:pPr>
        <w:spacing w:after="0" w:line="47" w:lineRule="exact"/>
        <w:rPr>
          <w:sz w:val="20"/>
          <w:szCs w:val="20"/>
          <w:color w:val="auto"/>
        </w:rPr>
      </w:pPr>
    </w:p>
    <w:p>
      <w:pPr>
        <w:ind w:left="540" w:right="60" w:hanging="336"/>
        <w:spacing w:after="0" w:line="234"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To ratify the appointment of PricewaterhouseCoopers LLP as the Company’s independent registered public accounting firm for the fiscal year ending December 31, 2019.</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For</w:t>
            </w: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6"/>
              </w:rPr>
              <w:t>Withhold</w:t>
            </w:r>
          </w:p>
        </w:tc>
        <w:tc>
          <w:tcPr>
            <w:tcW w:w="1760" w:type="dxa"/>
            <w:vAlign w:val="bottom"/>
          </w:tcPr>
          <w:p>
            <w:pPr>
              <w:spacing w:after="0"/>
              <w:rPr>
                <w:sz w:val="16"/>
                <w:szCs w:val="16"/>
                <w:color w:val="auto"/>
              </w:rPr>
            </w:pPr>
          </w:p>
        </w:tc>
        <w:tc>
          <w:tcPr>
            <w:tcW w:w="580" w:type="dxa"/>
            <w:vAlign w:val="bottom"/>
          </w:tcPr>
          <w:p>
            <w:pPr>
              <w:jc w:val="center"/>
              <w:ind w:left="159"/>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r>
      <w:tr>
        <w:trPr>
          <w:trHeight w:val="316"/>
        </w:trPr>
        <w:tc>
          <w:tcPr>
            <w:tcW w:w="1160" w:type="dxa"/>
            <w:vAlign w:val="bottom"/>
            <w:gridSpan w:val="2"/>
          </w:tcPr>
          <w:p>
            <w:pPr>
              <w:ind w:left="20"/>
              <w:spacing w:after="0"/>
              <w:rPr>
                <w:sz w:val="20"/>
                <w:szCs w:val="20"/>
                <w:color w:val="auto"/>
              </w:rPr>
            </w:pPr>
            <w:r>
              <w:rPr>
                <w:rFonts w:ascii="Arial" w:cs="Arial" w:eastAsia="Arial" w:hAnsi="Arial"/>
                <w:sz w:val="14"/>
                <w:szCs w:val="14"/>
                <w:color w:val="auto"/>
                <w:w w:val="92"/>
              </w:rPr>
              <w:t>02 - James H. Roth</w:t>
            </w:r>
          </w:p>
        </w:tc>
        <w:tc>
          <w:tcPr>
            <w:tcW w:w="420" w:type="dxa"/>
            <w:vAlign w:val="bottom"/>
          </w:tcPr>
          <w:p>
            <w:pPr>
              <w:spacing w:after="0"/>
              <w:rPr>
                <w:sz w:val="24"/>
                <w:szCs w:val="24"/>
                <w:color w:val="auto"/>
              </w:rPr>
            </w:pPr>
          </w:p>
        </w:tc>
        <w:tc>
          <w:tcPr>
            <w:tcW w:w="340" w:type="dxa"/>
            <w:vAlign w:val="bottom"/>
          </w:tcPr>
          <w:p>
            <w:pPr>
              <w:jc w:val="right"/>
              <w:ind w:right="2"/>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Pr>
          <w:p>
            <w:pPr>
              <w:jc w:val="center"/>
              <w:ind w:right="144"/>
              <w:spacing w:after="0" w:line="181" w:lineRule="exact"/>
              <w:rPr>
                <w:sz w:val="20"/>
                <w:szCs w:val="20"/>
                <w:color w:val="auto"/>
              </w:rPr>
            </w:pPr>
            <w:r>
              <w:rPr>
                <w:rFonts w:ascii="MS PGothic" w:cs="MS PGothic" w:eastAsia="MS PGothic" w:hAnsi="MS PGothic"/>
                <w:sz w:val="18"/>
                <w:szCs w:val="18"/>
                <w:color w:val="auto"/>
                <w:w w:val="88"/>
              </w:rPr>
              <w:t>☐</w:t>
            </w:r>
          </w:p>
        </w:tc>
        <w:tc>
          <w:tcPr>
            <w:tcW w:w="1760" w:type="dxa"/>
            <w:vAlign w:val="bottom"/>
          </w:tcPr>
          <w:p>
            <w:pPr>
              <w:ind w:left="80"/>
              <w:spacing w:after="0"/>
              <w:rPr>
                <w:sz w:val="20"/>
                <w:szCs w:val="20"/>
                <w:color w:val="auto"/>
              </w:rPr>
            </w:pPr>
            <w:r>
              <w:rPr>
                <w:rFonts w:ascii="Arial" w:cs="Arial" w:eastAsia="Arial" w:hAnsi="Arial"/>
                <w:sz w:val="14"/>
                <w:szCs w:val="14"/>
                <w:color w:val="auto"/>
              </w:rPr>
              <w:t>03 - Ekta Singh-Bushell</w:t>
            </w:r>
          </w:p>
        </w:tc>
        <w:tc>
          <w:tcPr>
            <w:tcW w:w="580" w:type="dxa"/>
            <w:vAlign w:val="bottom"/>
          </w:tcPr>
          <w:p>
            <w:pPr>
              <w:jc w:val="center"/>
              <w:ind w:left="139"/>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30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Against   Abstain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r>
      <w:tr>
        <w:trPr>
          <w:trHeight w:val="208"/>
        </w:trPr>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3320" w:type="dxa"/>
            <w:vAlign w:val="bottom"/>
            <w:gridSpan w:val="3"/>
          </w:tcPr>
          <w:p>
            <w:pPr>
              <w:ind w:left="60"/>
              <w:spacing w:after="0"/>
              <w:rPr>
                <w:sz w:val="20"/>
                <w:szCs w:val="20"/>
                <w:color w:val="auto"/>
              </w:rPr>
            </w:pPr>
            <w:r>
              <w:rPr>
                <w:rFonts w:ascii="Arial" w:cs="Arial" w:eastAsia="Arial" w:hAnsi="Arial"/>
                <w:sz w:val="14"/>
                <w:szCs w:val="14"/>
                <w:color w:val="auto"/>
                <w:w w:val="97"/>
              </w:rPr>
              <w:t>An advisory vote to approve the Company’s executive</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82"/>
        </w:trPr>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ind w:left="60"/>
              <w:spacing w:after="0"/>
              <w:rPr>
                <w:sz w:val="20"/>
                <w:szCs w:val="20"/>
                <w:color w:val="auto"/>
              </w:rPr>
            </w:pPr>
            <w:r>
              <w:rPr>
                <w:rFonts w:ascii="Arial" w:cs="Arial" w:eastAsia="Arial" w:hAnsi="Arial"/>
                <w:sz w:val="14"/>
                <w:szCs w:val="14"/>
                <w:color w:val="auto"/>
                <w:w w:val="98"/>
              </w:rPr>
              <w:t>compensation.</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44"/>
        </w:trPr>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780"/>
        <w:spacing w:after="0"/>
        <w:rPr>
          <w:sz w:val="20"/>
          <w:szCs w:val="20"/>
          <w:color w:val="auto"/>
        </w:rPr>
      </w:pPr>
      <w:r>
        <w:rPr>
          <w:rFonts w:ascii="Arial" w:cs="Arial" w:eastAsia="Arial" w:hAnsi="Arial"/>
          <w:sz w:val="43"/>
          <w:szCs w:val="43"/>
          <w:b w:val="1"/>
          <w:bCs w:val="1"/>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Against  Abstain</w:t>
      </w:r>
    </w:p>
    <w:p>
      <w:pPr>
        <w:spacing w:after="0" w:line="56" w:lineRule="exact"/>
        <w:rPr>
          <w:sz w:val="20"/>
          <w:szCs w:val="20"/>
          <w:color w:val="auto"/>
        </w:rPr>
      </w:pPr>
    </w:p>
    <w:p>
      <w:pPr>
        <w:jc w:val="center"/>
        <w:ind w:right="-39"/>
        <w:spacing w:after="0" w:line="181" w:lineRule="exact"/>
        <w:tabs>
          <w:tab w:leader="none" w:pos="380" w:val="left"/>
        </w:tabs>
        <w:rPr>
          <w:sz w:val="20"/>
          <w:szCs w:val="20"/>
          <w:color w:val="auto"/>
        </w:rPr>
      </w:pPr>
      <w:r>
        <w:rPr>
          <w:rFonts w:ascii="MS PGothic" w:cs="MS PGothic" w:eastAsia="MS PGothic" w:hAnsi="MS PGothic"/>
          <w:sz w:val="18"/>
          <w:szCs w:val="18"/>
          <w:color w:val="auto"/>
        </w:rPr>
        <w:t>☐</w:t>
        <w:tab/>
        <w:t>☐</w:t>
      </w:r>
    </w:p>
    <w:p>
      <w:pPr>
        <w:spacing w:after="0" w:line="1108" w:lineRule="exact"/>
        <w:rPr>
          <w:sz w:val="20"/>
          <w:szCs w:val="20"/>
          <w:color w:val="auto"/>
        </w:rPr>
      </w:pPr>
    </w:p>
    <w:p>
      <w:pPr>
        <w:sectPr>
          <w:pgSz w:w="11900" w:h="16838" w:orient="portrait"/>
          <w:cols w:equalWidth="0" w:num="3">
            <w:col w:w="3680" w:space="260"/>
            <w:col w:w="5900" w:space="140"/>
            <w:col w:w="1160"/>
          </w:cols>
          <w:pgMar w:left="240" w:top="459" w:right="519" w:bottom="1440" w:gutter="0" w:footer="0" w:header="0"/>
          <w:type w:val="continuous"/>
        </w:sectPr>
      </w:pPr>
    </w:p>
    <w:p>
      <w:pPr>
        <w:spacing w:after="0" w:line="185" w:lineRule="exact"/>
        <w:rPr>
          <w:sz w:val="20"/>
          <w:szCs w:val="20"/>
          <w:color w:val="auto"/>
        </w:rPr>
      </w:pPr>
    </w:p>
    <w:p>
      <w:pPr>
        <w:ind w:left="520" w:hanging="268"/>
        <w:spacing w:after="0"/>
        <w:tabs>
          <w:tab w:leader="none" w:pos="520" w:val="left"/>
        </w:tabs>
        <w:numPr>
          <w:ilvl w:val="0"/>
          <w:numId w:val="66"/>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97" w:lineRule="exact"/>
        <w:rPr>
          <w:sz w:val="20"/>
          <w:szCs w:val="20"/>
          <w:color w:val="auto"/>
        </w:rPr>
      </w:pPr>
    </w:p>
    <w:p>
      <w:pPr>
        <w:ind w:left="200"/>
        <w:spacing w:after="0" w:line="253"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39" w:lineRule="exact"/>
        <w:rPr>
          <w:sz w:val="20"/>
          <w:szCs w:val="20"/>
          <w:color w:val="auto"/>
        </w:rPr>
      </w:pPr>
    </w:p>
    <w:tbl>
      <w:tblPr>
        <w:tblLayout w:type="fixed"/>
        <w:tblInd w:w="210" w:type="dxa"/>
        <w:tblCellMar>
          <w:top w:w="0" w:type="dxa"/>
          <w:left w:w="0" w:type="dxa"/>
          <w:bottom w:w="0" w:type="dxa"/>
          <w:right w:w="0" w:type="dxa"/>
        </w:tblCellMar>
      </w:tblPr>
      <w:tr>
        <w:trPr>
          <w:trHeight w:val="182"/>
        </w:trPr>
        <w:tc>
          <w:tcPr>
            <w:tcW w:w="3460" w:type="dxa"/>
            <w:vAlign w:val="bottom"/>
            <w:gridSpan w:val="3"/>
          </w:tcPr>
          <w:p>
            <w:pPr>
              <w:spacing w:after="0"/>
              <w:rPr>
                <w:sz w:val="20"/>
                <w:szCs w:val="20"/>
                <w:color w:val="auto"/>
              </w:rPr>
            </w:pPr>
            <w:r>
              <w:rPr>
                <w:rFonts w:ascii="Arial" w:cs="Arial" w:eastAsia="Arial" w:hAnsi="Arial"/>
                <w:sz w:val="14"/>
                <w:szCs w:val="14"/>
                <w:color w:val="auto"/>
              </w:rPr>
              <w:t>Date (mm/dd/yyyy) — Please print date below.</w:t>
            </w:r>
          </w:p>
        </w:tc>
        <w:tc>
          <w:tcPr>
            <w:tcW w:w="3740" w:type="dxa"/>
            <w:vAlign w:val="bottom"/>
            <w:gridSpan w:val="2"/>
          </w:tcPr>
          <w:p>
            <w:pPr>
              <w:ind w:left="100"/>
              <w:spacing w:after="0"/>
              <w:rPr>
                <w:sz w:val="20"/>
                <w:szCs w:val="20"/>
                <w:color w:val="auto"/>
              </w:rPr>
            </w:pPr>
            <w:r>
              <w:rPr>
                <w:rFonts w:ascii="Arial" w:cs="Arial" w:eastAsia="Arial" w:hAnsi="Arial"/>
                <w:sz w:val="14"/>
                <w:szCs w:val="14"/>
                <w:color w:val="auto"/>
              </w:rPr>
              <w:t>Signature 1 — Please keep signature within the box.</w:t>
            </w:r>
          </w:p>
        </w:tc>
        <w:tc>
          <w:tcPr>
            <w:tcW w:w="3600" w:type="dxa"/>
            <w:vAlign w:val="bottom"/>
            <w:gridSpan w:val="2"/>
          </w:tcPr>
          <w:p>
            <w:pPr>
              <w:jc w:val="right"/>
              <w:ind w:right="480"/>
              <w:spacing w:after="0"/>
              <w:rPr>
                <w:sz w:val="20"/>
                <w:szCs w:val="20"/>
                <w:color w:val="auto"/>
              </w:rPr>
            </w:pPr>
            <w:r>
              <w:rPr>
                <w:rFonts w:ascii="Arial" w:cs="Arial" w:eastAsia="Arial" w:hAnsi="Arial"/>
                <w:sz w:val="14"/>
                <w:szCs w:val="14"/>
                <w:color w:val="auto"/>
                <w:w w:val="95"/>
              </w:rPr>
              <w:t>Signature 2 — Please keep signature within the box.</w:t>
            </w:r>
          </w:p>
        </w:tc>
        <w:tc>
          <w:tcPr>
            <w:tcW w:w="0" w:type="dxa"/>
            <w:vAlign w:val="bottom"/>
          </w:tcPr>
          <w:p>
            <w:pPr>
              <w:spacing w:after="0"/>
              <w:rPr>
                <w:sz w:val="1"/>
                <w:szCs w:val="1"/>
                <w:color w:val="auto"/>
              </w:rPr>
            </w:pPr>
          </w:p>
        </w:tc>
      </w:tr>
      <w:tr>
        <w:trPr>
          <w:trHeight w:val="46"/>
        </w:trPr>
        <w:tc>
          <w:tcPr>
            <w:tcW w:w="16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4"/>
        </w:trPr>
        <w:tc>
          <w:tcPr>
            <w:tcW w:w="1660" w:type="dxa"/>
            <w:vAlign w:val="bottom"/>
            <w:tcBorders>
              <w:left w:val="single" w:sz="8" w:color="auto"/>
              <w:bottom w:val="single" w:sz="8" w:color="auto"/>
            </w:tcBorders>
          </w:tcPr>
          <w:p>
            <w:pPr>
              <w:jc w:val="right"/>
              <w:ind w:right="171"/>
              <w:spacing w:after="0" w:line="525" w:lineRule="exact"/>
              <w:rPr>
                <w:sz w:val="20"/>
                <w:szCs w:val="20"/>
                <w:color w:val="auto"/>
              </w:rPr>
            </w:pPr>
            <w:r>
              <w:rPr>
                <w:rFonts w:ascii="Arial" w:cs="Arial" w:eastAsia="Arial" w:hAnsi="Arial"/>
                <w:sz w:val="47"/>
                <w:szCs w:val="47"/>
                <w:b w:val="1"/>
                <w:bCs w:val="1"/>
                <w:color w:val="auto"/>
              </w:rPr>
              <w:t>/</w:t>
            </w:r>
          </w:p>
        </w:tc>
        <w:tc>
          <w:tcPr>
            <w:tcW w:w="1560" w:type="dxa"/>
            <w:vAlign w:val="bottom"/>
            <w:tcBorders>
              <w:bottom w:val="single" w:sz="8" w:color="auto"/>
              <w:right w:val="single" w:sz="8" w:color="auto"/>
            </w:tcBorders>
          </w:tcPr>
          <w:p>
            <w:pPr>
              <w:jc w:val="right"/>
              <w:ind w:right="926"/>
              <w:spacing w:after="0" w:line="525" w:lineRule="exact"/>
              <w:rPr>
                <w:sz w:val="20"/>
                <w:szCs w:val="20"/>
                <w:color w:val="auto"/>
              </w:rPr>
            </w:pPr>
            <w:r>
              <w:rPr>
                <w:rFonts w:ascii="Arial" w:cs="Arial" w:eastAsia="Arial" w:hAnsi="Arial"/>
                <w:sz w:val="47"/>
                <w:szCs w:val="47"/>
                <w:b w:val="1"/>
                <w:bCs w:val="1"/>
                <w:color w:val="auto"/>
              </w:rPr>
              <w:t>/</w:t>
            </w:r>
          </w:p>
        </w:tc>
        <w:tc>
          <w:tcPr>
            <w:tcW w:w="240" w:type="dxa"/>
            <w:vAlign w:val="bottom"/>
            <w:tcBorders>
              <w:right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660" w:type="dxa"/>
            <w:vAlign w:val="bottom"/>
          </w:tcPr>
          <w:p>
            <w:pPr>
              <w:spacing w:after="0" w:line="431" w:lineRule="exact"/>
              <w:rPr>
                <w:sz w:val="20"/>
                <w:szCs w:val="20"/>
                <w:color w:val="auto"/>
              </w:rPr>
            </w:pPr>
            <w:r>
              <w:rPr>
                <w:rFonts w:ascii="MS PGothic" w:cs="MS PGothic" w:eastAsia="MS PGothic" w:hAnsi="MS PGothic"/>
                <w:sz w:val="43"/>
                <w:szCs w:val="43"/>
                <w:color w:val="auto"/>
              </w:rPr>
              <w:t>∎</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40" w:type="dxa"/>
            <w:vAlign w:val="bottom"/>
            <w:gridSpan w:val="2"/>
            <w:vMerge w:val="restart"/>
          </w:tcPr>
          <w:p>
            <w:pPr>
              <w:ind w:left="520"/>
              <w:spacing w:after="0"/>
              <w:rPr>
                <w:sz w:val="20"/>
                <w:szCs w:val="20"/>
                <w:color w:val="auto"/>
              </w:rPr>
            </w:pPr>
            <w:r>
              <w:rPr>
                <w:rFonts w:ascii="Arial" w:cs="Arial" w:eastAsia="Arial" w:hAnsi="Arial"/>
                <w:sz w:val="22"/>
                <w:szCs w:val="22"/>
                <w:color w:val="auto"/>
              </w:rPr>
              <w:t>3 3 D V</w:t>
            </w:r>
          </w:p>
        </w:tc>
        <w:tc>
          <w:tcPr>
            <w:tcW w:w="3600" w:type="dxa"/>
            <w:vAlign w:val="bottom"/>
            <w:gridSpan w:val="2"/>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64"/>
        </w:trPr>
        <w:tc>
          <w:tcPr>
            <w:tcW w:w="16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3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1660" w:type="dxa"/>
            <w:vAlign w:val="bottom"/>
          </w:tcPr>
          <w:p>
            <w:pPr>
              <w:ind w:left="900"/>
              <w:spacing w:after="0"/>
              <w:rPr>
                <w:sz w:val="20"/>
                <w:szCs w:val="20"/>
                <w:color w:val="auto"/>
              </w:rPr>
            </w:pPr>
            <w:r>
              <w:rPr>
                <w:rFonts w:ascii="Arial" w:cs="Arial" w:eastAsia="Arial" w:hAnsi="Arial"/>
                <w:sz w:val="14"/>
                <w:szCs w:val="14"/>
                <w:color w:val="auto"/>
              </w:rPr>
              <w:t>030JVC</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9"/>
        <w:spacing w:after="0"/>
        <w:rPr>
          <w:sz w:val="20"/>
          <w:szCs w:val="20"/>
          <w:color w:val="auto"/>
        </w:rPr>
      </w:pPr>
      <w:r>
        <w:rPr>
          <w:rFonts w:ascii="Arial" w:cs="Arial" w:eastAsia="Arial" w:hAnsi="Arial"/>
          <w:sz w:val="25"/>
          <w:szCs w:val="25"/>
          <w:b w:val="1"/>
          <w:bCs w:val="1"/>
          <w:color w:val="auto"/>
        </w:rPr>
        <w:t>2019 Annual Meeting Admission Ticket</w:t>
      </w:r>
    </w:p>
    <w:p>
      <w:pPr>
        <w:spacing w:after="0" w:line="12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2019 Annual Meeting of Huron Consulting Group Inc. Stockholders</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Friday, May 3, 2019, 11:00 a.m. Central Time</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550 West Van Buren Street, 17th Floor</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Chicago, Illinois 60607</w:t>
      </w:r>
    </w:p>
    <w:p>
      <w:pPr>
        <w:spacing w:after="0" w:line="9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Upon arrival, please present this admission ticket 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Stockholders.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material is available at: www.envisionreports.com/HURN</w:t>
      </w:r>
    </w:p>
    <w:p>
      <w:pPr>
        <w:spacing w:after="0" w:line="24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Small steps make an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-127635</wp:posOffset>
            </wp:positionV>
            <wp:extent cx="4202430" cy="540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02430" cy="540385"/>
                    </a:xfrm>
                    <a:prstGeom prst="rect">
                      <a:avLst/>
                    </a:prstGeom>
                    <a:noFill/>
                  </pic:spPr>
                </pic:pic>
              </a:graphicData>
            </a:graphic>
          </wp:anchor>
        </w:drawing>
      </w:r>
    </w:p>
    <w:p>
      <w:pPr>
        <w:spacing w:after="0" w:line="115" w:lineRule="exact"/>
        <w:rPr>
          <w:sz w:val="20"/>
          <w:szCs w:val="20"/>
          <w:color w:val="auto"/>
        </w:rPr>
      </w:pPr>
    </w:p>
    <w:p>
      <w:pPr>
        <w:jc w:val="center"/>
        <w:ind w:left="640" w:right="3260"/>
        <w:spacing w:after="0" w:line="342" w:lineRule="auto"/>
        <w:rPr>
          <w:sz w:val="20"/>
          <w:szCs w:val="20"/>
          <w:color w:val="auto"/>
        </w:rPr>
      </w:pPr>
      <w:r>
        <w:rPr>
          <w:rFonts w:ascii="Arial" w:cs="Arial" w:eastAsia="Arial" w:hAnsi="Arial"/>
          <w:sz w:val="16"/>
          <w:szCs w:val="16"/>
          <w:color w:val="auto"/>
        </w:rPr>
        <w:t>Help the environment by consenting to receive electronic delivery, sign up at www.envisionreports.com/HURN</w:t>
      </w:r>
    </w:p>
    <w:p>
      <w:pPr>
        <w:spacing w:after="0" w:line="183"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00" w:lineRule="exact"/>
        <w:rPr>
          <w:sz w:val="20"/>
          <w:szCs w:val="20"/>
          <w:color w:val="auto"/>
        </w:rPr>
      </w:pPr>
    </w:p>
    <w:p>
      <w:pPr>
        <w:spacing w:after="0" w:line="267" w:lineRule="exact"/>
        <w:rPr>
          <w:sz w:val="20"/>
          <w:szCs w:val="20"/>
          <w:color w:val="auto"/>
        </w:rPr>
      </w:pPr>
    </w:p>
    <w:p>
      <w:pPr>
        <w:ind w:left="320"/>
        <w:spacing w:after="0"/>
        <w:tabs>
          <w:tab w:leader="none" w:pos="10740" w:val="left"/>
        </w:tabs>
        <w:rPr>
          <w:sz w:val="20"/>
          <w:szCs w:val="20"/>
          <w:color w:val="auto"/>
        </w:rPr>
      </w:pPr>
      <w:r>
        <w:rPr>
          <w:rFonts w:ascii="Arial" w:cs="Arial" w:eastAsia="Arial" w:hAnsi="Arial"/>
          <w:sz w:val="25"/>
          <w:szCs w:val="25"/>
          <w:b w:val="1"/>
          <w:bCs w:val="1"/>
          <w:color w:val="auto"/>
        </w:rPr>
        <w:t>Huron Consulting Group Inc.</w:t>
      </w:r>
      <w:r>
        <w:rPr>
          <w:sz w:val="20"/>
          <w:szCs w:val="20"/>
          <w:color w:val="auto"/>
        </w:rPr>
        <w:tab/>
      </w:r>
      <w:r>
        <w:rPr>
          <w:rFonts w:ascii="Arial" w:cs="Arial" w:eastAsia="Arial" w:hAnsi="Arial"/>
          <w:sz w:val="41"/>
          <w:szCs w:val="4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-280035</wp:posOffset>
            </wp:positionV>
            <wp:extent cx="6629400" cy="3346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29400" cy="334645"/>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Notice of 2019 Annual Meeting of Stockholders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Proxy Solicited by Board of Directors for Annual Meeting — Friday, May 3, 2019</w:t>
      </w:r>
    </w:p>
    <w:p>
      <w:pPr>
        <w:spacing w:after="0" w:line="12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James H. Roth and Diane E. Ratekin, or any of them, each with the power of substitution, are hereby authorized to represent and vote the shares of the undersigned, with all the powers which the undersigned would possess if personally present, at the Annual Meeting of Stockholders of Huron Consulting Group Inc. to be held on May 3, 2019 or at any postponement or adjournment thereof.</w:t>
      </w:r>
    </w:p>
    <w:p>
      <w:pPr>
        <w:spacing w:after="0" w:line="69" w:lineRule="exact"/>
        <w:rPr>
          <w:sz w:val="20"/>
          <w:szCs w:val="20"/>
          <w:color w:val="auto"/>
        </w:rPr>
      </w:pPr>
    </w:p>
    <w:p>
      <w:pPr>
        <w:ind w:left="200" w:right="160"/>
        <w:spacing w:after="0" w:line="282" w:lineRule="auto"/>
        <w:rPr>
          <w:sz w:val="20"/>
          <w:szCs w:val="20"/>
          <w:color w:val="auto"/>
        </w:rPr>
      </w:pPr>
      <w:r>
        <w:rPr>
          <w:rFonts w:ascii="Arial" w:cs="Arial" w:eastAsia="Arial" w:hAnsi="Arial"/>
          <w:sz w:val="18"/>
          <w:szCs w:val="18"/>
          <w:b w:val="1"/>
          <w:bCs w:val="1"/>
          <w:color w:val="auto"/>
        </w:rPr>
        <w:t>Shares represented by this proxy will be voted by the stockholder. If no such directions are indicated, the Proxies will have authority to vote FOR the election of all nominees and FOR items 2 through 4.</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11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(Items to be voted appear on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 w:hanging="280"/>
        <w:spacing w:after="0"/>
        <w:tabs>
          <w:tab w:leader="none" w:pos="520" w:val="left"/>
        </w:tabs>
        <w:numPr>
          <w:ilvl w:val="0"/>
          <w:numId w:val="67"/>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040"/>
          </w:cols>
          <w:pgMar w:left="240" w:top="459" w:right="619" w:bottom="1440" w:gutter="0" w:footer="0" w:header="0"/>
        </w:sectPr>
      </w:pPr>
    </w:p>
    <w:p>
      <w:pPr>
        <w:spacing w:after="0" w:line="113" w:lineRule="exact"/>
        <w:rPr>
          <w:sz w:val="20"/>
          <w:szCs w:val="20"/>
          <w:color w:val="auto"/>
        </w:rPr>
      </w:pPr>
    </w:p>
    <w:p>
      <w:pPr>
        <w:ind w:left="200"/>
        <w:spacing w:after="0"/>
        <w:tabs>
          <w:tab w:leader="none" w:pos="484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r>
        <w:rPr>
          <w:sz w:val="20"/>
          <w:szCs w:val="20"/>
          <w:color w:val="auto"/>
        </w:rPr>
        <w:tab/>
      </w:r>
      <w:r>
        <w:rPr>
          <w:rFonts w:ascii="Arial" w:cs="Arial" w:eastAsia="Arial" w:hAnsi="Arial"/>
          <w:sz w:val="13"/>
          <w:szCs w:val="13"/>
          <w:b w:val="1"/>
          <w:bCs w:val="1"/>
          <w:color w:val="auto"/>
        </w:rPr>
        <w:t xml:space="preserve">Comments </w:t>
      </w:r>
      <w:r>
        <w:rPr>
          <w:rFonts w:ascii="Arial" w:cs="Arial" w:eastAsia="Arial" w:hAnsi="Arial"/>
          <w:sz w:val="13"/>
          <w:szCs w:val="13"/>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6350</wp:posOffset>
            </wp:positionV>
            <wp:extent cx="5539740" cy="3175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39740"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 Attendance</w:t>
      </w:r>
    </w:p>
    <w:p>
      <w:pPr>
        <w:spacing w:after="0" w:line="4" w:lineRule="exact"/>
        <w:rPr>
          <w:sz w:val="20"/>
          <w:szCs w:val="20"/>
          <w:color w:val="auto"/>
        </w:rPr>
      </w:pPr>
    </w:p>
    <w:p>
      <w:pPr>
        <w:spacing w:after="0" w:line="156" w:lineRule="exact"/>
        <w:rPr>
          <w:sz w:val="20"/>
          <w:szCs w:val="20"/>
          <w:color w:val="auto"/>
        </w:rPr>
      </w:pPr>
      <w:r>
        <w:rPr>
          <w:rFonts w:ascii="Arial" w:cs="Arial" w:eastAsia="Arial" w:hAnsi="Arial"/>
          <w:sz w:val="14"/>
          <w:szCs w:val="14"/>
          <w:color w:val="auto"/>
        </w:rPr>
        <w:t xml:space="preserve">Mark box to the right if </w:t>
      </w:r>
      <w:r>
        <w:rPr>
          <w:rFonts w:ascii="MS PGothic" w:cs="MS PGothic" w:eastAsia="MS PGothic" w:hAnsi="MS PGothic"/>
          <w:sz w:val="18"/>
          <w:szCs w:val="18"/>
          <w:color w:val="auto"/>
        </w:rPr>
        <w:t>☐</w:t>
      </w:r>
      <w:r>
        <w:rPr>
          <w:rFonts w:ascii="Arial" w:cs="Arial" w:eastAsia="Arial" w:hAnsi="Arial"/>
          <w:sz w:val="14"/>
          <w:szCs w:val="14"/>
          <w:color w:val="auto"/>
        </w:rPr>
        <w:t xml:space="preserve"> you plan to attend the Annual Meeting.</w:t>
      </w:r>
    </w:p>
    <w:p>
      <w:pPr>
        <w:spacing w:after="0" w:line="171" w:lineRule="exact"/>
        <w:rPr>
          <w:sz w:val="20"/>
          <w:szCs w:val="20"/>
          <w:color w:val="auto"/>
        </w:rPr>
      </w:pPr>
    </w:p>
    <w:p>
      <w:pPr>
        <w:sectPr>
          <w:pgSz w:w="11900" w:h="16838" w:orient="portrait"/>
          <w:cols w:equalWidth="0" w:num="2">
            <w:col w:w="8500" w:space="720"/>
            <w:col w:w="1820"/>
          </w:cols>
          <w:pgMar w:left="240" w:top="459" w:right="619" w:bottom="1440" w:gutter="0" w:footer="0" w:header="0"/>
          <w:type w:val="continuous"/>
        </w:sectPr>
      </w:pPr>
    </w:p>
    <w:p>
      <w:pPr>
        <w:ind w:left="420"/>
        <w:spacing w:after="0"/>
        <w:tabs>
          <w:tab w:leader="none" w:pos="10740" w:val="left"/>
        </w:tabs>
        <w:rPr>
          <w:sz w:val="20"/>
          <w:szCs w:val="20"/>
          <w:color w:val="auto"/>
        </w:rPr>
      </w:pPr>
      <w:r>
        <w:rPr>
          <w:rFonts w:ascii="MS PGothic" w:cs="MS PGothic" w:eastAsia="MS PGothic" w:hAnsi="MS PGothic"/>
          <w:sz w:val="41"/>
          <w:szCs w:val="41"/>
          <w:color w:val="auto"/>
        </w:rPr>
        <w:t>∎</w:t>
      </w:r>
      <w:r>
        <w:rPr>
          <w:sz w:val="20"/>
          <w:szCs w:val="20"/>
          <w:color w:val="auto"/>
        </w:rPr>
        <w:tab/>
      </w:r>
      <w:r>
        <w:rPr>
          <w:rFonts w:ascii="Arial" w:cs="Arial" w:eastAsia="Arial" w:hAnsi="Arial"/>
          <w:sz w:val="41"/>
          <w:szCs w:val="41"/>
          <w:b w:val="1"/>
          <w:bCs w:val="1"/>
          <w:color w:val="auto"/>
        </w:rPr>
        <w:t>+</w:t>
      </w:r>
    </w:p>
    <w:sectPr>
      <w:pgSz w:w="11900" w:h="16838" w:orient="portrait"/>
      <w:cols w:equalWidth="0" w:num="1">
        <w:col w:w="11040"/>
      </w:cols>
      <w:pgMar w:left="240" w:top="459"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lvl w:ilvl="1">
      <w:lvlJc w:val="left"/>
      <w:lvlText w:val="(%2)"/>
      <w:numFmt w:val="decimal"/>
      <w:start w:val="1"/>
    </w:lvl>
  </w:abstractNum>
  <w:abstractNum w:abstractNumId="3">
    <w:nsid w:val="440BADFC"/>
    <w:multiLevelType w:val="hybridMultilevel"/>
    <w:lvl w:ilvl="0">
      <w:lvlJc w:val="left"/>
      <w:lvlText w:val="(%1)"/>
      <w:numFmt w:val="decimal"/>
      <w:start w:val="2"/>
    </w:lvl>
  </w:abstractNum>
  <w:abstractNum w:abstractNumId="4">
    <w:nsid w:val="5072367"/>
    <w:multiLevelType w:val="hybridMultilevel"/>
    <w:lvl w:ilvl="0">
      <w:lvlJc w:val="left"/>
      <w:lvlText w:val="(%1)"/>
      <w:numFmt w:val="decimal"/>
      <w:start w:val="3"/>
    </w:lvl>
  </w:abstractNum>
  <w:abstractNum w:abstractNumId="5">
    <w:nsid w:val="3804823E"/>
    <w:multiLevelType w:val="hybridMultilevel"/>
    <w:lvl w:ilvl="0">
      <w:lvlJc w:val="left"/>
      <w:lvlText w:val="(%1)"/>
      <w:numFmt w:val="decimal"/>
      <w:start w:val="4"/>
    </w:lvl>
  </w:abstractNum>
  <w:abstractNum w:abstractNumId="6">
    <w:nsid w:val="77465F01"/>
    <w:multiLevelType w:val="hybridMultilevel"/>
    <w:lvl w:ilvl="0">
      <w:lvlJc w:val="left"/>
      <w:lvlText w:val="(%1)"/>
      <w:numFmt w:val="decimal"/>
      <w:start w:val="5"/>
    </w:lvl>
  </w:abstractNum>
  <w:abstractNum w:abstractNumId="7">
    <w:nsid w:val="7724C67E"/>
    <w:multiLevelType w:val="hybridMultilevel"/>
    <w:lvl w:ilvl="0">
      <w:lvlJc w:val="left"/>
      <w:lvlText w:val="☐"/>
      <w:numFmt w:val="bullet"/>
      <w:start w:val="1"/>
    </w:lvl>
    <w:lvl w:ilvl="1">
      <w:lvlJc w:val="left"/>
      <w:lvlText w:val="(%2)"/>
      <w:numFmt w:val="decimal"/>
      <w:start w:val="1"/>
    </w:lvl>
  </w:abstractNum>
  <w:abstractNum w:abstractNumId="8">
    <w:nsid w:val="5C482A97"/>
    <w:multiLevelType w:val="hybridMultilevel"/>
    <w:lvl w:ilvl="0">
      <w:lvlJc w:val="left"/>
      <w:lvlText w:val="(%1)"/>
      <w:numFmt w:val="decimal"/>
      <w:start w:val="2"/>
    </w:lvl>
  </w:abstractNum>
  <w:abstractNum w:abstractNumId="9">
    <w:nsid w:val="2463B9EA"/>
    <w:multiLevelType w:val="hybridMultilevel"/>
    <w:lvl w:ilvl="0">
      <w:lvlJc w:val="left"/>
      <w:lvlText w:val="(%1)"/>
      <w:numFmt w:val="decimal"/>
      <w:start w:val="3"/>
    </w:lvl>
  </w:abstractNum>
  <w:abstractNum w:abstractNumId="10">
    <w:nsid w:val="5E884ADC"/>
    <w:multiLevelType w:val="hybridMultilevel"/>
    <w:lvl w:ilvl="0">
      <w:lvlJc w:val="left"/>
      <w:lvlText w:val="(%1)"/>
      <w:numFmt w:val="decimal"/>
      <w:start w:val="4"/>
    </w:lvl>
  </w:abstractNum>
  <w:abstractNum w:abstractNumId="11">
    <w:nsid w:val="51EAD36B"/>
    <w:multiLevelType w:val="hybridMultilevel"/>
    <w:lvl w:ilvl="0">
      <w:lvlJc w:val="left"/>
      <w:lvlText w:val="1"/>
      <w:numFmt w:val="bullet"/>
      <w:start w:val="1"/>
    </w:lvl>
  </w:abstractNum>
  <w:abstractNum w:abstractNumId="12">
    <w:nsid w:val="2D517796"/>
    <w:multiLevelType w:val="hybridMultilevel"/>
    <w:lvl w:ilvl="0">
      <w:lvlJc w:val="left"/>
      <w:lvlText w:val="(%1)"/>
      <w:numFmt w:val="decimal"/>
      <w:start w:val="1"/>
    </w:lvl>
    <w:lvl w:ilvl="1">
      <w:lvlJc w:val="left"/>
      <w:lvlText w:val="•"/>
      <w:numFmt w:val="bullet"/>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decimal"/>
      <w:start w:val="5"/>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2"/>
      <w:numFmt w:val="bullet"/>
      <w:start w:val="1"/>
    </w:lvl>
  </w:abstractNum>
  <w:abstractNum w:abstractNumId="22">
    <w:nsid w:val="57E4CCAF"/>
    <w:multiLevelType w:val="hybridMultilevel"/>
    <w:lvl w:ilvl="0">
      <w:lvlJc w:val="left"/>
      <w:lvlText w:val="3"/>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4"/>
      <w:numFmt w:val="bullet"/>
      <w:start w:val="1"/>
    </w:lvl>
  </w:abstractNum>
  <w:abstractNum w:abstractNumId="26">
    <w:nsid w:val="6DE91B18"/>
    <w:multiLevelType w:val="hybridMultilevel"/>
    <w:lvl w:ilvl="0">
      <w:lvlJc w:val="left"/>
      <w:lvlText w:val="(%1)"/>
      <w:numFmt w:val="decimal"/>
      <w:start w:val="1"/>
    </w:lvl>
    <w:lvl w:ilvl="1">
      <w:lvlJc w:val="left"/>
      <w:lvlText w:val="(%2)"/>
      <w:numFmt w:val="lowerLetter"/>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1."/>
      <w:numFmt w:val="decimal"/>
      <w:start w:val="1"/>
    </w:lvl>
    <w:lvl w:ilvl="1">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5"/>
      <w:numFmt w:val="bullet"/>
      <w:start w:val="1"/>
    </w:lvl>
  </w:abstractNum>
  <w:abstractNum w:abstractNumId="39">
    <w:nsid w:val="520EEDD1"/>
    <w:multiLevelType w:val="hybridMultilevel"/>
    <w:lvl w:ilvl="0">
      <w:lvlJc w:val="left"/>
      <w:lvlText w:val="6"/>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decimal"/>
      <w:start w:val="1"/>
    </w:lvl>
    <w:lvl w:ilvl="1">
      <w:lvlJc w:val="left"/>
      <w:lvlText w:val="(%2)"/>
      <w:numFmt w:val="lowerLetter"/>
      <w:start w:val="1"/>
    </w:lvl>
  </w:abstractNum>
  <w:abstractNum w:abstractNumId="48">
    <w:nsid w:val="235BA861"/>
    <w:multiLevelType w:val="hybridMultilevel"/>
    <w:lvl w:ilvl="0">
      <w:lvlJc w:val="left"/>
      <w:lvlText w:val="%1"/>
      <w:numFmt w:val="decimal"/>
      <w:start w:val="1"/>
    </w:lvl>
    <w:lvl w:ilvl="1">
      <w:lvlJc w:val="left"/>
      <w:lvlText w:val="(%2)"/>
      <w:numFmt w:val="lowerLetter"/>
      <w:start w:val="3"/>
    </w:lvl>
  </w:abstractNum>
  <w:abstractNum w:abstractNumId="49">
    <w:nsid w:val="47398C89"/>
    <w:multiLevelType w:val="hybridMultilevel"/>
    <w:lvl w:ilvl="0">
      <w:lvlJc w:val="left"/>
      <w:lvlText w:val="(%1)"/>
      <w:numFmt w:val="decimal"/>
      <w:start w:val="3"/>
    </w:lvl>
    <w:lvl w:ilvl="1">
      <w:lvlJc w:val="left"/>
      <w:lvlText w:val="%2"/>
      <w:numFmt w:val="lowerLetter"/>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8"/>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1."/>
      <w:numFmt w:val="decimal"/>
      <w:start w:val="2"/>
    </w:lvl>
  </w:abstractNum>
  <w:abstractNum w:abstractNumId="61">
    <w:nsid w:val="5FF87E05"/>
    <w:multiLevelType w:val="hybridMultilevel"/>
    <w:lvl w:ilvl="0">
      <w:lvlJc w:val="left"/>
      <w:lvlText w:val="A"/>
      <w:numFmt w:val="bullet"/>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2"/>
    </w:lvl>
  </w:abstractNum>
  <w:abstractNum w:abstractNumId="64">
    <w:nsid w:val="1DBABF00"/>
    <w:multiLevelType w:val="hybridMultilevel"/>
    <w:lvl w:ilvl="0">
      <w:lvlJc w:val="left"/>
      <w:lvlText w:val="%1."/>
      <w:numFmt w:val="decimal"/>
      <w:start w:val="4"/>
    </w:lvl>
  </w:abstractNum>
  <w:abstractNum w:abstractNumId="65">
    <w:nsid w:val="4AD084E9"/>
    <w:multiLevelType w:val="hybridMultilevel"/>
    <w:lvl w:ilvl="0">
      <w:lvlJc w:val="left"/>
      <w:lvlText w:val="B"/>
      <w:numFmt w:val="bullet"/>
      <w:start w:val="1"/>
    </w:lvl>
  </w:abstractNum>
  <w:abstractNum w:abstractNumId="66">
    <w:nsid w:val="1F48EAA1"/>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2019-12-03T21:53:38Z</dcterms:created>
  <dcterms:modified xsi:type="dcterms:W3CDTF">2019-12-03T21:53:38Z</dcterms:modified>
</cp:coreProperties>
</file>