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r>
        <w:rPr>
          <w:rFonts w:ascii="Arial" w:cs="Arial" w:eastAsia="Arial" w:hAnsi="Arial"/>
          <w:sz w:val="43"/>
          <w:szCs w:val="43"/>
          <w:b w:val="1"/>
          <w:bCs w:val="1"/>
          <w:color w:val="auto"/>
        </w:rPr>
        <w: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2000" w:type="dxa"/>
            <w:vAlign w:val="bottom"/>
          </w:tcPr>
          <w:p>
            <w:pPr>
              <w:jc w:val="center"/>
              <w:ind w:right="62"/>
              <w:spacing w:after="0"/>
              <w:rPr>
                <w:sz w:val="20"/>
                <w:szCs w:val="20"/>
                <w:color w:val="auto"/>
              </w:rPr>
            </w:pPr>
            <w:r>
              <w:rPr>
                <w:rFonts w:ascii="Arial" w:cs="Arial" w:eastAsia="Arial" w:hAnsi="Arial"/>
                <w:sz w:val="18"/>
                <w:szCs w:val="18"/>
                <w:b w:val="1"/>
                <w:bCs w:val="1"/>
                <w:color w:val="auto"/>
                <w:w w:val="93"/>
              </w:rPr>
              <w:t>Delaware</w:t>
            </w:r>
          </w:p>
        </w:tc>
        <w:tc>
          <w:tcPr>
            <w:tcW w:w="5400" w:type="dxa"/>
            <w:vAlign w:val="bottom"/>
          </w:tcPr>
          <w:p>
            <w:pPr>
              <w:jc w:val="center"/>
              <w:ind w:left="3899"/>
              <w:spacing w:after="0"/>
              <w:rPr>
                <w:sz w:val="20"/>
                <w:szCs w:val="20"/>
                <w:color w:val="auto"/>
              </w:rPr>
            </w:pPr>
            <w:r>
              <w:rPr>
                <w:rFonts w:ascii="Arial" w:cs="Arial" w:eastAsia="Arial" w:hAnsi="Arial"/>
                <w:sz w:val="18"/>
                <w:szCs w:val="18"/>
                <w:b w:val="1"/>
                <w:bCs w:val="1"/>
                <w:color w:val="auto"/>
                <w:w w:val="89"/>
              </w:rPr>
              <w:t>01-0666114</w:t>
            </w:r>
          </w:p>
        </w:tc>
      </w:tr>
      <w:tr>
        <w:trPr>
          <w:trHeight w:val="149"/>
        </w:trPr>
        <w:tc>
          <w:tcPr>
            <w:tcW w:w="20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400" w:type="dxa"/>
            <w:vAlign w:val="bottom"/>
          </w:tcPr>
          <w:p>
            <w:pPr>
              <w:jc w:val="center"/>
              <w:ind w:left="3899"/>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00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incorporation or organization)</w:t>
            </w:r>
          </w:p>
        </w:tc>
        <w:tc>
          <w:tcPr>
            <w:tcW w:w="5400" w:type="dxa"/>
            <w:vAlign w:val="bottom"/>
          </w:tcPr>
          <w:p>
            <w:pPr>
              <w:jc w:val="center"/>
              <w:ind w:left="3899"/>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2000" w:type="dxa"/>
            <w:vAlign w:val="bottom"/>
          </w:tcPr>
          <w:p>
            <w:pPr>
              <w:spacing w:after="0"/>
              <w:rPr>
                <w:sz w:val="24"/>
                <w:szCs w:val="24"/>
                <w:color w:val="auto"/>
              </w:rPr>
            </w:pPr>
          </w:p>
        </w:tc>
        <w:tc>
          <w:tcPr>
            <w:tcW w:w="5400" w:type="dxa"/>
            <w:vAlign w:val="bottom"/>
          </w:tcPr>
          <w:p>
            <w:pPr>
              <w:jc w:val="center"/>
              <w:ind w:right="1819"/>
              <w:spacing w:after="0"/>
              <w:rPr>
                <w:sz w:val="20"/>
                <w:szCs w:val="20"/>
                <w:color w:val="auto"/>
              </w:rPr>
            </w:pPr>
            <w:r>
              <w:rPr>
                <w:rFonts w:ascii="Arial" w:cs="Arial" w:eastAsia="Arial" w:hAnsi="Arial"/>
                <w:sz w:val="18"/>
                <w:szCs w:val="18"/>
                <w:b w:val="1"/>
                <w:bCs w:val="1"/>
                <w:color w:val="auto"/>
                <w:w w:val="89"/>
              </w:rPr>
              <w:t>550 West Van Buren Street</w:t>
            </w:r>
          </w:p>
        </w:tc>
      </w:tr>
      <w:tr>
        <w:trPr>
          <w:trHeight w:val="216"/>
        </w:trPr>
        <w:tc>
          <w:tcPr>
            <w:tcW w:w="2000" w:type="dxa"/>
            <w:vAlign w:val="bottom"/>
          </w:tcPr>
          <w:p>
            <w:pPr>
              <w:spacing w:after="0"/>
              <w:rPr>
                <w:sz w:val="18"/>
                <w:szCs w:val="18"/>
                <w:color w:val="auto"/>
              </w:rPr>
            </w:pPr>
          </w:p>
        </w:tc>
        <w:tc>
          <w:tcPr>
            <w:tcW w:w="54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Chicago, Illinois</w:t>
            </w:r>
          </w:p>
        </w:tc>
      </w:tr>
      <w:tr>
        <w:trPr>
          <w:trHeight w:val="212"/>
        </w:trPr>
        <w:tc>
          <w:tcPr>
            <w:tcW w:w="2000" w:type="dxa"/>
            <w:vAlign w:val="bottom"/>
          </w:tcPr>
          <w:p>
            <w:pPr>
              <w:spacing w:after="0"/>
              <w:rPr>
                <w:sz w:val="18"/>
                <w:szCs w:val="18"/>
                <w:color w:val="auto"/>
              </w:rPr>
            </w:pPr>
          </w:p>
        </w:tc>
        <w:tc>
          <w:tcPr>
            <w:tcW w:w="5400" w:type="dxa"/>
            <w:vAlign w:val="bottom"/>
          </w:tcPr>
          <w:p>
            <w:pPr>
              <w:jc w:val="right"/>
              <w:ind w:right="3339"/>
              <w:spacing w:after="0"/>
              <w:rPr>
                <w:sz w:val="20"/>
                <w:szCs w:val="20"/>
                <w:color w:val="auto"/>
              </w:rPr>
            </w:pPr>
            <w:r>
              <w:rPr>
                <w:rFonts w:ascii="Arial" w:cs="Arial" w:eastAsia="Arial" w:hAnsi="Arial"/>
                <w:sz w:val="18"/>
                <w:szCs w:val="18"/>
                <w:b w:val="1"/>
                <w:bCs w:val="1"/>
                <w:color w:val="auto"/>
              </w:rPr>
              <w:t>60607</w:t>
            </w:r>
          </w:p>
        </w:tc>
      </w:tr>
      <w:tr>
        <w:trPr>
          <w:trHeight w:val="149"/>
        </w:trPr>
        <w:tc>
          <w:tcPr>
            <w:tcW w:w="2000" w:type="dxa"/>
            <w:vAlign w:val="bottom"/>
          </w:tcPr>
          <w:p>
            <w:pPr>
              <w:spacing w:after="0"/>
              <w:rPr>
                <w:sz w:val="12"/>
                <w:szCs w:val="12"/>
                <w:color w:val="auto"/>
              </w:rPr>
            </w:pPr>
          </w:p>
        </w:tc>
        <w:tc>
          <w:tcPr>
            <w:tcW w:w="54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1"/>
              </w:rPr>
              <w:t>(Address of principal executive offices)</w:t>
            </w:r>
          </w:p>
        </w:tc>
      </w:tr>
      <w:tr>
        <w:trPr>
          <w:trHeight w:val="186"/>
        </w:trPr>
        <w:tc>
          <w:tcPr>
            <w:tcW w:w="2000" w:type="dxa"/>
            <w:vAlign w:val="bottom"/>
          </w:tcPr>
          <w:p>
            <w:pPr>
              <w:spacing w:after="0"/>
              <w:rPr>
                <w:sz w:val="16"/>
                <w:szCs w:val="16"/>
                <w:color w:val="auto"/>
              </w:rPr>
            </w:pPr>
          </w:p>
        </w:tc>
        <w:tc>
          <w:tcPr>
            <w:tcW w:w="54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2000" w:type="dxa"/>
            <w:vAlign w:val="bottom"/>
          </w:tcPr>
          <w:p>
            <w:pPr>
              <w:spacing w:after="0"/>
              <w:rPr>
                <w:sz w:val="24"/>
                <w:szCs w:val="24"/>
                <w:color w:val="auto"/>
              </w:rPr>
            </w:pPr>
          </w:p>
        </w:tc>
        <w:tc>
          <w:tcPr>
            <w:tcW w:w="5400" w:type="dxa"/>
            <w:vAlign w:val="bottom"/>
          </w:tcPr>
          <w:p>
            <w:pPr>
              <w:jc w:val="right"/>
              <w:ind w:right="2999"/>
              <w:spacing w:after="0"/>
              <w:rPr>
                <w:sz w:val="20"/>
                <w:szCs w:val="20"/>
                <w:color w:val="auto"/>
              </w:rPr>
            </w:pPr>
            <w:r>
              <w:rPr>
                <w:rFonts w:ascii="Arial" w:cs="Arial" w:eastAsia="Arial" w:hAnsi="Arial"/>
                <w:sz w:val="18"/>
                <w:szCs w:val="18"/>
                <w:b w:val="1"/>
                <w:bCs w:val="1"/>
                <w:color w:val="auto"/>
              </w:rPr>
              <w:t>(312) 583-8700</w:t>
            </w:r>
          </w:p>
        </w:tc>
      </w:tr>
      <w:tr>
        <w:trPr>
          <w:trHeight w:val="186"/>
        </w:trPr>
        <w:tc>
          <w:tcPr>
            <w:tcW w:w="2000" w:type="dxa"/>
            <w:vAlign w:val="bottom"/>
          </w:tcPr>
          <w:p>
            <w:pPr>
              <w:spacing w:after="0"/>
              <w:rPr>
                <w:sz w:val="16"/>
                <w:szCs w:val="16"/>
                <w:color w:val="auto"/>
              </w:rPr>
            </w:pPr>
          </w:p>
        </w:tc>
        <w:tc>
          <w:tcPr>
            <w:tcW w:w="54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70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tcPr>
          <w:p>
            <w:pPr>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70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tcPr>
          <w:p>
            <w:pPr>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8860" w:type="dxa"/>
            <w:vAlign w:val="bottom"/>
            <w:gridSpan w:val="2"/>
          </w:tcPr>
          <w:p>
            <w:pPr>
              <w:spacing w:after="0" w:line="207" w:lineRule="exact"/>
              <w:rPr>
                <w:sz w:val="20"/>
                <w:szCs w:val="20"/>
                <w:color w:val="auto"/>
              </w:rPr>
            </w:pPr>
            <w:r>
              <w:rPr>
                <w:rFonts w:ascii="Arial" w:cs="Arial" w:eastAsia="Arial" w:hAnsi="Arial"/>
                <w:sz w:val="18"/>
                <w:szCs w:val="18"/>
                <w:color w:val="auto"/>
                <w:w w:val="91"/>
              </w:rPr>
              <w:t xml:space="preserve">Indicate by check mark whether the registrant is a shell company (as defined in Rule 12b-2 of the Exchange Act).  Yes </w:t>
            </w:r>
            <w:r>
              <w:rPr>
                <w:rFonts w:ascii="MS PGothic" w:cs="MS PGothic" w:eastAsia="MS PGothic" w:hAnsi="MS PGothic"/>
                <w:sz w:val="18"/>
                <w:szCs w:val="18"/>
                <w:color w:val="auto"/>
                <w:w w:val="91"/>
              </w:rPr>
              <w:t>☐</w:t>
            </w:r>
          </w:p>
        </w:tc>
        <w:tc>
          <w:tcPr>
            <w:tcW w:w="21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304"/>
        </w:trPr>
        <w:tc>
          <w:tcPr>
            <w:tcW w:w="8860" w:type="dxa"/>
            <w:vAlign w:val="bottom"/>
            <w:gridSpan w:val="2"/>
          </w:tcPr>
          <w:p>
            <w:pPr>
              <w:spacing w:after="0"/>
              <w:rPr>
                <w:sz w:val="20"/>
                <w:szCs w:val="20"/>
                <w:color w:val="auto"/>
              </w:rPr>
            </w:pPr>
            <w:r>
              <w:rPr>
                <w:rFonts w:ascii="Arial" w:cs="Arial" w:eastAsia="Arial" w:hAnsi="Arial"/>
                <w:sz w:val="18"/>
                <w:szCs w:val="18"/>
                <w:color w:val="auto"/>
                <w:w w:val="89"/>
              </w:rPr>
              <w:t>Indicate the number of shares outstanding of each of the issuer’s classes of common stock, as of the latest practicable date.</w:t>
            </w: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w w:val="93"/>
              </w:rPr>
              <w:t>As of July 23, 2014, 23,497,997 shares of the registrant’s common stock, par value $0.01 per share, were outstanding.</w:t>
            </w: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70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708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2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20"/>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Financial Statements (Unaudited)</w:t>
              </w:r>
            </w:hyperlink>
          </w:p>
        </w:tc>
        <w:tc>
          <w:tcPr>
            <w:tcW w:w="636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78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78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Earnings and Other Comprehensive Income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Stockholders’ Equity</w:t>
              </w:r>
            </w:hyperlink>
          </w:p>
        </w:tc>
        <w:tc>
          <w:tcPr>
            <w:tcW w:w="1700" w:type="dxa"/>
            <w:vAlign w:val="bottom"/>
            <w:tcBorders>
              <w:top w:val="single" w:sz="8" w:color="0000EE"/>
            </w:tcBorders>
            <w:gridSpan w:val="3"/>
          </w:tcPr>
          <w:p>
            <w:pPr>
              <w:spacing w:after="0"/>
              <w:rPr>
                <w:sz w:val="17"/>
                <w:szCs w:val="17"/>
                <w:color w:val="auto"/>
              </w:rPr>
            </w:pPr>
          </w:p>
        </w:tc>
        <w:tc>
          <w:tcPr>
            <w:tcW w:w="46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78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78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542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978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43">
              <w:r>
                <w:rPr>
                  <w:rFonts w:ascii="Arial" w:cs="Arial" w:eastAsia="Arial" w:hAnsi="Arial"/>
                  <w:sz w:val="18"/>
                  <w:szCs w:val="18"/>
                  <w:b w:val="1"/>
                  <w:bCs w:val="1"/>
                  <w:color w:val="0000EE"/>
                  <w:w w:val="96"/>
                </w:rPr>
                <w:t>Part II – Other Information</w:t>
              </w:r>
            </w:hyperlink>
          </w:p>
        </w:tc>
        <w:tc>
          <w:tcPr>
            <w:tcW w:w="8860" w:type="dxa"/>
            <w:vAlign w:val="bottom"/>
            <w:gridSpan w:val="15"/>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Legal Proceedings</w:t>
              </w:r>
            </w:hyperlink>
          </w:p>
        </w:tc>
        <w:tc>
          <w:tcPr>
            <w:tcW w:w="844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978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9780" w:type="dxa"/>
            <w:vAlign w:val="bottom"/>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Defaults Upon Senior Securities</w:t>
              </w:r>
            </w:hyperlink>
          </w:p>
        </w:tc>
        <w:tc>
          <w:tcPr>
            <w:tcW w:w="544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746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802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978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760" w:type="dxa"/>
            <w:vAlign w:val="bottom"/>
            <w:tcBorders>
              <w:bottom w:val="single" w:sz="8" w:color="0000EE"/>
            </w:tcBorders>
          </w:tcPr>
          <w:p>
            <w:pPr>
              <w:spacing w:after="0"/>
              <w:rPr>
                <w:rFonts w:ascii="Arial" w:cs="Arial" w:eastAsia="Arial" w:hAnsi="Arial"/>
                <w:sz w:val="18"/>
                <w:szCs w:val="18"/>
                <w:b w:val="1"/>
                <w:bCs w:val="1"/>
                <w:color w:val="0000EE"/>
                <w:w w:val="89"/>
              </w:rPr>
            </w:pPr>
            <w:hyperlink w:anchor="page46">
              <w:r>
                <w:rPr>
                  <w:rFonts w:ascii="Arial" w:cs="Arial" w:eastAsia="Arial" w:hAnsi="Arial"/>
                  <w:sz w:val="18"/>
                  <w:szCs w:val="18"/>
                  <w:b w:val="1"/>
                  <w:bCs w:val="1"/>
                  <w:color w:val="0000EE"/>
                  <w:w w:val="89"/>
                </w:rPr>
                <w:t>Signature</w:t>
              </w:r>
            </w:hyperlink>
          </w:p>
        </w:tc>
        <w:tc>
          <w:tcPr>
            <w:tcW w:w="4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1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9,218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Receivables from clients, net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136,149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Unbilled services,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94,024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11,322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11,931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15,261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19,740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277,905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38,707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16,158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29,773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566,998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536,637</w:t>
            </w:r>
          </w:p>
        </w:tc>
        <w:tc>
          <w:tcPr>
            <w:tcW w:w="0" w:type="dxa"/>
            <w:vAlign w:val="bottom"/>
          </w:tcPr>
          <w:p>
            <w:pPr>
              <w:spacing w:after="0"/>
              <w:rPr>
                <w:sz w:val="1"/>
                <w:szCs w:val="1"/>
                <w:color w:val="auto"/>
              </w:rPr>
            </w:pP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929,541</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13,422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15,845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benefits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62,955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Bank borrowings, current portion</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26,250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consideration for business acquisitions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5,480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16,588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140,540</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Deferred compensation and other liabilities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10,003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borrowings, net of current portion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152,500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Deferred lease incentives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14,150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22,867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20,487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199,520</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$0.01 par value; 500,000,000 shares authorized; 25,558,342 and 25,246,565 shares issued at June 30, 2014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December 31, 2013, respectively</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Treasury stock, at cost, 2,066,921 and 1,993,769 shares at June 30, 2014 and December 31, 2013, respectively</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(92,412)</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(88,091)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452,429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229,802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175,763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589,481</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530,264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929,541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reimbursable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209,405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170,407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420,136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334,443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40,244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Total revenues and reimbursable expenses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230,546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188,530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460,380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367,902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8"/>
              </w:rPr>
              <w:t xml:space="preserve">Direct costs and reimbursable expenses </w:t>
            </w:r>
            <w:r>
              <w:rPr>
                <w:rFonts w:ascii="Arial" w:cs="Arial" w:eastAsia="Arial" w:hAnsi="Arial"/>
                <w:sz w:val="18"/>
                <w:szCs w:val="18"/>
                <w:color w:val="auto"/>
                <w:w w:val="98"/>
              </w:rPr>
              <w:t>(exclusive of depreciation and amortization shown 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Direct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124,289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102,869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247,899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208,997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 and software development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Reimbursable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20,899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18,118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40,330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33,469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direct costs and reimbursable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146,478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121,661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290,620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243,798</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 and other operating gains: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80,872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Litigation and other gains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6,267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4,877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12,323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9,656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 and other operating gains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93,918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72,212</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75,842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Interest expense, net of 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(2,965)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Total other expense,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(1,858)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73,222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12,685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12,877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19,183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54,039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54,039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27,142</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Net earnings per basic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Loss from discontinued operations, net of tax</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Net earnings per diluted share: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Loss from discontinued operations, net of tax</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Weighted average shares used in calculating earnings per share: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23,098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22,760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23,092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19,913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15,805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54,039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 (loss),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Unrealized gain (loss) on cash flow hedging instruments,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54,251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1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9"/>
              </w:rPr>
              <w:t>Common Stock</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Paid-In</w:t>
            </w: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228"/>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8"/>
              </w:rPr>
              <w:t>Capital</w:t>
            </w:r>
          </w:p>
        </w:tc>
        <w:tc>
          <w:tcPr>
            <w:tcW w:w="64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2013</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24,453,461</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245</w:t>
            </w: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(2,003,704)</w:t>
            </w:r>
          </w:p>
        </w:tc>
        <w:tc>
          <w:tcPr>
            <w:tcW w:w="1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$(88,091)</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443,144</w:t>
            </w:r>
          </w:p>
        </w:tc>
        <w:tc>
          <w:tcPr>
            <w:tcW w:w="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$ 175,763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(797)</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530,264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54,039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54,251</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in connection with:</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ind w:left="300"/>
              <w:spacing w:after="0" w:line="149" w:lineRule="exact"/>
              <w:rPr>
                <w:sz w:val="20"/>
                <w:szCs w:val="20"/>
                <w:color w:val="auto"/>
              </w:rPr>
            </w:pPr>
            <w:r>
              <w:rPr>
                <w:rFonts w:ascii="Arial" w:cs="Arial" w:eastAsia="Arial" w:hAnsi="Arial"/>
                <w:sz w:val="14"/>
                <w:szCs w:val="14"/>
                <w:color w:val="auto"/>
              </w:rPr>
              <w:t>Restricted stock awards, net of cancellations</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370,153</w:t>
            </w:r>
          </w:p>
        </w:tc>
        <w:tc>
          <w:tcPr>
            <w:tcW w:w="30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8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(26,798)</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1,177</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33,001</w:t>
            </w: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779</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12,264</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12,264</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redeemed for employee tax withholdings</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(47,792)</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(3,140)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(3,140)</w:t>
            </w:r>
          </w:p>
        </w:tc>
        <w:tc>
          <w:tcPr>
            <w:tcW w:w="0" w:type="dxa"/>
            <w:vAlign w:val="bottom"/>
          </w:tcPr>
          <w:p>
            <w:pPr>
              <w:spacing w:after="0"/>
              <w:rPr>
                <w:sz w:val="1"/>
                <w:szCs w:val="1"/>
                <w:color w:val="auto"/>
              </w:rPr>
            </w:pPr>
          </w:p>
        </w:tc>
      </w:tr>
      <w:tr>
        <w:trPr>
          <w:trHeight w:val="149"/>
        </w:trPr>
        <w:tc>
          <w:tcPr>
            <w:tcW w:w="4400" w:type="dxa"/>
            <w:vAlign w:val="bottom"/>
          </w:tcPr>
          <w:p>
            <w:pPr>
              <w:spacing w:after="0" w:line="149" w:lineRule="exact"/>
              <w:rPr>
                <w:sz w:val="20"/>
                <w:szCs w:val="20"/>
                <w:color w:val="auto"/>
              </w:rPr>
            </w:pPr>
            <w:r>
              <w:rPr>
                <w:rFonts w:ascii="Arial" w:cs="Arial" w:eastAsia="Arial" w:hAnsi="Arial"/>
                <w:sz w:val="14"/>
                <w:szCs w:val="14"/>
                <w:color w:val="auto"/>
              </w:rPr>
              <w:t>Income tax benefit on share-based compensation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4,602</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4,602</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repurchases</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(157,850)</w:t>
            </w: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(9,537)</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(9,539)</w:t>
            </w:r>
          </w:p>
        </w:tc>
        <w:tc>
          <w:tcPr>
            <w:tcW w:w="0" w:type="dxa"/>
            <w:vAlign w:val="bottom"/>
          </w:tcPr>
          <w:p>
            <w:pPr>
              <w:spacing w:after="0"/>
              <w:rPr>
                <w:sz w:val="1"/>
                <w:szCs w:val="1"/>
                <w:color w:val="auto"/>
              </w:rPr>
            </w:pPr>
          </w:p>
        </w:tc>
      </w:tr>
      <w:tr>
        <w:trPr>
          <w:trHeight w:val="156"/>
        </w:trPr>
        <w:tc>
          <w:tcPr>
            <w:tcW w:w="440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June 30, 2014</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24,698,765</w:t>
            </w:r>
          </w:p>
        </w:tc>
        <w:tc>
          <w:tcPr>
            <w:tcW w:w="1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247</w:t>
            </w:r>
          </w:p>
        </w:tc>
        <w:tc>
          <w:tcPr>
            <w:tcW w:w="1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(2,078,294</w:t>
            </w:r>
          </w:p>
        </w:tc>
        <w:tc>
          <w:tcPr>
            <w:tcW w:w="180" w:type="dxa"/>
            <w:vAlign w:val="bottom"/>
          </w:tcPr>
          <w:p>
            <w:pPr>
              <w:jc w:val="right"/>
              <w:ind w:right="48"/>
              <w:spacing w:after="0" w:line="155" w:lineRule="exact"/>
              <w:rPr>
                <w:sz w:val="20"/>
                <w:szCs w:val="20"/>
                <w:color w:val="auto"/>
              </w:rPr>
            </w:pPr>
            <w:r>
              <w:rPr>
                <w:rFonts w:ascii="Arial" w:cs="Arial" w:eastAsia="Arial" w:hAnsi="Arial"/>
                <w:sz w:val="14"/>
                <w:szCs w:val="14"/>
                <w:color w:val="auto"/>
                <w:w w:val="84"/>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(92,412</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452,429</w:t>
            </w:r>
          </w:p>
        </w:tc>
        <w:tc>
          <w:tcPr>
            <w:tcW w:w="1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$ 229,802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(585)</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589,481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Six Months Ended</w:t>
      </w:r>
    </w:p>
    <w:p>
      <w:pPr>
        <w:jc w:val="center"/>
        <w:ind w:left="95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54,039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15,071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10,273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Allowances for doubtful accounts and unbilled services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receivables from clients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(Increase) decrease in unbilled services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(37,220)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current income tax receivable / payable, net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(13,966)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(Increase) decrease in other assets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4,489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accounts payable and accrued liabilities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10,517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Increase (decrease) in accrued payroll and related benefits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(32,764)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deferred revenues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1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12,199</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Purchases of property and equipment, net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(11,433)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life insurance policies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Purchases of businesses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(51,391)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internally developed software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Proceeds from note receivable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(63,293)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(11,694)</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Shares redeemed for employee tax withholdings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(3,140)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share-based compensation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Share repurchases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(9,539)</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borrowings under credit facility</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74,000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Repayments on credit facility</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(64,000)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Payments for debt issue costs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Payments for capital lease obligations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Deferred payment for purchase of property and equipment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Deferred acquisition payment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(11,511)</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(48,913)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(20,554)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58,131</w:t>
            </w: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Property and equipment expenditures included in accounts payable and accrued expenses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2,039</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 related to business acquisitions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Huron Consulting Group is a leading provider of operational and financial consulting services. We help clients in diverse industries improve performance, transform the enterprise, reduce costs, leverage technology, process and review large amounts of complex data, address regulatory changes, recover from distress, and stimulate growth. Our professionals employ their expertise in finance, operations, strategy,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w:t>
      </w:r>
    </w:p>
    <w:p>
      <w:pPr>
        <w:spacing w:after="0" w:line="32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accompanying unaudited Consolidated Financial Statements reflect the financial position, results of operations, and cash flows as of and for the three and six months ended June 30, 2014 and 2013.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the Consolidated Financial Statements and notes thereto for the year ended December 31, 2013 included in our Annual Report on Form 10-K and our Quarterly Report on Form 10-Q for the period ended March 31, 2014.</w:t>
      </w:r>
    </w:p>
    <w:p>
      <w:pPr>
        <w:spacing w:after="0" w:line="17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Certain amounts reported in the previous year have been reclassified to conform to the 2014 presentation. Our results for any interim period are not necessarily indicative of results for a full year or any other interim period.</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the fourth quarter of 2013, we identified that accrued capital expenditures were incorrectly classified as Purchases of property and equipment, net within the investing activities section of the Consolidated Statements of Cash Flows. The Consolidated Statements of Cash Flows for the six months ended June 30, 2013 presented herein have been revised to reflect the correction of this error. The result of this correction was an increase in net cash used in investing activities of $0.4 million and an increase in net cash used in financing activities of $0.5 million in the first half of 2013 with an offsetting increase in net cash provided by operating activities of $0.9 million. This classification error was not considered material for any prior period.</w:t>
      </w:r>
    </w:p>
    <w:p>
      <w:pPr>
        <w:spacing w:after="0" w:line="31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June 2014, the Financial Accounting Standards Board (“FASB”) issued Accounting Standards Update (“ASU”) No. 2014-12, Accounting for Share-Based Payments When the Terms of an Award Provide That a Performance Target Could Be Achieved after the Requisite Service Period. This guidance requires that a performance target that affects vesting and could be achieved after the requisite service period be treated as a performance condition. A reporting entity should apply existing guidance in Accounting Standards Codification (“ASC”) 718, Compensation—Stock Compensation, as it relates to such awards. This guidance is effective for the Company beginning in the first quarter of 2016, with early adoption permitted. The amendments of ASU 2014-12 may be applied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with the cumulative effect of applying the amendments as an adjustment to the opening retained earnings balance as of the beginning of the earliest annual period presented in the financial statements. We are currently evaluating the potential effect of adopting this guidance but do not expect adoption to have a material impact on our consolidated financial statements.</w:t>
      </w:r>
    </w:p>
    <w:p>
      <w:pPr>
        <w:spacing w:after="0" w:line="1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May 2014, the FASB issued ASU No. 2014-09, Revenue from Contracts with Customers, as a new Topic, ASC Topic 606.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This guidance is effective for the Company beginning in the first quarter of 2017 and is to be applied retrospectively to each period presented or as a cumulative-effect adjustment as of the date of adoption. Early adoption is not permitted. We are currently evaluating the potential effect of adopting this guidance on our consolidated financial statements, as well as the transition methods.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 April 2014, the FASB issued ASU 2014-08, Presentation of Financial Statements (Topic 205) and Property, Plant, and Equipment (Topic 360), Reporting Discontinued Operations and Disclosures of Disposals of Components of an Entity. This guidance includes amendments that change the requirements for reporting discontinued operations and require additional disclosures about discontinued operations. Under the new guidance, only disposals representing a strategic shift in operations that has (or will have) a major effect on the entity’s operations and financial results should be presented as discontinued operations. Examples include a disposal of a major geographic area, a major line of business, a major equity method investment, or other major parts of an entity. Additionally, the revised guidance requires expanded disclosures in the financial statements for discontinued operations as well as for disposals of significant components of an entity that do not qualify for discontinued operations presentation. This guidance is effective for the Company beginning in the first quarter of 2015. We do not expect the adoption of this guidance to have a material impact on our consolidated financial statements.</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July 2013, the FASB issued ASU No. 2013-11, Presentation of an Unrecognized Tax Benefit When a Net Operating Loss Carryforward, a Similar Tax Loss, or a Tax Credit Carryforward Exists. This guidance requires that an unrecognized tax benefit, or a portion of an unrecognized tax benefit, be presented in the financial statements as either a reduction to a deferred tax asset or separately as a liability depending on the existence, availability and/or use of an operating loss carryforward, a similar tax loss, or a tax credit carryforward. The Company adopted ASU 2013-11 effective January 1, 2014. The adoption of this guidance did not have any effect on the Company’s consolidated financial statements.</w:t>
      </w:r>
    </w:p>
    <w:p>
      <w:pPr>
        <w:spacing w:after="0" w:line="1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March 2013, the FASB issued ASU No. 2013-05, Parent’s Accounting for the Cumulative Translation Adjustment Upon Derecognition of Certain Subsidiaries or Groups of Assets Within a Foreign Entity or of an Investment in a Foreign Entity, which amends current accounting guidance on foreign currency matters. This guidance requires that the entire amount of a cumulative translation adjustment related to an entity’s investment in a foreign entity should be released when there has been a: (i) sale of a subsidiary or group of net assets within a foreign entity and the sale represents the substantially complete liquidation of the investment in the foreign entity, (ii) loss of a controlling financial interest in an investment in a foreign entity, and (iii) step acquisition for a foreign entity. The Company adopted ASU 2013-05 effective January 1, 2014. The adoption of this guidance did not have any effect on the Company’s consolidated financial statements.</w:t>
      </w:r>
    </w:p>
    <w:p>
      <w:pPr>
        <w:spacing w:after="0" w:line="33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reportable segment for the six months ended June 30,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Huron</w:t>
            </w:r>
          </w:p>
        </w:tc>
        <w:tc>
          <w:tcPr>
            <w:tcW w:w="100" w:type="dxa"/>
            <w:vAlign w:val="bottom"/>
          </w:tcPr>
          <w:p>
            <w:pPr>
              <w:spacing w:after="0"/>
              <w:rPr>
                <w:sz w:val="14"/>
                <w:szCs w:val="14"/>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Huron</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Huron</w:t>
            </w:r>
          </w:p>
        </w:tc>
        <w:tc>
          <w:tcPr>
            <w:tcW w:w="300" w:type="dxa"/>
            <w:vAlign w:val="bottom"/>
          </w:tcPr>
          <w:p>
            <w:pPr>
              <w:spacing w:after="0"/>
              <w:rPr>
                <w:sz w:val="12"/>
                <w:szCs w:val="12"/>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Huron</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 Life</w:t>
            </w: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Business</w:t>
            </w:r>
          </w:p>
        </w:tc>
        <w:tc>
          <w:tcPr>
            <w:tcW w:w="12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2"/>
              </w:rPr>
              <w:t>Healthcare</w:t>
            </w:r>
          </w:p>
        </w:tc>
        <w:tc>
          <w:tcPr>
            <w:tcW w:w="3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Legal</w:t>
            </w: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Sciences</w:t>
            </w:r>
          </w:p>
        </w:tc>
        <w:tc>
          <w:tcPr>
            <w:tcW w:w="1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Advisory</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2013:</w:t>
            </w: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Goodwill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$355,880</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$53,159</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$ 111,504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159,077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$ 679,620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(142,983)</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(142,983)</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Goodwill, net as of December 31, 2013</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355,880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53,159</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111,504</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536,637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Goodwill recorded in connection with business combinations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21,708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Goodwill reallocation</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(16,744)</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16,744</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Goodwill, net as of June 30, 2014</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377,588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53,492</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102,906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$ 566,998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quarter of 2014, we reorganized our internal operating structure to better align our service offerings and moved our Enterprise Performance Management (“EPM”) practice (formerly referred to as Blue Stone International, a business which we acquired during the fourth quarter of 2013) from the Huron Education and Life Sciences segment to the Huron Business Advisory segment. As a result of this change, we reassigned the goodwill balance of the EPM practice, which totaled $16.7 million as of March 31, 2014, from the Huron Education and Life Sciences reporting unit to the EPM reporting unit, which is part of the Huron Business Advisory segment.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conjunction with the goodwill reassignment, we performed an interim impairment test for the goodwill balances within our Huron Education and Life Sciences and EPM reporting units as of March 31, 2014. Our goodwill impairment test was performed using the quantitative two-step process. Based on the results of the first step of the goodwill impairment test, we determined that the fair values of our Huron Education and Life Sciences and EPM reporting units exceeded their carrying values, including goodwill. As the fair value of each reporting unit exceeded its carrying value, including goodwill, the second step of the goodwill impairment test was not necessary.</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quarter of 2014, the Company completed the acquisition of The Frankel Group Associates LLC, a New York-based life sciences consulting firm, within the Huron Education and Life Sciences segment. The acquisition date fair value of the consideration transferred totaled $18.0 million, which included the fair value of contingent consideration of $0.6 million. As part of the purchase price allocation, we recorded $5.7 million of intangible assets and $8.3 million of goodwill.</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second quarter of 2014, the Company completed the acquisition of Vonlay, LLC, a healthcare technology consulting firm, within the Huron Healthcare segment. The preliminary fair value of the consideration transferred totaled $34.0 million. We have recognized the acquired assets and assumed liabilities of Vonlay based on our preliminary estimates of their acquisition date fair values including $8.3 million of intangible assets and $21.7 million of goodwill.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2014 and December 31, 2013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Useful</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0"/>
              </w:rPr>
              <w:t>June 30, 2014</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December 31, 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5"/>
              </w:rPr>
              <w:t>Gross</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Life in</w:t>
            </w: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Years</w:t>
            </w: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Amount</w:t>
            </w:r>
          </w:p>
        </w:tc>
        <w:tc>
          <w:tcPr>
            <w:tcW w:w="3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9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3 to 13</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42,010</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17,664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31,946</w:t>
            </w:r>
          </w:p>
        </w:tc>
        <w:tc>
          <w:tcPr>
            <w:tcW w:w="2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14,814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agreements</w:t>
            </w: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1 to 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5,480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Trade names</w:t>
            </w: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1 to 8</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software</w:t>
            </w: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3 to 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4,041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Document reviewer database</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License</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56,308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26,535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42,776</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Identifiable intangible assets with finite lives are amortized over their estimated useful lives. The majority of customer relationships are amortized on an accelerated basis to correspond to the cash flows expected to be derived from the relationships. All other intangible assets are amortized on a straight-line basis.</w:t>
      </w:r>
    </w:p>
    <w:p>
      <w:pPr>
        <w:spacing w:after="0" w:line="18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Intangible assets amortization expense was $2.9 million and $5.4 million for the three and six months ended June 30, 2014, respectively. Intangible asset amortization expense was $1.5 million and $2.9 million for the three and six months ended June 30, 2013, respectively. Estimated annual intangible assets amortization expense is $11.0 million for 2014, $8.4 million for 2015, $6.0 million for 2016, $4.3 million for 2017, $3.0 million for 2018, and $1.4 million for 2019. Actual future amortization expense could differ from these estimated amounts as a result of future acquisitions and other factors.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Earnings per share under the basic and diluted computations are as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19,913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54,039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19,913</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15,805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54,039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27,142</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22,645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22,351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22,617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equivalents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23,098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22,760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23,092</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basic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0.88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diluted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0.86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computation of diluted earnings per share excludes unvested restricted common stock, outstanding options and other common stock equivalents in periods where inclusion of such potential common stock instruments would be anti-dilutive. The weighted average common stock equivalents presented above do not include the effect of approximately 2,300 and 77,100 common stock equivalents for the three months ended June 30, 2014 and 2013, respectively, and approximately 4,600 and 78,900 common stock equivalents for the six months ended June 30, 2014 and 2013, respectively, because their inclusion would be anti-dilutive.</w:t>
      </w:r>
    </w:p>
    <w:p>
      <w:pPr>
        <w:spacing w:after="0" w:line="33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During 2011, the Company and certain of the Company’s subsidiaries as guarantors entered into an Amended and Restated Credit Agreement with various financial institutions, as amended by the first, second, third, and fourth amendments to the credit agreement dated as of August 31, 2012, September 25, 2013, February 14, 2014, and June 27, 2014 respectively (as amended and modified, the “2011 Credit Agreement”).</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obligations under the 2011 Credit Agreement are secured pursuant to a Security Agreement with Bank of America, N.A. as Collateral Agent. The Security Agreement grants Bank of America, N.A., for the ratable benefit of the lenders under the 2011 Credit Agreement, a first-priority lien, subject to permitted liens, on substantially all of the personal property assets of the 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the date of the second amendment to the credit agreement, the Term Loan had a principal amount outstanding of $181.3 million. This principal balance is subject to scheduled quarterly amortization payments that began in 2013. The aggregate annual quarterly amortization payments, expressed as a percentage of the original principal balance, are as follows: 6.9% in 2013, 13.8% in 2014, 15.8% in 2015, 16.6% in 2016, 16.6% in 2017, and 30.3% in 2018, as set forth in the 2011 Credit Agreement. The maturity date for the Term Loan is September 25, 2018, at which time the outstanding principal balance and all accrued interest will be due and payable in full. All outstanding borrowings under the Revolver, as amended, will be due upon expiration of the 2011 Credit Agreement on September 25, 2018. As of June 30, 2014, the Company has made all scheduled quarterly amortization payments as they have come due in accordance with the Term Loan.</w:t>
      </w:r>
    </w:p>
    <w:p>
      <w:pPr>
        <w:spacing w:after="0" w:line="18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2011 Credit Agreement contains quarterly financial covenants that require us to maintain a minimum fixed charge coverage ratio of 2.25 to 1.00 and a maximum leverage ratio that varies throughout the term and was 3.00 to 1.00 as of June 30, 2014, as those ratios are defined therein, as well as a minimum net worth greater than $150 million. At June 30, 2014, we were in compliance with these financial covenants with a fixed charge coverage ratio of 4.91 to 1.00, a leverage ratio of 0.97 to 1.00, and net worth greater than $150 million. At December 31, 2013, we were also in compliance with these financial debt covenants.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borrowing capacity under the 2011 Credit Agreement is reduced by any outstanding letters of credit and payments under the Term Loan. At June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2014, outstanding letters of credit totaled $5.3 million and are primarily used as security deposits for our office facilities. As of June 30, 2014, the unused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borrowing capacity under the 2011 Credit Agreement was $219.7 million. Borrowings outstanding under this credit facility at June 30, 2014 totaled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$178.8 million. These borrowings carried a weighted average interest rate of 2.2%, including the effect of the interest rate swaps described below in Note 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“Derivative Instruments and Hedging Activity.” Borrowings outstanding at December 31, 2013 were $168.8 million and carried a weighted average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rate of 2.0%.</w:t>
      </w:r>
    </w:p>
    <w:p>
      <w:pPr>
        <w:spacing w:after="0" w:line="35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second quarter of 2014, we incurred a $1.0 million pretax restructuring charge related to the consolidation of office spaces in Chicago, New York, and London. Of the total $1.0 million charge, $0.6 million related to the accrual of our remaining lease obligations at vacated spaces, net of estimated sublease income, and $0.4 million related to accelerated depreciation of assets disposed as a result of the space consolidation. The vacated locations in Chicago and New York were acquired as part of business acquisitions during 2013 and 2014. During the first quarter of 2014, we incurred a $0.1 million pretax restructuring charge related to workforce reductions in our London office to better align our resources with market demand in our Huron Legal segment.</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second quarter of 2013, we incurred a $0.6 million pretax restructuring charge related to the consolidation of office space in Washington, D.C. The charge primarily consisted of the accrual of remaining lease payments for an office we vacated during the second quarter of 2013. We did not incur a restructuring charge during the first quarter of 2013.</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June 30, 2014, our restructuring charge liability is $0.6 million, and primarily consists of the present value of remaining lease payments for our vacated office spaces in Chicago, London, New York, San Francisco, and Washington, D.C. The restructuring charge liability is included as a component of Accrued expenses and Deferred compensation and other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Activity</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in Note 6 “Borrowings.”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30, 2012, we entered into an amortizing interest rate swap agreement effective on May 31, 2012 and ending on April 14, 2016. We entered into this derivative instrument to further hedge against the interest rate risks of our variable-rate borrowings.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The swap has an initial notional amount of $60.0 million and amortizes such that, collectively with our other two interest rate swaps, we are effectively fixing the interest rate on 80% of our Term Loan borrowings throughout the term of the swap agreement. Under the terms of the interest rate swap agreement, we will receive from the counterparty interest on the notional amount based on one-month LIBOR and we will pay to the counterparty a fixed rate of 0.985%.</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ASC Topic 815, “Derivatives and Hedging,” requires companies to recognize all derivative instruments as either assets or liabilities at fair value on the balance sheet. In accordance with ASC Topic 815, we have designated these derivative instruments as cash flow hedges. As such,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June 30, 2014, it was anticipated that $0.5 million of the losses, net of tax, currently recorded in accumulated other comprehensive loss will be reclassified into earnings within the next 12 months. Our interest rate swap agreements were effective during the three and six months ended June 30, 2014.</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table below sets forth additional information relating to these interest rate swaps designated as cash flow hedging instruments as of June 30, 2014 and December 31, 2013.</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5"/>
          </w:tcPr>
          <w:p>
            <w:pPr>
              <w:ind w:left="280"/>
              <w:spacing w:after="0"/>
              <w:rPr>
                <w:sz w:val="20"/>
                <w:szCs w:val="20"/>
                <w:color w:val="auto"/>
              </w:rPr>
            </w:pPr>
            <w:r>
              <w:rPr>
                <w:rFonts w:ascii="Arial" w:cs="Arial" w:eastAsia="Arial" w:hAnsi="Arial"/>
                <w:sz w:val="14"/>
                <w:szCs w:val="14"/>
                <w:b w:val="1"/>
                <w:bCs w:val="1"/>
                <w:color w:val="auto"/>
              </w:rPr>
              <w:t>Fair Value (Derivative Asset and Liability)</w:t>
            </w:r>
          </w:p>
        </w:tc>
        <w:tc>
          <w:tcPr>
            <w:tcW w:w="0" w:type="dxa"/>
            <w:vAlign w:val="bottom"/>
          </w:tcPr>
          <w:p>
            <w:pPr>
              <w:spacing w:after="0"/>
              <w:rPr>
                <w:sz w:val="1"/>
                <w:szCs w:val="1"/>
                <w:color w:val="auto"/>
              </w:rPr>
            </w:pPr>
          </w:p>
        </w:tc>
      </w:tr>
      <w:tr>
        <w:trPr>
          <w:trHeight w:val="11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10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20"/>
              <w:spacing w:after="0" w:line="119" w:lineRule="exact"/>
              <w:rPr>
                <w:sz w:val="20"/>
                <w:szCs w:val="20"/>
                <w:color w:val="auto"/>
              </w:rPr>
            </w:pPr>
            <w:r>
              <w:rPr>
                <w:rFonts w:ascii="Arial" w:cs="Arial" w:eastAsia="Arial" w:hAnsi="Arial"/>
                <w:sz w:val="13"/>
                <w:szCs w:val="13"/>
                <w:b w:val="1"/>
                <w:bCs w:val="1"/>
                <w:color w:val="auto"/>
              </w:rPr>
              <w:t>June 30,</w:t>
            </w:r>
          </w:p>
        </w:tc>
        <w:tc>
          <w:tcPr>
            <w:tcW w:w="10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518"/>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Other non-current</w:t>
            </w:r>
          </w:p>
        </w:tc>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864</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and other liabilities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All of the Company’s derivative instruments are transacted under the International Swaps and Derivatives Association (ISDA) master agreements. These agreements permit the net settlement of amounts owed in the event of default and certain other termination events. Although netting is permitted, it is the Company’s policy to record all derivative assets and liabilities on a gross basis on the Consolidated Balance Sheets. All of the Company’s derivative instruments as of June 30, 2014 and December 31, 2013 were held with the same counterparty.</w:t>
      </w:r>
    </w:p>
    <w:p>
      <w:pPr>
        <w:spacing w:after="0" w:line="17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do not use derivative instruments for trading or other speculative purposes, and we did not have any other derivative instruments or hedging activities as of June 30, 2014. Refer to Note 10 “Other Comprehensive Income (Loss)” for additional information on our derivative instruments.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of our assets and liabilities are measured at fair value. ASC Topic 820, “Fair Value Measurements and Disclosures,” defines fair value as the price that would be received to sell an asset or the price that would be paid to transfer a liability in an orderly transaction between market participants at the measurement date. ASC Topic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459" w:right="239"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Quoted prices in active markets for identical assets or liabilities that the reporting entity has the ability to access at the measurement date.</w:t>
      </w:r>
    </w:p>
    <w:p>
      <w:pPr>
        <w:spacing w:after="0" w:line="140" w:lineRule="exact"/>
        <w:rPr>
          <w:sz w:val="20"/>
          <w:szCs w:val="20"/>
          <w:color w:val="auto"/>
        </w:rPr>
      </w:pPr>
    </w:p>
    <w:p>
      <w:pPr>
        <w:sectPr>
          <w:pgSz w:w="11900" w:h="16838" w:orient="portrait"/>
          <w:cols w:equalWidth="0" w:num="2">
            <w:col w:w="1040" w:space="340"/>
            <w:col w:w="100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ind w:right="100"/>
        <w:spacing w:after="0" w:line="264"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73" w:lineRule="exact"/>
        <w:rPr>
          <w:sz w:val="20"/>
          <w:szCs w:val="20"/>
          <w:color w:val="auto"/>
        </w:rPr>
      </w:pPr>
    </w:p>
    <w:p>
      <w:pPr>
        <w:sectPr>
          <w:pgSz w:w="11900" w:h="16838" w:orient="portrait"/>
          <w:cols w:equalWidth="0" w:num="2">
            <w:col w:w="1040" w:space="340"/>
            <w:col w:w="100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Unobservable inputs for the asset or liability, and include situations in which there is little, if any, market activity for the asset or liability.</w:t>
      </w:r>
    </w:p>
    <w:p>
      <w:pPr>
        <w:spacing w:after="0" w:line="200" w:lineRule="exact"/>
        <w:rPr>
          <w:sz w:val="20"/>
          <w:szCs w:val="20"/>
          <w:color w:val="auto"/>
        </w:rPr>
      </w:pPr>
    </w:p>
    <w:p>
      <w:pPr>
        <w:sectPr>
          <w:pgSz w:w="11900" w:h="16838" w:orient="portrait"/>
          <w:cols w:equalWidth="0" w:num="2">
            <w:col w:w="1040" w:space="340"/>
            <w:col w:w="10040"/>
          </w:cols>
          <w:pgMar w:left="240" w:top="459" w:right="239" w:bottom="1440" w:gutter="0" w:footer="0" w:header="0"/>
          <w:type w:val="continuous"/>
        </w:sectPr>
      </w:pPr>
    </w:p>
    <w:p>
      <w:pPr>
        <w:spacing w:after="0" w:line="4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 The carrying values of our bank borrowings reported in the Consolidated Balance Sheets approximate fair value, using level 2 inputs, since they bear interest at variable rates based on market rates as set forth in the 2011 Credit Agreement. Refer to Note 6 “Borrowings.”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June 30, 2014 and December 31, 2013.</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Quoted Prices</w:t>
            </w:r>
          </w:p>
        </w:tc>
        <w:tc>
          <w:tcPr>
            <w:tcW w:w="640" w:type="dxa"/>
            <w:vAlign w:val="bottom"/>
          </w:tcPr>
          <w:p>
            <w:pPr>
              <w:spacing w:after="0"/>
              <w:rPr>
                <w:sz w:val="14"/>
                <w:szCs w:val="14"/>
                <w:color w:val="auto"/>
              </w:rPr>
            </w:pPr>
          </w:p>
        </w:tc>
        <w:tc>
          <w:tcPr>
            <w:tcW w:w="13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4"/>
                <w:szCs w:val="14"/>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9"/>
              </w:rPr>
              <w:t>Significant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5"/>
              </w:rPr>
              <w:t>in Active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8"/>
              </w:rPr>
              <w:t>Markets for</w:t>
            </w:r>
          </w:p>
        </w:tc>
        <w:tc>
          <w:tcPr>
            <w:tcW w:w="640" w:type="dxa"/>
            <w:vAlign w:val="bottom"/>
          </w:tcPr>
          <w:p>
            <w:pPr>
              <w:spacing w:after="0"/>
              <w:rPr>
                <w:sz w:val="12"/>
                <w:szCs w:val="12"/>
                <w:color w:val="auto"/>
              </w:rPr>
            </w:pP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(Level 1)</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June 30, 2014</w:t>
            </w:r>
          </w:p>
        </w:tc>
        <w:tc>
          <w:tcPr>
            <w:tcW w:w="1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rate swaps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79"/>
              </w:rPr>
              <w:t>59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59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2,112</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Deferred acquisition payment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5,330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5,330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Contingent acquisition liability</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510</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5,990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rate swaps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3,156</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Deferred acquisition payment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5,177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5,177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5,760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part of the consideration received for the sale of our Accounting Advisory practice on December 30, 2011, the Company received a $3.5 million promissory note payable over four years. During the first quarter of 2014, we agreed to restructure the note to temporarily decrease the quarterly payment amounts, increase the interest rate and extend the term of the note to mature on October 31, 2017. During the second quarter of 2014, we agreed to amend and restate the note such that principal payments will be paid to the Company annually based on the amount of excess cash flows earned each year by the maker of the note until the maturity date of December 31, 2018, at which time the remaining principal balance and any accrued interest is due. The fair value of the note is based on the net present value of the projected cash flows using a discount rate of 17%, which accounts for the risks associated with the note. The decrease in the fair value of the note during the first six months of 2014 reflects principal payments received, the amendment of terms, and the increased discount rate of 17%, less the accretion of interest income in excess of interest payments received. The portion of the note expected to be received in the next twelve months is recorded as a receivable in Prepaid expenses and other current assets. The remaining portion of the note is recorded in Other non-current assets.</w:t>
      </w:r>
    </w:p>
    <w:p>
      <w:pPr>
        <w:spacing w:after="0" w:line="17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fair value of the interest rate swaps was derived using estimates to settle the interest rate swap agreements, which are based on the net present value of expected future cash flows on each leg of the swaps utilizing market-based inputs and discount rates reflecting the risks involved.</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Deferred acquisition payments are included in the total purchase consideration for certain business acquisitions the Company has completed and represent fixed future payments owed to the sellers of those businesses. The fair value of the deferred acquisition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payment is based on the two-year payment term and the net present value of expected cash flows using a discount rate of 6%. The increase in the fair value of the deferred acquisition payment during the first six months of 2014 reflects the accretion of interest expense in excess of interest payments made.</w:t>
      </w:r>
    </w:p>
    <w:p>
      <w:pPr>
        <w:spacing w:after="0" w:line="12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initial fair value of the contingent acquisition liability was calculated at the acquisition date using a probability weighted estimated payout based on assumptions used in our latest projections and discounted to fair value using a discount rate of 1.9%. On a quarterly basis, the contingent acquisition liability is remeasured at current fair value with any changes to the fair value recorded in earnings. During the three months ended June 30, 2014, we determined that the fair value of the contingent consideration liability decreased and recorded a remeasurement gain of $0.4 million. The fair value of the contingent acquisition liability is recorded in Accrued consideration for business acquisitions.</w:t>
      </w:r>
    </w:p>
    <w:p>
      <w:pPr>
        <w:spacing w:after="0" w:line="31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set forth the components of other comprehensive income (loss), net of tax, for the three and six months ended June 30, 2014 and 2013.</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38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202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June 30, 2014</w:t>
            </w:r>
          </w:p>
        </w:tc>
        <w:tc>
          <w:tcPr>
            <w:tcW w:w="4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0"/>
              </w:rPr>
              <w:t>June 30, 2013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560" w:type="dxa"/>
            <w:vAlign w:val="bottom"/>
            <w:gridSpan w:val="2"/>
            <w:vMerge w:val="restart"/>
          </w:tcPr>
          <w:p>
            <w:pPr>
              <w:jc w:val="center"/>
              <w:ind w:right="43"/>
              <w:spacing w:after="0"/>
              <w:rPr>
                <w:sz w:val="20"/>
                <w:szCs w:val="20"/>
                <w:color w:val="auto"/>
              </w:rPr>
            </w:pPr>
            <w:r>
              <w:rPr>
                <w:rFonts w:ascii="Arial" w:cs="Arial" w:eastAsia="Arial" w:hAnsi="Arial"/>
                <w:sz w:val="14"/>
                <w:szCs w:val="14"/>
                <w:b w:val="1"/>
                <w:bCs w:val="1"/>
                <w:color w:val="auto"/>
                <w:w w:val="90"/>
              </w:rPr>
              <w:t>Before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7"/>
              </w:rPr>
              <w:t>Tax</w:t>
            </w: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of</w:t>
            </w:r>
          </w:p>
        </w:tc>
        <w:tc>
          <w:tcPr>
            <w:tcW w:w="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Tax</w:t>
            </w: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0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(Expense)</w:t>
            </w:r>
          </w:p>
        </w:tc>
        <w:tc>
          <w:tcPr>
            <w:tcW w:w="760" w:type="dxa"/>
            <w:vAlign w:val="bottom"/>
            <w:gridSpan w:val="2"/>
            <w:vMerge w:val="continue"/>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(Expense)</w:t>
            </w: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60" w:type="dxa"/>
            <w:vAlign w:val="bottom"/>
            <w:gridSpan w:val="2"/>
          </w:tcPr>
          <w:p>
            <w:pPr>
              <w:jc w:val="center"/>
              <w:ind w:right="23"/>
              <w:spacing w:after="0"/>
              <w:rPr>
                <w:sz w:val="20"/>
                <w:szCs w:val="20"/>
                <w:color w:val="auto"/>
              </w:rPr>
            </w:pPr>
            <w:r>
              <w:rPr>
                <w:rFonts w:ascii="Arial" w:cs="Arial" w:eastAsia="Arial" w:hAnsi="Arial"/>
                <w:sz w:val="14"/>
                <w:szCs w:val="14"/>
                <w:b w:val="1"/>
                <w:bCs w:val="1"/>
                <w:color w:val="auto"/>
                <w:w w:val="85"/>
              </w:rPr>
              <w:t>Taxes</w:t>
            </w:r>
          </w:p>
        </w:tc>
        <w:tc>
          <w:tcPr>
            <w:tcW w:w="20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Benefit</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Taxes</w:t>
            </w:r>
          </w:p>
        </w:tc>
        <w:tc>
          <w:tcPr>
            <w:tcW w:w="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Taxes</w:t>
            </w:r>
          </w:p>
        </w:tc>
        <w:tc>
          <w:tcPr>
            <w:tcW w:w="18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w:t>
            </w:r>
          </w:p>
        </w:tc>
        <w:tc>
          <w:tcPr>
            <w:tcW w:w="2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2720" w:type="dxa"/>
            <w:vAlign w:val="bottom"/>
            <w:gridSpan w:val="3"/>
          </w:tcPr>
          <w:p>
            <w:pPr>
              <w:jc w:val="right"/>
              <w:ind w:right="43"/>
              <w:spacing w:after="0"/>
              <w:rPr>
                <w:sz w:val="20"/>
                <w:szCs w:val="20"/>
                <w:color w:val="auto"/>
              </w:rPr>
            </w:pPr>
            <w:r>
              <w:rPr>
                <w:rFonts w:ascii="Arial" w:cs="Arial" w:eastAsia="Arial" w:hAnsi="Arial"/>
                <w:sz w:val="18"/>
                <w:szCs w:val="18"/>
                <w:color w:val="auto"/>
              </w:rPr>
              <w:t>$ 498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$ 498</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  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cash flow hedges:</w:t>
            </w:r>
          </w:p>
        </w:tc>
        <w:tc>
          <w:tcPr>
            <w:tcW w:w="2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700"/>
              <w:spacing w:after="0"/>
              <w:rPr>
                <w:sz w:val="20"/>
                <w:szCs w:val="20"/>
                <w:color w:val="auto"/>
              </w:rPr>
            </w:pPr>
            <w:r>
              <w:rPr>
                <w:rFonts w:ascii="Arial" w:cs="Arial" w:eastAsia="Arial" w:hAnsi="Arial"/>
                <w:sz w:val="18"/>
                <w:szCs w:val="18"/>
                <w:color w:val="auto"/>
              </w:rPr>
              <w:t>Change in fair value</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 (511)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202</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$(309)</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882</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Reclassification adjustments into earnings</w:t>
            </w:r>
          </w:p>
        </w:tc>
        <w:tc>
          <w:tcPr>
            <w:tcW w:w="2720" w:type="dxa"/>
            <w:vAlign w:val="bottom"/>
            <w:gridSpan w:val="3"/>
            <w:shd w:val="clear" w:color="auto" w:fill="CCEEFF"/>
          </w:tcPr>
          <w:p>
            <w:pPr>
              <w:jc w:val="right"/>
              <w:ind w:right="43"/>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Net unrealized gain (loss)</w:t>
            </w:r>
          </w:p>
        </w:tc>
        <w:tc>
          <w:tcPr>
            <w:tcW w:w="21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(257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(156</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$ 616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w w:val="93"/>
              </w:rPr>
              <w:t>$ 241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$ 342</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1,115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6"/>
          </w:tcPr>
          <w:p>
            <w:pPr>
              <w:jc w:val="center"/>
              <w:ind w:left="174"/>
              <w:spacing w:after="0"/>
              <w:rPr>
                <w:sz w:val="20"/>
                <w:szCs w:val="20"/>
                <w:color w:val="auto"/>
              </w:rPr>
            </w:pPr>
            <w:r>
              <w:rPr>
                <w:rFonts w:ascii="Arial" w:cs="Arial" w:eastAsia="Arial" w:hAnsi="Arial"/>
                <w:sz w:val="14"/>
                <w:szCs w:val="14"/>
                <w:b w:val="1"/>
                <w:bCs w:val="1"/>
                <w:color w:val="auto"/>
                <w:w w:val="93"/>
              </w:rPr>
              <w:t>Six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June 30, 2014</w:t>
            </w:r>
          </w:p>
        </w:tc>
        <w:tc>
          <w:tcPr>
            <w:tcW w:w="4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0"/>
              </w:rPr>
              <w:t>June 30, 2013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560" w:type="dxa"/>
            <w:vAlign w:val="bottom"/>
            <w:gridSpan w:val="2"/>
            <w:vMerge w:val="restart"/>
          </w:tcPr>
          <w:p>
            <w:pPr>
              <w:jc w:val="center"/>
              <w:ind w:right="43"/>
              <w:spacing w:after="0"/>
              <w:rPr>
                <w:sz w:val="20"/>
                <w:szCs w:val="20"/>
                <w:color w:val="auto"/>
              </w:rPr>
            </w:pPr>
            <w:r>
              <w:rPr>
                <w:rFonts w:ascii="Arial" w:cs="Arial" w:eastAsia="Arial" w:hAnsi="Arial"/>
                <w:sz w:val="14"/>
                <w:szCs w:val="14"/>
                <w:b w:val="1"/>
                <w:bCs w:val="1"/>
                <w:color w:val="auto"/>
                <w:w w:val="90"/>
              </w:rPr>
              <w:t>Before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7"/>
              </w:rPr>
              <w:t>Tax</w:t>
            </w: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of</w:t>
            </w:r>
          </w:p>
        </w:tc>
        <w:tc>
          <w:tcPr>
            <w:tcW w:w="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Tax</w:t>
            </w: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0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(Expense)</w:t>
            </w:r>
          </w:p>
        </w:tc>
        <w:tc>
          <w:tcPr>
            <w:tcW w:w="760" w:type="dxa"/>
            <w:vAlign w:val="bottom"/>
            <w:gridSpan w:val="2"/>
            <w:vMerge w:val="continue"/>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(Expense)</w:t>
            </w: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60" w:type="dxa"/>
            <w:vAlign w:val="bottom"/>
            <w:gridSpan w:val="2"/>
          </w:tcPr>
          <w:p>
            <w:pPr>
              <w:jc w:val="center"/>
              <w:ind w:right="23"/>
              <w:spacing w:after="0"/>
              <w:rPr>
                <w:sz w:val="20"/>
                <w:szCs w:val="20"/>
                <w:color w:val="auto"/>
              </w:rPr>
            </w:pPr>
            <w:r>
              <w:rPr>
                <w:rFonts w:ascii="Arial" w:cs="Arial" w:eastAsia="Arial" w:hAnsi="Arial"/>
                <w:sz w:val="14"/>
                <w:szCs w:val="14"/>
                <w:b w:val="1"/>
                <w:bCs w:val="1"/>
                <w:color w:val="auto"/>
                <w:w w:val="85"/>
              </w:rPr>
              <w:t>Taxes</w:t>
            </w:r>
          </w:p>
        </w:tc>
        <w:tc>
          <w:tcPr>
            <w:tcW w:w="20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Benefit</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Taxes</w:t>
            </w:r>
          </w:p>
        </w:tc>
        <w:tc>
          <w:tcPr>
            <w:tcW w:w="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Taxes</w:t>
            </w:r>
          </w:p>
        </w:tc>
        <w:tc>
          <w:tcPr>
            <w:tcW w:w="18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w:t>
            </w:r>
          </w:p>
        </w:tc>
        <w:tc>
          <w:tcPr>
            <w:tcW w:w="2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2720" w:type="dxa"/>
            <w:vAlign w:val="bottom"/>
            <w:gridSpan w:val="3"/>
          </w:tcPr>
          <w:p>
            <w:pPr>
              <w:jc w:val="right"/>
              <w:ind w:right="43"/>
              <w:spacing w:after="0"/>
              <w:rPr>
                <w:sz w:val="20"/>
                <w:szCs w:val="20"/>
                <w:color w:val="auto"/>
              </w:rPr>
            </w:pPr>
            <w:r>
              <w:rPr>
                <w:rFonts w:ascii="Arial" w:cs="Arial" w:eastAsia="Arial" w:hAnsi="Arial"/>
                <w:sz w:val="18"/>
                <w:szCs w:val="18"/>
                <w:color w:val="auto"/>
              </w:rPr>
              <w:t>$ 392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$ 392</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 (957)</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cash flow hedges:</w:t>
            </w:r>
          </w:p>
        </w:tc>
        <w:tc>
          <w:tcPr>
            <w:tcW w:w="2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700"/>
              <w:spacing w:after="0"/>
              <w:rPr>
                <w:sz w:val="20"/>
                <w:szCs w:val="20"/>
                <w:color w:val="auto"/>
              </w:rPr>
            </w:pPr>
            <w:r>
              <w:rPr>
                <w:rFonts w:ascii="Arial" w:cs="Arial" w:eastAsia="Arial" w:hAnsi="Arial"/>
                <w:sz w:val="18"/>
                <w:szCs w:val="18"/>
                <w:color w:val="auto"/>
              </w:rPr>
              <w:t>Change in fair value</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$(682)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271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 (411)</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857</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Reclassification adjustments into earnings</w:t>
            </w:r>
          </w:p>
        </w:tc>
        <w:tc>
          <w:tcPr>
            <w:tcW w:w="2720" w:type="dxa"/>
            <w:vAlign w:val="bottom"/>
            <w:gridSpan w:val="3"/>
            <w:shd w:val="clear" w:color="auto" w:fill="CCEEFF"/>
          </w:tcPr>
          <w:p>
            <w:pPr>
              <w:jc w:val="right"/>
              <w:ind w:right="43"/>
              <w:spacing w:after="0"/>
              <w:rPr>
                <w:sz w:val="20"/>
                <w:szCs w:val="20"/>
                <w:color w:val="auto"/>
              </w:rPr>
            </w:pPr>
            <w:r>
              <w:rPr>
                <w:rFonts w:ascii="Arial" w:cs="Arial" w:eastAsia="Arial" w:hAnsi="Arial"/>
                <w:sz w:val="18"/>
                <w:szCs w:val="18"/>
                <w:color w:val="auto"/>
              </w:rPr>
              <w:t>384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Net unrealized gain (loss)</w:t>
            </w:r>
          </w:p>
        </w:tc>
        <w:tc>
          <w:tcPr>
            <w:tcW w:w="21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(298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(180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1,136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$ 684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$ 212</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(222)</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160" w:type="dxa"/>
            <w:vAlign w:val="bottom"/>
          </w:tcPr>
          <w:p>
            <w:pPr>
              <w:jc w:val="right"/>
              <w:ind w:right="970"/>
              <w:spacing w:after="0"/>
              <w:rPr>
                <w:sz w:val="20"/>
                <w:szCs w:val="20"/>
                <w:color w:val="auto"/>
              </w:rPr>
            </w:pPr>
            <w:r>
              <w:rPr>
                <w:rFonts w:ascii="Arial" w:cs="Arial" w:eastAsia="Arial" w:hAnsi="Arial"/>
                <w:sz w:val="18"/>
                <w:szCs w:val="18"/>
                <w:color w:val="auto"/>
              </w:rPr>
              <w:t>13</w:t>
            </w: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before tax amounts reclassified from accumulated other comprehensive loss related to our cash flow hedges are recorded to Interest expense, net of interest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net of tax, includes the following components: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Foreign Currency</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Net Unrealized</w:t>
            </w:r>
          </w:p>
        </w:tc>
        <w:tc>
          <w:tcPr>
            <w:tcW w:w="400" w:type="dxa"/>
            <w:vAlign w:val="bottom"/>
          </w:tcPr>
          <w:p>
            <w:pPr>
              <w:spacing w:after="0"/>
              <w:rPr>
                <w:sz w:val="14"/>
                <w:szCs w:val="14"/>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2"/>
                <w:szCs w:val="12"/>
                <w:color w:val="auto"/>
              </w:rPr>
            </w:pPr>
          </w:p>
        </w:tc>
        <w:tc>
          <w:tcPr>
            <w:tcW w:w="13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2"/>
              </w:rPr>
              <w:t>Losses on</w:t>
            </w:r>
          </w:p>
        </w:tc>
        <w:tc>
          <w:tcPr>
            <w:tcW w:w="4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0"/>
              </w:rPr>
              <w:t>Derivatives</w:t>
            </w:r>
          </w:p>
        </w:tc>
        <w:tc>
          <w:tcPr>
            <w:tcW w:w="4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6"/>
              </w:rPr>
              <w:t>Comprehensive Loss</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Current period change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(180)</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(261)</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Company’s effective tax rates for the three months ended June 30, 2014 and 2013 were 38.9% and 44.9%, respectively. The Company’s effective tax rates for the six months ended June 30, 2014 and 2013 were 26.2% and 43.6%, respectively. The effective tax rate for the second quarter of 2014 was lower than the statutory rate, inclusive of state income taxes, primarily due to tax benefits recognized on foreign losses, partially offset by certain non-deductible business expenses. The effective tax rate for the first half of 2014 was lower than the statutory tax rate, inclusive of state income taxes, due primarily to the impact of a tax election made in the first quarter of 2014 to classify one of our wholly-owned foreign subsidiaries as a disregarded entity for U.S. federal income tax purposes (commonly referred to as a “check-the-box” election). As a result of this election, we expect to realize an income tax benefit of $13.8 million, of which $2.4 million is unrecognized, resulting in a net recognized tax benefit of $11.4 million. This recognized benefit was partially offset by $1.2 million in expenses in the first quarter of 2014 related to the establishment of a valuation allowance for certain foreign tax credits and increased deferred tax liabilities as a result of the aforementioned election.</w:t>
      </w:r>
    </w:p>
    <w:p>
      <w:pPr>
        <w:spacing w:after="0" w:line="18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effective tax rate for the second quarter of 2013 was higher than the statutory rate, inclusive of state income taxes, due primarily to the impact of foreign losses with no tax benefit and certain non-deductible business expenses. The effective tax rate for the first half of 2013 was higher than the statutory rate, inclusive of state income taxes, due primarily to the impact of foreign losses with no tax benefit and certain non-deductible business expenses, partially offset by the impact of the retroactive reinstatement of the federal research and development tax credit, which was enacted during the first quarter of 2013.</w:t>
      </w:r>
    </w:p>
    <w:p>
      <w:pPr>
        <w:spacing w:after="0" w:line="299" w:lineRule="exact"/>
        <w:rPr>
          <w:sz w:val="20"/>
          <w:szCs w:val="20"/>
          <w:color w:val="auto"/>
        </w:rPr>
      </w:pPr>
    </w:p>
    <w:p>
      <w:pPr>
        <w:ind w:right="7380" w:firstLine="8"/>
        <w:spacing w:after="0" w:line="378" w:lineRule="auto"/>
        <w:tabs>
          <w:tab w:leader="none" w:pos="44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Litigation</w:t>
      </w:r>
    </w:p>
    <w:p>
      <w:pPr>
        <w:spacing w:after="0"/>
        <w:rPr>
          <w:sz w:val="20"/>
          <w:szCs w:val="20"/>
          <w:color w:val="auto"/>
        </w:rPr>
      </w:pPr>
      <w:r>
        <w:rPr>
          <w:rFonts w:ascii="Arial" w:cs="Arial" w:eastAsia="Arial" w:hAnsi="Arial"/>
          <w:sz w:val="18"/>
          <w:szCs w:val="18"/>
          <w:i w:val="1"/>
          <w:iCs w:val="1"/>
          <w:color w:val="auto"/>
        </w:rPr>
        <w:t>Qui Tam Action</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On December 9, 2009, plaintiff, Associates Against Outlier Fraud, filed a first amended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alleging that false or fraudulent claims were knowingly submitted to the government. Once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the relator filed a second amended complaint alleging that Huron and others caused St. Vincent Catholic Medical Center to receive more than $30 million in inflated outlier payments under the Medicare and Medicaid programs in violation of the federal and state FCA and seeking to recover an unspecified amount of civil penalties. On March 8, 2013, the Court granted Huron’s motion for summary judgment and dismissed the relator’s second amended complaint in its entirety with prejudice. As a result, we reversed the charge of $1.2 million relating to settlement discussions which we originally recorded in the second quarter of</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2012, in accordance with ASC Topic 450, “Contingencies.” The relator filed an appeal on April 2, 2013. On April 8, 2013, Huron filed an appeal of an earlier denial of a motion to dismiss filed by Huron which argued that the relator’s action was barred because, under the FCA jurisdictional bar, the action was based on publicly disclosed information and the relator cannot qualify as an original source. On May 22, 2014, the United States Court of Appeals for the Second Circuit upheld the lower court’s decision, which granted summary judgment to Huron. The relator has until August 20, 2014 to file a petition for writ of certiorari with the United States Supreme Court.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Tamalluk Business Development LLC v. Huron Consulting Services LLC (Abu Dhabi Court of First Instance)</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On August 22, 2013, we learned that Tamalluk Business Development LLC, who was Huron’s agent in Abu Dhabi, and its principal, Mubarak Ahmad Bin Hamouda Al Dhaheri, filed a claim against Huron Consulting Services LLC in the Abu Dhabi Court of First Instance. The lawsuit alleges that under the agency agreement, Tamalluk was entitled to a commission on certain amounts that Huron collected from Abu Dhabi clients, and that Huron breached the agreement with Tamalluk and caused damages by declining to enter into a client engagement in Abu Dhabi and subsequently terminating the agency agreement with Tamalluk. Claimants allege they are entitled to $50 million for damage to reputation and defamation and another $50 million for breach of contract. Huron submitted its written response on September 25, 2013. The response states that Huron had the right to terminate the agency agreement with Tamalluk, and Huron had the sole discretion whether to accept or reject an engagement. Huron also filed a counterclaim on October 10, 2013 seeking a judicial order to permit the cancellation of Huron’s commercial license to allow Huron to cease doing business in Abu Dhabi. On December 17, 2013, the Abu Dhabi court ruled in Huron’s favor on all claims and held that Huron permissibly terminated the contract with Tamalluk and Huron does not owe Tamalluk any compensation related to Tamalluk’s claims. In addition, the court terminated the Local Sponsorship Agreement as requested by Huron in its counterclaim. Tamalluk appealed the decision, and on March 18, 2014, the appellate court upheld the decision in Huron’s favor. Tamalluk filed an appeal on May 18, 2014 to the highest court in Abu Dhabi. We continue to believe that the claims are without merit and intend to vigorously defend ourselves in this matter.</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Guarantees in the form of letters of credit totaling $5.3 million and $4.9 million were outstanding at June 30, 2014 and December 31, 2013, respectively, to support certain office lease obligations as well as Middle East performance and bid bonds.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Segments are defined by ASC Topic 280, “Segment Reporting,”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manages the business under five operating segments, which are our reportable segments: Huron Healthcare, Huron Legal, Huron Education and Life Sciences, Huron Business Advisory, and All Other.</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Huron Healthcare</w:t>
      </w:r>
    </w:p>
    <w:p>
      <w:pPr>
        <w:spacing w:after="0" w:line="121" w:lineRule="exact"/>
        <w:rPr>
          <w:sz w:val="20"/>
          <w:szCs w:val="20"/>
          <w:color w:val="auto"/>
        </w:rPr>
      </w:pPr>
    </w:p>
    <w:p>
      <w:pPr>
        <w:ind w:left="920" w:right="140"/>
        <w:spacing w:after="0" w:line="279" w:lineRule="auto"/>
        <w:rPr>
          <w:sz w:val="20"/>
          <w:szCs w:val="20"/>
          <w:color w:val="auto"/>
        </w:rPr>
      </w:pPr>
      <w:r>
        <w:rPr>
          <w:rFonts w:ascii="Arial" w:cs="Arial" w:eastAsia="Arial" w:hAnsi="Arial"/>
          <w:sz w:val="17"/>
          <w:szCs w:val="17"/>
          <w:color w:val="auto"/>
        </w:rPr>
        <w:t>Our Huron Healthcare segment provides consulting services to national and regional hospitals and integrated health systems, academic medical centers, community hospitals, and physician practices. This segment provides consulting services related to hospital or healthcare organization performance improvement, revenue cycle improvement, clinical quality and care variation, labor productivity, non-labor cost management, information technology, patient flow improvement, and physician practice management.</w:t>
      </w:r>
    </w:p>
    <w:p>
      <w:pPr>
        <w:spacing w:after="0" w:line="73"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Huron Legal</w:t>
      </w:r>
    </w:p>
    <w:p>
      <w:pPr>
        <w:spacing w:after="0" w:line="121" w:lineRule="exact"/>
        <w:rPr>
          <w:sz w:val="20"/>
          <w:szCs w:val="20"/>
          <w:color w:val="auto"/>
        </w:rPr>
      </w:pPr>
    </w:p>
    <w:p>
      <w:pPr>
        <w:ind w:left="920" w:right="20"/>
        <w:spacing w:after="0" w:line="273" w:lineRule="auto"/>
        <w:rPr>
          <w:sz w:val="20"/>
          <w:szCs w:val="20"/>
          <w:color w:val="auto"/>
        </w:rPr>
      </w:pPr>
      <w:r>
        <w:rPr>
          <w:rFonts w:ascii="Arial" w:cs="Arial" w:eastAsia="Arial" w:hAnsi="Arial"/>
          <w:sz w:val="17"/>
          <w:szCs w:val="17"/>
          <w:color w:val="auto"/>
        </w:rPr>
        <w:t>Our Huron Legal segment provides advisory and business services to assist law departments of major global corporations and law firms with their cost and risk effectiveness, organizational design and development, and operational efficiency. These services add value to organizations by helping them enhance client service and reduce the amounts spent on legal services. Our expertise focuses on strategic and management consulting, cost management, and technology and information management, including matter management, records management, document review, and discovery services. Included in this segment’s offerings is our Integrated Analytics solution, which is designed to deliver an innovative, comprehensive process resulting in more affordable and predictable discovery costs.</w:t>
      </w:r>
    </w:p>
    <w:p>
      <w:pPr>
        <w:spacing w:after="0" w:line="8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Huron Education and Life Sciences</w:t>
      </w:r>
    </w:p>
    <w:p>
      <w:pPr>
        <w:spacing w:after="0" w:line="121" w:lineRule="exact"/>
        <w:rPr>
          <w:sz w:val="20"/>
          <w:szCs w:val="20"/>
          <w:color w:val="auto"/>
        </w:rPr>
      </w:pPr>
    </w:p>
    <w:p>
      <w:pPr>
        <w:jc w:val="both"/>
        <w:ind w:left="920" w:right="420"/>
        <w:spacing w:after="0" w:line="302" w:lineRule="auto"/>
        <w:rPr>
          <w:sz w:val="20"/>
          <w:szCs w:val="20"/>
          <w:color w:val="auto"/>
        </w:rPr>
      </w:pPr>
      <w:r>
        <w:rPr>
          <w:rFonts w:ascii="Arial" w:cs="Arial" w:eastAsia="Arial" w:hAnsi="Arial"/>
          <w:sz w:val="16"/>
          <w:szCs w:val="16"/>
          <w:color w:val="auto"/>
        </w:rPr>
        <w:t>Our Huron Education and Life Sciences segment provides management consulting services and software solutions to the higher education, academic medical center, pharmaceutical and medical device, and research industries. We work with our clients to develop and implement performance improvement, technology, and research enterprise solutions to help them address challenges relating to financial management, strategy, operational and organizational effectiveness, research administration, and regulatory compliance.</w:t>
      </w:r>
    </w:p>
    <w:p>
      <w:pPr>
        <w:spacing w:after="0" w:line="5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Huron Business Advisory</w:t>
      </w:r>
    </w:p>
    <w:p>
      <w:pPr>
        <w:spacing w:after="0" w:line="121" w:lineRule="exact"/>
        <w:rPr>
          <w:sz w:val="20"/>
          <w:szCs w:val="20"/>
          <w:color w:val="auto"/>
        </w:rPr>
      </w:pPr>
    </w:p>
    <w:p>
      <w:pPr>
        <w:ind w:left="920" w:right="140"/>
        <w:spacing w:after="0" w:line="272" w:lineRule="auto"/>
        <w:rPr>
          <w:sz w:val="20"/>
          <w:szCs w:val="20"/>
          <w:color w:val="auto"/>
        </w:rPr>
      </w:pPr>
      <w:r>
        <w:rPr>
          <w:rFonts w:ascii="Arial" w:cs="Arial" w:eastAsia="Arial" w:hAnsi="Arial"/>
          <w:sz w:val="17"/>
          <w:szCs w:val="17"/>
          <w:color w:val="auto"/>
        </w:rPr>
        <w:t>Our Huron Business Advisory segment (formerly referred to as Huron Financial) provides financial advisory; interim management; operational improvement; capital advisory; valuation; enterprise systems planning, design, and implementation; and enterprise performance management services. We assist clients in a broad range of industries and across the spectrum from healthy, well-capitalized companies to organizations in transition, creditors, owners, investors, and other key constituents in connection with out-of-court restructurings and bankruptcy proceedings. Our professionals consist of certified public accountants, certified insolvency and restructuring advisors, certified turnaround professionals, MBAs, JDs, and chartered financial analysts as well as former chief restructuring officers, chief executive officers, chief financial officers, and professionals with significant board governance experience.</w:t>
      </w:r>
    </w:p>
    <w:p>
      <w:pPr>
        <w:spacing w:after="0" w:line="79"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All Other</w:t>
      </w:r>
    </w:p>
    <w:p>
      <w:pPr>
        <w:spacing w:after="0" w:line="121" w:lineRule="exact"/>
        <w:rPr>
          <w:sz w:val="20"/>
          <w:szCs w:val="20"/>
          <w:color w:val="auto"/>
        </w:rPr>
      </w:pPr>
    </w:p>
    <w:p>
      <w:pPr>
        <w:ind w:left="920" w:right="160"/>
        <w:spacing w:after="0" w:line="308" w:lineRule="auto"/>
        <w:rPr>
          <w:sz w:val="20"/>
          <w:szCs w:val="20"/>
          <w:color w:val="auto"/>
        </w:rPr>
      </w:pPr>
      <w:r>
        <w:rPr>
          <w:rFonts w:ascii="Arial" w:cs="Arial" w:eastAsia="Arial" w:hAnsi="Arial"/>
          <w:sz w:val="17"/>
          <w:szCs w:val="17"/>
          <w:color w:val="auto"/>
        </w:rPr>
        <w:t>Our All Other segment consists of any line of business not managed by our other four operating segments. These businesses include our public sector consulting practice and our foreign healthcare and strategic consulting operations based in the Middle East.</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first quarter of 2014, we reorganized our internal operating structure to better align our service offerings and moved our EPM practice (formerly referred to as Blue Stone International, a business which we acquired during the fourth quarter of 2013) from the Huron Education and Life Sciences segment to the Huron Business Advisory segment.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88"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table below sets forth information about our operating segments for the three and six months ended June 30, 2014 and 2013, along with the items necessary to reconcile the segment information to the totals reported in the accompanying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6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Huron Healthcare: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w w:val="86"/>
              </w:rPr>
              <w:t>100,967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78,946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208,515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157,691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38,475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29,507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89,695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60,668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100" w:type="dxa"/>
            <w:vAlign w:val="bottom"/>
          </w:tcPr>
          <w:p>
            <w:pPr>
              <w:spacing w:after="0"/>
              <w:rPr>
                <w:sz w:val="18"/>
                <w:szCs w:val="18"/>
                <w:color w:val="auto"/>
              </w:rPr>
            </w:pP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Huron Legal: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53,296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45,089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108,271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86,033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15,790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28,278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100" w:type="dxa"/>
            <w:vAlign w:val="bottom"/>
          </w:tcPr>
          <w:p>
            <w:pPr>
              <w:spacing w:after="0"/>
              <w:rPr>
                <w:sz w:val="18"/>
                <w:szCs w:val="18"/>
                <w:color w:val="auto"/>
              </w:rPr>
            </w:pP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Huron Education and Life Sciences: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37,747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37,134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71,323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72,860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11,633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11,547</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18,080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20,899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100" w:type="dxa"/>
            <w:vAlign w:val="bottom"/>
          </w:tcPr>
          <w:p>
            <w:pPr>
              <w:spacing w:after="0"/>
              <w:rPr>
                <w:sz w:val="18"/>
                <w:szCs w:val="18"/>
                <w:color w:val="auto"/>
              </w:rPr>
            </w:pP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Huron Business Advisory: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16,574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9,263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29,956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17,845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5,129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100" w:type="dxa"/>
            <w:vAlign w:val="bottom"/>
          </w:tcPr>
          <w:p>
            <w:pPr>
              <w:spacing w:after="0"/>
              <w:rPr>
                <w:sz w:val="18"/>
                <w:szCs w:val="18"/>
                <w:color w:val="auto"/>
              </w:rPr>
            </w:pP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821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2,071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Segment operating loss as a percentage of segment revenues</w:t>
            </w:r>
          </w:p>
        </w:tc>
        <w:tc>
          <w:tcPr>
            <w:tcW w:w="1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w w:val="86"/>
              </w:rPr>
              <w:t>209,405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170,407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420,136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334,443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21,141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40,244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33,459</w:t>
            </w:r>
          </w:p>
        </w:tc>
        <w:tc>
          <w:tcPr>
            <w:tcW w:w="0" w:type="dxa"/>
            <w:vAlign w:val="bottom"/>
          </w:tcPr>
          <w:p>
            <w:pPr>
              <w:spacing w:after="0"/>
              <w:rPr>
                <w:sz w:val="1"/>
                <w:szCs w:val="1"/>
                <w:color w:val="auto"/>
              </w:rPr>
            </w:pPr>
          </w:p>
        </w:tc>
      </w:tr>
      <w:tr>
        <w:trPr>
          <w:trHeight w:val="223"/>
        </w:trPr>
        <w:tc>
          <w:tcPr>
            <w:tcW w:w="6700" w:type="dxa"/>
            <w:vAlign w:val="bottom"/>
            <w:gridSpan w:val="3"/>
          </w:tcPr>
          <w:p>
            <w:pPr>
              <w:ind w:left="240"/>
              <w:spacing w:after="0"/>
              <w:rPr>
                <w:sz w:val="20"/>
                <w:szCs w:val="20"/>
                <w:color w:val="auto"/>
              </w:rPr>
            </w:pPr>
            <w:r>
              <w:rPr>
                <w:rFonts w:ascii="Arial" w:cs="Arial" w:eastAsia="Arial" w:hAnsi="Arial"/>
                <w:sz w:val="18"/>
                <w:szCs w:val="18"/>
                <w:color w:val="auto"/>
              </w:rPr>
              <w:t>Total revenues and reimbursable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230,546</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188,530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460,380</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367,902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Earnings reconciliation: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70,507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55,555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142,759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102,213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 not allocated at the segment level: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tcPr>
          <w:p>
            <w:pPr>
              <w:ind w:left="360"/>
              <w:spacing w:after="0"/>
              <w:rPr>
                <w:sz w:val="20"/>
                <w:szCs w:val="20"/>
                <w:color w:val="auto"/>
              </w:rPr>
            </w:pPr>
            <w:r>
              <w:rPr>
                <w:rFonts w:ascii="Arial" w:cs="Arial" w:eastAsia="Arial" w:hAnsi="Arial"/>
                <w:sz w:val="18"/>
                <w:szCs w:val="18"/>
                <w:color w:val="auto"/>
              </w:rPr>
              <w:t>Other operating expenses and gains</w:t>
            </w:r>
          </w:p>
        </w:tc>
        <w:tc>
          <w:tcPr>
            <w:tcW w:w="1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30,217</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20,129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54,594</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40,665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6,267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12,323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9,656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460" w:type="dxa"/>
            <w:vAlign w:val="bottom"/>
            <w:gridSpan w:val="2"/>
          </w:tcPr>
          <w:p>
            <w:pPr>
              <w:ind w:left="36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1,858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7"/>
        </w:trPr>
        <w:tc>
          <w:tcPr>
            <w:tcW w:w="24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32,598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28,691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73,222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48,184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80"/>
          </w:cols>
          <w:pgMar w:left="24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w w:val="99"/>
              </w:rPr>
              <w:t>June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500" w:type="dxa"/>
            <w:vAlign w:val="bottom"/>
          </w:tcPr>
          <w:p>
            <w:pPr>
              <w:spacing w:after="0"/>
              <w:rPr>
                <w:sz w:val="14"/>
                <w:szCs w:val="14"/>
                <w:color w:val="auto"/>
              </w:rPr>
            </w:pPr>
          </w:p>
        </w:tc>
        <w:tc>
          <w:tcPr>
            <w:tcW w:w="70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Assets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Huron Healthcare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$124,322</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95,900</w:t>
            </w:r>
          </w:p>
        </w:tc>
        <w:tc>
          <w:tcPr>
            <w:tcW w:w="6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Huron Legal</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51,167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42,190</w:t>
            </w:r>
          </w:p>
        </w:tc>
        <w:tc>
          <w:tcPr>
            <w:tcW w:w="6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Huron Education and Life Sciences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29,302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22,783</w:t>
            </w:r>
          </w:p>
        </w:tc>
        <w:tc>
          <w:tcPr>
            <w:tcW w:w="6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Huron Business Advisory</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24,708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17,809</w:t>
            </w:r>
          </w:p>
        </w:tc>
        <w:tc>
          <w:tcPr>
            <w:tcW w:w="6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All Other</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785</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Unallocated assets </w:t>
            </w:r>
            <w:r>
              <w:rPr>
                <w:rFonts w:ascii="Arial" w:cs="Arial" w:eastAsia="Arial" w:hAnsi="Arial"/>
                <w:sz w:val="15"/>
                <w:szCs w:val="15"/>
                <w:color w:val="auto"/>
              </w:rPr>
              <w:t>(2)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699,257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706,661</w:t>
            </w:r>
          </w:p>
        </w:tc>
        <w:tc>
          <w:tcPr>
            <w:tcW w:w="6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929,541</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885,600</w:t>
            </w:r>
          </w:p>
        </w:tc>
        <w:tc>
          <w:tcPr>
            <w:tcW w:w="6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240" w:hanging="452"/>
        <w:spacing w:after="0" w:line="25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December 31, 2013 segment asset balances have been reclassified to reflect the move of our EPM practice from the Huron Education and Life Sciences segment to the Huron Business Advisory segment.</w:t>
      </w:r>
    </w:p>
    <w:p>
      <w:pPr>
        <w:spacing w:after="0" w:line="1" w:lineRule="exact"/>
        <w:rPr>
          <w:rFonts w:ascii="Arial" w:cs="Arial" w:eastAsia="Arial" w:hAnsi="Arial"/>
          <w:sz w:val="18"/>
          <w:szCs w:val="18"/>
          <w:color w:val="auto"/>
        </w:rPr>
      </w:pPr>
    </w:p>
    <w:p>
      <w:pPr>
        <w:ind w:left="460" w:right="16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Goodwill and intangible assets are included in unallocated assets, as management does not evaluate these items at the segment level when assessing segment performance or allocating resources.</w:t>
      </w:r>
    </w:p>
    <w:p>
      <w:pPr>
        <w:spacing w:after="0" w:line="18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At June 30, 2014, no single client accounted for greater than 10% of our combined receivables and unbilled services balances. At December 31, 2013, one Huron Healthcare client’s total receivables and unbilled services balance represented 14% of our total receivables and unbilled services balance. No other client’s total receivables and unbilled services represented greater than 10% of our total receivables and unbilled services balance at December 31, 2013. No single client generated greater than 10% of our consolidated revenues during the three and six months ended June 30, 2014 and 2013.</w:t>
      </w:r>
    </w:p>
    <w:p>
      <w:pPr>
        <w:spacing w:after="0" w:line="29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July 2, 2014, we made an investment, in the form of convertible debt, in Shorelight Holdings LLC, the parent company of Shorelight Education, a U.S.-based company that partners with leading nonprofit universities to increase access and retention of international students, boost institutional growth, and enhance an institution’s global footprint.</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Statements in this Quarterly Report on Form 10-Q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or “continues.” These forward-looking statements reflect our current expectations about our future requirements and needs, results, levels of activity, performance, or achievements, including, without limitation, current expectations with respect to, among other factors, utilization rates, billing rates, and the number of revenue-generating professionals; that we are able to expand our service offerings; that we successfully integrate the businesses we acquire; and that existing market conditions continue to trend upward. These statements involve known and unknown risks, uncertainties and other factors, including, among others, those described under “Item 1A. Risk Factors” in our Annual Report on Form 10-K for the year ended December 31, 2013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Huron Consulting Group is a leading provider of operational and financial consulting services. We help clients in diverse industries improve performance, transform the enterprise, reduce costs, leverage technology, process and review large amounts of complex data, address regulatory changes, recover from distress, and stimulate growth. Our professionals employ their expertise in finance, operations, strategy,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 Huron has worked with more than 425 health systems, hospitals, and academic medical centers; more than 400 corporate general counsel; and more than 350 universities and research institutions.</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provide our services through five operating segments: Huron Healthcare, Huron Legal, Huron Education and Life Sciences, Huron Business Advisory, and All Other.</w:t>
      </w:r>
    </w:p>
    <w:p>
      <w:pPr>
        <w:spacing w:after="0" w:line="7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Huron Healthcare</w:t>
      </w:r>
    </w:p>
    <w:p>
      <w:pPr>
        <w:spacing w:after="0" w:line="121" w:lineRule="exact"/>
        <w:rPr>
          <w:rFonts w:ascii="Arial" w:cs="Arial" w:eastAsia="Arial" w:hAnsi="Arial"/>
          <w:sz w:val="18"/>
          <w:szCs w:val="18"/>
          <w:color w:val="auto"/>
        </w:rPr>
      </w:pPr>
    </w:p>
    <w:p>
      <w:pPr>
        <w:ind w:left="460" w:right="20"/>
        <w:spacing w:after="0" w:line="257" w:lineRule="auto"/>
        <w:rPr>
          <w:rFonts w:ascii="Arial" w:cs="Arial" w:eastAsia="Arial" w:hAnsi="Arial"/>
          <w:sz w:val="18"/>
          <w:szCs w:val="18"/>
          <w:color w:val="auto"/>
        </w:rPr>
      </w:pPr>
      <w:r>
        <w:rPr>
          <w:rFonts w:ascii="Arial" w:cs="Arial" w:eastAsia="Arial" w:hAnsi="Arial"/>
          <w:sz w:val="18"/>
          <w:szCs w:val="18"/>
          <w:color w:val="auto"/>
        </w:rPr>
        <w:t>Our Huron Healthcare segment provides consulting services to national and regional hospitals and integrated health systems, academic medical centers, community hospitals, and physician practices. We deliver solutions to empower our clients to address challenges in the rapidly-evolving healthcare environment and improve quality, increase revenue, reduce expenses, and enhance patient, physician, and employee satisfaction across the healthcare enterprise. Our people provide a depth of expertise across the healthcare industry, and our culture of collaboration extends to our client engagements, enabling teams to effectively implement successful client projects.</w:t>
      </w:r>
    </w:p>
    <w:p>
      <w:pPr>
        <w:spacing w:after="0" w:line="8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Huron Legal</w:t>
      </w:r>
    </w:p>
    <w:p>
      <w:pPr>
        <w:spacing w:after="0" w:line="121" w:lineRule="exact"/>
        <w:rPr>
          <w:rFonts w:ascii="Arial" w:cs="Arial" w:eastAsia="Arial" w:hAnsi="Arial"/>
          <w:sz w:val="18"/>
          <w:szCs w:val="18"/>
          <w:color w:val="auto"/>
        </w:rPr>
      </w:pPr>
    </w:p>
    <w:p>
      <w:pPr>
        <w:ind w:left="460" w:right="20"/>
        <w:spacing w:after="0" w:line="255" w:lineRule="auto"/>
        <w:rPr>
          <w:rFonts w:ascii="Arial" w:cs="Arial" w:eastAsia="Arial" w:hAnsi="Arial"/>
          <w:sz w:val="18"/>
          <w:szCs w:val="18"/>
          <w:color w:val="auto"/>
        </w:rPr>
      </w:pPr>
      <w:r>
        <w:rPr>
          <w:rFonts w:ascii="Arial" w:cs="Arial" w:eastAsia="Arial" w:hAnsi="Arial"/>
          <w:sz w:val="18"/>
          <w:szCs w:val="18"/>
          <w:color w:val="auto"/>
        </w:rPr>
        <w:t>Our Huron Legal segment provides advisory and business services to assist law departments of major global corporations and their associated law firms with cost and risk reduction, organizational design and development, and operational efficiency. These services add value to organizations by helping them enhance client service and reduce the amount spent on legal services. Our expertise focuses on strategic and management consulting, cost management, and technology and information management, including matter management, records management, document review, and discovery services. Included in this segment’s offerings is our Integrated Analytics solution, which is designed to deliver an innovative, comprehensive process resulting in more affordable and predictable discovery costs.</w:t>
      </w:r>
    </w:p>
    <w:p>
      <w:pPr>
        <w:spacing w:after="0" w:line="94"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Huron Education and Life Sciences</w:t>
      </w:r>
    </w:p>
    <w:p>
      <w:pPr>
        <w:spacing w:after="0" w:line="121" w:lineRule="exact"/>
        <w:rPr>
          <w:rFonts w:ascii="Arial" w:cs="Arial" w:eastAsia="Arial" w:hAnsi="Arial"/>
          <w:sz w:val="18"/>
          <w:szCs w:val="18"/>
          <w:color w:val="auto"/>
        </w:rPr>
      </w:pPr>
    </w:p>
    <w:p>
      <w:pPr>
        <w:ind w:left="460" w:right="240"/>
        <w:spacing w:after="0" w:line="277" w:lineRule="auto"/>
        <w:rPr>
          <w:rFonts w:ascii="Arial" w:cs="Arial" w:eastAsia="Arial" w:hAnsi="Arial"/>
          <w:sz w:val="18"/>
          <w:szCs w:val="18"/>
          <w:color w:val="auto"/>
        </w:rPr>
      </w:pPr>
      <w:r>
        <w:rPr>
          <w:rFonts w:ascii="Arial" w:cs="Arial" w:eastAsia="Arial" w:hAnsi="Arial"/>
          <w:sz w:val="18"/>
          <w:szCs w:val="18"/>
          <w:color w:val="auto"/>
        </w:rPr>
        <w:t>Our Huron Education and Life Sciences segment provides management consulting services and software solutions to the higher education, academic medical center, pharmaceutical and medical device, and research industries. We work with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60"/>
        <w:spacing w:after="0" w:line="308" w:lineRule="auto"/>
        <w:rPr>
          <w:sz w:val="20"/>
          <w:szCs w:val="20"/>
          <w:color w:val="auto"/>
        </w:rPr>
      </w:pPr>
      <w:r>
        <w:rPr>
          <w:rFonts w:ascii="Arial" w:cs="Arial" w:eastAsia="Arial" w:hAnsi="Arial"/>
          <w:sz w:val="17"/>
          <w:szCs w:val="17"/>
          <w:color w:val="auto"/>
        </w:rPr>
        <w:t>clients to develop and implement performance improvement, technology, and research enterprise solutions to help them address challenges relating to financial management, strategy, operational and organizational effectiveness, research administration, and regulatory compliance.</w:t>
      </w:r>
    </w:p>
    <w:p>
      <w:pPr>
        <w:spacing w:after="0" w:line="4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Huron Business Advisory</w:t>
      </w:r>
    </w:p>
    <w:p>
      <w:pPr>
        <w:spacing w:after="0" w:line="121" w:lineRule="exact"/>
        <w:rPr>
          <w:rFonts w:ascii="Arial" w:cs="Arial" w:eastAsia="Arial" w:hAnsi="Arial"/>
          <w:sz w:val="18"/>
          <w:szCs w:val="18"/>
          <w:color w:val="auto"/>
        </w:rPr>
      </w:pPr>
    </w:p>
    <w:p>
      <w:pPr>
        <w:ind w:left="460" w:right="100"/>
        <w:spacing w:after="0" w:line="293" w:lineRule="auto"/>
        <w:rPr>
          <w:rFonts w:ascii="Arial" w:cs="Arial" w:eastAsia="Arial" w:hAnsi="Arial"/>
          <w:sz w:val="18"/>
          <w:szCs w:val="18"/>
          <w:color w:val="auto"/>
        </w:rPr>
      </w:pPr>
      <w:r>
        <w:rPr>
          <w:rFonts w:ascii="Arial" w:cs="Arial" w:eastAsia="Arial" w:hAnsi="Arial"/>
          <w:sz w:val="16"/>
          <w:szCs w:val="16"/>
          <w:color w:val="auto"/>
        </w:rPr>
        <w:t>Our Huron Business Advisory segment provides financial advisory; interim management; operational improvement; capital advisory; valuation; enterprise systems planning, design, and implementation; and enterprise performance management services. We assist clients in a broad range of industries and across the spectrum from healthy, well-capitalized companies to organizations in transition, creditors, owners, investors, and other key constituents in connection with out-of-court restructurings and bankruptcy proceedings. Our professionals consist of certified public accountants, certified insolvency and restructuring advisors, certified turnaround professionals, MBAs, JDs, and chartered financial analysts as well as former chief restructuring officers, chief executive officers, chief financial officers, and professionals with significant board governance experience.</w:t>
      </w:r>
    </w:p>
    <w:p>
      <w:pPr>
        <w:spacing w:after="0" w:line="66"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All Other</w:t>
      </w:r>
    </w:p>
    <w:p>
      <w:pPr>
        <w:spacing w:after="0" w:line="121" w:lineRule="exact"/>
        <w:rPr>
          <w:rFonts w:ascii="Arial" w:cs="Arial" w:eastAsia="Arial" w:hAnsi="Arial"/>
          <w:sz w:val="18"/>
          <w:szCs w:val="18"/>
          <w:color w:val="auto"/>
        </w:rPr>
      </w:pPr>
    </w:p>
    <w:p>
      <w:pPr>
        <w:ind w:left="460" w:right="160"/>
        <w:spacing w:after="0" w:line="277" w:lineRule="auto"/>
        <w:rPr>
          <w:rFonts w:ascii="Arial" w:cs="Arial" w:eastAsia="Arial" w:hAnsi="Arial"/>
          <w:sz w:val="18"/>
          <w:szCs w:val="18"/>
          <w:color w:val="auto"/>
        </w:rPr>
      </w:pPr>
      <w:r>
        <w:rPr>
          <w:rFonts w:ascii="Arial" w:cs="Arial" w:eastAsia="Arial" w:hAnsi="Arial"/>
          <w:sz w:val="18"/>
          <w:szCs w:val="18"/>
          <w:color w:val="auto"/>
        </w:rPr>
        <w:t>Our All Other segment consists of any line of business not managed by our other four operating segments. These businesses include our public sector consulting practice and our foreign healthcare and strategic consulting operations based in the Middle East.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all of whom work variable schedules as needed by our clients. Other professionals include specialized finance and operational consultants and our document review and electronic data discovery groups, as well as full-time employees who provide software support and maintenance services to our clients. Our document review and electronic data discovery groups generate revenues primarily based on number of hours worked and units produced, such as pages reviewed or amount of data processed.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as well as the number of pages reviewed and amount of data processed in the case of our document review and electronic data discovery groups, respectively.</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generate the majority of our revenues from providing professional services under four types of billing arrangements: time-and-expense, fixed-fee (including software license revenue), performance-based, and support and maintenance for the software we deploy.</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Time-and-expense billing arrangements require the client to pay based on either the number of hours worked, the number of pages reviewed, or the amount of data processed by our revenue-generating professionals at agreed upon rates. We recognize revenues under time-and-expense billing arrangements as the related services are rendered. Time-and-expense engagements represented 47.2% and 48.6% of our revenues for the three months ended June 30, 2014 and 2013, respectively, and 45.3% and 46.7% of our revenues for the six months ended June 30, 2014 and 2013, respectively.</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which may include the deployment of our proprietary software.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w:t>
      </w:r>
    </w:p>
    <w:p>
      <w:pPr>
        <w:spacing w:after="0" w:line="188"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We generate revenues from licensing two types of proprietary software to clients: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Fixed-fee engagements (including software license revenue) represented 40.5% and 37.6% of our revenues for the three months ended June 30, 2014 and 2013, respectively, and 39.3% and 38.9% of our revenues for the six months ended June 30, 2014 and 2013, respectively.</w:t>
      </w:r>
    </w:p>
    <w:p>
      <w:pPr>
        <w:spacing w:after="0" w:line="14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9.3% and 10.6% of our revenues for the three months ended June 30, 2014 and 2013, respectively, and 12.4% and 11.1% of our revenues for the six months ended June 30, 2014 and 2013, respectively. Performance-based fee engagements may cause significant variations in quarterly revenues and operating results depending on the timing of achieving the performance-based criteria.</w:t>
      </w:r>
    </w:p>
    <w:p>
      <w:pPr>
        <w:spacing w:after="0" w:line="16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Annual support and maintenance fee revenue is recognized ratably over the support period, which is generally one year. These fees are billed in advance and included in deferred revenues until recognized. Support and maintenance revenues represented 3.0% and 3.2% of our revenues for the three months ended June 30, 2014 and 2013, respectively, and 3.0% and 3.3% of our revenues for the six months ended June 30, 2014 and 2013, respectively.</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billing rate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8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To expand our business, we will remain focused on growing our existing relationships and developing new relationships, execute our managing director compensation plan to attract and retain senior practitioners, continue to promote and provide an integrated approach to service delivery, broaden the scope of our existing services, and acquire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endorsed messages.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four accounting policies that could be considered critical: revenue recognition, allowances for doubtful accounts and unbilled services, carrying values of goodwill and other intangible assets, and valuation of net deferred tax assets. For a detailed discussion of these critical accounting policies, see “Item 7. Management’s Discussion and Analysis of Financial Condition and Results of Operations – Critical Accounting Policies” in our Annual Report on Form 10-K for the year ended December 31, 2013. Below is an update to our critical accounting policy relating to the carrying values of goodwill and other intangible assets. There have been no material changes to our other critical accounting policies during the first six months of 2014.</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 Assets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quarter of 2014, we reorganized our internal operating structure to better align our service offerings and moved our Enterprise Performance Management (“EPM”) practice (formerly referred to as Blue Stone International, a business which we acquired during the fourth quarter of 2013) from the Huron Education and Life Sciences segment to the Huron Business Advisory segment. As a result of this change, we reassigned the goodwill balance of the EPM practice, which totaled $16.7 million as of March 31, 2014, from the Huron Education and Life Sciences reporting unit to the EPM reporting unit, which is part of the Huron Business Advisory segment.</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conjunction with the goodwill reassignment, we performed an interim impairment test for the goodwill balances within our Huron Education and Life Sciences and EPM reporting units as of March 31, 2014. Our goodwill impairment test was performed using the quantitative two-step process. Based on the results of the first step of the goodwill impairment test, we determined that the fair values of our Huron Education and Life Sciences and EPM reporting units exceeded their carrying values by 46% and 12%, respectively. Since the fair value of each reporting unit exceeded its carrying value, the second step of the goodwill impairment test was not necessary.</w:t>
      </w:r>
    </w:p>
    <w:p>
      <w:pPr>
        <w:spacing w:after="0" w:line="18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estimating the fair value of these two reporting units, we relied on a combination of the income approach and the market approach, utilizing the guideline company method, with a fifty-fifty weighting. For companies providing services similar to those provided by us, the income and market approaches will generally provide the most reliable indications of value because the value of such companies is dependent on their ability to generate earnings.</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income approach, we utilized a discounted cash flow analysis, which involved estimating the expected after-tax cash flows that will be generated by the reporting units and then discounting those cash flows to present value reflecting the relevant risks associated with the reporting units and the time value of money. This approach requires the use of significant estimates and assumptions, including long-term projections of future cash flows, market conditions, discount rates reflecting the risk inherent in future cash flows, revenue growth, perpetual growth rates, and profitability, among others. In estimating future cash flows, we relied on an internally generated seven-year forecast. For periods after the seven-year forecast, we assumed a long-term annual revenue growth rate of 3.5% for the Huron Education and Life Sciences reporting unit and 3.0% for the EPM reporting unit. Our forecast is based on historical experience, current backlog, expected market demand, and other industry information. Our discounted cash flow analysis assumed a weighted average cost of capital (“WACC”) discount rate of 13.0% for the Huron Education and Life Sciences reporting unit and 17.0% for the EPM reporting unit.</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were then adjusted for factors similar to those used in a discounted cash flow analysis and applied to the operating data for our reporting units to arrive at an indication of value.</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Determining the fair value of a reporting unit requires us to make significant judgments, estimates and assumptions. While we believe that the estimates and assumptions underlying our valuation methodology are reasonable, these estimates and assumptions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could have a significant impact on whether or not an impairment charge is recognized and also the magnitude of any such charge. The results of an impairment analysis are as of a point in time. There is no assurance that the actual future earnings or cash flows of our reporting units will not differ significantly from our projections. We will monitor any changes to our assumptions and will evaluate goodwill as deemed warranted during future periods. Any significant decline in our operations could result in goodwill impairment charges.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presents, based on the goodwill impairment test performed as of March 31, 2014, the decrease in the fair value of our Huron Education and Life Sciences and EPM reporting units given a one percent increase in the assumed discount rate or a one percent decrease in the assumed long-term annual revenue growth rate.</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Huron Education</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w w:val="95"/>
              </w:rPr>
              <w:t>Enterprise</w:t>
            </w:r>
          </w:p>
        </w:tc>
      </w:tr>
      <w:tr>
        <w:trPr>
          <w:trHeight w:val="171"/>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and Life Sciences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Performance Management</w:t>
            </w:r>
          </w:p>
        </w:tc>
      </w:tr>
      <w:tr>
        <w:trPr>
          <w:trHeight w:val="119"/>
        </w:trPr>
        <w:tc>
          <w:tcPr>
            <w:tcW w:w="4520" w:type="dxa"/>
            <w:vAlign w:val="bottom"/>
          </w:tcPr>
          <w:p>
            <w:pPr>
              <w:spacing w:after="0"/>
              <w:rPr>
                <w:sz w:val="10"/>
                <w:szCs w:val="10"/>
                <w:color w:val="auto"/>
              </w:rPr>
            </w:pPr>
          </w:p>
        </w:tc>
        <w:tc>
          <w:tcPr>
            <w:tcW w:w="1600" w:type="dxa"/>
            <w:vAlign w:val="bottom"/>
            <w:tcBorders>
              <w:top w:val="single" w:sz="8" w:color="auto"/>
            </w:tcBorders>
            <w:gridSpan w:val="3"/>
          </w:tcPr>
          <w:p>
            <w:pPr>
              <w:jc w:val="center"/>
              <w:ind w:right="740"/>
              <w:spacing w:after="0" w:line="119" w:lineRule="exact"/>
              <w:rPr>
                <w:sz w:val="20"/>
                <w:szCs w:val="20"/>
                <w:color w:val="auto"/>
              </w:rPr>
            </w:pPr>
            <w:r>
              <w:rPr>
                <w:rFonts w:ascii="Arial" w:cs="Arial" w:eastAsia="Arial" w:hAnsi="Arial"/>
                <w:sz w:val="13"/>
                <w:szCs w:val="13"/>
                <w:b w:val="1"/>
                <w:bCs w:val="1"/>
                <w:color w:val="auto"/>
                <w:w w:val="95"/>
              </w:rPr>
              <w:t>Decrease in</w:t>
            </w: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 by</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Decrease in</w:t>
            </w:r>
          </w:p>
        </w:tc>
        <w:tc>
          <w:tcPr>
            <w:tcW w:w="7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 by</w:t>
            </w:r>
          </w:p>
        </w:tc>
        <w:tc>
          <w:tcPr>
            <w:tcW w:w="200" w:type="dxa"/>
            <w:vAlign w:val="bottom"/>
          </w:tcPr>
          <w:p>
            <w:pPr>
              <w:spacing w:after="0"/>
              <w:rPr>
                <w:sz w:val="10"/>
                <w:szCs w:val="10"/>
                <w:color w:val="auto"/>
              </w:rPr>
            </w:pPr>
          </w:p>
        </w:tc>
      </w:tr>
      <w:tr>
        <w:trPr>
          <w:trHeight w:val="149"/>
        </w:trPr>
        <w:tc>
          <w:tcPr>
            <w:tcW w:w="4520" w:type="dxa"/>
            <w:vAlign w:val="bottom"/>
          </w:tcPr>
          <w:p>
            <w:pPr>
              <w:spacing w:after="0"/>
              <w:rPr>
                <w:sz w:val="12"/>
                <w:szCs w:val="12"/>
                <w:color w:val="auto"/>
              </w:rPr>
            </w:pPr>
          </w:p>
        </w:tc>
        <w:tc>
          <w:tcPr>
            <w:tcW w:w="16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which Fair</w:t>
            </w:r>
          </w:p>
        </w:tc>
        <w:tc>
          <w:tcPr>
            <w:tcW w:w="3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7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which Fair</w:t>
            </w:r>
          </w:p>
        </w:tc>
      </w:tr>
      <w:tr>
        <w:trPr>
          <w:trHeight w:val="149"/>
        </w:trPr>
        <w:tc>
          <w:tcPr>
            <w:tcW w:w="4520" w:type="dxa"/>
            <w:vAlign w:val="bottom"/>
          </w:tcPr>
          <w:p>
            <w:pPr>
              <w:spacing w:after="0"/>
              <w:rPr>
                <w:sz w:val="12"/>
                <w:szCs w:val="12"/>
                <w:color w:val="auto"/>
              </w:rPr>
            </w:pPr>
          </w:p>
        </w:tc>
        <w:tc>
          <w:tcPr>
            <w:tcW w:w="16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the Reporting</w:t>
            </w: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Value Exceeds</w:t>
            </w:r>
          </w:p>
        </w:tc>
        <w:tc>
          <w:tcPr>
            <w:tcW w:w="3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the Reporting</w:t>
            </w:r>
          </w:p>
        </w:tc>
        <w:tc>
          <w:tcPr>
            <w:tcW w:w="7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Value Exceeds</w:t>
            </w:r>
          </w:p>
        </w:tc>
      </w:tr>
      <w:tr>
        <w:trPr>
          <w:trHeight w:val="149"/>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rPr>
              <w:t>Unit</w:t>
            </w: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Unit</w:t>
            </w:r>
          </w:p>
        </w:tc>
        <w:tc>
          <w:tcPr>
            <w:tcW w:w="7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Carrying</w:t>
            </w:r>
          </w:p>
        </w:tc>
      </w:tr>
      <w:tr>
        <w:trPr>
          <w:trHeight w:val="171"/>
        </w:trPr>
        <w:tc>
          <w:tcPr>
            <w:tcW w:w="45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7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CEEFF"/>
            </w:tcBorders>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Discount rate – increase by 1%</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7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Long-term growth rate – decrease by 1%</w:t>
            </w:r>
          </w:p>
        </w:tc>
        <w:tc>
          <w:tcPr>
            <w:tcW w:w="200" w:type="dxa"/>
            <w:vAlign w:val="bottom"/>
          </w:tcPr>
          <w:p>
            <w:pPr>
              <w:jc w:val="right"/>
              <w:ind w:right="48"/>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7,900</w:t>
            </w:r>
          </w:p>
        </w:tc>
        <w:tc>
          <w:tcPr>
            <w:tcW w:w="7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5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r>
      <w:tr>
        <w:trPr>
          <w:trHeight w:val="350"/>
        </w:trPr>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 Segment operating income consists of the revenues generated by a segment, less the direct costs of revenue and selling, general and administrative costs that are incurred directly by the segment. Unallocated costs include corporate costs related to administrative functions that are performed in a centralized manner that are not attributable to a particular segment.</w:t>
      </w:r>
    </w:p>
    <w:p>
      <w:pPr>
        <w:spacing w:after="0" w:line="19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8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9"/>
              </w:rPr>
              <w:t>Segment and Consolidated Operating Results (in thousands):</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Revenues and reimbursable expenses:</w:t>
            </w:r>
          </w:p>
        </w:tc>
        <w:tc>
          <w:tcPr>
            <w:tcW w:w="6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100,967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78,946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208,515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157,691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Legal</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53,296</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45,089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108,271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86,033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37,747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71,323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Business Advisory</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16,574</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29,956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Total revenues</w:t>
            </w: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209,405</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170,407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420,136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334,443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reimbursable expenses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21,141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40,244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33,459</w:t>
            </w:r>
          </w:p>
        </w:tc>
        <w:tc>
          <w:tcPr>
            <w:tcW w:w="0" w:type="dxa"/>
            <w:vAlign w:val="bottom"/>
          </w:tcPr>
          <w:p>
            <w:pPr>
              <w:spacing w:after="0"/>
              <w:rPr>
                <w:sz w:val="1"/>
                <w:szCs w:val="1"/>
                <w:color w:val="auto"/>
              </w:rPr>
            </w:pPr>
          </w:p>
        </w:tc>
      </w:tr>
      <w:tr>
        <w:trPr>
          <w:trHeight w:val="223"/>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rPr>
              <w:t>Total revenues and reimbursable expenses</w:t>
            </w:r>
          </w:p>
        </w:tc>
        <w:tc>
          <w:tcPr>
            <w:tcW w:w="1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230,546</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188,530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460,380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367,902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Healthcare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38,475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29,507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89,695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60,668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Legal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15,790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Education and Life Sciences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11,633</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11,547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18,080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Business Advisory</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5,129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All 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segment operating income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70,507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55,555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142,759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102,213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Operating expenses and gains not allocated to segments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36,484</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25,006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66,917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50,321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operating income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75,842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51,892</w:t>
            </w:r>
          </w:p>
        </w:tc>
        <w:tc>
          <w:tcPr>
            <w:tcW w:w="0" w:type="dxa"/>
            <w:vAlign w:val="bottom"/>
          </w:tcPr>
          <w:p>
            <w:pPr>
              <w:spacing w:after="0"/>
              <w:rPr>
                <w:sz w:val="1"/>
                <w:szCs w:val="1"/>
                <w:color w:val="auto"/>
              </w:rPr>
            </w:pPr>
          </w:p>
        </w:tc>
      </w:tr>
      <w:tr>
        <w:trPr>
          <w:trHeight w:val="20"/>
        </w:trPr>
        <w:tc>
          <w:tcPr>
            <w:tcW w:w="53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Other Operating Data (excluding All Other):</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00" w:type="dxa"/>
            <w:vAlign w:val="bottom"/>
            <w:gridSpan w:val="4"/>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4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Healthcare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Legal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Education and Life Sciences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Business Advisory</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1"/>
              </w:rPr>
              <w:t xml:space="preserve">Average number of full-time billable consultants (for the period) </w:t>
            </w:r>
            <w:r>
              <w:rPr>
                <w:rFonts w:ascii="Arial" w:cs="Arial" w:eastAsia="Arial" w:hAnsi="Arial"/>
                <w:sz w:val="15"/>
                <w:szCs w:val="15"/>
                <w:b w:val="1"/>
                <w:bCs w:val="1"/>
                <w:color w:val="auto"/>
                <w:w w:val="91"/>
              </w:rPr>
              <w:t>(1)</w:t>
            </w:r>
            <w:r>
              <w:rPr>
                <w:rFonts w:ascii="Arial" w:cs="Arial" w:eastAsia="Arial" w:hAnsi="Arial"/>
                <w:sz w:val="18"/>
                <w:szCs w:val="18"/>
                <w:b w:val="1"/>
                <w:bCs w:val="1"/>
                <w:color w:val="auto"/>
                <w:w w:val="91"/>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Healthcare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Legal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Education and Life Sciences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Business Advisory</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15"/>
                <w:szCs w:val="15"/>
                <w:b w:val="1"/>
                <w:bCs w:val="1"/>
                <w:color w:val="auto"/>
              </w:rPr>
              <w:t>(2)</w:t>
            </w:r>
            <w:r>
              <w:rPr>
                <w:rFonts w:ascii="Arial" w:cs="Arial" w:eastAsia="Arial" w:hAnsi="Arial"/>
                <w:sz w:val="18"/>
                <w:szCs w:val="18"/>
                <w:b w:val="1"/>
                <w:bCs w:val="1"/>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Healthcare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Legal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Education and Life Sciences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Business Advisory</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76.0%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jc w:val="right"/>
              <w:ind w:right="8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4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2014</w:t>
            </w: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2013</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2014</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Other Operating Data (continued):</w:t>
            </w: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80" w:type="dxa"/>
            <w:vAlign w:val="bottom"/>
            <w:tcBorders>
              <w:top w:val="single" w:sz="8" w:color="auto"/>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15"/>
                <w:szCs w:val="15"/>
                <w:b w:val="1"/>
                <w:bCs w:val="1"/>
                <w:color w:val="auto"/>
              </w:rPr>
              <w:t>(3)</w:t>
            </w:r>
            <w:r>
              <w:rPr>
                <w:rFonts w:ascii="Arial" w:cs="Arial" w:eastAsia="Arial" w:hAnsi="Arial"/>
                <w:sz w:val="18"/>
                <w:szCs w:val="18"/>
                <w:b w:val="1"/>
                <w:bCs w:val="1"/>
                <w:color w:val="auto"/>
              </w:rPr>
              <w: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 xml:space="preserve">Huron Legal </w:t>
            </w:r>
            <w:r>
              <w:rPr>
                <w:rFonts w:ascii="Arial" w:cs="Arial" w:eastAsia="Arial" w:hAnsi="Arial"/>
                <w:sz w:val="15"/>
                <w:szCs w:val="15"/>
                <w:color w:val="auto"/>
              </w:rPr>
              <w:t>(5)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241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Huron Business Advisory</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348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248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5"/>
                <w:szCs w:val="15"/>
                <w:color w:val="auto"/>
              </w:rPr>
              <w:t>(5)</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 xml:space="preserve">Huron Legal </w:t>
            </w:r>
            <w:r>
              <w:rPr>
                <w:rFonts w:ascii="Arial" w:cs="Arial" w:eastAsia="Arial" w:hAnsi="Arial"/>
                <w:sz w:val="15"/>
                <w:szCs w:val="15"/>
                <w:color w:val="auto"/>
              </w:rPr>
              <w:t>(5)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146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Huron Business Advisory</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173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5"/>
                <w:szCs w:val="15"/>
                <w:color w:val="auto"/>
              </w:rPr>
              <w:t>(5)</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Huron Legal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1,048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982</w:t>
            </w:r>
          </w:p>
        </w:tc>
        <w:tc>
          <w:tcPr>
            <w:tcW w:w="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1,229</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Huron Business Advisory</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1,087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1,333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Revenue per full-time equivalents (in thousands):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 xml:space="preserve">Huron Legal </w:t>
            </w:r>
            <w:r>
              <w:rPr>
                <w:rFonts w:ascii="Arial" w:cs="Arial" w:eastAsia="Arial" w:hAnsi="Arial"/>
                <w:sz w:val="15"/>
                <w:szCs w:val="15"/>
                <w:color w:val="auto"/>
              </w:rPr>
              <w:t>(5)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Huron Business Advisory</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187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5"/>
                <w:szCs w:val="15"/>
                <w:color w:val="auto"/>
              </w:rPr>
              <w:t>(5)</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23"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ind w:left="4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consultants who work variable schedules as needed by our clients, as well as other professionals who generate revenues primarily based on number of hours worked and units produced, such as pages reviewed and data processed. Also includes full-time employees who provide software support and maintenance services to our clients.</w:t>
      </w:r>
    </w:p>
    <w:p>
      <w:pPr>
        <w:spacing w:after="0" w:line="1" w:lineRule="exact"/>
        <w:rPr>
          <w:rFonts w:ascii="Arial" w:cs="Arial" w:eastAsia="Arial" w:hAnsi="Arial"/>
          <w:sz w:val="18"/>
          <w:szCs w:val="18"/>
          <w:color w:val="auto"/>
        </w:rPr>
      </w:pPr>
    </w:p>
    <w:p>
      <w:pPr>
        <w:ind w:left="460" w:right="200" w:hanging="452"/>
        <w:spacing w:after="0" w:line="252"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second quarter of 2014, we revised the methodology we use to allocate revenue between our billable consultants and our full-time equivalents in our Huron Legal segment to better reflect the nature of the work being provided. Operating data for the three and six months ended June 30, 2014, as presented above, reflects this change. Operating data for the Huron Legal segment for the three months ended March 31, 2014 has been revised as follows: full-time billable consultant average billing rate per hour decreased from $259 to $231, revenue per full-time billable consultant decreased from $75 thousand to $67 thousand, and revenue per full-time equivalent was unchanged. The impact on our total Company results was immaterial.</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assess our results of operations using certain non-GAAP financial measures. These non-GAAP financial measures differ from GAAP because the non-GAAP financial measures we calculate to measure Adjusted earnings before interest, taxes, depreciation and amortization (“Adjusted EBITDA”),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209,405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170,407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420,136</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334,443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Net income from continuing operations</w:t>
            </w:r>
          </w:p>
        </w:tc>
        <w:tc>
          <w:tcPr>
            <w:tcW w:w="9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19,913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15,814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54,039</w:t>
            </w:r>
          </w:p>
        </w:tc>
        <w:tc>
          <w:tcPr>
            <w:tcW w:w="5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8"/>
              <w:spacing w:after="0"/>
              <w:rPr>
                <w:sz w:val="20"/>
                <w:szCs w:val="20"/>
                <w:color w:val="auto"/>
              </w:rPr>
            </w:pPr>
            <w:r>
              <w:rPr>
                <w:rFonts w:ascii="Arial" w:cs="Arial" w:eastAsia="Arial" w:hAnsi="Arial"/>
                <w:sz w:val="18"/>
                <w:szCs w:val="18"/>
                <w:color w:val="auto"/>
              </w:rPr>
              <w:t>12,685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12,877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8"/>
              <w:spacing w:after="0"/>
              <w:rPr>
                <w:sz w:val="20"/>
                <w:szCs w:val="20"/>
                <w:color w:val="auto"/>
              </w:rPr>
            </w:pPr>
            <w:r>
              <w:rPr>
                <w:rFonts w:ascii="Arial" w:cs="Arial" w:eastAsia="Arial" w:hAnsi="Arial"/>
                <w:sz w:val="18"/>
                <w:szCs w:val="18"/>
                <w:color w:val="auto"/>
              </w:rPr>
              <w:t>19,183</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expenses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1,425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48"/>
              <w:spacing w:after="0"/>
              <w:rPr>
                <w:sz w:val="20"/>
                <w:szCs w:val="20"/>
                <w:color w:val="auto"/>
              </w:rPr>
            </w:pPr>
            <w:r>
              <w:rPr>
                <w:rFonts w:ascii="Arial" w:cs="Arial" w:eastAsia="Arial" w:hAnsi="Arial"/>
                <w:sz w:val="18"/>
                <w:szCs w:val="18"/>
                <w:color w:val="auto"/>
              </w:rPr>
              <w:t>7,557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5,551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68"/>
              <w:spacing w:after="0"/>
              <w:rPr>
                <w:sz w:val="20"/>
                <w:szCs w:val="20"/>
                <w:color w:val="auto"/>
              </w:rPr>
            </w:pPr>
            <w:r>
              <w:rPr>
                <w:rFonts w:ascii="Arial" w:cs="Arial" w:eastAsia="Arial" w:hAnsi="Arial"/>
                <w:sz w:val="18"/>
                <w:szCs w:val="18"/>
                <w:color w:val="auto"/>
              </w:rPr>
              <w:t>14,714</w:t>
            </w: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10,988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Earnings before interest, taxes, depreciation and amortization</w:t>
            </w:r>
          </w:p>
        </w:tc>
        <w:tc>
          <w:tcPr>
            <w:tcW w:w="8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(EBITDA)</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41,580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36,100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90,556</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Add back:</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1,034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Litigation and other gains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8"/>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8"/>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42,174</w:t>
            </w: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91,279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62,326</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 as a percentage of revenues</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8"/>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8"/>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54,039</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shares—diluted</w:t>
            </w: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23,098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22,760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23,092</w:t>
            </w: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from continuing 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0.86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Add back:</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2,912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8"/>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Litigation and other gains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(440)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Tax effect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8"/>
              <w:spacing w:after="0"/>
              <w:rPr>
                <w:sz w:val="20"/>
                <w:szCs w:val="20"/>
                <w:color w:val="auto"/>
              </w:rPr>
            </w:pPr>
            <w:r>
              <w:rPr>
                <w:rFonts w:ascii="Arial" w:cs="Arial" w:eastAsia="Arial" w:hAnsi="Arial"/>
                <w:sz w:val="18"/>
                <w:szCs w:val="18"/>
                <w:color w:val="auto"/>
              </w:rPr>
              <w:t>(1,402)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8"/>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tax benefit related to “check-the-box” election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92"/>
              </w:rPr>
              <w:t>(10,244)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700"/>
              <w:spacing w:after="0"/>
              <w:rPr>
                <w:sz w:val="20"/>
                <w:szCs w:val="20"/>
                <w:color w:val="auto"/>
              </w:rPr>
            </w:pPr>
            <w:r>
              <w:rPr>
                <w:rFonts w:ascii="Arial" w:cs="Arial" w:eastAsia="Arial" w:hAnsi="Arial"/>
                <w:sz w:val="18"/>
                <w:szCs w:val="18"/>
                <w:color w:val="auto"/>
              </w:rPr>
              <w:t>Total adjustments, net of tax</w:t>
            </w:r>
          </w:p>
        </w:tc>
        <w:tc>
          <w:tcPr>
            <w:tcW w:w="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(6,552)</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22,017</w:t>
            </w: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47,487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28,595</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Adjusted diluted earnings per share from continuing operations</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80" w:type="dxa"/>
            <w:vAlign w:val="bottom"/>
            <w:vMerge w:val="restart"/>
          </w:tcPr>
          <w:p>
            <w:pPr>
              <w:jc w:val="right"/>
              <w:ind w:right="49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1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We have incurred charges due to the restructuring of various parts of our business. These restructuring charges have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costs associated with office space consolidations including the accelerated depreciation of certain leasehold improvements, and severance charges. We have excluded the effect of the restructuring charges from our non-GAAP measures as a means to provide comparability with periods that were not impacted by a restructuring charge. Additionally, the amount of each restructuring charge is significantly affected by the timing and size of the restructured business or component of a business.</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Litigation and other gains: </w:t>
      </w:r>
      <w:r>
        <w:rPr>
          <w:rFonts w:ascii="Arial" w:cs="Arial" w:eastAsia="Arial" w:hAnsi="Arial"/>
          <w:sz w:val="18"/>
          <w:szCs w:val="18"/>
          <w:color w:val="auto"/>
        </w:rPr>
        <w:t>We have excluded the effect of the litigation gain recorded in the first quarter of 2013 and the remeasurement gain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2014 because their exclusion permits comparability with periods that were not impacted by these items.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We have excluded the effect of amortization of intangible assets from the calculation of Adjusted net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presented above. Amortization of intangibles is inconsistent in its amount and frequency and is significantly affected by the timing and size of our acquisitions.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rate applicable to the non-GAAP adjustments.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Net tax benefit related to “check-the-box” election: </w:t>
      </w:r>
      <w:r>
        <w:rPr>
          <w:rFonts w:ascii="Arial" w:cs="Arial" w:eastAsia="Arial" w:hAnsi="Arial"/>
          <w:sz w:val="18"/>
          <w:szCs w:val="18"/>
          <w:color w:val="auto"/>
        </w:rPr>
        <w:t>We have excluded the effect of the net tax benefit from our “check-the-box” election to treat one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wholly-owned foreign subsidiaries as a disregarded entity for U.S. federal income tax purposes during the first quarter of 2014 because its exclusion permits comparability with periods that were not impacted by this item.</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 xml:space="preserve">Income tax expense, Interest and other expenses, Depreciation and amortization: </w:t>
      </w:r>
      <w:r>
        <w:rPr>
          <w:rFonts w:ascii="Arial" w:cs="Arial" w:eastAsia="Arial" w:hAnsi="Arial"/>
          <w:sz w:val="18"/>
          <w:szCs w:val="18"/>
          <w:color w:val="auto"/>
        </w:rPr>
        <w:t>We have excluded the effects of income tax expense,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expenses, and depreciation and amortization in the calculation of EBITDA as these are customary exclusions as defined by the calculation of EBITDA to arrive at meaningful earnings from core operations excluding the effect of such items.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2014 Compared to Three Months Ended June 30,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Revenues increased $39.0 million, or 22.9%, to $209.4 million for the second quarter of 2014 from $170.4 million for the second quarter of 2013.</w:t>
      </w:r>
    </w:p>
    <w:p>
      <w:pPr>
        <w:spacing w:after="0" w:line="2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 the overall $39.0 million increase in revenues, $31.2 million was attributable to our full-time billable consultants, while $7.8 million was attributable to our full-time equivalents. The increase in full-time billable consultant revenues was driven by an increase in the average number of billable consultants and average billing rate, as well as a slight increase in the consultant utilization rate. The increase in revenue from full-time billable consultants primarily reflected strengthened demand for our services in the Huron Healthcare segment and our Huron Legal segment’s legal advisory services. The increase in full-time equivalent revenue was primarily attributable to an increase in revenue per full-time equivalent and the average number of full-time equivalents. Revenue attributable to full-time equivalents primarily reflected increased demand for our discovery services in the Huron Legal segment, as well as a slight increase in the use of contractors in the Huron Healthcare segment.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total direct costs increased $22.0 million, or 21.3%, to $125.5 million in the three months ended June 30, 2014, from $103.5 million in the three months ended June 30, 2013. The increase primarily related to a $12.8 million increase in salaries and related expenses for our revenue-generating professionals, a $4.6 million increase in bonus expense for our revenue-generating professionals, a $4.0 million increase in contractor expense, and a $0.5 million increase in intangible asset amortization expense. As a percentage of revenues, our total direct costs decreased to 60.0% during the second quarter of 2014 compared to 60.8% during the second quarter of 2013. This decrease primarily reflected revenue growth that outpaced the increase in salaries and related expenses for our revenue-generating professionals during the second quarter of 2014, as well as a decrease in technology expense, partially offset by increases in bonus expense for our revenue-generating professionals and contractor expense as percentages of revenues.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Total direct costs for the three months ended June 30, 2014 included $3.8 million of share-based compensation expense and $1.3 million of amortization expense for intangible assets and software development costs, primarily representing customer-related assets and software acquired in business combinations. Total direct costs for the three months ended June 30, 2013 included $3.3 million of share-based compensation expense and $0.7 million of amortization expense for intangible assets and software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development costs. The increase in share-based compensation expense was primarily attributable to an increase in the number of performance-based awards that are expected, as of June 30, 2014, to be earned in 2014 based on 2014 performance, compared to those that were expected, as of June 30, 2013, to be earned based on 2013 performance. The increase in amortization expense was primarily related to the amortization of intangible assets from businesses acquired during the fourth quarter of 2013 and the first half of 2014, as well as the initiation of amortization expense for certain software development costs.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Selling, general and administrative expenses increased $12.3 million, or 40.0%, to $43.2 million in the second quarter of 2014 from $30.8 million in the second quarter of 2013. This increase was primarily related to a $5.5 million increase in bonus expense, a $3.4 million increase in salaries and related expenses for our support personnel, a $1.1 million increase in promotion and sponsorship expenses, a $0.7 million increase in facilities and other office related expenses, a $0.3 million increase in practice administration and meetings expense, and a $0.7 million increase in other miscellaneous business expenses. As a percentage of revenues, selling, general and administrative expenses increased to 20.6% during the second quarter of 2014 compared to 18.1% during the second quarter of 2013. This increase primarily reflected an increase in bonus expense as a percentage of revenues.</w:t>
      </w:r>
    </w:p>
    <w:p>
      <w:pPr>
        <w:spacing w:after="0" w:line="17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During the second quarter of 2014, we incurred a $1.0 million pretax restructuring charge related to the consolidation of office spaces in Chicago, New York, and London. Of the total $1.0 million charge, $0.6 million related to the accrual of our remaining lease obligations at vacated spaces, net of estimated sublease income, and $0.4 million related to accelerated depreciation of assets disposed of as a result of the space consolidation. The vacated locations in Chicago and New York were acquired as part of business acquisitions during 2013 and 2014. Restructuring expense for the second quarter of 2013 was $0.6 million. This expense related to the consolidation of office space in the Washington, D.C. area that was acquired in the AdamsGrayson acquisition in 2012.</w:t>
      </w:r>
    </w:p>
    <w:p>
      <w:pPr>
        <w:spacing w:after="0" w:line="15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second quarter of 2014, we determined that the fair value of our contingent consideration liability incurred in connection with a business acquisition had decreased and, as a result, recorded a $0.4 million remeasurement gain. There was no remeasurement gain or loss for the comparable period last year.</w:t>
      </w:r>
    </w:p>
    <w:p>
      <w:pPr>
        <w:spacing w:after="0" w:line="181"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Depreciation and amortization expense increased by $1.4 million to $6.3 million in the three months ended June 30, 2014, from $4.9 million in the three months ended June 30, 2013. The increase primarily related to the amortization of intangible assets from businesses acquired during the fourth quarter of</w:t>
      </w:r>
    </w:p>
    <w:p>
      <w:pPr>
        <w:spacing w:after="0" w:line="255" w:lineRule="auto"/>
        <w:rPr>
          <w:sz w:val="20"/>
          <w:szCs w:val="20"/>
          <w:color w:val="auto"/>
        </w:rPr>
      </w:pPr>
      <w:r>
        <w:rPr>
          <w:rFonts w:ascii="Arial" w:cs="Arial" w:eastAsia="Arial" w:hAnsi="Arial"/>
          <w:sz w:val="18"/>
          <w:szCs w:val="18"/>
          <w:color w:val="auto"/>
        </w:rPr>
        <w:t>2013 and first half of 2014, as well as the depreciation of network equipment and leasehold improvements that were placed into service during the second half of 2013 and first half of 2014. Intangible asset amortization included within operating expenses relates to certain customer relationships, non-competition agreements, trade names, and licenses acquired in connection with our acquisitions.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Operating income increased $3.5 million, or 11.4%, to $34.0 million in the second quarter of 2014 from $30.5 million in the second quarter of 2013. Operating margin, which is defined as operating income expressed as a percentage of revenues, decreased to 16.2% in the three months ended June 30, 2014, compared to 17.9% in the three months ended June 30, 2013. The decrease in operating margin was primarily attributable to the increase in bonus expense as a percentage of revenue during the second quarter of 2014, as well as an increase in contractor expense as a percentage of revenues, partially offset by revenue growth that outpaced the increase in salaries and related expenses for our revenue-generating professionals and a decrease in technology expenses.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2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Other expense, net decreased by $0.4 million, or 23.3%, to $1.4 million in the second quarter of 2014 from $1.9 million in the second quarter of 2013. The decrease in other expense, net was primarily attributable to a $0.3 million increase in other income as a result of improved performance of the investments used to fund our deferred compensation plans, and a $0.1 million decrease in interest expense, net of interest income.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For the second quarter of 2014, we recognized income tax expense from continuing operations of $12.7 million on income from continuing operations of $32.6 million. For the second quarter of 2013, we recognized income tax expense from continuing operations of $12.9 million on income from continuing operations of $28.7 million. Our effective tax rate for the second quarter of 2014 was 38.9% compared with 44.9% for the same period last year. The effective tax rate for the three months ended June 30, 2014 was lower than the statutory rate, inclusive of state income taxes, due primarily to tax benefits recognized on foreign losses, partially offset by certain non-deductible business expenses. The effective tax rate for the three months ended June 30, 2013 was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higher than the statutory rate, inclusive of state income taxes, due primarily to the impact of foreign losses with no tax benefit and certain non-deductible business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Net income from continuing operations was $19.9 million for the three months ended June 30, 2014, compared to net income from continuing operations of $15.8 million for the same period last year. The $4.1 million increase in net income from continuing operations was primarily due to the increase in operating income, as well as the decrease in income tax expense, as discussed above. As a result of the increase in net income from continuing operations, diluted earnings per share from continuing operations for the second quarter of 2014 was $0.86 compared to $0.69 for the second quarter of 2013.</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EBITDA increased $5.5 million to $41.6 million for the three months ended June 30, 2014, from $36.1 million for the three months ended June 30, 2013. Adjusted EBITDA also increased $5.5 million to $42.2 million in the second quarter of 2014 from $36.7 million in the second quarter of 2013. The increase in EBITDA and Adjusted EBITDA was primarily due to the increase in segment operating income, as discussed below in Segment Results, largely offset by an increase in corporate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Adjusted net income from continuing operations increased $5.0 million to $22.0 million in the second quarter of 2014 compared to $17.0 million in the second quarter of 2013. The increase was primarily attributable to the increase in operating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Huron Healthcare segment revenues increased $22.1 million, or 27.9%, to $101.0 million for the second quarter of 2014 from $78.9 million for the second quarter of 2013. Revenues for the second quarter of 2014 included $5.1 million from Vonlay, a business that we acquired in the second quarter of 2014. During the three months ended June 30, 2014, revenues from time-and-expense engagements, fixed-fee engagements, performance-based arrangements, and software support and maintenance arrangements represented 6.0%, 70.2%, 19.2%, and 4.6% of this segment’s revenues, respectively, compared to 2.0%, 70.1%, 22.9%, and 5.0%, respectively, for the comparable period in 2013.</w:t>
      </w:r>
    </w:p>
    <w:p>
      <w:pPr>
        <w:spacing w:after="0" w:line="1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Of the overall $22.1 million increase in revenues, $21.7 million was attributable to our full-time billable consultants and $0.4 million was attributable to our full-time equivalents. The increase in demand for our services reflected the continued pressures our clients face as the result of evolving business models, rising costs, and declining reimbursements from government and commercial payers. The increase in full-time billable consultant revenues reflected increases in the average number of full-time billable consultants and average billing rate, partially offset by a decrease in the consultant utilization rate. Performance-based fee revenue was $19.4 million during the second quarter of 2014 compared to $18.0 million during the second quarter of 2013. We expect performance-based fees to be greater in the first half of 2014 than in the second half of 2014.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 With regard to our full-time equivalents, the Huron Healthcare segment experienced an increase in the average number of full-time equivalents, partially offset by a decrease in revenue per full-time equivalent in the second quarter of 2014 compared to the second quarter of 2013.</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Huron Healthcare segment operating income increased $9.0 million, or 30.4%, to $38.5 million in the three months ended June 30, 2014, from $29.5 million in the three months ended June 30, 2013. The Huron Healthcare segment operating margin, defined as segment operating income expressed as a percentage of segment revenues, increased to 38.1% for the second quarter of 2014 from 37.4% in the same period last year. The increase in this segment’s operating margin was primarily attributable to revenue growth that outpaced the increase in salaries and related expenses for our revenue-generating professionals, partially offset by increases in bonus expense for our revenue-generating professionals, technology expense, contractor expense, and intangible asset amortization expense as percentages of revenues.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Huron Legal segment revenues increased $8.2 million, or 18.2%, to $53.3 million for the second quarter of 2014 from $45.1 million for the second quarter of 2013. Revenues from time-and-expense engagements and fixed-fee engagements represented 97.2% and 2.8% of this segment’s revenues, respectively, during the three months ended June 30, 2014. During the comparable period in 2013, revenues from time-and-expense engagements, fixed-fee engagements, and support and maintenance arrangements represented 95.6%, 4.0%, and 0.4% of this segment’s revenues, respectively.</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Of the overall $8.2 million increase in revenues, $6.9 million was attributable to an increase in revenue generated by our full-time equivalents and $1.3 million was related to our full-time billable consultants. The increase in revenue attributable to our full-time equivalents was the result of an increase in both revenue per full-time equivalent and the average number of full-time equivalents. The increase in full-time billable consultant revenue reflected an increase in the average billing rate and consultant utilization rate, partially offset by a decrease in the average number of full-time billable consultants.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Huron Legal segment operating income increased by $5.0 million, or 46.3%, to $15.8 million in the three months ended June 30, 2014, from $10.8 million in the three months ended June 30, 2013. Segment operating margin increased to 29.6% for the second quarter of 2014 from 23.9% in the same period last year. The increase in this segment’s operating margin was primarily attributable to a decrease in salaries and related expenses for our revenue-generating professionals. Decreases in technology expense, restructuring expense, rent and utility expense for our document review centers, and severance expense also contributed to the increase in operating margin, partially offset by increases in bonus expense for both our revenue-generating professionals and support personnel and contractor expense as percentages of revenues.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Huron Education and Life Sciences segment revenues increased $0.6 million, or 1.7%, to $37.7 million for the second quarter of 2014 from $37.1 million for the second quarter of 2013. Revenues for the second quarter of 2014 included $4.2 million from The Frankel Group Associates, a business that we acquired in the first quarter of 2014. Revenues from time-and-expense engagements, fixed-fee engagements, and software support and maintenance arrangements represented 70.6%, 25.1%, and 4.3% of this segment’s revenues, respectively, during the three months ended June 30, 2014, compared to 82.4%, 13.8%, and 3.8%, respectively, for the comparable period in 2013.</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 the overall $0.6 million increase in revenues, $0.5 million was attributable to our full-time billable consultants and $0.1 million was related to our full-time equivalents. The increase in revenue from our full-time billable consultants primarily reflected an increase in the consultant utilization rate, as well as a slight increase in the average billing rate, partially offset by a decrease in the average number of full-time billable consultants.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Huron Education and Life Sciences segment operating income increased $0.1 million to $11.6 million in the three months ended June 30, 2014, from $11.5 million in the three months ended June 30, 2013. The Huron Education and Life Sciences segment operating margin decreased to 30.8% for the second quarter of 2014 from 31.1% in the same period last year. The decrease in this segment’s operating margin was primarily attributable to an increase in salaries and related expenses for both our revenue-generating professionals and support personnel as a percentage of revenues, as well as increases in promotion and sponsorship expense, practice administration and meetings expense, and training expense as percentages of revenues, largely offset by decreases in bonus expense for our revenue-generating professionals and contractor expense.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Business Advisory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Huron Business Advisory segment revenues increased $7.3 million, or 78.9%, to $16.6 million for the second quarter of 2014 from $9.3 million for the second quarter of 2013. Revenues for the second quarter of 2014 included $7.2 million from our EPM practice (formerly referred to as Blue Stone International, a business that we acquired during the fourth quarter of 2013). Revenues from time-and-expense engagements, fixed-fee engagements, and performance-based arrangements represented 84.7%, 14.3%, and 1.0% of this segment’s revenues, respectively, during the second quarter of 2014. During the comparable period in 2013, revenues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from time-and-expense engagements and fixed-fee engagements represented 81.2% and 18.8% of this segment’s revenues, respectively.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the overall $7.3 million increase in revenues, $7.1 million was attributable to our full-time billable consultants and $0.2 million was related to our full-time equivalents. The increase in revenue from our full-time billable consultants was driven by an increase in the average number of full-time billable consultants, partially offset by decreases in the average billing rate and consultant utilization 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Huron Business Advisory segment operating income increased by $1.1 million, or 29.8%, to $5.1 million in the three months ended June 30, 2014, compared to $4.0 million in the three months ended June 30, 2013. Segment operating margin decreased to 30.9% for the second quarter of 2014 from 42.7% in the same period last year. The decrease in this segment’s operating margin was primarily attributable to an increase in salaries, bonuses, and related expenses for our revenue-generating professionals as a percentage of revenues. Increases in contractor expense, promotion and sponsorship expense, and intangible asset amortization expense, all as percentages of revenues, also contributed to the decrease in the segment’s operating margin, partially offset by a decrease in severance expense.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2014 Compared to Six Months Ended June 30,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Revenues increased $85.7 million, or 25.6%, to $420.1 million for the first six months of 2014 from $334.4 million for the first six months of 2013.</w:t>
      </w:r>
    </w:p>
    <w:p>
      <w:pPr>
        <w:spacing w:after="0" w:line="23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 the overall $85.7 million increase in revenues, $64.2 million was attributable to our full-time billable consultants, while $21.5 million was attributable to our full-time equivalents. The increase in full-time billable consultant revenues was driven by an increase in the average number of billable consultants and average billing rate, partially offset by a decrease in the consultant utilization rate. The increase in revenue from full-time billable consultants during the first half of 2014 primarily reflected strengthened demand for our services in the Huron Healthcare segment and our Huron Legal segment’s legal advisory services, partially offset by decreased demand for our services in the Huron Education and Life Sciences segment when compared to the first half of 2013. The increase in full-time equivalent revenue was primarily attributable to an increase in the average number of full-time equivalents and revenue per full-time equivalent. Revenue attributable to full-time equivalents primarily reflected increased demand for our discovery services in the Huron Legal segment, as well as increased use of contractors in the Huron Healthcare segment.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total direct costs increased $40.0 million, or 19.0%, to $250.3 million in the six months ended June 30, 2014, from $210.3 million in the six months ended June 30, 2013. The increase primarily related to a $24.8 million increase in salaries and related expenses for our revenue-generating professionals, a $9.1 million increase in contractor expense, a $5.3 million increase in bonus expense for our revenue-generating professionals, and a $1.1 million increase in amortization expense for intangible assets and software development costs, partially offset by a $0.3 million decrease in technology expense and a $0.3 million decrease in rent and utility charges for our document review centers. As a percentage of revenues, our total direct costs decreased to 59.6% during the first half of 2014 compared to 62.9% during the first half of 2013. This decrease primarily reflected revenue growth that outpaced the increase in salaries and related expenses for our revenue-generating professionals during the first half of 2014, as well as the decreases in technology expense and rent and utility charges for our document review centers, partially offset by an increase in contractor expense as a percentage of revenues.</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Total direct costs for the six months ended June 30, 2014 included $7.8 million of share-based compensation expense and $2.4 million of amortization expense for intangible assets and software development costs, primarily representing customer-related assets and software acquired in business combinations. Total direct costs for the six months ended June 30, 2013 included $6.9 million of share-based compensation expense and $1.3 million of amortization expense for intangible assets and software development costs. The increase in share-based compensation expense was primarily attributable to an increase in the number of performance-based awards that are expected, as of June 30, 2014, to be earned in 2014 based on 2014 performance, compared to those that were expected, as of June 30, 2013, to be earned based on 2013 performance. The increase in amortization expense was primarily related to the amortization of intangible assets from businesses acquired during the fourth quarter of 2013 and the first half of 2014, as well as the initiation of amortization expense for certain software development costs.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Selling, general and administrative expenses increased $17.8 million, or 28.1%, to $80.9 million in the first half of 2014 from $63.1 million in the first half of 2013. This increase was primarily related to a $5.9 million increase in bonus expense, a $5.6 million increase in salaries and related expenses for our support personnel, a $2.0 million increase in promotion and sponsorship expenses, a $1.1 million increase in practice administration and meetings expense, a $0.8 million increase in facilities and other office related expenses, a $0.8 million increase in accounting, tax, and audit fees, and a $0.7 million increase in legal expenses. As a percentage of revenues, selling, general and administrative expenses increased to 19.2% during the first half of 2014 compared to 18.9% during the first half of 2013. This increase primarily reflected an increase in bonus expense as a percentage of revenues, partially offset by revenue growth that outpaced the increases in salaries and related expenses for our support personnel and facilities and other office related expenses and a decrease in severance expense.</w:t>
      </w:r>
    </w:p>
    <w:p>
      <w:pPr>
        <w:spacing w:after="0" w:line="19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During the second quarter of 2014, we incurred a $1.0 million pretax restructuring charge related to the consolidation of office spaces in Chicago, New York, and London. Of the total $1.0 million charge, $0.6 million related to the accrual of our remaining lease obligations at vacated spaces, net of estimated sublease income, and $0.4 million related to accelerated depreciation of assets disposed of as a result of the space consolidation. The vacated locations in Chicago and New York were acquired as part of business acquisitions during 2013 and 2014. During the first quarter of 2014, we incurred a $0.1 million pretax restructuring charge related to workforce reductions in our London office to better align our resources with market demand in our Huron Legal</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segment. Restructuring expense for the first half of 2013 was $0.6 million and related to the consolidation of office space in the Washington, D.C. area that was acquired in the AdamsGrayson acquisition in 2012.</w:t>
      </w:r>
    </w:p>
    <w:p>
      <w:pPr>
        <w:spacing w:after="0" w:line="17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 xml:space="preserve">During the second quarter of 2014, we determined that the fair value of our contingent consideration liability incurred in connection with a business acquisition had decreased and, as a result, recorded a $0.4 million remeasurement gain. There was no remeasurement gain or loss for the comparable period last year. During the first quarter of 2013, we recorded a $1.2 million settlement gain. As discussed under “Part II – Item 1. Legal Proceedings,” and in Note 12 “Commitments, Contingencies and Guarantees,” during the second quarter of 2012, we conducted preliminary settlement discussions with the relator in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and as a result, we recorded a charge of $1.2 million in accordance with ASC Topic 450, “Contingencies.” On March 8, 2013, the Court granted Huron’s motion for summary judgment and dismissed the relator’s second amended complaint in its entirety with prejudice. As a result, during the first quarter of 2013, we reversed the charge of $1.2 million recorded during 2012.</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Depreciation and amortization expense increased by $2.6 million to $12.3 million in the six months ended June 30, 2014, from $9.7 million in the six months ended June 30, 2013. The increase primarily related to the amortization of intangible assets from businesses acquired during the fourth quarter of 2013 and first half of 2014, as well as the depreciation of network equipment and leasehold improvements that were placed into service during the second half of 2013 and first half of 2014. Intangible asset amortization included within operating expenses relates to certain customer relationships, non-competition agreements, trade names, and licenses acquired in connection with our acquisitions.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Operating income increased $23.9 million, or 46.2%, to $75.8 million in the first half of 2014 from $51.9 million in the first half of 2013. Operating margin, which is defined as operating income expressed as a percentage of revenues, increased to 18.1% in the six months ended June 30, 2014, compared to 15.5% in the six months ended June 30, 2013. The increase in operating margin was primarily attributable to the revenue growth that outpaced the increase in salaries and related expenses for both our revenue-generating professionals and support personnel during the period, as well as decreases in technology expense and rent and utility charges for our document review centers and a decrease in facilities and other office related expenses as a percentage of revenues. These operating margin increases were partially offset by the increases in contractor expense and bonus expense as percentages of revenues.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expense, net decreased by $1.1 million, or 29.3%, to $2.6 million in the first half of 2014 from $3.7 million in the first half of 2013. The decrease was primarily attributable to a $0.6 million, or 16.9%, decrease in interest expense, net of interest income in the first half of 2014, which was the result of a decrease in our borrowing levels combined with lower interest rates, as well as a $0.4 million increase in other income as a result of improved performance of the investments used to fund our deferred compensation plans.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For the first half of 2014, we recognized income tax expense from continuing operations of $19.2 million on income from continuing operations of $73.2 million. For the first half of 2013, we recognized income tax expense from continuing operations of $21.0 million on income from continuing operations of $48.2 million. Our effective tax rate for the first six months of 2014 was 26.2% compared with 43.6% for the same period last year. The effective tax rate for the six months ended June 30, 2014 was lower than the statutory rate, inclusive of state income taxes, due primarily to the impact of a tax election made in the first quarter of 2014 to classify one of our wholly-owned foreign subsidiaries as a disregarded entity for U.S. federal income tax purposes (commonly referred to as a “check-the-box” election). As a result of this election, we expect to realize an income tax benefit of $13.8 million, of which $2.4 million is unrecognized, resulting in a net recognized tax benefit of $11.4 million during the first quarter of 2014. This recognized benefit was partially offset by $1.2 million in expenses related to the establishment of a valuation allowance for certain foreign tax credits and increased deferred tax liabilities as a result of the aforementioned election. The effective tax rate for the six months ended June 30, 2013 was higher than the statutory rate, inclusive of state income taxes, due primarily to the impact of foreign losses with no tax benefit and certain non-deductible business expenses, partially offset by the impact of the retroactive reinstatement of the federal research and development tax credit, which was enacted during the first quarter of 2013.</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Net income from continuing operations was $54.0 million for the six months ended June 30, 2014, compared to net income from continuing operations of $27.2 million for the same period last year. The $26.8 million increase in net income from continuing operations was primarily due to the increase in operating income, as well as the decrease in income tax expense and other expense, net, as discussed above. As a result of the increase in net income from continuing operations, diluted earnings per share from continuing operations for the first half of 2014 was $2.34 compared to $1.20 for the first half of 2013.</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EBITDA increased $27.7 million to $90.6 million for the six months ended June 30, 2014, from $62.9 million for the six months ended June 30, 2013. Adjusted EBITDA increased $29.0 million to $91.3 million in the first half of 2014 from $62.3 million in the first half of 2013. The increase in EBITDA and Adjusted EBITDA was primarily due to the increase in segment operating income, as discussed below in Segment Results, partially offset by an increase in corporate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Adjusted net income from continuing operations increased $18.9 million to $47.5 million in the first half of 2014 compared to $28.6 million in the first half of 2013. The increase was primarily attributable to the increase in operating income, partially offset by a higher tax expense when excluding the tax benefit related to our “check-the-box” election.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Huron Healthcare segment revenues increased $50.8 million, or 32.2%, to $208.5 million for the first half of 2014 from $157.7 million for the first half of 2013. Revenues for the first half of 2014 included $5.1 million from Vonlay, a business that we acquired in the second quarter of 2014. During the six months ended June 30, 2014, revenues from time-and-expense engagements, fixed-fee engagements, performance-based arrangements, and software support and maintenance arrangements represented 3.8%, 67.3%, 24.4%, and 4.5% of this segment’s revenues, respectively, compared to 1.6%, 70.3%, 23.1%, and 5.0%, respectively, for the comparable period in 2013.</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Of the overall $50.8 million increase in revenues, $49.6 million was attributable to our full-time billable consultants and $1.2 million was attributable to our full-time equivalents. The increase in demand for our services reflected the continued pressures our clients face as the result of evolving business models, rising costs, and declining reimbursements from government and commercial payers. The increase in full-time billable consultant revenues reflected increases in the average billing rate and average number of full-time billable consultants, partially offset by a decrease in the consultant utilization rate. Performance-based fee revenue was $50.8 million during the first half of 2014 compared to $36.4 million during the first half of 2013. We expect performance-based fees to be greater in the first half of 2014 than in the second half of 2014.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 With regard to our full-time equivalents, during the first six months of 2014, the Huron Healthcare segment experienced an increase in revenue per full-time equivalent, while the average number of full-time equivalents was unchanged compared to the first six months of 2013.</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Huron Healthcare segment operating income increased $29.0 million, or 47.8%, to $89.7 million in the six months ended June 30, 2014, from $60.7 million in the six months ended June 30, 2013. The Huron Healthcare segment operating margin, defined as segment operating income expressed as a percentage of segment revenues, increased to 43.0% for the first half of 2014 from 38.5% in the same period last year. The increase in this segment’s operating margin was primarily attributable to revenue growth that outpaced the increase in salaries and related expenses for our revenue-generating professionals, as well as a decrease in salaries and related expenses for our support personnel, partially offset by an increase in technology expense as a percentage of revenues.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Huron Legal segment revenues increased $22.3 million, or 25.8%, to $108.3 million for the first half of 2014 from $86.0 million for the first half of 2013. Revenues from time-and-expense engagements, fixed-fee engagements, and support and maintenance arrangements represented 97.5%, 2.4%, and 0.1% of this segment’s revenues, respectively, during the six months ended June 30, 2014, compared to 95.0%, 4.7%, and 0.3% of this segment’s revenues, respectively, for the comparable period in 2013.</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Of the overall $22.3 million increase in revenues, $19.4 million was attributable to an increase in revenue generated by our full-time equivalents and $2.9 million was related to our full-time billable consultants. The increase in revenue attributable to our full-time equivalents was the result of an increase in both the average number of full-time equivalents and revenue per full-time equivalent. The increase in full-time billable consultant revenue reflected increases in the consultant utilization rate and average billing rate, partially offset by a decrease in the average number of full-time billable consultants.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Huron Legal segment operating income increased by $14.5 million, or 105.9%, to $28.3 million in the six months ended June 30, 2014, from $13.7 million in the six months ended June 30, 2013. Segment operating margin increased to 26.1% for the first half of 2014 from 16.0% in the same period last year. The increase in this segment’s operating margin was primarily attributable to a decrease in salaries and related expenses for our revenue-generating professionals. Decreases in technology expense, rent and utility expense for our document review centers, restructuring expense, and severance expense also contributed to the increase in operating margin, as well as revenue growth that outpaced the increase in bonus expense for our revenue-generating professionals, partially offset by increases in contractor expense and bonus expense for support personnel as percentages of revenues.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Huron Education and Life Sciences segment revenues decreased $1.5 million, or 2.1%, to $71.3 million for the first six months of 2014 from $72.9 million for the first six months of 2013. Revenues for the first six months of 2014 included $7.1 million from The Frankel Group Associates, a business that we acquired in the first quarter of 2014. Revenues from time-and-expense engagements, fixed-fee engagements, and software support and maintenance arrangements represented 71.2%, 24.4%, and 4.4% of this segment’s revenues, respectively, during the first half of 2014, compared to 79.6%, 16.6%, and 3.8%, respectively, for the first half of 2013.</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Of the overall $1.5 million decrease in revenues, $1.2 million was attributable to our full-time billable consultants and $0.3 million was related to our full-time equivalents. The decrease in revenue from our full-time billable consultants reflected a decrease in the average number of full-time billable consultants and average billing rate, partially offset by an increase in consultant utilization rate. The decrease in revenue attributable to our full-time equivalents reflected a decrease in the average number of full-time equivalents, partially offset by an increase in revenue per full-time equivalent.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Huron Education and Life Sciences segment operating income decreased $2.8 million, or 13.5%, to $18.1 million in the six months ended June 30, 2014, from $20.9 million in the six months ended June 30, 2013. The Huron Education and Life Sciences segment operating margin decreased to 25.3% for the first half of 2014 from 28.7% in the same period last year. The decrease in this segment’s operating margin was primarily attributable to an increase in salaries and related expenses for both our revenue-generating professionals and support personnel, as well as increases in contractor expense, promotion and sponsorship expense, practice administration and meetings expense, and research expense, partially offset by a decrease in bonus expense for our revenue-generating professionals as a percentage of revenues.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Business Advisory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Huron Business Advisory segment revenues increased $12.2 million, or 67.9%, to $30.0 million for the first six months of 2014 from $17.8 million for the first six months of 2013. Revenues for the first six months of 2014 included $13.8 million from our EPM practice (formerly referred to as Blue Stone International, a business that we acquired during the fourth quarter of 2013). Revenues from time-and-expense engagements, fixed-fee engagements, and performance-based arrangements represented 84.6%,</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13.2%, and 2.2% of this segment’s revenues, respectively, during the first half of 2014, compared to 79.3%, 17.9%, and 2.8%, respectively, for the comparable period in 2013.</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Of the overall $12.2 million increase in revenues, $11.5 million was attributable to our full-time billable consultants and $0.6 million was related to our full-time equivalents. The increase in revenue from our full-time billable consultants was driven by an increase in the average number of full-time billable consultants, partially offset by decreases in the average billing rate and consultant utilization rate. The increase in revenue attributable to our full-time equivalents reflected an increase in the average number of full-time equivalents, partially offset by a decrease in revenue per full-time equivalent.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Huron Business Advisory segment operating income increased by $0.4 million, or 4.8%, to $7.7 million in the six months ended June 30, 2014, compared to $7.3 million in the six months ended June 30, 2013. Segment operating margin decreased to 25.7% for the first half of 2014 from 41.1% in the same period last year. The decrease in this segment’s operating margin was primarily attributable to an increase in salaries, bonuses, and related expenses for our revenue-generating professionals as a percentage of revenues. Increases in contractor expense, promotion and sponsorship expense, intangible asset amortization expense, and practice administration and meetings expense, all as percentages of revenues, also contributed to the decrease in the segment’s operating margin, partially offset by a decrease in severance expense.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Cash and cash equivalents decreased $48.9 million, from $58.1 million at December 31, 2013 to $9.2 million at June 30, 2014. Our primary sources of liquidity are cash flows from our U.S. operations and debt capacity available under our credit facility.</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(in thousands):</w:t>
            </w: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Net cash provided by</w:t>
            </w: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12,199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(63,293)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(11,694)</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(11,511)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Net cash provided by operating activities totaled $12.2 million for the six months ended June 30, 2014, and $2.7 million for the same period last year.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benefits to employees affect these account balances. The increase in cash provided by operations was primarily attributable to higher net income during the first six months of 2014 when compared with the first six months of 2013, partially offset by an increase in the amount paid for annual performance bonuses during the first quarter of 2014 and an increase in receivables and unbilled services from clients during the first six months of 2014 when compared with the first six months of 2013.</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cash used in investing activities was $63.3 million and $11.7 million for the six months ended June 30, 2014 and 2013, respectively. The use of cash in the first six months of 2014 primarily consisted of $51.4 million for purchases of businesses and $11.4 million for purchases of property and equipment. The use of cash in the first six months of 2013 primarily consisted of purchases of property and equipment totaling $10.2 million. We estimate that the cash utilized for purchases of property and equipment in 2014 will be approximately $30.0 million, primarily consisting of information technology related equipment and leasehold improvements to support the continued growth of our document review and processing services, as well as information technology related equipment to support our corporate infrastructure.</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Net cash provided by financing activities was $2.1 million for the six months ended June 30, 2014, compared to net cash used in financing activities of $11.5 million for the same period last year. Borrowings made under our credit facility to fund operations during the first six months of 2014 totaled $74.0 million, with repayments during the period totaling $64.0 million. Borrowings made under our credit facility during the first six months of 2013 totaled $66.0 million, with repayments totaling $77.3 million. During the first half of 2014, the Company repurchased and retired $9.5 million of common stock under the February 2014 Share Repurchase Program. Under this program, which was authorized by the Company’s board of directors on February 20, 2014, the Company may, from time to time, repurchase up to $50 million of its common stock through February 28, 2015. The amount and timing of the repurchases will be determined by management and will depend on a variety of factors, including the trading price of the Company’s common stock, general market and business conditions, and applicable legal requirements. As of June 30, 2014, $40.5 million remains available for share repurchases under the February 2014 Share Repurchase Program.</w:t>
      </w:r>
    </w:p>
    <w:p>
      <w:pPr>
        <w:spacing w:after="0" w:line="18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During 2011, the Company and certain of the Company’s subsidiaries as guarantors entered into an Amended and Restated Credit Agreement with various financial institutions, as amended by the first, second, third, and fourth amendments to the credit agreement dated as of August 31, 2012, September 25, 2013, February 14, 2014, and June 27, 2014, respectively (as amended and modified, the “2011 Credit Agreement”).</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9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obligations under the 2011 Credit Agreement are secured pursuant to a Security Agreement with Bank of America, N.A. as Collateral Agent. The Security Agreement grants Bank of America, N.A., for the ratable benefit of the lenders under the 2011 Credit Agreement, a first-priority lien, subject to permitted liens, on substantially all of the personal property assets of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the date of the second amendment to the credit agreement, the Term Loan had a principal amount outstanding of $181.3 million. This principal balance is subject to scheduled quarterly amortization payments that began in 2013. The aggregate annual quarterly amortization payments, expressed as a percentage of the original principal balance, are as follows: 6.9% in 2013, 13.8% in 2014, 15.8% in 2015, 16.6% in 2016, 16.6% in 2017, and 30.3% in 2018, as set forth in the 2011 Credit Agreement. The maturity date for the Term Loan is September 25, 2018, at which time the outstanding principal balance and all accrued interest will be due and payable in full. All outstanding borrowings under the Revolver, as amended, will be due upon expiration of the 2011 Credit Agreement on September 25, 2018. As of June 30, 2014, the Company has made all scheduled quarterly amortization payments as they have come due in accordance with the Term Loan.</w:t>
      </w:r>
    </w:p>
    <w:p>
      <w:pPr>
        <w:spacing w:after="0" w:line="18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8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2011 Credit Agreement contains quarterly financial covenants that require us to maintain a minimum fixed charge coverage ratio of 2.25 to 1.00 and a maximum leverage ratio that varies throughout the term and was 3.00 to 1.00 as of June 30, 2014, as those ratios are defined therein, as well as a minimum net worth greater than $150 million. At June 30, 2014, we were in compliance with these financial covenants with a fixed charge coverage ratio of 4.91 to 1.00, a leverage ratio of 0.97 to 1.00, and net worth greater than $150 million. At December 31, 2013, we were also in compliance with these financial covenants.</w:t>
      </w:r>
    </w:p>
    <w:p>
      <w:pPr>
        <w:spacing w:after="0" w:line="188"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The borrowing capacity under the 2011 Credit Agreement is reduced by any outstanding letters of credit and payments under the Term Loan. At June 30, 2014, outstanding letters of credit totaled $5.3 million and are primarily used as security deposits for our office facilities. As of June 30, 2014, the unused borrowing capacity under the 2011 Credit Agreement was $219.7 million. Borrowings outstanding under this credit facility at June 30, 2014 totaled $178.8 million. These borrowings carried a weighted average interest rate of 2.2%, including the effect of the interest rate swaps described in Note 8 “Derivative Instruments and Hedging Activity.” During the first six months of 2014, the average daily outstanding balance under our credit facility was $173.0 million. Borrowings outstanding at December 31, 2013 were $168.8 million and carried a weighted average interest rate of 2.0%.</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“Risk Factors” in our Annual Report on Form 10-K for the year ended December 31, 2013 for a discussion of certain risks and uncertainties related to the 2011 Credit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also have cash needs to service our credit facility and repay our Term Loan. We believe our internally generated liquidity, together with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2013. There have been no material changes in our contractual obligations since December 31,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June 2014, the Financial Accounting Standards Board (“FASB”) issued Accounting Standards Update (“ASU”) No. 2014-12, Accounting for Share-Based Payments When the Terms of an Award Provide That a Performance Target Could Be Achieved after the Requisite Service Period. This guidance requires that a performance target that affects vesting and could be achieved after the requisite service period be treated as a performance condition. A reporting entity should apply existing guidance in Accounting Standards Codification (“ASC”) 718, Compensation—Stock Compensation, as it relates to such awards. This guidance is effective for the Company beginning in the first quarter of 2016, with early adoption permitted. The amendments of ASU 2014-12 may be applied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with the cumulative effect of applying the amendments as an adjustment to the opening retained earnings balance as of the beginning of the earliest annual period presented in the financial statements. We are currently evaluating the potential effect of adopting this guidance but do not expect adoption to have a material impact on our consolidated financial statements.</w:t>
      </w:r>
    </w:p>
    <w:p>
      <w:pPr>
        <w:spacing w:after="0" w:line="1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May 2014, the FASB issued ASU No. 2014-09, Revenue from Contracts with Customers, as a new Topic, ASC Topic 606.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This guidance is effective for the Company beginning in the first quarter of 2017 and is to be applied retrospectively to each period presented or as a cumulative-effect adjustment as of the date of adoption. Early adoption is not permitted. We are currently evaluating the potential effect of adopting this guidance on our consolidated financial statements, as well as the transition methods.</w:t>
      </w:r>
    </w:p>
    <w:p>
      <w:pPr>
        <w:spacing w:after="0" w:line="16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April 2014, the FASB issued ASU 2014-08, Presentation of Financial Statements (Topic 205) and Property, Plant, and Equipment (Topic 360), Reporting Discontinued Operations and Disclosures of Disposals of Components of an Entity. This guidance includes amendments that change the requirements for reporting discontinued operations and require additional disclosures about discontinued operations. Under the new guidance, only disposals representing a strategic shift in operations that has (or will have) a major effect on the entity’s operations and financial results should be presented as discontinued operations. Examples include a disposal of a major geographic area, a major line of business, a major equity method investment, or other major parts of an entity. Additionally, the revised guidance requires expanded disclosures in the financial statements for discontinued operations as well as for disposals of significant components of an entity that do not qualify for discontinued operations presentation. This guidance is effective for the Company beginning in the first quarter of 2015. We do not expect the adoption of this guidance to have a material impact on our consolidated financial statements.</w:t>
      </w:r>
    </w:p>
    <w:p>
      <w:pPr>
        <w:spacing w:after="0" w:line="16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July 2013, the FASB issued ASU No. 2013-11, Presentation of an Unrecognized Tax Benefit When a Net Operating Loss Carryforward, a Similar Tax Loss, or a Tax Credit Carryforward Exists. This guidance requires that an unrecognized tax benefit, or a portion of an unrecognized tax benefit, be presented in the financial statements as either a reduction to a deferred tax asset or separately as a liability depending on the existence, availability and/or use of an operating loss carryforward, a similar tax loss, or a tax credit carryforward. The Company adopted ASU 2013-11 effective January 1, 2014. The adoption of this guidance did not have any effect on the Company’s consolidated financial statements.</w:t>
      </w:r>
    </w:p>
    <w:p>
      <w:pPr>
        <w:spacing w:after="0" w:line="1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March 2013, the FASB issued ASU No. 2013-05, Parent’s Accounting for the Cumulative Translation Adjustment Upon Derecognition of Certain Subsidiaries or Groups of Assets Within a Foreign Entity or of an Investment in a Foreign Entity, which amends current accounting guidance on foreign currency matters. This guidance requires that the entire amount of a cumulative translation adjustment related to an entity’s investment in a foreign entity should be released when there has been a: (i) sale of a subsidiary or group of net assets within a foreign entity and the sale represents the substantially complete liquidation of the investment in the foreign entity, (ii) loss of a controlling financial interest in an investment in a foreign entity, and (iii) step acquisition for a foreign entity. The Company adopted ASU 2013-05 effective January 1, 2014. The adoption of this guidance did not have any effect on the Company’s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July 2, 2014, we made an investment, in the form of convertible debt, in Shorelight Holdings LLC, the parent company of Shorelight Education, a U.S.-based company that partners with leading nonprofit universities to increase access and retention of international students, boost institutional growth, and enhance an institution’s global footprint.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exposure to changes in interest rates is limited to borrowings under our bank credit facility, which has variable interest rates tied to the LIBOR, Federal Funds Rate, Prime Rate, or Eurodollar Rate. At June 30, 2014, we had borrowings outstanding totaling $178.8 million that carried a weighted average interest rate of 2.2% including the effect of the interest rate swaps described below. A hypothetical 100 basis point change in this interest rate would have a $0.5 million effect on our pretax income including the effect of the interest rate swaps.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May 30, 2012, we entered into an amortizing interest rate swap agreement effective on May 31, 2012 and ending on April 14, 2016. We entered into this derivative instrument to further hedge against the interest rate risks of our variable-rate borrowings described above.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described above. The swap has an initial notional amount of $60.0 million and amortizes such that, collectively with our other two interest rate swaps, we are effectively fixing the interest rate on 80% of our Term Loan borrowings throughout the term of the swap agreement. Under the terms of the interest rate swap agreement, we will receive from the counterparty interest on the notional amount based on one-month LIBOR and we will pay to the counterparty a fixed rate of 0.985%.</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Including the impact of the above swap agreements, the effective interest rate on $125.0 million of our debt, which equals the notional amount of the swap agreements in effect at June 30, 2014, was 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other interest rate swaps, caps or collars or other hedging instruments as of June 30, 2014.</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From time to time, we invest excess cash in marketable securities. These investments principally consist of overnight sweep accounts. Due to the short maturity of our investments, we have concluded that we do not have material market risk exposure.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June 30, 2014. Based on this evaluation, our Chief Executive Officer and Chief Financial Officer have concluded that, as of June 30, 2014,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that occurred during the three months ended June 30, 2014 that has materially affected, or is reasonably likely to materially affect, our internal control over financial reporting.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 Tam Action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On December 9, 2009, plaintiff, Associates Against Outlier Fraud, filed a first amended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alleging that false or fraudulent claims were knowingly submitted to the government. Once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the relator filed a second amended complaint alleging that Huron and others caused St. Vincent Catholic Medical Center to receive more than $30 million in inflated outlier payments under the Medicare and Medicaid programs in violation of the federal and state FCA and seeking to recover an unspecified amount of civil penalties. On March 8, 2013, the Court granted Huron’s motion for summary judgment and dismissed the relator’s second amended complaint in its entirety with prejudice. As a result, we reversed the charge of $1.2 million relating to settlement discussions which we originally recorded in the second quarter of 2012, in accordance with ASC Topic 450, “Contingencies.” The relator filed an appeal on April 2, 2013. On April 8, 2013, Huron filed an appeal of an earlier denial of a motion to dismiss filed by Huron which argued that the relator’s action was barred because, under the FCA jurisdictional bar, the action was based on publicly disclosed information and the relator cannot qualify as an original source. On May 22, 2014, the United States Court of Appeals for the Second Circuit upheld the lower court’s decision, which granted summary judgment to Huron. The relator has until August 20, 2014 to file a petition for writ of certiorari with the United States Supreme Court.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Tamalluk Business Development LLC v. Huron Consulting Services LLC (Abu Dhabi Court of First Instance)</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On August 22, 2013, we learned that Tamalluk Business Development LLC, who was Huron’s agent in Abu Dhabi, and its principal, Mubarak Ahmad Bin Hamouda Al Dhaheri, filed a claim against Huron Consulting Services LLC in the Abu Dhabi Court of First Instance. The lawsuit alleges that under the agency agreement, Tamalluk was entitled to a commission on certain amounts that Huron collected from Abu Dhabi clients, and that Huron breached the agreement with Tamalluk and caused damages by declining to enter into a client engagement in Abu Dhabi and subsequently terminating the agency agreement with Tamalluk. Claimants allege they are entitled to $50 million for damage to reputation and defamation and another $50 million for breach of contract. Huron submitted its written response on September 25, 2013. The response states that Huron had the right to terminate the agency agreement with Tamalluk, and Huron had the sole discretion whether to accept or reject an engagement. Huron also filed a counterclaim on October 10, 2013 seeking a judicial order to permit the cancellation of Huron’s commercial license to allow Huron to cease doing business in Abu Dhabi. On December 17, 2013, the Abu Dhabi court ruled in Huron’s favor on all claims and held that Huron permissibly terminated the contract with Tamalluk and Huron does not owe Tamalluk any compensation related to Tamalluk’s claims. In addition, the court terminated the Local Sponsorship Agreement as requested by Huron in its counterclaim. Tamalluk appealed the decision, and on March 18, 2014, the appellate court upheld the decision in Huron’s favor. Tamalluk filed an appeal on May 18, 2014 to the highest court in Abu Dhabi. We continue to believe that the claims are without merit and intend to vigorously defend ourselves in this matter.</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 our 2013 Annual Report on Form 10-K for a complete description of the material risks we face.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Our 2012 Omnibus Incentive Plan and our 2004 Omnibus Stock Plan, which was replaced by the 2012 Omnibus Incentive Plan, permit the netting of common stock upon vesting of restricted stock awards to satisfy individual tax withholding requirements. During the quarter ended June 30, 2014, we reacquired 1,088 shares of common stock with a weighted average fair market value of $67.10 as a result of such tax withholdings.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20, 2014, the Company’s board of directors authorized a share repurchase program pursuant to which the Company may, from time to time, repurchase up to $50 million of its common stock through February 28, 2015 (the “February 2014 Share Repurchase Program”). The amount and timing of the repurchases will be determined by management and will depend on a variety of factors, including the trading price of the Company’s common stock, general market and business conditions, and applicable legal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June 30, 2014.</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9"/>
              </w:rPr>
              <w:t>Total</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Total Number of</w:t>
            </w:r>
          </w:p>
        </w:tc>
        <w:tc>
          <w:tcPr>
            <w:tcW w:w="1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Dollar Value of Shares</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that may yet be</w:t>
            </w:r>
          </w:p>
        </w:tc>
        <w:tc>
          <w:tcPr>
            <w:tcW w:w="0" w:type="dxa"/>
            <w:vAlign w:val="bottom"/>
          </w:tcPr>
          <w:p>
            <w:pPr>
              <w:spacing w:after="0"/>
              <w:rPr>
                <w:sz w:val="1"/>
                <w:szCs w:val="1"/>
                <w:color w:val="auto"/>
              </w:rPr>
            </w:pPr>
          </w:p>
        </w:tc>
      </w:tr>
      <w:tr>
        <w:trPr>
          <w:trHeight w:val="149"/>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 Shares</w:t>
            </w:r>
          </w:p>
        </w:tc>
        <w:tc>
          <w:tcPr>
            <w:tcW w:w="4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4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Purchased under the</w:t>
            </w:r>
          </w:p>
        </w:tc>
        <w:tc>
          <w:tcPr>
            <w:tcW w:w="0" w:type="dxa"/>
            <w:vAlign w:val="bottom"/>
          </w:tcPr>
          <w:p>
            <w:pPr>
              <w:spacing w:after="0"/>
              <w:rPr>
                <w:sz w:val="1"/>
                <w:szCs w:val="1"/>
                <w:color w:val="auto"/>
              </w:rPr>
            </w:pPr>
          </w:p>
        </w:tc>
      </w:tr>
      <w:tr>
        <w:trPr>
          <w:trHeight w:val="171"/>
        </w:trPr>
        <w:tc>
          <w:tcPr>
            <w:tcW w:w="4980" w:type="dxa"/>
            <w:vAlign w:val="bottom"/>
            <w:gridSpan w:val="2"/>
            <w:vMerge w:val="continue"/>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12"/>
                <w:szCs w:val="12"/>
                <w:b w:val="1"/>
                <w:bCs w:val="1"/>
                <w:color w:val="auto"/>
                <w:w w:val="90"/>
              </w:rPr>
              <w:t>1</w:t>
            </w:r>
          </w:p>
        </w:tc>
        <w:tc>
          <w:tcPr>
            <w:tcW w:w="4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or Programs</w:t>
            </w:r>
          </w:p>
        </w:tc>
        <w:tc>
          <w:tcPr>
            <w:tcW w:w="14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 xml:space="preserve">Plans or Programs </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w:t>
            </w:r>
          </w:p>
        </w:tc>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 2014 – April 30, 2014</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158,255</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4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157,850</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40,460,749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May 1, 2014 – May 31, 2014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40,460,749</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2014 – June 30, 2014</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69.30</w:t>
            </w:r>
          </w:p>
        </w:tc>
        <w:tc>
          <w:tcPr>
            <w:tcW w:w="1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40,460,749</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158,938</w:t>
            </w:r>
          </w:p>
        </w:tc>
        <w:tc>
          <w:tcPr>
            <w:tcW w:w="20" w:type="dxa"/>
            <w:vAlign w:val="bottom"/>
            <w:tcBorders>
              <w:bottom w:val="single" w:sz="8" w:color="auto"/>
            </w:tcBorders>
          </w:tcPr>
          <w:p>
            <w:pPr>
              <w:spacing w:after="0"/>
              <w:rPr>
                <w:sz w:val="19"/>
                <w:szCs w:val="19"/>
                <w:color w:val="auto"/>
              </w:rPr>
            </w:pP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60.45</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157,850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0" w:lineRule="exact"/>
        <w:rPr>
          <w:sz w:val="20"/>
          <w:szCs w:val="20"/>
          <w:color w:val="auto"/>
        </w:rPr>
      </w:pPr>
    </w:p>
    <w:p>
      <w:pPr>
        <w:ind w:left="460" w:right="40" w:hanging="452"/>
        <w:spacing w:after="0" w:line="273" w:lineRule="auto"/>
        <w:tabs>
          <w:tab w:leader="none" w:pos="460" w:val="left"/>
        </w:tabs>
        <w:numPr>
          <w:ilvl w:val="0"/>
          <w:numId w:val="26"/>
        </w:numPr>
        <w:rPr>
          <w:rFonts w:ascii="Arial" w:cs="Arial" w:eastAsia="Arial" w:hAnsi="Arial"/>
          <w:sz w:val="14"/>
          <w:szCs w:val="14"/>
          <w:color w:val="auto"/>
        </w:rPr>
      </w:pPr>
      <w:r>
        <w:rPr>
          <w:rFonts w:ascii="Arial" w:cs="Arial" w:eastAsia="Arial" w:hAnsi="Arial"/>
          <w:sz w:val="17"/>
          <w:szCs w:val="17"/>
          <w:color w:val="auto"/>
        </w:rPr>
        <w:t>The number of shares repurchased includes 405 shares in April 2014 and 683 shares in June 2014 to satisfy employee tax withholding requirements. These shares do not reduce the repurchase authority under the February 2014 Share Repurchase Program.</w:t>
      </w:r>
    </w:p>
    <w:p>
      <w:pPr>
        <w:spacing w:after="0" w:line="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Dollar value of shares that may yet be purchased under the February 2014 Share Repurchase Program is as of the end of the period.</w:t>
      </w:r>
    </w:p>
    <w:p>
      <w:pPr>
        <w:spacing w:after="0" w:line="35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 The following exhibits are filed as part of this Quarterly Report on Form 10-Q.</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r>
      <w:tr>
        <w:trPr>
          <w:trHeight w:val="185"/>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5180" w:type="dxa"/>
            <w:vAlign w:val="bottom"/>
          </w:tcPr>
          <w:p>
            <w:pPr>
              <w:jc w:val="right"/>
              <w:ind w:right="1908"/>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277"/>
        </w:trPr>
        <w:tc>
          <w:tcPr>
            <w:tcW w:w="520" w:type="dxa"/>
            <w:vAlign w:val="bottom"/>
          </w:tcPr>
          <w:p>
            <w:pPr>
              <w:ind w:left="10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1"/>
              </w:rPr>
              <w:t>Amendment No. 4 to the Credit Agreement, dated as of June 27, 2014,</w:t>
            </w: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4"/>
              </w:rPr>
              <w:t>by and among Huron Consulting Group Inc., as the Borrower, certain</w:t>
            </w: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subsidiaries as Guarantors, and Bank of America, N.A., as</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Administrative Agent for and on behalf of the Lenders.</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9"/>
              </w:rPr>
              <w:t>Certification of the Chief Executive Officer, pursuant to Rule 13a-</w:t>
            </w: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2"/>
              </w:rPr>
              <w:t>14(a)/15d-14(a), as adopted pursuant to Section 302 of the Sarbanes-</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Oxley Act of 2002.</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Certification of the Chief Financial Officer, pursuant to Rule 13a-</w:t>
            </w: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2"/>
              </w:rPr>
              <w:t>14(a)/15d-14(a), as adopted pursuant to Section 302 of the Sarbanes-</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Oxley Act of 2002.</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9"/>
              </w:rPr>
              <w:t>Certification of the Chief Executive Officer, pursuant to 18 U.S.C.</w:t>
            </w: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6"/>
              </w:rPr>
              <w:t>Section 1350, as adopted pursuant to Section 906 of the Sarbanes-</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Oxley Act of 2002.</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Certification of the Chief Financial Officer, pursuant to 18 U.S.C.</w:t>
            </w: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6"/>
              </w:rPr>
              <w:t>Section 1350, as adopted pursuant to Section 906 of the Sarbanes-</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Oxley Act of 2002.</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65"/>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0" w:type="dxa"/>
            <w:vAlign w:val="bottom"/>
            <w:gridSpan w:val="2"/>
          </w:tcPr>
          <w:p>
            <w:pPr>
              <w:jc w:val="right"/>
              <w:ind w:right="448"/>
              <w:spacing w:after="0"/>
              <w:rPr>
                <w:sz w:val="20"/>
                <w:szCs w:val="20"/>
                <w:color w:val="auto"/>
              </w:rPr>
            </w:pPr>
            <w:r>
              <w:rPr>
                <w:rFonts w:ascii="Arial" w:cs="Arial" w:eastAsia="Arial" w:hAnsi="Arial"/>
                <w:sz w:val="18"/>
                <w:szCs w:val="18"/>
                <w:color w:val="auto"/>
              </w:rPr>
              <w:t>43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Filed</w:t>
            </w: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Furnished</w:t>
            </w:r>
          </w:p>
        </w:tc>
        <w:tc>
          <w:tcPr>
            <w:tcW w:w="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1"/>
              </w:rPr>
              <w:t>Form</w:t>
            </w:r>
          </w:p>
        </w:tc>
        <w:tc>
          <w:tcPr>
            <w:tcW w:w="380" w:type="dxa"/>
            <w:vAlign w:val="bottom"/>
          </w:tcPr>
          <w:p>
            <w:pPr>
              <w:spacing w:after="0"/>
              <w:rPr>
                <w:sz w:val="10"/>
                <w:szCs w:val="10"/>
                <w:color w:val="auto"/>
              </w:rPr>
            </w:pPr>
          </w:p>
        </w:tc>
        <w:tc>
          <w:tcPr>
            <w:tcW w:w="8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Period</w:t>
            </w: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380" w:type="dxa"/>
            <w:vAlign w:val="bottom"/>
            <w:vMerge w:val="restart"/>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0" w:type="dxa"/>
            <w:vAlign w:val="bottom"/>
          </w:tcPr>
          <w:p>
            <w:pPr>
              <w:spacing w:after="0"/>
              <w:rPr>
                <w:sz w:val="1"/>
                <w:szCs w:val="1"/>
                <w:color w:val="auto"/>
              </w:rPr>
            </w:pPr>
          </w:p>
        </w:tc>
      </w:tr>
      <w:tr>
        <w:trPr>
          <w:trHeight w:val="171"/>
        </w:trPr>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3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38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Ending</w:t>
            </w:r>
          </w:p>
        </w:tc>
        <w:tc>
          <w:tcPr>
            <w:tcW w:w="38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ind w:right="34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ind w:right="34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320" w:space="380"/>
            <w:col w:w="47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Huron Consulting Group Inc.</w:t>
            </w:r>
          </w:p>
        </w:tc>
      </w:tr>
      <w:tr>
        <w:trPr>
          <w:trHeight w:val="230"/>
        </w:trPr>
        <w:tc>
          <w:tcPr>
            <w:tcW w:w="3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40" w:type="dxa"/>
            <w:vAlign w:val="bottom"/>
          </w:tcPr>
          <w:p>
            <w:pPr>
              <w:ind w:left="1760"/>
              <w:spacing w:after="0"/>
              <w:rPr>
                <w:sz w:val="20"/>
                <w:szCs w:val="20"/>
                <w:color w:val="auto"/>
              </w:rPr>
            </w:pPr>
            <w:r>
              <w:rPr>
                <w:rFonts w:ascii="Arial" w:cs="Arial" w:eastAsia="Arial" w:hAnsi="Arial"/>
                <w:sz w:val="18"/>
                <w:szCs w:val="18"/>
                <w:color w:val="auto"/>
              </w:rPr>
              <w:t>(Registrant)</w:t>
            </w:r>
          </w:p>
        </w:tc>
      </w:tr>
      <w:tr>
        <w:trPr>
          <w:trHeight w:val="431"/>
        </w:trPr>
        <w:tc>
          <w:tcPr>
            <w:tcW w:w="3520" w:type="dxa"/>
            <w:vAlign w:val="bottom"/>
          </w:tcPr>
          <w:p>
            <w:pPr>
              <w:spacing w:after="0"/>
              <w:rPr>
                <w:sz w:val="20"/>
                <w:szCs w:val="20"/>
                <w:color w:val="auto"/>
              </w:rPr>
            </w:pPr>
            <w:r>
              <w:rPr>
                <w:rFonts w:ascii="Arial" w:cs="Arial" w:eastAsia="Arial" w:hAnsi="Arial"/>
                <w:sz w:val="18"/>
                <w:szCs w:val="18"/>
                <w:color w:val="auto"/>
              </w:rPr>
              <w:t>Date: July 30, 2014</w:t>
            </w: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2"/>
              </w:rPr>
              <w:t>/s/ C. Mark Hussey</w:t>
            </w:r>
          </w:p>
        </w:tc>
      </w:tr>
      <w:tr>
        <w:trPr>
          <w:trHeight w:val="195"/>
        </w:trPr>
        <w:tc>
          <w:tcPr>
            <w:tcW w:w="35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3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0"/>
              </w:rPr>
              <w:t>C. Mark Hussey</w:t>
            </w:r>
          </w:p>
        </w:tc>
      </w:tr>
      <w:tr>
        <w:trPr>
          <w:trHeight w:val="216"/>
        </w:trPr>
        <w:tc>
          <w:tcPr>
            <w:tcW w:w="3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40" w:type="dxa"/>
            <w:vAlign w:val="bottom"/>
          </w:tcPr>
          <w:p>
            <w:pPr>
              <w:jc w:val="center"/>
              <w:ind w:left="10"/>
              <w:spacing w:after="0"/>
              <w:rPr>
                <w:sz w:val="20"/>
                <w:szCs w:val="20"/>
                <w:color w:val="auto"/>
              </w:rPr>
            </w:pPr>
            <w:r>
              <w:rPr>
                <w:rFonts w:ascii="Arial" w:cs="Arial" w:eastAsia="Arial" w:hAnsi="Arial"/>
                <w:sz w:val="18"/>
                <w:szCs w:val="18"/>
                <w:color w:val="auto"/>
                <w:w w:val="92"/>
              </w:rPr>
              <w:t>Executive Vice President, Chief Operating Officer,</w:t>
            </w:r>
          </w:p>
        </w:tc>
      </w:tr>
      <w:tr>
        <w:trPr>
          <w:trHeight w:val="230"/>
        </w:trPr>
        <w:tc>
          <w:tcPr>
            <w:tcW w:w="3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40" w:type="dxa"/>
            <w:vAlign w:val="bottom"/>
          </w:tcPr>
          <w:p>
            <w:pPr>
              <w:jc w:val="center"/>
              <w:ind w:left="10"/>
              <w:spacing w:after="0"/>
              <w:rPr>
                <w:sz w:val="20"/>
                <w:szCs w:val="20"/>
                <w:color w:val="auto"/>
              </w:rPr>
            </w:pPr>
            <w:r>
              <w:rPr>
                <w:rFonts w:ascii="Arial" w:cs="Arial" w:eastAsia="Arial" w:hAnsi="Arial"/>
                <w:sz w:val="18"/>
                <w:szCs w:val="18"/>
                <w:color w:val="auto"/>
                <w:w w:val="92"/>
              </w:rPr>
              <w:t>Chief Financial Officer and Treasurer</w:t>
            </w:r>
          </w:p>
        </w:tc>
      </w:tr>
      <w:tr>
        <w:trPr>
          <w:trHeight w:val="378"/>
        </w:trPr>
        <w:tc>
          <w:tcPr>
            <w:tcW w:w="3520" w:type="dxa"/>
            <w:vAlign w:val="bottom"/>
          </w:tcPr>
          <w:p>
            <w:pPr>
              <w:spacing w:after="0"/>
              <w:rPr>
                <w:sz w:val="24"/>
                <w:szCs w:val="24"/>
                <w:color w:val="auto"/>
              </w:rPr>
            </w:pP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4"/>
                <w:szCs w:val="24"/>
                <w:color w:val="auto"/>
              </w:rPr>
            </w:pPr>
          </w:p>
        </w:tc>
        <w:tc>
          <w:tcPr>
            <w:tcW w:w="5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4</w:t>
      </w:r>
    </w:p>
    <w:p>
      <w:pPr>
        <w:spacing w:after="0" w:line="225"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THIS AMENDMENT NO. 4, dated as of June 27, 2014 (this “</w:t>
      </w:r>
      <w:r>
        <w:rPr>
          <w:rFonts w:ascii="Arial" w:cs="Arial" w:eastAsia="Arial" w:hAnsi="Arial"/>
          <w:sz w:val="16"/>
          <w:szCs w:val="16"/>
          <w:u w:val="single" w:color="auto"/>
          <w:color w:val="auto"/>
        </w:rPr>
        <w:t>Amendment</w:t>
      </w:r>
      <w:r>
        <w:rPr>
          <w:rFonts w:ascii="Arial" w:cs="Arial" w:eastAsia="Arial" w:hAnsi="Arial"/>
          <w:sz w:val="16"/>
          <w:szCs w:val="16"/>
          <w:color w:val="auto"/>
        </w:rPr>
        <w:t>”), of the Credit Agreement referenced below by and among HURON CONSULTING GROUP INC., a Delaware corporation, as Borrower, the Guarantors identified herein, and BANK OF AMERICA, N.A., as Administrative Agent for and on behalf of the Lenders. Capitalized terms used but not otherwise defined herein shall have the meanings provided in the Credit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WHEREAS, a $450 million credit facility consisting of a $247.5 million revolving credit facility and a $202.5 million term loan facility has been established in favor of the Borrower pursuant to the terms of that certain Amended and Restated Credit Agreement dated as of April 14, 2011 (as amended and modified,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Huron Consulting Group Inc., a Delaware corporation, as Borrower, certain subsidiaries of Huron Consulting Group Inc., as Guarantors, the Lenders identified therein and Bank of America, N.A., as Administrative Agent and Collateral Agent;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Borrower has requested amendment of the Credit Agreement in certain respects;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Lenders have agreed to the requested amendments on the terms and conditions set forth herein.</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w:t>
      </w:r>
      <w:r>
        <w:rPr>
          <w:rFonts w:ascii="Arial" w:cs="Arial" w:eastAsia="Arial" w:hAnsi="Arial"/>
          <w:sz w:val="18"/>
          <w:szCs w:val="18"/>
          <w:color w:val="auto"/>
        </w:rPr>
        <w:t>. The Credit Agreement is amended in the following respects:</w:t>
      </w:r>
    </w:p>
    <w:p>
      <w:pPr>
        <w:spacing w:after="0" w:line="117" w:lineRule="exact"/>
        <w:rPr>
          <w:sz w:val="20"/>
          <w:szCs w:val="20"/>
          <w:color w:val="auto"/>
        </w:rPr>
      </w:pPr>
    </w:p>
    <w:p>
      <w:pPr>
        <w:ind w:left="460" w:right="740" w:firstLine="438"/>
        <w:spacing w:after="0" w:line="277" w:lineRule="auto"/>
        <w:rPr>
          <w:sz w:val="20"/>
          <w:szCs w:val="20"/>
          <w:color w:val="auto"/>
        </w:rPr>
      </w:pPr>
      <w:r>
        <w:rPr>
          <w:rFonts w:ascii="Arial" w:cs="Arial" w:eastAsia="Arial" w:hAnsi="Arial"/>
          <w:sz w:val="18"/>
          <w:szCs w:val="18"/>
          <w:color w:val="auto"/>
        </w:rPr>
        <w:t>1.1 In Section 8.02 (Investments), the “and” at the end of clause (l) is deleted, a new clause (m) is added and clause (m) is amended and renumbered, to read as follows:</w:t>
      </w:r>
    </w:p>
    <w:p>
      <w:pPr>
        <w:spacing w:after="0" w:line="62" w:lineRule="exact"/>
        <w:rPr>
          <w:sz w:val="20"/>
          <w:szCs w:val="20"/>
          <w:color w:val="auto"/>
        </w:rPr>
      </w:pPr>
    </w:p>
    <w:p>
      <w:pPr>
        <w:ind w:left="1200" w:hanging="297"/>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Investments of up to $17.5 million in Shorelight Holdings, LLC; and</w:t>
      </w:r>
    </w:p>
    <w:p>
      <w:pPr>
        <w:spacing w:after="0" w:line="117" w:lineRule="exact"/>
        <w:rPr>
          <w:rFonts w:ascii="Arial" w:cs="Arial" w:eastAsia="Arial" w:hAnsi="Arial"/>
          <w:sz w:val="18"/>
          <w:szCs w:val="18"/>
          <w:color w:val="auto"/>
        </w:rPr>
      </w:pPr>
    </w:p>
    <w:p>
      <w:pPr>
        <w:ind w:left="460" w:right="620" w:firstLine="443"/>
        <w:spacing w:after="0" w:line="277" w:lineRule="auto"/>
        <w:tabs>
          <w:tab w:leader="none" w:pos="11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Investments of a nature not contemplated in the foregoing clauses in an amount not to exceed $25 million in the aggregate at any time outstanding.</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Representations and Warranties, No Default</w:t>
      </w:r>
      <w:r>
        <w:rPr>
          <w:rFonts w:ascii="Arial" w:cs="Arial" w:eastAsia="Arial" w:hAnsi="Arial"/>
          <w:sz w:val="16"/>
          <w:szCs w:val="16"/>
          <w:color w:val="auto"/>
        </w:rPr>
        <w:t>. Each of the Loan Parties hereby represents and warrants that as of the effective date of this Amendment, (i) no Default or Event of Default exists and is continuing, and (ii) all representations and warranties contained in the Credit Agreement are true and correct in all material respects on and as of the date hereof, as though made on and as of the date hereof, except to the extent that such representations and warranties specifically refer to an earlier date, in which case they were true and correct in all material respects as of such earlier date.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Amendment shall become effective on the date that the following conditions have been satisfied:</w:t>
      </w:r>
    </w:p>
    <w:p>
      <w:pPr>
        <w:spacing w:after="0" w:line="117" w:lineRule="exact"/>
        <w:rPr>
          <w:sz w:val="20"/>
          <w:szCs w:val="20"/>
          <w:color w:val="auto"/>
        </w:rPr>
      </w:pPr>
    </w:p>
    <w:p>
      <w:pPr>
        <w:ind w:left="460" w:right="20" w:firstLine="43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Consents</w:t>
      </w:r>
      <w:r>
        <w:rPr>
          <w:rFonts w:ascii="Arial" w:cs="Arial" w:eastAsia="Arial" w:hAnsi="Arial"/>
          <w:sz w:val="18"/>
          <w:szCs w:val="18"/>
          <w:color w:val="auto"/>
        </w:rPr>
        <w:t>. The Administrative Agent shall have received (a) signed consents to this Amendment from the Required Lenders, and (b) executed signature pages hereto from each Loan Party;</w:t>
      </w:r>
    </w:p>
    <w:p>
      <w:pPr>
        <w:sectPr>
          <w:pgSz w:w="11900" w:h="16838" w:orient="portrait"/>
          <w:cols w:equalWidth="0" w:num="1">
            <w:col w:w="11420"/>
          </w:cols>
          <w:pgMar w:left="240" w:top="121" w:right="239" w:bottom="1440" w:gutter="0" w:footer="0" w:header="0"/>
        </w:sectPr>
      </w:pPr>
    </w:p>
    <w:bookmarkStart w:id="47" w:name="page48"/>
    <w:bookmarkEnd w:id="47"/>
    <w:p>
      <w:pPr>
        <w:ind w:left="460" w:right="4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3.2. </w:t>
      </w:r>
      <w:r>
        <w:rPr>
          <w:rFonts w:ascii="Arial" w:cs="Arial" w:eastAsia="Arial" w:hAnsi="Arial"/>
          <w:sz w:val="18"/>
          <w:szCs w:val="18"/>
          <w:u w:val="single" w:color="auto"/>
          <w:color w:val="auto"/>
        </w:rPr>
        <w:t>Fees and Expenses</w:t>
      </w:r>
      <w:r>
        <w:rPr>
          <w:rFonts w:ascii="Arial" w:cs="Arial" w:eastAsia="Arial" w:hAnsi="Arial"/>
          <w:sz w:val="18"/>
          <w:szCs w:val="18"/>
          <w:color w:val="auto"/>
        </w:rPr>
        <w:t>. Confirmation by the Administrative Agent of (i) receipt by it of an amendment consent fee of one basis point (0.01%) on the loans and commitments of each of the Lenders consenting to this Amendment, and (ii) payment of all reasonable fees and expenses of the Administrative Agent in connection with this Amendment that are due and payable on the date hereof (including the reasonable fees and expenses of Moore &amp; Van Allen, PLLC, counsel to the Administrative Agent).</w:t>
      </w:r>
    </w:p>
    <w:p>
      <w:pPr>
        <w:spacing w:after="0" w:line="187"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Guarantor Acknowledgment</w:t>
      </w:r>
      <w:r>
        <w:rPr>
          <w:rFonts w:ascii="Arial" w:cs="Arial" w:eastAsia="Arial" w:hAnsi="Arial"/>
          <w:sz w:val="16"/>
          <w:szCs w:val="16"/>
          <w:color w:val="auto"/>
        </w:rPr>
        <w:t>. Each Guarantor acknowledges and consents to all of the terms and conditions of this Amendment, affirms its Guaranteed Obligations under and in respect of the Loan Documents and agrees that this Amendment and all documents executed in connection herewith do not operate to reduce or discharge any Guarantor’s obligations under the Loan Documents, except as expressly set forth therein.</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facsimile or any other electronic transmission shall be effective as delivery of a manually executed counterpart hereof.</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AMENDMENT SHALL BE GOVERNED BY, AND CONSTRUED IN ACCORDANCE WITH, THE LAWS OF THE STATE OF ILLINOIS.</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Expenses</w:t>
      </w:r>
      <w:r>
        <w:rPr>
          <w:rFonts w:ascii="Arial" w:cs="Arial" w:eastAsia="Arial" w:hAnsi="Arial"/>
          <w:sz w:val="18"/>
          <w:szCs w:val="18"/>
          <w:color w:val="auto"/>
        </w:rPr>
        <w:t>. The Borrower agrees to pay all reasonable costs and expenses of the Administrative Agent in connection with the preparation, execution and delivery of this Amendment, including the reasonable fees and expenses of Moore &amp; Van Allen PLLC.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this Amendment are for purposes of reference only and shall not limit or otherwise affect the meaning hereof.</w:t>
      </w:r>
    </w:p>
    <w:p>
      <w:pPr>
        <w:spacing w:after="0" w:line="24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Except as expressly set forth herein, (i) this Amendment shall not by implication or otherwise limit, impair, constitute a waiver of or otherwise affect the rights and remedies of the Lenders, the Administrative Agent, any other Agent, the Swing Line Lender or the L/C Issuer, in each case under the Credit Agreement or any other Loan Document, and (ii) shall not alter, modify, amend or in any way affect any of the terms, conditions, obligations, covenants or agreements contained in the Credit Agreement or any other provision of either such agreement or any other Loan Document. Except as expressly set forth herein, each and every term, condition, obligation, covenant and agreement contained in the Credit Agreement or any other Loan Document is hereby ratified and re-affirmed in all respects and shall continue in full force and effect. Each Loan Party reaffirms its obligations under the Loan Documents to which it is party and the validity of the Liens granted by it pursuant to the Collateral Documents. This Amendment shall constitute a Loan Document for purposes of the Credit Agreement and from and after the effective date hereof, all references to the Credit Agreement in any Loan Document and all references in the Credit Agreement to “this Agreement”, “hereunder”, “hereof” or words of like import referring to the Credit Agreement, shall, unless expressly provided otherwise, refer to the Credit Agreement as amended by this Amendment. Each of the Loan Parties hereby consents to this Amendment and confirms that all obligations of such Loan Party under the Loan Documents to which such Loan Party is a party shall continue to apply to the Credit Agreement as amended hereby.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Amendment to be duly executed as of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BORROWER:</w:t>
            </w: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HURON CONSULTING GROUP INC.,</w:t>
            </w:r>
          </w:p>
        </w:tc>
      </w:tr>
      <w:tr>
        <w:trPr>
          <w:trHeight w:val="230"/>
        </w:trPr>
        <w:tc>
          <w:tcPr>
            <w:tcW w:w="1900" w:type="dxa"/>
            <w:vAlign w:val="bottom"/>
          </w:tcPr>
          <w:p>
            <w:pPr>
              <w:spacing w:after="0"/>
              <w:rPr>
                <w:sz w:val="20"/>
                <w:szCs w:val="20"/>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a Delaware corporation</w:t>
            </w:r>
          </w:p>
        </w:tc>
      </w:tr>
      <w:tr>
        <w:trPr>
          <w:trHeight w:val="419"/>
        </w:trPr>
        <w:tc>
          <w:tcPr>
            <w:tcW w:w="1900" w:type="dxa"/>
            <w:vAlign w:val="bottom"/>
          </w:tcPr>
          <w:p>
            <w:pPr>
              <w:spacing w:after="0"/>
              <w:rPr>
                <w:sz w:val="24"/>
                <w:szCs w:val="24"/>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By: /s/ C. Mark Hussey</w:t>
            </w:r>
          </w:p>
        </w:tc>
      </w:tr>
      <w:tr>
        <w:trPr>
          <w:trHeight w:val="20"/>
        </w:trPr>
        <w:tc>
          <w:tcPr>
            <w:tcW w:w="1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22"/>
        </w:trPr>
        <w:tc>
          <w:tcPr>
            <w:tcW w:w="1900" w:type="dxa"/>
            <w:vAlign w:val="bottom"/>
          </w:tcPr>
          <w:p>
            <w:pPr>
              <w:spacing w:after="0"/>
              <w:rPr>
                <w:sz w:val="19"/>
                <w:szCs w:val="19"/>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Name: C. Mark Hussey</w:t>
            </w:r>
          </w:p>
        </w:tc>
      </w:tr>
      <w:tr>
        <w:trPr>
          <w:trHeight w:val="230"/>
        </w:trPr>
        <w:tc>
          <w:tcPr>
            <w:tcW w:w="1900" w:type="dxa"/>
            <w:vAlign w:val="bottom"/>
          </w:tcPr>
          <w:p>
            <w:pPr>
              <w:spacing w:after="0"/>
              <w:rPr>
                <w:sz w:val="20"/>
                <w:szCs w:val="20"/>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Title: EVP, CFO and Treasurer</w:t>
            </w:r>
          </w:p>
        </w:tc>
      </w:tr>
      <w:tr>
        <w:trPr>
          <w:trHeight w:val="431"/>
        </w:trPr>
        <w:tc>
          <w:tcPr>
            <w:tcW w:w="1900" w:type="dxa"/>
            <w:vAlign w:val="bottom"/>
          </w:tcPr>
          <w:p>
            <w:pPr>
              <w:spacing w:after="0"/>
              <w:rPr>
                <w:sz w:val="20"/>
                <w:szCs w:val="20"/>
                <w:color w:val="auto"/>
              </w:rPr>
            </w:pPr>
            <w:r>
              <w:rPr>
                <w:rFonts w:ascii="Arial" w:cs="Arial" w:eastAsia="Arial" w:hAnsi="Arial"/>
                <w:sz w:val="18"/>
                <w:szCs w:val="18"/>
                <w:color w:val="auto"/>
              </w:rPr>
              <w:t>GUARANTORS:</w:t>
            </w: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HURON CONSULTING GROUP HOLDINGS LLC,</w:t>
            </w:r>
          </w:p>
        </w:tc>
      </w:tr>
      <w:tr>
        <w:trPr>
          <w:trHeight w:val="230"/>
        </w:trPr>
        <w:tc>
          <w:tcPr>
            <w:tcW w:w="1900" w:type="dxa"/>
            <w:vAlign w:val="bottom"/>
          </w:tcPr>
          <w:p>
            <w:pPr>
              <w:spacing w:after="0"/>
              <w:rPr>
                <w:sz w:val="20"/>
                <w:szCs w:val="20"/>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a Delaware limited liability company</w:t>
            </w:r>
          </w:p>
        </w:tc>
      </w:tr>
      <w:tr>
        <w:trPr>
          <w:trHeight w:val="419"/>
        </w:trPr>
        <w:tc>
          <w:tcPr>
            <w:tcW w:w="1900" w:type="dxa"/>
            <w:vAlign w:val="bottom"/>
          </w:tcPr>
          <w:p>
            <w:pPr>
              <w:spacing w:after="0"/>
              <w:rPr>
                <w:sz w:val="24"/>
                <w:szCs w:val="24"/>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By: /s/ C. Mark Hussey</w:t>
            </w:r>
          </w:p>
        </w:tc>
      </w:tr>
      <w:tr>
        <w:trPr>
          <w:trHeight w:val="20"/>
        </w:trPr>
        <w:tc>
          <w:tcPr>
            <w:tcW w:w="1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22"/>
        </w:trPr>
        <w:tc>
          <w:tcPr>
            <w:tcW w:w="1900" w:type="dxa"/>
            <w:vAlign w:val="bottom"/>
          </w:tcPr>
          <w:p>
            <w:pPr>
              <w:spacing w:after="0"/>
              <w:rPr>
                <w:sz w:val="19"/>
                <w:szCs w:val="19"/>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Name: C. Mark Hussey</w:t>
            </w:r>
          </w:p>
        </w:tc>
      </w:tr>
      <w:tr>
        <w:trPr>
          <w:trHeight w:val="230"/>
        </w:trPr>
        <w:tc>
          <w:tcPr>
            <w:tcW w:w="1900" w:type="dxa"/>
            <w:vAlign w:val="bottom"/>
          </w:tcPr>
          <w:p>
            <w:pPr>
              <w:spacing w:after="0"/>
              <w:rPr>
                <w:sz w:val="20"/>
                <w:szCs w:val="20"/>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Title: EVP, CFO and Treasurer</w:t>
            </w:r>
          </w:p>
        </w:tc>
      </w:tr>
      <w:tr>
        <w:trPr>
          <w:trHeight w:val="431"/>
        </w:trPr>
        <w:tc>
          <w:tcPr>
            <w:tcW w:w="1900" w:type="dxa"/>
            <w:vAlign w:val="bottom"/>
          </w:tcPr>
          <w:p>
            <w:pPr>
              <w:spacing w:after="0"/>
              <w:rPr>
                <w:sz w:val="24"/>
                <w:szCs w:val="24"/>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HURON CONSULTING SERVICES LLC,</w:t>
            </w:r>
          </w:p>
        </w:tc>
      </w:tr>
      <w:tr>
        <w:trPr>
          <w:trHeight w:val="230"/>
        </w:trPr>
        <w:tc>
          <w:tcPr>
            <w:tcW w:w="1900" w:type="dxa"/>
            <w:vAlign w:val="bottom"/>
          </w:tcPr>
          <w:p>
            <w:pPr>
              <w:spacing w:after="0"/>
              <w:rPr>
                <w:sz w:val="20"/>
                <w:szCs w:val="20"/>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a Delaware limited liability company</w:t>
            </w:r>
          </w:p>
        </w:tc>
      </w:tr>
      <w:tr>
        <w:trPr>
          <w:trHeight w:val="419"/>
        </w:trPr>
        <w:tc>
          <w:tcPr>
            <w:tcW w:w="1900" w:type="dxa"/>
            <w:vAlign w:val="bottom"/>
          </w:tcPr>
          <w:p>
            <w:pPr>
              <w:spacing w:after="0"/>
              <w:rPr>
                <w:sz w:val="24"/>
                <w:szCs w:val="24"/>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By: /s/ C. Mark Hussey</w:t>
            </w:r>
          </w:p>
        </w:tc>
      </w:tr>
      <w:tr>
        <w:trPr>
          <w:trHeight w:val="20"/>
        </w:trPr>
        <w:tc>
          <w:tcPr>
            <w:tcW w:w="1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22"/>
        </w:trPr>
        <w:tc>
          <w:tcPr>
            <w:tcW w:w="1900" w:type="dxa"/>
            <w:vAlign w:val="bottom"/>
          </w:tcPr>
          <w:p>
            <w:pPr>
              <w:spacing w:after="0"/>
              <w:rPr>
                <w:sz w:val="19"/>
                <w:szCs w:val="19"/>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Name: C. Mark Hussey</w:t>
            </w:r>
          </w:p>
        </w:tc>
      </w:tr>
      <w:tr>
        <w:trPr>
          <w:trHeight w:val="230"/>
        </w:trPr>
        <w:tc>
          <w:tcPr>
            <w:tcW w:w="1900" w:type="dxa"/>
            <w:vAlign w:val="bottom"/>
          </w:tcPr>
          <w:p>
            <w:pPr>
              <w:spacing w:after="0"/>
              <w:rPr>
                <w:sz w:val="20"/>
                <w:szCs w:val="20"/>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Title: EVP, CFO and Treasurer</w:t>
            </w:r>
          </w:p>
        </w:tc>
      </w:tr>
      <w:tr>
        <w:trPr>
          <w:trHeight w:val="431"/>
        </w:trPr>
        <w:tc>
          <w:tcPr>
            <w:tcW w:w="1900" w:type="dxa"/>
            <w:vAlign w:val="bottom"/>
          </w:tcPr>
          <w:p>
            <w:pPr>
              <w:spacing w:after="0"/>
              <w:rPr>
                <w:sz w:val="24"/>
                <w:szCs w:val="24"/>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HURON MANAGEMENT SERVICES LLC,</w:t>
            </w:r>
          </w:p>
        </w:tc>
      </w:tr>
      <w:tr>
        <w:trPr>
          <w:trHeight w:val="216"/>
        </w:trPr>
        <w:tc>
          <w:tcPr>
            <w:tcW w:w="1900" w:type="dxa"/>
            <w:vAlign w:val="bottom"/>
          </w:tcPr>
          <w:p>
            <w:pPr>
              <w:spacing w:after="0"/>
              <w:rPr>
                <w:sz w:val="18"/>
                <w:szCs w:val="18"/>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w w:val="95"/>
              </w:rPr>
              <w:t>formerly known as WELLSPRING MANAGEMENT SERVICES</w:t>
            </w:r>
          </w:p>
        </w:tc>
      </w:tr>
      <w:tr>
        <w:trPr>
          <w:trHeight w:val="230"/>
        </w:trPr>
        <w:tc>
          <w:tcPr>
            <w:tcW w:w="1900" w:type="dxa"/>
            <w:vAlign w:val="bottom"/>
          </w:tcPr>
          <w:p>
            <w:pPr>
              <w:spacing w:after="0"/>
              <w:rPr>
                <w:sz w:val="20"/>
                <w:szCs w:val="20"/>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LLC, a Delaware limited liability company</w:t>
            </w:r>
          </w:p>
        </w:tc>
      </w:tr>
      <w:tr>
        <w:trPr>
          <w:trHeight w:val="419"/>
        </w:trPr>
        <w:tc>
          <w:tcPr>
            <w:tcW w:w="1900" w:type="dxa"/>
            <w:vAlign w:val="bottom"/>
          </w:tcPr>
          <w:p>
            <w:pPr>
              <w:spacing w:after="0"/>
              <w:rPr>
                <w:sz w:val="24"/>
                <w:szCs w:val="24"/>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By: /s/ C. Mark Hussey</w:t>
            </w:r>
          </w:p>
        </w:tc>
      </w:tr>
      <w:tr>
        <w:trPr>
          <w:trHeight w:val="20"/>
        </w:trPr>
        <w:tc>
          <w:tcPr>
            <w:tcW w:w="1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22"/>
        </w:trPr>
        <w:tc>
          <w:tcPr>
            <w:tcW w:w="1900" w:type="dxa"/>
            <w:vAlign w:val="bottom"/>
          </w:tcPr>
          <w:p>
            <w:pPr>
              <w:spacing w:after="0"/>
              <w:rPr>
                <w:sz w:val="19"/>
                <w:szCs w:val="19"/>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Name: C. Mark Hussey</w:t>
            </w:r>
          </w:p>
        </w:tc>
      </w:tr>
      <w:tr>
        <w:trPr>
          <w:trHeight w:val="230"/>
        </w:trPr>
        <w:tc>
          <w:tcPr>
            <w:tcW w:w="1900" w:type="dxa"/>
            <w:vAlign w:val="bottom"/>
          </w:tcPr>
          <w:p>
            <w:pPr>
              <w:spacing w:after="0"/>
              <w:rPr>
                <w:sz w:val="20"/>
                <w:szCs w:val="20"/>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Title: EVP, CFO and Treasurer</w:t>
            </w:r>
          </w:p>
        </w:tc>
      </w:tr>
      <w:tr>
        <w:trPr>
          <w:trHeight w:val="431"/>
        </w:trPr>
        <w:tc>
          <w:tcPr>
            <w:tcW w:w="1900" w:type="dxa"/>
            <w:vAlign w:val="bottom"/>
          </w:tcPr>
          <w:p>
            <w:pPr>
              <w:spacing w:after="0"/>
              <w:rPr>
                <w:sz w:val="24"/>
                <w:szCs w:val="24"/>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HURON DEMAND LLC,</w:t>
            </w:r>
          </w:p>
        </w:tc>
      </w:tr>
      <w:tr>
        <w:trPr>
          <w:trHeight w:val="230"/>
        </w:trPr>
        <w:tc>
          <w:tcPr>
            <w:tcW w:w="1900" w:type="dxa"/>
            <w:vAlign w:val="bottom"/>
          </w:tcPr>
          <w:p>
            <w:pPr>
              <w:spacing w:after="0"/>
              <w:rPr>
                <w:sz w:val="20"/>
                <w:szCs w:val="20"/>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a Delaware limited liability company</w:t>
            </w:r>
          </w:p>
        </w:tc>
      </w:tr>
      <w:tr>
        <w:trPr>
          <w:trHeight w:val="419"/>
        </w:trPr>
        <w:tc>
          <w:tcPr>
            <w:tcW w:w="1900" w:type="dxa"/>
            <w:vAlign w:val="bottom"/>
          </w:tcPr>
          <w:p>
            <w:pPr>
              <w:spacing w:after="0"/>
              <w:rPr>
                <w:sz w:val="24"/>
                <w:szCs w:val="24"/>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By: /s/ C. Mark Hussey</w:t>
            </w:r>
          </w:p>
        </w:tc>
      </w:tr>
      <w:tr>
        <w:trPr>
          <w:trHeight w:val="20"/>
        </w:trPr>
        <w:tc>
          <w:tcPr>
            <w:tcW w:w="1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22"/>
        </w:trPr>
        <w:tc>
          <w:tcPr>
            <w:tcW w:w="1900" w:type="dxa"/>
            <w:vAlign w:val="bottom"/>
          </w:tcPr>
          <w:p>
            <w:pPr>
              <w:spacing w:after="0"/>
              <w:rPr>
                <w:sz w:val="19"/>
                <w:szCs w:val="19"/>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Name: C. Mark Hussey</w:t>
            </w:r>
          </w:p>
        </w:tc>
      </w:tr>
      <w:tr>
        <w:trPr>
          <w:trHeight w:val="230"/>
        </w:trPr>
        <w:tc>
          <w:tcPr>
            <w:tcW w:w="1900" w:type="dxa"/>
            <w:vAlign w:val="bottom"/>
          </w:tcPr>
          <w:p>
            <w:pPr>
              <w:spacing w:after="0"/>
              <w:rPr>
                <w:sz w:val="20"/>
                <w:szCs w:val="20"/>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Title: EVP, CFO and Treasurer</w:t>
            </w:r>
          </w:p>
        </w:tc>
      </w:tr>
      <w:tr>
        <w:trPr>
          <w:trHeight w:val="431"/>
        </w:trPr>
        <w:tc>
          <w:tcPr>
            <w:tcW w:w="1900" w:type="dxa"/>
            <w:vAlign w:val="bottom"/>
          </w:tcPr>
          <w:p>
            <w:pPr>
              <w:spacing w:after="0"/>
              <w:rPr>
                <w:sz w:val="24"/>
                <w:szCs w:val="24"/>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HURON TECHNOLOGIES INC.,</w:t>
            </w:r>
          </w:p>
        </w:tc>
      </w:tr>
      <w:tr>
        <w:trPr>
          <w:trHeight w:val="230"/>
        </w:trPr>
        <w:tc>
          <w:tcPr>
            <w:tcW w:w="1900" w:type="dxa"/>
            <w:vAlign w:val="bottom"/>
          </w:tcPr>
          <w:p>
            <w:pPr>
              <w:spacing w:after="0"/>
              <w:rPr>
                <w:sz w:val="20"/>
                <w:szCs w:val="20"/>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a Delaware corporation</w:t>
            </w:r>
          </w:p>
        </w:tc>
      </w:tr>
      <w:tr>
        <w:trPr>
          <w:trHeight w:val="419"/>
        </w:trPr>
        <w:tc>
          <w:tcPr>
            <w:tcW w:w="1900" w:type="dxa"/>
            <w:vAlign w:val="bottom"/>
          </w:tcPr>
          <w:p>
            <w:pPr>
              <w:spacing w:after="0"/>
              <w:rPr>
                <w:sz w:val="24"/>
                <w:szCs w:val="24"/>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By: /s/ C. Mark Hussey</w:t>
            </w:r>
          </w:p>
        </w:tc>
      </w:tr>
      <w:tr>
        <w:trPr>
          <w:trHeight w:val="20"/>
        </w:trPr>
        <w:tc>
          <w:tcPr>
            <w:tcW w:w="1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22"/>
        </w:trPr>
        <w:tc>
          <w:tcPr>
            <w:tcW w:w="1900" w:type="dxa"/>
            <w:vAlign w:val="bottom"/>
          </w:tcPr>
          <w:p>
            <w:pPr>
              <w:spacing w:after="0"/>
              <w:rPr>
                <w:sz w:val="19"/>
                <w:szCs w:val="19"/>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Name: C. Mark Hussey</w:t>
            </w:r>
          </w:p>
        </w:tc>
      </w:tr>
      <w:tr>
        <w:trPr>
          <w:trHeight w:val="230"/>
        </w:trPr>
        <w:tc>
          <w:tcPr>
            <w:tcW w:w="1900" w:type="dxa"/>
            <w:vAlign w:val="bottom"/>
          </w:tcPr>
          <w:p>
            <w:pPr>
              <w:spacing w:after="0"/>
              <w:rPr>
                <w:sz w:val="20"/>
                <w:szCs w:val="20"/>
                <w:color w:val="auto"/>
              </w:rPr>
            </w:pPr>
          </w:p>
        </w:tc>
        <w:tc>
          <w:tcPr>
            <w:tcW w:w="5400" w:type="dxa"/>
            <w:vAlign w:val="bottom"/>
            <w:gridSpan w:val="3"/>
          </w:tcPr>
          <w:p>
            <w:pPr>
              <w:ind w:left="620"/>
              <w:spacing w:after="0"/>
              <w:rPr>
                <w:sz w:val="20"/>
                <w:szCs w:val="20"/>
                <w:color w:val="auto"/>
              </w:rPr>
            </w:pPr>
            <w:r>
              <w:rPr>
                <w:rFonts w:ascii="Arial" w:cs="Arial" w:eastAsia="Arial" w:hAnsi="Arial"/>
                <w:sz w:val="18"/>
                <w:szCs w:val="18"/>
                <w:color w:val="auto"/>
              </w:rPr>
              <w:t>Title: EVP, CFO and Treasurer</w:t>
            </w: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HURON CONSULTING GROUP INC.</w:t>
      </w:r>
    </w:p>
    <w:p>
      <w:pPr>
        <w:sectPr>
          <w:pgSz w:w="11900" w:h="16838" w:orient="portrait"/>
          <w:cols w:equalWidth="0" w:num="1">
            <w:col w:w="11420"/>
          </w:cols>
          <w:pgMar w:left="240" w:top="274" w:right="239" w:bottom="1440" w:gutter="0" w:footer="0" w:header="0"/>
        </w:sectPr>
      </w:pPr>
    </w:p>
    <w:bookmarkStart w:id="49" w:name="page50"/>
    <w:bookmarkEnd w:id="49"/>
    <w:p>
      <w:pPr>
        <w:ind w:left="1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LEGALSOURCE LLC,</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 Delaware limited liability company</w:t>
      </w:r>
    </w:p>
    <w:p>
      <w:pPr>
        <w:spacing w:after="0" w:line="23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By: /s/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-10160</wp:posOffset>
            </wp:positionV>
            <wp:extent cx="9112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11225" cy="889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Name: C. Mark Hussey</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Title: EVP, CFO and Treasurer</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HURON CONSULTING GROUP INC.</w:t>
      </w:r>
    </w:p>
    <w:p>
      <w:pPr>
        <w:sectPr>
          <w:pgSz w:w="11900" w:h="16838" w:orient="portrait"/>
          <w:cols w:equalWidth="0" w:num="1">
            <w:col w:w="10220"/>
          </w:cols>
          <w:pgMar w:left="1440" w:top="382"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ADMINISTRATIVE</w:t>
            </w:r>
          </w:p>
        </w:tc>
        <w:tc>
          <w:tcPr>
            <w:tcW w:w="3780" w:type="dxa"/>
            <w:vAlign w:val="bottom"/>
            <w:gridSpan w:val="3"/>
          </w:tcPr>
          <w:p>
            <w:pPr>
              <w:ind w:left="500"/>
              <w:spacing w:after="0"/>
              <w:rPr>
                <w:sz w:val="20"/>
                <w:szCs w:val="20"/>
                <w:color w:val="auto"/>
              </w:rPr>
            </w:pPr>
            <w:r>
              <w:rPr>
                <w:rFonts w:ascii="Arial" w:cs="Arial" w:eastAsia="Arial" w:hAnsi="Arial"/>
                <w:sz w:val="18"/>
                <w:szCs w:val="18"/>
                <w:color w:val="auto"/>
              </w:rPr>
              <w:t>BANK OF AMERICA, N.A.,</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AGENT:</w:t>
            </w:r>
          </w:p>
        </w:tc>
        <w:tc>
          <w:tcPr>
            <w:tcW w:w="3780" w:type="dxa"/>
            <w:vAlign w:val="bottom"/>
            <w:gridSpan w:val="3"/>
          </w:tcPr>
          <w:p>
            <w:pPr>
              <w:ind w:left="500"/>
              <w:spacing w:after="0"/>
              <w:rPr>
                <w:sz w:val="20"/>
                <w:szCs w:val="20"/>
                <w:color w:val="auto"/>
              </w:rPr>
            </w:pPr>
            <w:r>
              <w:rPr>
                <w:rFonts w:ascii="Arial" w:cs="Arial" w:eastAsia="Arial" w:hAnsi="Arial"/>
                <w:sz w:val="18"/>
                <w:szCs w:val="18"/>
                <w:color w:val="auto"/>
                <w:w w:val="91"/>
              </w:rPr>
              <w:t>as Administrative Agent and Collateral Agent</w:t>
            </w:r>
          </w:p>
        </w:tc>
      </w:tr>
      <w:tr>
        <w:trPr>
          <w:trHeight w:val="419"/>
        </w:trPr>
        <w:tc>
          <w:tcPr>
            <w:tcW w:w="2040" w:type="dxa"/>
            <w:vAlign w:val="bottom"/>
          </w:tcPr>
          <w:p>
            <w:pPr>
              <w:spacing w:after="0"/>
              <w:rPr>
                <w:sz w:val="24"/>
                <w:szCs w:val="24"/>
                <w:color w:val="auto"/>
              </w:rPr>
            </w:pPr>
          </w:p>
        </w:tc>
        <w:tc>
          <w:tcPr>
            <w:tcW w:w="3780" w:type="dxa"/>
            <w:vAlign w:val="bottom"/>
            <w:gridSpan w:val="3"/>
          </w:tcPr>
          <w:p>
            <w:pPr>
              <w:ind w:left="500"/>
              <w:spacing w:after="0"/>
              <w:rPr>
                <w:sz w:val="20"/>
                <w:szCs w:val="20"/>
                <w:color w:val="auto"/>
              </w:rPr>
            </w:pPr>
            <w:r>
              <w:rPr>
                <w:rFonts w:ascii="Arial" w:cs="Arial" w:eastAsia="Arial" w:hAnsi="Arial"/>
                <w:sz w:val="18"/>
                <w:szCs w:val="18"/>
                <w:color w:val="auto"/>
              </w:rPr>
              <w:t>By: /s/ Maria A. McClain</w:t>
            </w:r>
          </w:p>
        </w:tc>
      </w:tr>
      <w:tr>
        <w:trPr>
          <w:trHeight w:val="20"/>
        </w:trPr>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2"/>
        </w:trPr>
        <w:tc>
          <w:tcPr>
            <w:tcW w:w="2040" w:type="dxa"/>
            <w:vAlign w:val="bottom"/>
          </w:tcPr>
          <w:p>
            <w:pPr>
              <w:spacing w:after="0"/>
              <w:rPr>
                <w:sz w:val="19"/>
                <w:szCs w:val="19"/>
                <w:color w:val="auto"/>
              </w:rPr>
            </w:pPr>
          </w:p>
        </w:tc>
        <w:tc>
          <w:tcPr>
            <w:tcW w:w="3780" w:type="dxa"/>
            <w:vAlign w:val="bottom"/>
            <w:gridSpan w:val="3"/>
          </w:tcPr>
          <w:p>
            <w:pPr>
              <w:ind w:left="500"/>
              <w:spacing w:after="0"/>
              <w:rPr>
                <w:sz w:val="20"/>
                <w:szCs w:val="20"/>
                <w:color w:val="auto"/>
              </w:rPr>
            </w:pPr>
            <w:r>
              <w:rPr>
                <w:rFonts w:ascii="Arial" w:cs="Arial" w:eastAsia="Arial" w:hAnsi="Arial"/>
                <w:sz w:val="18"/>
                <w:szCs w:val="18"/>
                <w:color w:val="auto"/>
              </w:rPr>
              <w:t>Name: Maria A. McClain</w:t>
            </w:r>
          </w:p>
        </w:tc>
      </w:tr>
      <w:tr>
        <w:trPr>
          <w:trHeight w:val="230"/>
        </w:trPr>
        <w:tc>
          <w:tcPr>
            <w:tcW w:w="2040" w:type="dxa"/>
            <w:vAlign w:val="bottom"/>
          </w:tcPr>
          <w:p>
            <w:pPr>
              <w:spacing w:after="0"/>
              <w:rPr>
                <w:sz w:val="20"/>
                <w:szCs w:val="20"/>
                <w:color w:val="auto"/>
              </w:rPr>
            </w:pPr>
          </w:p>
        </w:tc>
        <w:tc>
          <w:tcPr>
            <w:tcW w:w="3780" w:type="dxa"/>
            <w:vAlign w:val="bottom"/>
            <w:gridSpan w:val="3"/>
          </w:tcPr>
          <w:p>
            <w:pPr>
              <w:ind w:left="500"/>
              <w:spacing w:after="0"/>
              <w:rPr>
                <w:sz w:val="20"/>
                <w:szCs w:val="20"/>
                <w:color w:val="auto"/>
              </w:rPr>
            </w:pPr>
            <w:r>
              <w:rPr>
                <w:rFonts w:ascii="Arial" w:cs="Arial" w:eastAsia="Arial" w:hAnsi="Arial"/>
                <w:sz w:val="18"/>
                <w:szCs w:val="18"/>
                <w:color w:val="auto"/>
              </w:rPr>
              <w:t>Title: Vice President</w:t>
            </w: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AMENDMENT NO. 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HURON CONSULTING GROUP INC.</w:t>
      </w:r>
    </w:p>
    <w:p>
      <w:pPr>
        <w:sectPr>
          <w:pgSz w:w="11900" w:h="16838" w:orient="portrait"/>
          <w:cols w:equalWidth="0" w:num="1">
            <w:col w:w="11420"/>
          </w:cols>
          <w:pgMar w:left="240" w:top="38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13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July 30, 2014</w:t>
            </w:r>
          </w:p>
        </w:tc>
        <w:tc>
          <w:tcPr>
            <w:tcW w:w="2520" w:type="dxa"/>
            <w:vAlign w:val="bottom"/>
          </w:tcPr>
          <w:p>
            <w:pPr>
              <w:ind w:left="2240"/>
              <w:spacing w:after="0"/>
              <w:rPr>
                <w:sz w:val="20"/>
                <w:szCs w:val="20"/>
                <w:color w:val="auto"/>
              </w:rPr>
            </w:pPr>
            <w:r>
              <w:rPr>
                <w:rFonts w:ascii="Arial" w:cs="Arial" w:eastAsia="Arial" w:hAnsi="Arial"/>
                <w:sz w:val="18"/>
                <w:szCs w:val="18"/>
                <w:color w:val="auto"/>
                <w:w w:val="99"/>
              </w:rPr>
              <w:t>By:</w:t>
            </w:r>
          </w:p>
        </w:tc>
        <w:tc>
          <w:tcPr>
            <w:tcW w:w="52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/s/ James H. Roth</w:t>
            </w: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9"/>
              </w:rPr>
              <w:t>James H. Roth</w:t>
            </w: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President and Chief Executive Officer</w:t>
            </w:r>
          </w:p>
        </w:tc>
      </w:tr>
    </w:tbl>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13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July 30, 2014</w:t>
            </w:r>
          </w:p>
        </w:tc>
        <w:tc>
          <w:tcPr>
            <w:tcW w:w="2520" w:type="dxa"/>
            <w:vAlign w:val="bottom"/>
          </w:tcPr>
          <w:p>
            <w:pPr>
              <w:ind w:left="2240"/>
              <w:spacing w:after="0"/>
              <w:rPr>
                <w:sz w:val="20"/>
                <w:szCs w:val="20"/>
                <w:color w:val="auto"/>
              </w:rPr>
            </w:pPr>
            <w:r>
              <w:rPr>
                <w:rFonts w:ascii="Arial" w:cs="Arial" w:eastAsia="Arial" w:hAnsi="Arial"/>
                <w:sz w:val="18"/>
                <w:szCs w:val="18"/>
                <w:color w:val="auto"/>
                <w:w w:val="99"/>
              </w:rPr>
              <w:t>By:</w:t>
            </w:r>
          </w:p>
        </w:tc>
        <w:tc>
          <w:tcPr>
            <w:tcW w:w="52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/s/ C. Mark Hussey</w:t>
            </w: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2"/>
              </w:rPr>
              <w:t>C. Mark Hussey</w:t>
            </w:r>
          </w:p>
        </w:tc>
      </w:tr>
      <w:tr>
        <w:trPr>
          <w:trHeight w:val="216"/>
        </w:trPr>
        <w:tc>
          <w:tcPr>
            <w:tcW w:w="3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Executive Vice President, Chief Operating Officer,</w:t>
            </w: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Chief Financial Officer and Treasurer</w:t>
            </w:r>
          </w:p>
        </w:tc>
      </w:tr>
    </w:tbl>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8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In connection with the Quarterly Report of Huron Consulting Group Inc. (the “Company”) on Form 10-Q for the quarter ended June 30, 2014 as filed with the Securities and Exchange Commission on the date hereof (the “Report”), I, James H. Roth, President and Chief Executive Officer of the Company, hereby certify, pursuant to 18 U.S.C. Section 1350, as adopted pursuant to Section 906 of the Sarbanes-Oxley Act of 2002, that to the best of my knowledge:</w:t>
      </w:r>
    </w:p>
    <w:p>
      <w:pPr>
        <w:spacing w:after="0" w:line="52" w:lineRule="exact"/>
        <w:rPr>
          <w:sz w:val="20"/>
          <w:szCs w:val="20"/>
          <w:color w:val="auto"/>
        </w:rPr>
      </w:pPr>
    </w:p>
    <w:p>
      <w:pPr>
        <w:ind w:left="1140" w:hanging="565"/>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140" w:right="620" w:hanging="565"/>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July 30, 2014</w:t>
            </w:r>
          </w:p>
        </w:tc>
        <w:tc>
          <w:tcPr>
            <w:tcW w:w="2520" w:type="dxa"/>
            <w:vAlign w:val="bottom"/>
          </w:tcPr>
          <w:p>
            <w:pPr>
              <w:ind w:left="2240"/>
              <w:spacing w:after="0"/>
              <w:rPr>
                <w:sz w:val="20"/>
                <w:szCs w:val="20"/>
                <w:color w:val="auto"/>
              </w:rPr>
            </w:pPr>
            <w:r>
              <w:rPr>
                <w:rFonts w:ascii="Arial" w:cs="Arial" w:eastAsia="Arial" w:hAnsi="Arial"/>
                <w:sz w:val="18"/>
                <w:szCs w:val="18"/>
                <w:color w:val="auto"/>
                <w:w w:val="99"/>
              </w:rPr>
              <w:t>By:</w:t>
            </w:r>
          </w:p>
        </w:tc>
        <w:tc>
          <w:tcPr>
            <w:tcW w:w="52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/s/ James H. Roth</w:t>
            </w: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9"/>
              </w:rPr>
              <w:t>James H. Roth</w:t>
            </w: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President and Chief Executive Officer</w:t>
            </w:r>
          </w:p>
        </w:tc>
      </w:tr>
    </w:tbl>
    <w:p>
      <w:pPr>
        <w:spacing w:after="0" w:line="20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8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June 30, 2014 as filed with the Securities and Exchange Commission on the date hereof (the “Report”), I, C. Mark Hussey, Executive Vice President, Chief Operating Officer, Chief Financial Officer and Treasurer of the Company, hereby certify, pursuant to 18 U.S.C. Section 1350, as adopted pursuant to Section 906 of the Sarbanes-Oxley Act of 2002, that to the best of my knowledge:</w:t>
      </w:r>
    </w:p>
    <w:p>
      <w:pPr>
        <w:spacing w:after="0" w:line="92" w:lineRule="exact"/>
        <w:rPr>
          <w:sz w:val="20"/>
          <w:szCs w:val="20"/>
          <w:color w:val="auto"/>
        </w:rPr>
      </w:pPr>
    </w:p>
    <w:p>
      <w:pPr>
        <w:ind w:left="1140" w:hanging="565"/>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140" w:right="620" w:hanging="565"/>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July 30, 2014</w:t>
            </w:r>
          </w:p>
        </w:tc>
        <w:tc>
          <w:tcPr>
            <w:tcW w:w="2520" w:type="dxa"/>
            <w:vAlign w:val="bottom"/>
          </w:tcPr>
          <w:p>
            <w:pPr>
              <w:ind w:left="2240"/>
              <w:spacing w:after="0"/>
              <w:rPr>
                <w:sz w:val="20"/>
                <w:szCs w:val="20"/>
                <w:color w:val="auto"/>
              </w:rPr>
            </w:pPr>
            <w:r>
              <w:rPr>
                <w:rFonts w:ascii="Arial" w:cs="Arial" w:eastAsia="Arial" w:hAnsi="Arial"/>
                <w:sz w:val="18"/>
                <w:szCs w:val="18"/>
                <w:color w:val="auto"/>
                <w:w w:val="99"/>
              </w:rPr>
              <w:t>By:</w:t>
            </w:r>
          </w:p>
        </w:tc>
        <w:tc>
          <w:tcPr>
            <w:tcW w:w="52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/s/ C. Mark Hussey</w:t>
            </w: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2"/>
              </w:rPr>
              <w:t>C. Mark Hussey</w:t>
            </w:r>
          </w:p>
        </w:tc>
      </w:tr>
      <w:tr>
        <w:trPr>
          <w:trHeight w:val="216"/>
        </w:trPr>
        <w:tc>
          <w:tcPr>
            <w:tcW w:w="3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Executive Vice President, Chief Operating Officer,</w:t>
            </w: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Chief Financial Officer and Treasurer</w:t>
            </w:r>
          </w:p>
        </w:tc>
      </w:tr>
    </w:tbl>
    <w:p>
      <w:pPr>
        <w:spacing w:after="0" w:line="21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6"/>
    </w:lvl>
  </w:abstractNum>
  <w:abstractNum w:abstractNumId="8">
    <w:nsid w:val="436C6125"/>
    <w:multiLevelType w:val="hybridMultilevel"/>
    <w:lvl w:ilvl="0">
      <w:lvlJc w:val="left"/>
      <w:lvlText w:val="%1."/>
      <w:numFmt w:val="decimal"/>
      <w:start w:val="7"/>
    </w:lvl>
  </w:abstractNum>
  <w:abstractNum w:abstractNumId="9">
    <w:nsid w:val="628C895D"/>
    <w:multiLevelType w:val="hybridMultilevel"/>
    <w:lvl w:ilvl="0">
      <w:lvlJc w:val="left"/>
      <w:lvlText w:val="%1."/>
      <w:numFmt w:val="decimal"/>
      <w:start w:val="8"/>
    </w:lvl>
  </w:abstractNum>
  <w:abstractNum w:abstractNumId="10">
    <w:nsid w:val="333AB105"/>
    <w:multiLevelType w:val="hybridMultilevel"/>
    <w:lvl w:ilvl="0">
      <w:lvlJc w:val="left"/>
      <w:lvlText w:val="%1."/>
      <w:numFmt w:val="decimal"/>
      <w:start w:val="9"/>
    </w:lvl>
  </w:abstractNum>
  <w:abstractNum w:abstractNumId="11">
    <w:nsid w:val="721DA317"/>
    <w:multiLevelType w:val="hybridMultilevel"/>
    <w:lvl w:ilvl="0">
      <w:lvlJc w:val="left"/>
      <w:lvlText w:val="%1."/>
      <w:numFmt w:val="decimal"/>
      <w:start w:val="10"/>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decimal"/>
      <w:start w:val="12"/>
    </w:lvl>
  </w:abstractNum>
  <w:abstractNum w:abstractNumId="14">
    <w:nsid w:val="6763845E"/>
    <w:multiLevelType w:val="hybridMultilevel"/>
    <w:lvl w:ilvl="0">
      <w:lvlJc w:val="left"/>
      <w:lvlText w:val="%1."/>
      <w:numFmt w:val="decimal"/>
      <w:start w:val="13"/>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4"/>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bullet"/>
      <w:start w:val="1"/>
    </w:lvl>
  </w:abstractNum>
  <w:abstractNum w:abstractNumId="26">
    <w:nsid w:val="3A95F874"/>
    <w:multiLevelType w:val="hybridMultilevel"/>
    <w:lvl w:ilvl="0">
      <w:lvlJc w:val="left"/>
      <w:lvlText w:val="2"/>
      <w:numFmt w:val="bullet"/>
      <w:start w:val="1"/>
    </w:lvl>
  </w:abstractNum>
  <w:abstractNum w:abstractNumId="27">
    <w:nsid w:val="8138641"/>
    <w:multiLevelType w:val="hybridMultilevel"/>
    <w:lvl w:ilvl="0">
      <w:lvlJc w:val="left"/>
      <w:lvlText w:val="(%1)"/>
      <w:numFmt w:val="lowerLetter"/>
      <w:start w:val="13"/>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2019-12-07T07:06:04Z</dcterms:created>
  <dcterms:modified xsi:type="dcterms:W3CDTF">2019-12-07T07:06:04Z</dcterms:modified>
</cp:coreProperties>
</file>