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469265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FORM 10–K</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(Mark One)</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x ANNUAL REPORT PURSUANT TO SECTION 13 OR 15(d) OF THE SECURITIES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December 31, 2017</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 TRANSITION REPORT PURSUANT TO SECTION 13 OR 15(d) OF THE SECURITIES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000-50976</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URON</w:t>
      </w:r>
      <w:r>
        <w:rPr>
          <w:rFonts w:ascii="Arial" w:cs="Arial" w:eastAsia="Arial" w:hAnsi="Arial"/>
          <w:sz w:val="22"/>
          <w:szCs w:val="22"/>
          <w:color w:val="auto"/>
        </w:rPr>
        <w:t xml:space="preserve"> C</w:t>
      </w:r>
      <w:r>
        <w:rPr>
          <w:rFonts w:ascii="Arial" w:cs="Arial" w:eastAsia="Arial" w:hAnsi="Arial"/>
          <w:sz w:val="18"/>
          <w:szCs w:val="18"/>
          <w:color w:val="auto"/>
        </w:rPr>
        <w:t>ONSULTING</w:t>
      </w:r>
      <w:r>
        <w:rPr>
          <w:rFonts w:ascii="Arial" w:cs="Arial" w:eastAsia="Arial" w:hAnsi="Arial"/>
          <w:sz w:val="22"/>
          <w:szCs w:val="22"/>
          <w:color w:val="auto"/>
        </w:rPr>
        <w:t xml:space="preserve"> G</w:t>
      </w:r>
      <w:r>
        <w:rPr>
          <w:rFonts w:ascii="Arial" w:cs="Arial" w:eastAsia="Arial" w:hAnsi="Arial"/>
          <w:sz w:val="18"/>
          <w:szCs w:val="18"/>
          <w:color w:val="auto"/>
        </w:rPr>
        <w:t>ROUP</w:t>
      </w:r>
      <w:r>
        <w:rPr>
          <w:rFonts w:ascii="Arial" w:cs="Arial" w:eastAsia="Arial" w:hAnsi="Arial"/>
          <w:sz w:val="22"/>
          <w:szCs w:val="22"/>
          <w:color w:val="auto"/>
        </w:rPr>
        <w:t xml:space="preserve"> I</w:t>
      </w:r>
      <w:r>
        <w:rPr>
          <w:rFonts w:ascii="Arial" w:cs="Arial" w:eastAsia="Arial" w:hAnsi="Arial"/>
          <w:sz w:val="18"/>
          <w:szCs w:val="18"/>
          <w:color w:val="auto"/>
        </w:rPr>
        <w:t>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90" w:lineRule="exact"/>
        <w:rPr>
          <w:sz w:val="24"/>
          <w:szCs w:val="24"/>
          <w:color w:val="auto"/>
        </w:rPr>
      </w:pPr>
    </w:p>
    <w:tbl>
      <w:tblPr>
        <w:tblLayout w:type="fixed"/>
        <w:tblInd w:w="1820" w:type="dxa"/>
        <w:tblCellMar>
          <w:top w:w="0" w:type="dxa"/>
          <w:left w:w="0" w:type="dxa"/>
          <w:bottom w:w="0" w:type="dxa"/>
          <w:right w:w="0" w:type="dxa"/>
        </w:tblCellMar>
      </w:tblPr>
      <w:tr>
        <w:trPr>
          <w:trHeight w:val="221"/>
        </w:trPr>
        <w:tc>
          <w:tcPr>
            <w:tcW w:w="4060" w:type="dxa"/>
            <w:vAlign w:val="bottom"/>
          </w:tcPr>
          <w:p>
            <w:pPr>
              <w:jc w:val="center"/>
              <w:ind w:right="2016"/>
              <w:spacing w:after="0"/>
              <w:rPr>
                <w:sz w:val="20"/>
                <w:szCs w:val="20"/>
                <w:color w:val="auto"/>
              </w:rPr>
            </w:pPr>
            <w:r>
              <w:rPr>
                <w:rFonts w:ascii="Arial" w:cs="Arial" w:eastAsia="Arial" w:hAnsi="Arial"/>
                <w:sz w:val="18"/>
                <w:szCs w:val="18"/>
                <w:color w:val="auto"/>
                <w:w w:val="89"/>
              </w:rPr>
              <w:t>Delaware</w:t>
            </w:r>
          </w:p>
        </w:tc>
        <w:tc>
          <w:tcPr>
            <w:tcW w:w="3580" w:type="dxa"/>
            <w:vAlign w:val="bottom"/>
          </w:tcPr>
          <w:p>
            <w:pPr>
              <w:jc w:val="center"/>
              <w:ind w:left="2016"/>
              <w:spacing w:after="0"/>
              <w:rPr>
                <w:sz w:val="20"/>
                <w:szCs w:val="20"/>
                <w:color w:val="auto"/>
              </w:rPr>
            </w:pPr>
            <w:r>
              <w:rPr>
                <w:rFonts w:ascii="Arial" w:cs="Arial" w:eastAsia="Arial" w:hAnsi="Arial"/>
                <w:sz w:val="18"/>
                <w:szCs w:val="18"/>
                <w:color w:val="auto"/>
                <w:w w:val="91"/>
              </w:rPr>
              <w:t>01-0666114</w:t>
            </w:r>
          </w:p>
        </w:tc>
      </w:tr>
      <w:tr>
        <w:trPr>
          <w:trHeight w:val="203"/>
        </w:trPr>
        <w:tc>
          <w:tcPr>
            <w:tcW w:w="4060" w:type="dxa"/>
            <w:vAlign w:val="bottom"/>
          </w:tcPr>
          <w:p>
            <w:pPr>
              <w:jc w:val="center"/>
              <w:ind w:right="2016"/>
              <w:spacing w:after="0"/>
              <w:rPr>
                <w:sz w:val="20"/>
                <w:szCs w:val="20"/>
                <w:color w:val="auto"/>
              </w:rPr>
            </w:pPr>
            <w:r>
              <w:rPr>
                <w:rFonts w:ascii="Arial" w:cs="Arial" w:eastAsia="Arial" w:hAnsi="Arial"/>
                <w:sz w:val="16"/>
                <w:szCs w:val="16"/>
                <w:color w:val="auto"/>
                <w:w w:val="93"/>
              </w:rPr>
              <w:t>(State or other jurisdiction of</w:t>
            </w:r>
          </w:p>
        </w:tc>
        <w:tc>
          <w:tcPr>
            <w:tcW w:w="3580" w:type="dxa"/>
            <w:vAlign w:val="bottom"/>
          </w:tcPr>
          <w:p>
            <w:pPr>
              <w:jc w:val="center"/>
              <w:ind w:left="2016"/>
              <w:spacing w:after="0"/>
              <w:rPr>
                <w:sz w:val="20"/>
                <w:szCs w:val="20"/>
                <w:color w:val="auto"/>
              </w:rPr>
            </w:pPr>
            <w:r>
              <w:rPr>
                <w:rFonts w:ascii="Arial" w:cs="Arial" w:eastAsia="Arial" w:hAnsi="Arial"/>
                <w:sz w:val="16"/>
                <w:szCs w:val="16"/>
                <w:color w:val="auto"/>
                <w:w w:val="95"/>
              </w:rPr>
              <w:t>(I.R.S. Employer</w:t>
            </w:r>
          </w:p>
        </w:tc>
      </w:tr>
      <w:tr>
        <w:trPr>
          <w:trHeight w:val="206"/>
        </w:trPr>
        <w:tc>
          <w:tcPr>
            <w:tcW w:w="4060" w:type="dxa"/>
            <w:vAlign w:val="bottom"/>
          </w:tcPr>
          <w:p>
            <w:pPr>
              <w:jc w:val="center"/>
              <w:ind w:right="2016"/>
              <w:spacing w:after="0"/>
              <w:rPr>
                <w:sz w:val="20"/>
                <w:szCs w:val="20"/>
                <w:color w:val="auto"/>
              </w:rPr>
            </w:pPr>
            <w:r>
              <w:rPr>
                <w:rFonts w:ascii="Arial" w:cs="Arial" w:eastAsia="Arial" w:hAnsi="Arial"/>
                <w:sz w:val="16"/>
                <w:szCs w:val="16"/>
                <w:color w:val="auto"/>
                <w:w w:val="94"/>
              </w:rPr>
              <w:t>incorporation or organization)</w:t>
            </w:r>
          </w:p>
        </w:tc>
        <w:tc>
          <w:tcPr>
            <w:tcW w:w="3580" w:type="dxa"/>
            <w:vAlign w:val="bottom"/>
          </w:tcPr>
          <w:p>
            <w:pPr>
              <w:jc w:val="center"/>
              <w:ind w:left="1996"/>
              <w:spacing w:after="0"/>
              <w:rPr>
                <w:sz w:val="20"/>
                <w:szCs w:val="20"/>
                <w:color w:val="auto"/>
              </w:rPr>
            </w:pPr>
            <w:r>
              <w:rPr>
                <w:rFonts w:ascii="Arial" w:cs="Arial" w:eastAsia="Arial" w:hAnsi="Arial"/>
                <w:sz w:val="16"/>
                <w:szCs w:val="16"/>
                <w:color w:val="auto"/>
                <w:w w:val="95"/>
              </w:rPr>
              <w:t>Identification Number)</w:t>
            </w: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550 West Van Buren Street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Chicago, Illinois 60607</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(312) 583-8700</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3"/>
          </w:tcPr>
          <w:p>
            <w:pPr>
              <w:ind w:left="3640"/>
              <w:spacing w:after="0"/>
              <w:rPr>
                <w:sz w:val="20"/>
                <w:szCs w:val="20"/>
                <w:color w:val="auto"/>
              </w:rPr>
            </w:pPr>
            <w:r>
              <w:rPr>
                <w:rFonts w:ascii="Arial" w:cs="Arial" w:eastAsia="Arial" w:hAnsi="Arial"/>
                <w:sz w:val="18"/>
                <w:szCs w:val="18"/>
                <w:color w:val="auto"/>
              </w:rPr>
              <w:t>Securities registered pursuant to Section 12(b) of the Act:</w:t>
            </w:r>
          </w:p>
        </w:tc>
        <w:tc>
          <w:tcPr>
            <w:tcW w:w="2720" w:type="dxa"/>
            <w:vAlign w:val="bottom"/>
          </w:tcPr>
          <w:p>
            <w:pPr>
              <w:spacing w:after="0"/>
              <w:rPr>
                <w:sz w:val="20"/>
                <w:szCs w:val="20"/>
                <w:color w:val="auto"/>
              </w:rPr>
            </w:pPr>
          </w:p>
        </w:tc>
      </w:tr>
      <w:tr>
        <w:trPr>
          <w:trHeight w:val="405"/>
        </w:trPr>
        <w:tc>
          <w:tcPr>
            <w:tcW w:w="6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Title of each class</w:t>
            </w:r>
          </w:p>
        </w:tc>
        <w:tc>
          <w:tcPr>
            <w:tcW w:w="5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gridSpan w:val="2"/>
          </w:tcPr>
          <w:p>
            <w:pPr>
              <w:spacing w:after="0"/>
              <w:rPr>
                <w:sz w:val="2"/>
                <w:szCs w:val="2"/>
                <w:color w:val="auto"/>
              </w:rPr>
            </w:pPr>
          </w:p>
        </w:tc>
      </w:tr>
      <w:tr>
        <w:trPr>
          <w:trHeight w:val="237"/>
        </w:trPr>
        <w:tc>
          <w:tcPr>
            <w:tcW w:w="60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Common Stock, par value $0.01 per share</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3"/>
              </w:rPr>
              <w:t>NASDAQ Global Select Market</w:t>
            </w:r>
          </w:p>
        </w:tc>
      </w:tr>
      <w:tr>
        <w:trPr>
          <w:trHeight w:val="270"/>
        </w:trPr>
        <w:tc>
          <w:tcPr>
            <w:tcW w:w="8680" w:type="dxa"/>
            <w:vAlign w:val="bottom"/>
            <w:gridSpan w:val="3"/>
          </w:tcPr>
          <w:p>
            <w:pPr>
              <w:ind w:left="3280"/>
              <w:spacing w:after="0"/>
              <w:rPr>
                <w:sz w:val="20"/>
                <w:szCs w:val="20"/>
                <w:color w:val="auto"/>
              </w:rPr>
            </w:pPr>
            <w:r>
              <w:rPr>
                <w:rFonts w:ascii="Arial" w:cs="Arial" w:eastAsia="Arial" w:hAnsi="Arial"/>
                <w:sz w:val="18"/>
                <w:szCs w:val="18"/>
                <w:b w:val="1"/>
                <w:bCs w:val="1"/>
                <w:color w:val="auto"/>
                <w:w w:val="98"/>
              </w:rPr>
              <w:t>Securities registered pursuant to Section 12(g) of the Act: None</w:t>
            </w:r>
          </w:p>
        </w:tc>
        <w:tc>
          <w:tcPr>
            <w:tcW w:w="2720" w:type="dxa"/>
            <w:vAlign w:val="bottom"/>
          </w:tcPr>
          <w:p>
            <w:pPr>
              <w:spacing w:after="0"/>
              <w:rPr>
                <w:sz w:val="23"/>
                <w:szCs w:val="23"/>
                <w:color w:val="auto"/>
              </w:rPr>
            </w:pPr>
          </w:p>
        </w:tc>
      </w:tr>
      <w:tr>
        <w:trPr>
          <w:trHeight w:val="226"/>
        </w:trPr>
        <w:tc>
          <w:tcPr>
            <w:tcW w:w="8680" w:type="dxa"/>
            <w:vAlign w:val="bottom"/>
            <w:gridSpan w:val="3"/>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 Yes x</w:t>
            </w:r>
          </w:p>
        </w:tc>
        <w:tc>
          <w:tcPr>
            <w:tcW w:w="2720" w:type="dxa"/>
            <w:vAlign w:val="bottom"/>
          </w:tcPr>
          <w:p>
            <w:pPr>
              <w:ind w:left="20"/>
              <w:spacing w:after="0"/>
              <w:rPr>
                <w:sz w:val="20"/>
                <w:szCs w:val="20"/>
                <w:color w:val="auto"/>
              </w:rPr>
            </w:pPr>
            <w:r>
              <w:rPr>
                <w:rFonts w:ascii="Arial" w:cs="Arial" w:eastAsia="Arial" w:hAnsi="Arial"/>
                <w:sz w:val="17"/>
                <w:szCs w:val="17"/>
                <w:color w:val="auto"/>
              </w:rPr>
              <w:t>No o</w:t>
            </w:r>
          </w:p>
        </w:tc>
      </w:tr>
      <w:tr>
        <w:trPr>
          <w:trHeight w:val="230"/>
        </w:trPr>
        <w:tc>
          <w:tcPr>
            <w:tcW w:w="8680" w:type="dxa"/>
            <w:vAlign w:val="bottom"/>
            <w:gridSpan w:val="3"/>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 Yes o</w:t>
            </w:r>
          </w:p>
        </w:tc>
        <w:tc>
          <w:tcPr>
            <w:tcW w:w="2720" w:type="dxa"/>
            <w:vAlign w:val="bottom"/>
          </w:tcPr>
          <w:p>
            <w:pPr>
              <w:ind w:left="160"/>
              <w:spacing w:after="0"/>
              <w:rPr>
                <w:sz w:val="20"/>
                <w:szCs w:val="20"/>
                <w:color w:val="auto"/>
              </w:rPr>
            </w:pPr>
            <w:r>
              <w:rPr>
                <w:rFonts w:ascii="Arial" w:cs="Arial" w:eastAsia="Arial" w:hAnsi="Arial"/>
                <w:sz w:val="17"/>
                <w:szCs w:val="17"/>
                <w:color w:val="auto"/>
              </w:rPr>
              <w:t>No x</w:t>
            </w:r>
          </w:p>
        </w:tc>
      </w:tr>
    </w:tbl>
    <w:p>
      <w:pPr>
        <w:spacing w:after="0" w:line="13" w:lineRule="exact"/>
        <w:rPr>
          <w:sz w:val="24"/>
          <w:szCs w:val="24"/>
          <w:color w:val="auto"/>
        </w:rPr>
      </w:pPr>
    </w:p>
    <w:p>
      <w:pPr>
        <w:ind w:right="160"/>
        <w:spacing w:after="0" w:line="25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 w:lineRule="exact"/>
        <w:rPr>
          <w:sz w:val="24"/>
          <w:szCs w:val="24"/>
          <w:color w:val="auto"/>
        </w:rPr>
      </w:pPr>
    </w:p>
    <w:p>
      <w:pPr>
        <w:ind w:right="160"/>
        <w:spacing w:after="0" w:line="259"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Regulation S-T during the preceding 12 months (or for such shorter period that the registrant was required to submit and post such files). Yes x No o</w:t>
      </w:r>
    </w:p>
    <w:p>
      <w:pPr>
        <w:spacing w:after="0" w:line="2" w:lineRule="exact"/>
        <w:rPr>
          <w:sz w:val="24"/>
          <w:szCs w:val="24"/>
          <w:color w:val="auto"/>
        </w:rPr>
      </w:pPr>
    </w:p>
    <w:p>
      <w:pPr>
        <w:ind w:right="180"/>
        <w:spacing w:after="0" w:line="30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1" w:lineRule="exact"/>
        <w:rPr>
          <w:sz w:val="24"/>
          <w:szCs w:val="24"/>
          <w:color w:val="auto"/>
        </w:rPr>
      </w:pPr>
    </w:p>
    <w:p>
      <w:pPr>
        <w:ind w:right="600"/>
        <w:spacing w:after="0" w:line="34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3" w:right="259" w:bottom="1440" w:gutter="0" w:footer="0" w:header="0"/>
        </w:sectPr>
      </w:pPr>
    </w:p>
    <w:p>
      <w:pPr>
        <w:spacing w:after="0" w:line="106" w:lineRule="exact"/>
        <w:rPr>
          <w:sz w:val="24"/>
          <w:szCs w:val="24"/>
          <w:color w:val="auto"/>
        </w:rPr>
      </w:pPr>
    </w:p>
    <w:p>
      <w:pPr>
        <w:ind w:left="40"/>
        <w:spacing w:after="0"/>
        <w:tabs>
          <w:tab w:leader="none" w:pos="17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7" w:lineRule="exact"/>
        <w:rPr>
          <w:sz w:val="24"/>
          <w:szCs w:val="24"/>
          <w:color w:val="auto"/>
        </w:rPr>
      </w:pPr>
    </w:p>
    <w:p>
      <w:pPr>
        <w:sectPr>
          <w:pgSz w:w="11900" w:h="16838" w:orient="portrait"/>
          <w:cols w:equalWidth="0" w:num="4">
            <w:col w:w="2180" w:space="720"/>
            <w:col w:w="1920" w:space="720"/>
            <w:col w:w="2100" w:space="720"/>
            <w:col w:w="3040"/>
          </w:cols>
          <w:pgMar w:left="240" w:top="233" w:right="259" w:bottom="1440" w:gutter="0" w:footer="0" w:header="0"/>
          <w:type w:val="continuous"/>
        </w:sectPr>
      </w:pPr>
    </w:p>
    <w:p>
      <w:pPr>
        <w:ind w:left="836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00"/>
          </w:cols>
          <w:pgMar w:left="240" w:top="233" w:right="259" w:bottom="1440" w:gutter="0" w:footer="0" w:header="0"/>
          <w:type w:val="continuous"/>
        </w:sectPr>
      </w:pPr>
    </w:p>
    <w:p>
      <w:pPr>
        <w:spacing w:after="0" w:line="137" w:lineRule="exact"/>
        <w:rPr>
          <w:sz w:val="24"/>
          <w:szCs w:val="24"/>
          <w:color w:val="auto"/>
        </w:rPr>
      </w:pPr>
    </w:p>
    <w:p>
      <w:pPr>
        <w:ind w:right="160"/>
        <w:spacing w:after="0" w:line="257"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tabs>
          <w:tab w:leader="none" w:pos="8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p>
    <w:p>
      <w:pPr>
        <w:ind w:right="620"/>
        <w:spacing w:after="0" w:line="265" w:lineRule="auto"/>
        <w:rPr>
          <w:sz w:val="20"/>
          <w:szCs w:val="20"/>
          <w:color w:val="auto"/>
        </w:rPr>
      </w:pPr>
      <w:r>
        <w:rPr>
          <w:rFonts w:ascii="Arial" w:cs="Arial" w:eastAsia="Arial" w:hAnsi="Arial"/>
          <w:sz w:val="17"/>
          <w:szCs w:val="17"/>
          <w:color w:val="auto"/>
        </w:rPr>
        <w:t>The aggregate market value of the registrant’s common stock held by non-affiliates as of June 30, 2017 (the last business day of the registrant’s most recently completed second fiscal quarter) was approximately $934,900,000.</w:t>
      </w:r>
    </w:p>
    <w:p>
      <w:pPr>
        <w:spacing w:after="0"/>
        <w:rPr>
          <w:sz w:val="20"/>
          <w:szCs w:val="20"/>
          <w:color w:val="auto"/>
        </w:rPr>
      </w:pPr>
      <w:r>
        <w:rPr>
          <w:rFonts w:ascii="Arial" w:cs="Arial" w:eastAsia="Arial" w:hAnsi="Arial"/>
          <w:sz w:val="17"/>
          <w:szCs w:val="17"/>
          <w:color w:val="auto"/>
        </w:rPr>
        <w:t>As of February 21, 2018, 22,180,119 shares of the registrant’s common stock, par value $0.01 per share, were outstanding.</w:t>
      </w:r>
    </w:p>
    <w:p>
      <w:pPr>
        <w:spacing w:after="0" w:line="34" w:lineRule="exact"/>
        <w:rPr>
          <w:sz w:val="24"/>
          <w:szCs w:val="24"/>
          <w:color w:val="auto"/>
        </w:rPr>
      </w:pPr>
    </w:p>
    <w:p>
      <w:pPr>
        <w:ind w:left="4380"/>
        <w:spacing w:after="0"/>
        <w:rPr>
          <w:sz w:val="20"/>
          <w:szCs w:val="20"/>
          <w:color w:val="auto"/>
        </w:rPr>
      </w:pPr>
      <w:r>
        <w:rPr>
          <w:rFonts w:ascii="Arial" w:cs="Arial" w:eastAsia="Arial" w:hAnsi="Arial"/>
          <w:sz w:val="17"/>
          <w:szCs w:val="17"/>
          <w:color w:val="auto"/>
        </w:rPr>
        <w:t>Documents Incorporated By Reference</w:t>
      </w:r>
    </w:p>
    <w:p>
      <w:pPr>
        <w:spacing w:after="0" w:line="34" w:lineRule="exact"/>
        <w:rPr>
          <w:sz w:val="24"/>
          <w:szCs w:val="24"/>
          <w:color w:val="auto"/>
        </w:rPr>
      </w:pPr>
    </w:p>
    <w:p>
      <w:pPr>
        <w:ind w:right="580"/>
        <w:spacing w:after="0" w:line="274" w:lineRule="auto"/>
        <w:rPr>
          <w:sz w:val="20"/>
          <w:szCs w:val="20"/>
          <w:color w:val="auto"/>
        </w:rPr>
      </w:pPr>
      <w:r>
        <w:rPr>
          <w:rFonts w:ascii="Arial" w:cs="Arial" w:eastAsia="Arial" w:hAnsi="Arial"/>
          <w:sz w:val="17"/>
          <w:szCs w:val="17"/>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88265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60"/>
              <w:spacing w:after="0"/>
              <w:rPr>
                <w:sz w:val="20"/>
                <w:szCs w:val="20"/>
                <w:color w:val="auto"/>
              </w:rPr>
            </w:pPr>
            <w:r>
              <w:rPr>
                <w:rFonts w:ascii="Arial" w:cs="Arial" w:eastAsia="Arial" w:hAnsi="Arial"/>
                <w:sz w:val="20"/>
                <w:szCs w:val="20"/>
                <w:color w:val="auto"/>
                <w:w w:val="94"/>
              </w:rPr>
              <w:t>HURON CONSULTING GROUP INC.</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0" w:type="dxa"/>
            <w:vAlign w:val="bottom"/>
            <w:gridSpan w:val="9"/>
          </w:tcPr>
          <w:p>
            <w:pPr>
              <w:jc w:val="center"/>
              <w:ind w:right="3080"/>
              <w:spacing w:after="0"/>
              <w:rPr>
                <w:sz w:val="20"/>
                <w:szCs w:val="20"/>
                <w:color w:val="auto"/>
              </w:rPr>
            </w:pPr>
            <w:r>
              <w:rPr>
                <w:rFonts w:ascii="Arial" w:cs="Arial" w:eastAsia="Arial" w:hAnsi="Arial"/>
                <w:sz w:val="20"/>
                <w:szCs w:val="20"/>
                <w:color w:val="auto"/>
                <w:w w:val="95"/>
              </w:rPr>
              <w:t>ANNUAL REPORT ON FORM 10-K</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80"/>
              <w:spacing w:after="0"/>
              <w:rPr>
                <w:sz w:val="20"/>
                <w:szCs w:val="20"/>
                <w:color w:val="auto"/>
              </w:rPr>
            </w:pPr>
            <w:r>
              <w:rPr>
                <w:rFonts w:ascii="Arial" w:cs="Arial" w:eastAsia="Arial" w:hAnsi="Arial"/>
                <w:sz w:val="20"/>
                <w:szCs w:val="20"/>
                <w:color w:val="auto"/>
                <w:w w:val="94"/>
              </w:rPr>
              <w:t>FOR FISCAL YEAR ENDED DECEMBER 31, 2017</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7"/>
          </w:tcPr>
          <w:p>
            <w:pPr>
              <w:jc w:val="center"/>
              <w:ind w:right="3540"/>
              <w:spacing w:after="0"/>
              <w:rPr>
                <w:sz w:val="20"/>
                <w:szCs w:val="20"/>
                <w:color w:val="auto"/>
              </w:rPr>
            </w:pPr>
            <w:r>
              <w:rPr>
                <w:rFonts w:ascii="Arial" w:cs="Arial" w:eastAsia="Arial" w:hAnsi="Arial"/>
                <w:sz w:val="20"/>
                <w:szCs w:val="20"/>
                <w:color w:val="auto"/>
                <w:w w:val="94"/>
              </w:rPr>
              <w:t>TABLE OF CONTENTS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720" w:type="dxa"/>
            <w:vAlign w:val="bottom"/>
            <w:gridSpan w:val="5"/>
            <w:vMerge w:val="restart"/>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40" w:type="dxa"/>
            <w:vAlign w:val="bottom"/>
            <w:tcBorders>
              <w:bottom w:val="single" w:sz="8" w:color="0000EE"/>
            </w:tcBorders>
            <w:vMerge w:val="continue"/>
          </w:tcPr>
          <w:p>
            <w:pPr>
              <w:spacing w:after="0"/>
              <w:rPr>
                <w:sz w:val="15"/>
                <w:szCs w:val="15"/>
                <w:color w:val="auto"/>
              </w:rPr>
            </w:pPr>
          </w:p>
        </w:tc>
        <w:tc>
          <w:tcPr>
            <w:tcW w:w="720" w:type="dxa"/>
            <w:vAlign w:val="bottom"/>
            <w:gridSpan w:val="5"/>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420" w:type="dxa"/>
            <w:vAlign w:val="bottom"/>
            <w:gridSpan w:val="18"/>
          </w:tcPr>
          <w:p>
            <w:pPr>
              <w:spacing w:after="0"/>
              <w:rPr>
                <w:sz w:val="22"/>
                <w:szCs w:val="22"/>
                <w:color w:val="auto"/>
              </w:rPr>
            </w:pPr>
          </w:p>
        </w:tc>
        <w:tc>
          <w:tcPr>
            <w:tcW w:w="106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8160" w:type="dxa"/>
            <w:vAlign w:val="bottom"/>
            <w:gridSpan w:val="16"/>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Unresolved Staff Comments</w:t>
              </w:r>
            </w:hyperlink>
          </w:p>
        </w:tc>
        <w:tc>
          <w:tcPr>
            <w:tcW w:w="7020" w:type="dxa"/>
            <w:vAlign w:val="bottom"/>
            <w:gridSpan w:val="10"/>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2.</w:t>
            </w:r>
          </w:p>
        </w:tc>
        <w:tc>
          <w:tcPr>
            <w:tcW w:w="90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106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3.</w:t>
            </w:r>
          </w:p>
        </w:tc>
        <w:tc>
          <w:tcPr>
            <w:tcW w:w="90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06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4.</w:t>
            </w:r>
          </w:p>
        </w:tc>
        <w:tc>
          <w:tcPr>
            <w:tcW w:w="90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106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37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PART II</w:t>
              </w:r>
            </w:hyperlink>
          </w:p>
        </w:tc>
        <w:tc>
          <w:tcPr>
            <w:tcW w:w="66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5.</w:t>
            </w:r>
          </w:p>
        </w:tc>
        <w:tc>
          <w:tcPr>
            <w:tcW w:w="90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106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000" w:type="dxa"/>
            <w:vAlign w:val="bottom"/>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600" w:type="dxa"/>
            <w:vAlign w:val="bottom"/>
            <w:gridSpan w:val="3"/>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4700" w:type="dxa"/>
            <w:vAlign w:val="bottom"/>
            <w:gridSpan w:val="5"/>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8.</w:t>
            </w:r>
          </w:p>
        </w:tc>
        <w:tc>
          <w:tcPr>
            <w:tcW w:w="906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1060" w:type="dxa"/>
            <w:vAlign w:val="bottom"/>
            <w:gridSpan w:val="2"/>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w:t>
            </w:r>
          </w:p>
        </w:tc>
        <w:tc>
          <w:tcPr>
            <w:tcW w:w="906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Changes in and Disagreements with Accountants on Accounting and Financial Disclosure</w:t>
              </w:r>
            </w:hyperlink>
          </w:p>
        </w:tc>
        <w:tc>
          <w:tcPr>
            <w:tcW w:w="1060" w:type="dxa"/>
            <w:vAlign w:val="bottom"/>
            <w:gridSpan w:val="2"/>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2600" w:type="dxa"/>
            <w:vAlign w:val="bottom"/>
            <w:gridSpan w:val="3"/>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300" w:type="dxa"/>
            <w:vAlign w:val="bottom"/>
            <w:gridSpan w:val="12"/>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372"/>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PART III</w:t>
              </w:r>
            </w:hyperlink>
          </w:p>
        </w:tc>
        <w:tc>
          <w:tcPr>
            <w:tcW w:w="6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10.</w:t>
            </w:r>
          </w:p>
        </w:tc>
        <w:tc>
          <w:tcPr>
            <w:tcW w:w="906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Directors, Executive Officers and Corporate Governance</w:t>
              </w:r>
            </w:hyperlink>
          </w:p>
        </w:tc>
        <w:tc>
          <w:tcPr>
            <w:tcW w:w="106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4980" w:type="dxa"/>
            <w:vAlign w:val="bottom"/>
            <w:gridSpan w:val="6"/>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12.</w:t>
            </w:r>
          </w:p>
        </w:tc>
        <w:tc>
          <w:tcPr>
            <w:tcW w:w="90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Principal Accounting Fees and Services</w:t>
              </w:r>
            </w:hyperlink>
          </w:p>
        </w:tc>
        <w:tc>
          <w:tcPr>
            <w:tcW w:w="3620" w:type="dxa"/>
            <w:vAlign w:val="bottom"/>
            <w:gridSpan w:val="4"/>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372"/>
        </w:trPr>
        <w:tc>
          <w:tcPr>
            <w:tcW w:w="126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Exhibits and Financial Statement Schedules</w:t>
              </w:r>
            </w:hyperlink>
          </w:p>
        </w:tc>
        <w:tc>
          <w:tcPr>
            <w:tcW w:w="5900" w:type="dxa"/>
            <w:vAlign w:val="bottom"/>
            <w:gridSpan w:val="8"/>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16.</w:t>
            </w:r>
          </w:p>
        </w:tc>
        <w:tc>
          <w:tcPr>
            <w:tcW w:w="906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Form 10-K Summary</w:t>
              </w:r>
            </w:hyperlink>
          </w:p>
        </w:tc>
        <w:tc>
          <w:tcPr>
            <w:tcW w:w="1060" w:type="dxa"/>
            <w:vAlign w:val="bottom"/>
            <w:gridSpan w:val="2"/>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SIGNATURES</w:t>
              </w:r>
            </w:hyperlink>
          </w:p>
        </w:tc>
        <w:tc>
          <w:tcPr>
            <w:tcW w:w="1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Statements in this Annual Report on Form 10-K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its clients. We bring a depth of expertise in strategy, technology, operations, advisory services, and analytics to drive lasting and measurable results in the healthcare, higher education, life sciences and commercial sectors.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Huron is headquartered in Chicago, Illinois, with additional locations in the United States in California, Colorado, the District of Columbia, Florida, Massachusetts, New York, Oregon, Texas, and Wisconsin and abroad in Canada, India, Saudi Arabia, Singapore, Switzerland, the United Arab Emirates, and the United Kingdom.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Pope Woodhead's results of operations have been included in our consolidated financial statements and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March 1, 2017, we completed our acquisition of Innosight Holdings, LLC ("Innosight"), a growth strategy firm focused on helping companies navigate disruptive change, enable innovation, and manage strategic transformation. Together with Innosight, we use our strategic, operational, and technology capabilities to help clients across multiple industries develop pioneering solutions to address disruption and achieve sustained growth. Innosight's results of operations have been included in our consolidated financial statements and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 (International)</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1, 2017, we completed our acquisition of the international assets of ADI Strategies, Inc. ("ADI Strategies") in Dubai and India. We acquired the U.S. assets of ADI Strategies in the second quarter of 2016. ADI Strategies is a leading enterprise performance management, risk management and business intelligence firm. The acquisition strengthens our technology and analytics competencies and expands our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global reach. The international results of operations of ADI Strategies have been included in our consolidated financial statements and results of operations of our Business Advisory segment from the date of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"Acquisitions" within our consolidated financial statements for further information on our recent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Divestiture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 Compliance and Operations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second quarter of 2017, we divested our Life Sciences Compliance and Operations practice ("Life Sciences C&amp;O"), which was part of our broader Life Sciences practice within the Business Advisory segment. The sale of Life Sciences C&amp;O did not meet the criteria for reporting separately as discontinued operations. Refer to Note 5 "Goodwill and Intangible Assets" within our consolidated financial statements for further information on the sale.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provide professional services through three operating segments: Healthcare, Education, and Business Advisory. For the year ended December 31, 2017, we derived 49%, 23%, and 28% of our revenues from Healthcare, Education, and Business Advisory, respectively.</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second quarter of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While our consolidated results have not been impacted, we have reclassified our historical segment information for consistent presentation.</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further financial information on our segment results, refer to Part II—Item 7. "Management’s Discussion and Analysis of Financial Condition and Results of Operations” and Note 18 “Segment Information” within the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216"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Our Healthcare segment has a depth of expertise in strategy and innovation,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0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help organizations transform and innovate the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patient experience.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Education segment provides management consulting and technology solutions to higher education institutions and academic medical centers to address challenges relating to business and technology strategy, financial management, operational and organizational effectiveness, research administration, and regulatory compliance.</w:t>
      </w:r>
    </w:p>
    <w:p>
      <w:pPr>
        <w:spacing w:after="0" w:line="12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institutional strategy, market research, budgeting and financial management, business operations and student lifecycle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 Huron is a Platinum level member of the Oracle PartnerNetwork (OPN), a Workday Services Partner and a Gold level consulting partner with Salesforce.com.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21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This segment’s primary service lines include:</w:t>
      </w:r>
    </w:p>
    <w:p>
      <w:pPr>
        <w:spacing w:after="0" w:line="167" w:lineRule="exact"/>
        <w:rPr>
          <w:sz w:val="20"/>
          <w:szCs w:val="20"/>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Enterprise Solutions and Analytics. </w:t>
      </w:r>
      <w:r>
        <w:rPr>
          <w:rFonts w:ascii="Arial" w:cs="Arial" w:eastAsia="Arial" w:hAnsi="Arial"/>
          <w:sz w:val="18"/>
          <w:szCs w:val="18"/>
          <w:color w:val="auto"/>
        </w:rPr>
        <w:t>Our Enterprise Solutions and Analytics professionals deliver technology and analytic solutions that enable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to manage and optimize their financial performance, operational efficiency, and client or stakeholder experience. Our expertise in full-service enterprise performance management (EPM), enterprise resource planning (ERP), business intelligence and analytics, customer relationship management (CRM), and data management services helps clients identify and execute on business and technology strategies to drive results and gain a competitive advantage. Huron is a Platinum level member of the Oracle PartnerNetwork (OPN), a Workday Services Partner, and a Gold level consulting partner with Salesforce.com.</w:t>
      </w:r>
    </w:p>
    <w:p>
      <w:pPr>
        <w:spacing w:after="0" w:line="133"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Business Advisory. </w:t>
      </w:r>
      <w:r>
        <w:rPr>
          <w:rFonts w:ascii="Arial" w:cs="Arial" w:eastAsia="Arial" w:hAnsi="Arial"/>
          <w:sz w:val="18"/>
          <w:szCs w:val="18"/>
          <w:color w:val="auto"/>
        </w:rPr>
        <w:t>Our Business Advisory professionals resolve complex business issues and enhance client enterprise value through a suite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including capital advisory, transaction advisory, operational improvement, restructuring and turnaround, valuation, and dispute advisory. We improve operations or capital structures for businesses performing at less than optimal levels, assess the short-term and long-term prospects of potential acquisition and divestiture opportunities, and provide independent valuation and advisory services to assist clients in making informed decisions for transaction, tax or litigation purposes. Securities transactions are handled by our registered broker-dealer, Huron Transaction Advisory LLC, a member of FINRA.</w:t>
      </w:r>
    </w:p>
    <w:p>
      <w:pPr>
        <w:spacing w:after="0" w:line="133" w:lineRule="exact"/>
        <w:rPr>
          <w:rFonts w:ascii="Arial" w:cs="Arial" w:eastAsia="Arial" w:hAnsi="Arial"/>
          <w:sz w:val="18"/>
          <w:szCs w:val="18"/>
          <w:color w:val="auto"/>
        </w:rPr>
      </w:pPr>
    </w:p>
    <w:p>
      <w:pPr>
        <w:ind w:left="660" w:right="44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Strategy and Innovation. </w:t>
      </w:r>
      <w:r>
        <w:rPr>
          <w:rFonts w:ascii="Arial" w:cs="Arial" w:eastAsia="Arial" w:hAnsi="Arial"/>
          <w:sz w:val="18"/>
          <w:szCs w:val="18"/>
          <w:color w:val="auto"/>
        </w:rPr>
        <w:t>Our Strategy and Innovation professionals collaborate with clients across a range of industries to achieve repeatable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growth and innovation. We help organizations identify new growth opportunities, build new ventures and capabilities, and accelerate organizational change.</w:t>
      </w:r>
    </w:p>
    <w:p>
      <w:pPr>
        <w:spacing w:after="0" w:line="122" w:lineRule="exact"/>
        <w:rPr>
          <w:rFonts w:ascii="Arial" w:cs="Arial" w:eastAsia="Arial" w:hAnsi="Arial"/>
          <w:sz w:val="18"/>
          <w:szCs w:val="18"/>
          <w:color w:val="auto"/>
        </w:rPr>
      </w:pPr>
    </w:p>
    <w:p>
      <w:pPr>
        <w:ind w:left="660" w:right="120" w:hanging="328"/>
        <w:spacing w:after="0" w:line="258"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Life Sciences. </w:t>
      </w:r>
      <w:r>
        <w:rPr>
          <w:rFonts w:ascii="Arial" w:cs="Arial" w:eastAsia="Arial" w:hAnsi="Arial"/>
          <w:sz w:val="18"/>
          <w:szCs w:val="18"/>
          <w:color w:val="auto"/>
        </w:rPr>
        <w:t>Our Life Sciences professionals provide strategic solutions to help pharmaceutical, medical device, and biotechnology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more value to patients, payers, and providers and comply with regulations. We advise clients in the areas of corporate and financial strategy, compliance and operations, reimbursement and access strategy, commercial contracting strategy, R&amp;D and product strategy commercial segmentation, fair market value analysis, lifecycle management, litigation and investigations, government pricing and transparency reporting, auditing and monitoring, and overall business process improvement.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provide professional services to a wide variety of both financially sound and distressed organizations, including healthcare organizations, leading academic and research institutions, large and mid-sized companies, and governmental entities. In 2017, we served over 1,300 clients, including over 300 new clients.</w:t>
      </w:r>
    </w:p>
    <w:p>
      <w:pPr>
        <w:spacing w:after="0" w:line="12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clients are in a broad array of industries, including healthcare, education, pharmaceutical and medical device, financial services, energy and utilities, retail, aerospace, automotive, technology, telecommunications, consumer products, governmental, metals and mining, engineering and construction, hospitality and gaming, logistics, and manufacturing.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success depends on our ability to attract, engage, and develop highly talented professionals by creating a work environment where employees and teams thrive and individuals are rewarded not only for their own contributions but also for the success of our organization. To accomplish these goals, we focus on every facet of the employee lifecycle beginning with the recruiting process through post-employment or retirement to ensure the employee experience is engaging and impactful. We have developed comprehensive programs incorporating training and development opportunities beginning with the onboarding process and continuing through one’s career journey. We provide a competitive total rewards package including benefits that tailor to the needs of our employee population. Our commitment to corporate social responsibility is facilitated through our Huron Helping Hands program and the Diversity and Inclusion council.</w:t>
      </w:r>
    </w:p>
    <w:p>
      <w:pPr>
        <w:spacing w:after="0" w:line="13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Our employee population is divided into two groups: client-serving and support. As of December 31, 2017, we had 3,083 full-time employees, including 142 client-serving managing directors. Our client-serving employees serve as critical business advisors collaborating with clients to help solve their most complex business problems. Our managing directors are the key drivers of growth in our business, generating new revenue streams from existing and new clients.</w:t>
      </w:r>
    </w:p>
    <w:p>
      <w:pPr>
        <w:spacing w:after="0" w:line="252" w:lineRule="auto"/>
        <w:rPr>
          <w:sz w:val="20"/>
          <w:szCs w:val="20"/>
          <w:color w:val="auto"/>
        </w:rPr>
      </w:pPr>
      <w:r>
        <w:rPr>
          <w:rFonts w:ascii="Arial" w:cs="Arial" w:eastAsia="Arial" w:hAnsi="Arial"/>
          <w:sz w:val="18"/>
          <w:szCs w:val="18"/>
          <w:color w:val="auto"/>
        </w:rPr>
        <w:t>They enhance our market reputation by partnering with clients as advisors and engagement team leaders. Internally, they create our intellectual capital, develop our people, and foster our culture. Our senior directors, directors, and managers manage day-to-day client relationships, develop our people, and oversee the delivery and quality of our work product. Our associates and analysts gather and organize data, conduct detailed analyses, and prepare presentations that synthesize and distill information to support recommendations we deliver to clients. Our support employees include our senior management team as well as professionals who provide sales support, methodology creation, software development, and corporate functions consisting of our facilities, finance and accounting, human resources, information technology, legal, and marketing teams. These employees provide strategic direction and support that enables the success of our client-serving employees. At December 31, 2017, our support team was led by 23 managing directors, executives and corporate vice presidents.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to our full-time client-serving employees, we engage contractors on an as-needed basis to provide unique skill sets that are not required to be staffed on a full-time basis.</w:t>
      </w:r>
    </w:p>
    <w:p>
      <w:pPr>
        <w:spacing w:after="0" w:line="279"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Supporting our professionals' career progression is critical to our employee retention and engagement. As part of our onboarding process, our learning and organizational effectiveness team facilitates a robust and structured training curriculum for newly hired employees to help develop and integrate them more effectively into the company. Leadership development programs are offered to recently promoted employees to support their transition to and success in a new role with broader responsibility. In addition to these milestone programs, we offer a variety of leadership development for those we deem capable of taking on broader roles in the organization. We also provide a variety of continuing education opportunities to all of our employees, including formal classroom environments, online courses, and webinars to further develop employees’ capabilities including technical knowledge, people skills, team dynamics and coaching and developing others. We encourage our employees to enhance their professional skills through outside courses that certify their technical skills and to pursue certain advanced degrees. Employees are assigned internal performance coaches to help them establish expectations that are reviewed regularly, including identifying opportunities for professional development, formal training and technical skill certifications.</w:t>
      </w: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total rewards philosophy focuses on rewarding and retaining our high performing employees. To accomplish this, we offer employees a competitive base salary, performance incentives and benefits.</w:t>
      </w:r>
    </w:p>
    <w:p>
      <w:pPr>
        <w:spacing w:after="0" w:line="2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incentive compensation plan is designed to recognize and reward performance of both the organization and individuals and to ensure we properly recognize and retain our top performers. We take both practice and company financial performance into consideration in the determination of bonus pool funding. At the practice level, the annual bonus pool is funded based on achievement of its annual financial goals. The board of directors then reviews and approves the total incentive compensation pool for all practices in the context of the company’s overall financial performance. Individual bonus awards are based on the practice’s financial performance, individual bonus targets, and the individual’s performance as evaluated through our performance management process. The intent of the incentive compensation plan is to differentiate rewards based on individual performance, ensuring that our top performers for the year receive incentives that are commensurate with their contributions, enabling us to retain them and continue to provide our clients with exceptional service. The incentive compensation plan for our named executive officers is funded based on a blend of achievement of financial goals and strategic initiatives.</w:t>
      </w:r>
    </w:p>
    <w:p>
      <w:pPr>
        <w:spacing w:after="0" w:line="2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Managing directors’ individual compensation levels, including base salary and target incentive awards, are set to align with the value of their expected contributions to the organization. As the key drivers of the organization’s success, their compensation is designed to include equity awards as a core component. The use of equity is intended to encourage retention, align the interests of our managing directors with shareholders, and help build wealth over a managing director's career at Huron through annual grants as well as stock price appreciation.</w:t>
      </w:r>
    </w:p>
    <w:p>
      <w:pPr>
        <w:spacing w:after="0" w:line="3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benefit programs are designed to be both comprehensive and tailored to the needs of our employee population, such as a paid time off policy that allows for flexibility and a travel reward program which recognizes the significant travel commitment of our client-serving workforce. Our wellness benefits are aimed at encouraging employees to be aware of their current state of health and providing various tools and resources given the demanding nature of the work. Through these unique benefits, as well as our health and welfare plans, retirement benefits, stock purchase plan, and other benefit programs, we provide a core sense of security to our employees.</w:t>
      </w:r>
    </w:p>
    <w:p>
      <w:pPr>
        <w:spacing w:after="0" w:line="1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corporate social responsibility efforts are designed to support an individual’s charitable interests while also providing a venue for our employees to come together to make an impact in the communities in which we live and work. In addition, the Diversity and Inclusion council supports the needs of our growing employee population through employee resource groups that provide corporate-wide educational opportunities, build awareness, celebrate our differences, develop mentoring relationships, and ensure we are fostering a welcoming and engaging environment for all 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business development and marketing activities are aimed at cultivating relationships, generating leads, and building a strong brand reputation with hospital, health system, and university administrators; offices of the C-suite; and senior level influencers and decision makers of middle market and large corporate organizations. We believe excellent service delivery to clients is critical to building and maintaining relationships and our brand reputation, and we emphasize the importance of client service to all of our employees.</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Currently, we generate new business opportunities through the combination of relationships our managing directors have with individuals working in healthcare organizations, academic and research institutions, and corporations, and marketing lead generation activities. We also view cross-selling as a key component in building our business. Often, the client relationship of a managing director in one area of our business leads to opportunities in another area. All of our managing directors understand their roles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professional services industry is extremely competitive, highly fragmented, and constantly evolving. The industry includes a large number of participants with a variety of skills and industry expertise, including other strategy, business operations, technology,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and technology providers in all of our segments. Our competitors vary, depending on the particular practice area, and we expect to continue to face competition from new market entrants.</w:t>
      </w:r>
    </w:p>
    <w:p>
      <w:pPr>
        <w:spacing w:after="0" w:line="10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believe the principal competitive factors in our market include reputation, the ability to attract and retain top talent, and the capacity to manage engagements effectively to drive high value to clients. There is also competition on price, although to a lesser extent due to the criticality of the issues that many of our services address. Some competitors have a greater geographic footprint, broader international presence, and more resources than we do, but we believe our reputation and ability to deliver high-value, quality service and measurable results to our clients across a balanced portfolio of services and attract and retain employees with broad capabilities and deep industry expertise enable us to compete favorably in the professional services marketplace.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Our Annual Report on Form 10-K, Quarterly Reports on Form 10-Q, Current Reports on Form 8-K, and amendments to those reports filed or furnished pursuant to Section 13(a) or 15(d) of the Exchange Act are available free of charge on the investor relations page of our website, </w:t>
      </w:r>
      <w:r>
        <w:rPr>
          <w:rFonts w:ascii="Arial" w:cs="Arial" w:eastAsia="Arial" w:hAnsi="Arial"/>
          <w:sz w:val="16"/>
          <w:szCs w:val="16"/>
          <w:u w:val="single" w:color="auto"/>
          <w:color w:val="auto"/>
        </w:rPr>
        <w:t>www.huronconsultinggroup.com</w:t>
      </w:r>
      <w:r>
        <w:rPr>
          <w:rFonts w:ascii="Arial" w:cs="Arial" w:eastAsia="Arial" w:hAnsi="Arial"/>
          <w:sz w:val="16"/>
          <w:szCs w:val="16"/>
          <w:color w:val="auto"/>
        </w:rPr>
        <w:t>, as soon as reasonably practicable after we electronically file such material with, or furnish it to, the SEC. The content posted on our website is not incorporated by reference into this report or any other reports filed with, or furnished to, the SEC. Any materials we file with the SEC may be read and copied at the SEC’s Public Reference Room at 100 F Street, NE, Washington, D.C. 20549. Information on the operation of the Public Reference Room may be obtained by calling the SEC at 1-800-SEC-0330. The SEC maintains an Internet site (</w:t>
      </w:r>
      <w:r>
        <w:rPr>
          <w:rFonts w:ascii="Arial" w:cs="Arial" w:eastAsia="Arial" w:hAnsi="Arial"/>
          <w:sz w:val="16"/>
          <w:szCs w:val="16"/>
          <w:u w:val="single" w:color="auto"/>
          <w:color w:val="auto"/>
        </w:rPr>
        <w:t>http://www.sec.gov</w:t>
      </w:r>
      <w:r>
        <w:rPr>
          <w:rFonts w:ascii="Arial" w:cs="Arial" w:eastAsia="Arial" w:hAnsi="Arial"/>
          <w:sz w:val="16"/>
          <w:szCs w:val="16"/>
          <w:color w:val="auto"/>
        </w:rPr>
        <w:t>) that contains reports, proxy and information statements, and other information regarding issuers that file electronically with the SEC.</w:t>
      </w:r>
    </w:p>
    <w:p>
      <w:pPr>
        <w:spacing w:after="0" w:line="2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inability to retain our senior management team and other managing directors would be detrimental to the success of our business.</w:t>
      </w:r>
    </w:p>
    <w:p>
      <w:pPr>
        <w:spacing w:after="0" w:line="18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generally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1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13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Additional hiring, departures, business acquisitions and dispositions could disrupt our operations, increase our costs or otherwise harm our business.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w:t>
      </w:r>
    </w:p>
    <w:p>
      <w:pPr>
        <w:spacing w:after="0" w:line="125"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diversion of management’s time, attention, and resources from managing and marketing our Company;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to retain key acquired personnel or existing personnel who may view the acquisition unfavorably;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loss of clients of acquired businesses;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compensate new employees while they wait for their restrictive covenants with other institutions to expire;</w:t>
      </w:r>
    </w:p>
    <w:p>
      <w:pPr>
        <w:spacing w:after="0" w:line="171" w:lineRule="exact"/>
        <w:rPr>
          <w:rFonts w:ascii="Arial" w:cs="Arial" w:eastAsia="Arial" w:hAnsi="Arial"/>
          <w:sz w:val="18"/>
          <w:szCs w:val="18"/>
          <w:color w:val="auto"/>
        </w:rPr>
      </w:pPr>
    </w:p>
    <w:p>
      <w:pPr>
        <w:ind w:left="820" w:right="80" w:hanging="812"/>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need to raise significant amounts of capital to finance a transaction or the potential issuance of equity securities that could be dilutive to our existing stockholders;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to improve, coordinate, or integrate managerial, operational, financial, and administrative systems;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assumption of liabilities of an acquired business;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to attain the expected synergies with an acquired business;</w:t>
      </w:r>
    </w:p>
    <w:p>
      <w:pPr>
        <w:spacing w:after="0" w:line="171" w:lineRule="exact"/>
        <w:rPr>
          <w:rFonts w:ascii="Arial" w:cs="Arial" w:eastAsia="Arial" w:hAnsi="Arial"/>
          <w:sz w:val="18"/>
          <w:szCs w:val="18"/>
          <w:color w:val="auto"/>
        </w:rPr>
      </w:pPr>
    </w:p>
    <w:p>
      <w:pPr>
        <w:ind w:left="820" w:right="280" w:hanging="812"/>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usage of earn-outs based on the future performance of our business acquisitions may deter the acquired company from fully integrating into our existing business;</w:t>
      </w:r>
    </w:p>
    <w:p>
      <w:pPr>
        <w:spacing w:after="0" w:line="116" w:lineRule="exact"/>
        <w:rPr>
          <w:rFonts w:ascii="Arial" w:cs="Arial" w:eastAsia="Arial" w:hAnsi="Arial"/>
          <w:sz w:val="18"/>
          <w:szCs w:val="18"/>
          <w:color w:val="auto"/>
        </w:rPr>
      </w:pPr>
    </w:p>
    <w:p>
      <w:pPr>
        <w:ind w:left="820" w:right="220" w:hanging="812"/>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perception of inequalities if different groups of employees are eligible for different benefits and incentives or are subject to different policies and programs; and</w:t>
      </w:r>
    </w:p>
    <w:p>
      <w:pPr>
        <w:spacing w:after="0" w:line="116" w:lineRule="exact"/>
        <w:rPr>
          <w:rFonts w:ascii="Arial" w:cs="Arial" w:eastAsia="Arial" w:hAnsi="Arial"/>
          <w:sz w:val="18"/>
          <w:szCs w:val="18"/>
          <w:color w:val="auto"/>
        </w:rPr>
      </w:pPr>
    </w:p>
    <w:p>
      <w:pPr>
        <w:ind w:left="820" w:right="520" w:hanging="812"/>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integrating diverse backgrounds and experiences of consultants, including if we experience a transition period for newly hired consultants that results in a temporary drop in our utilization rates or margins.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All of our acquisitions have been accounted for as purchases, some of which involved purchase prices well in excess of tangible asset values, resulting in the creation of a significant amount of goodwill and other intangible assets. Under generally accepted accounting principles, we do not amortize goodwill or intangible assets acquired in a business combination that are determined to have indefinite useful lives, but instead review them annually (or more frequently if impairment indicators arise) for impairment. To the extent that we determine that such an asset has been impaired, we will write down its carrying value on our balance sheet and book a non-cash impairment charge in our statement of earnings. If, as a result of acquisitions or otherwise, the amount of intangible assets being amortized increases, so will our amortization charges in future periods.</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Also, selling practices and shutting down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 For example, in connection with the sale of our Huron Legal segment to Consilio, Inc., which was completed on December 31, 2015, we have contractually agreed to indemnify the buyer against certain liabilities. If we fail to successfully address these risks, our ability to compete may be impaired and our results of operations may be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Our total assets reflect a substantial amount of intangible assets, primarily goodwill. At December 31, 2017, goodwill and other intangible assets totaled</w:t>
      </w:r>
    </w:p>
    <w:p>
      <w:pPr>
        <w:spacing w:after="0" w:line="3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$718.1 million, or 69%, of our total assets.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Intangible assets other than goodwill represent purchased assets that lack physical substance but can be distinguished from goodwill. Our intangible assets primarily consist of customer relationships, trade names, customer contracts, technology and software, non-competition agreements, and publishing content,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2017.</w:t>
      </w:r>
    </w:p>
    <w:p>
      <w:pPr>
        <w:spacing w:after="0" w:line="1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2017, we recorded $253.1 million of non-cash goodwill impairment charges. As further explained in the following paragraphs, of the $253.1 million, $208.1 million related to our Healthcare reporting unit and $45.0 million related to our Enterprise Solutions and Analytics reporting unit which is included in our Business Advisory segment.</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second quarter of 2017, we performed a goodwill impairment analysis for our Healthcare reporting unit as our Healthcare business had experienced a prolonged period of declining revenues, primarily driven by softness in our revenue cycle offering within our performance improvement solution. This softness was attributable to decreased demand for our services, the winding down of some of our larger projects, and a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and workforce reductions to better align resources with market demand. While the initiatives undertaken to improve the financial performance of our Healthcare segment began yielding some positive impacts, hospitals and health systems continued to face regulatory and funding uncertainty; therefore, we remained cautious about near-term growth. As we had previously disclosed in prior quarters, if the financial performance of our Healthcare segment continued to decline and did not meet our expectations, we could be required to perform an interim impairment analysis with respect to our carrying value of goodwill for the Healthcare reporting unit prior to our usual annual test. Based on forecasts prepared in the second quarter of 2017 in connection with our quarterly forecasting cycle, we determined that the likely time frame to improve the financial results of this segment would take longer than originally anticipated. As such, we concluded, during the second quarter of 2017, that the fair value of the Healthcare reporting unit may have no longer exceeded its carrying value. In connection with the preparation of our financial statements for the quarter ended June 30, 2017, we performed an interim impairment test on the Healthcare reporting unit. Based on the estimated fair value of the Healthcare reporting unit, we recorded a $208.1 million non-cash pretax goodwill impairment charge to reduce the carrying value of goodwill in our Healthcare reporting unit.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Enterprise Solutions and Analytics reporting unit was established with the acquisition of Blue Stone International, LLC in 2013. Since that time, we completed five additional business acquisitions within the reporting unit, most recently the acquisitions of the U.S. assets and international assets of ADI Strategies in May 2016 and April 2017, respectively.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 Therefore, the initial accounting for an acquisition results in its fair value equaling its carrying value. As we have previously disclosed in prior quarters, due to this reporting unit’s relatively low headroom, in the event that the financial performance of the reporting unit did not meet our expectations during 2017, we could be required to take a non-cash impairment charge as a result of any goodwill impairment test. During the first three quarters of 2017, the performance of Enterprise Solutions and Analytics continued to reasonably meet our expectations. However, both revenues and operating margin during the fourth quarter of 2017 fell short of our expectations resulting in a reduction in workforce within the reporting unit during that quarter. Further, in connection with our annual budget process for 2018, which coincided with our annual goodwill impairment test during the fourth quarter of 2017, we determined that the reporting unit's expected future revenue growth rates and operating margin would be lower than previously anticipated for this reporting unit. As a result, our goodwill impairment test indicated that the fair value of the Enterprise Solutions and Analytics reporting unit no longer exceeded its carrying value, and we recorded a $45.0 million non-cash pretax charge to write-off the entire carrying value of this reporting unit's goodwill during the fourth quarter of 2017.</w:t>
      </w:r>
    </w:p>
    <w:p>
      <w:pPr>
        <w:spacing w:after="0" w:line="13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Life Sciences reporting unit has also been established primarily through recent business acquisitions: The Frankel Group Associates LLC in January 2014 and Pope Woodhead in January 2017. As discussed above, goodwill is recorded for such business acquisitions as the excess of purchase price over the fair value of the tangible and identifiable intangible assets acquired and liabilities assumed, resulting in the fair value equaling the carrying value at the acquisition date. Based on the results of our annual goodwill impairment test as of November 30, 2017, the Life Sciences reporting unit's fair value exceeded its carrying value by 14%. We will monitor any changes to our assumptions and will evaluate goodwill as deemed warranted during future periods.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goodwill impairment charge is recognized and also the magnitude of any such charge. The results of an impairment analysis are as of a point in time.</w:t>
      </w:r>
    </w:p>
    <w:p>
      <w:pPr>
        <w:jc w:val="both"/>
        <w:ind w:right="80"/>
        <w:spacing w:after="0" w:line="255" w:lineRule="auto"/>
        <w:rPr>
          <w:sz w:val="20"/>
          <w:szCs w:val="20"/>
          <w:color w:val="auto"/>
        </w:rPr>
      </w:pPr>
      <w:r>
        <w:rPr>
          <w:rFonts w:ascii="Arial" w:cs="Arial" w:eastAsia="Arial" w:hAnsi="Arial"/>
          <w:sz w:val="18"/>
          <w:szCs w:val="18"/>
          <w:color w:val="auto"/>
        </w:rPr>
        <w:t>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1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Refer to “Critical Accounting Policies” within Part I - Item 2. “Management’s Discussion and Analysis of Financial Condition and Results of Operations” and Note 5 “Goodwill and Intangible Assets” within the notes to our consolidated financial statements for further discussion of our business combinations, goodwill, intangible assets, and impairment tests performed in 2017.</w:t>
      </w:r>
    </w:p>
    <w:p>
      <w:pPr>
        <w:spacing w:after="0" w:line="12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71"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U.S. and global economies;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or global financial markets and the availability, costs, and terms of credit;</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factors and general business conditions.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not able to predict the positive or negative effects that future events or changes to the U.S. or global economy, financial markets, or regulatory and business environment could have on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U.S. tax laws could have a material adverse effect on our business, cash flow, results of operations and financial conditions.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President of the United States signed into law the Tax Cuts and Jobs Act (“2017 Tax Reform”), a tax reform bill which contains significant changes to corporate taxation, including a reduction in the current corporate federal income tax rate from 35% to 21%, additional limitations on the tax deductibility of interest, substantial changes to the taxation of foreign earnings, and modification or repeal of many business deductions and credits. The changes included in the 2017 Tax Reform are broad and complex. The final transition impact of the 2017 Tax Reform may differ materially from our current estimates due to, among other things, additional regulatory and interpretive guidance, as well as any statutory technical corrections that are subsequently enacted.</w:t>
      </w:r>
    </w:p>
    <w:p>
      <w:pPr>
        <w:spacing w:after="0" w:line="13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2017 Tax Reform, or any related, similar or amended legislation or other changes in U.S. federal income tax laws, could adversely affect the U.S. federal income taxation of our ongoing operations. Any such changes and related consequences could have a material adverse impact on our financial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fluctuations in our business successfully, we may not be able to sustain profitability.</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grown significantly since we commenced operations and have increased the number of our full-time professionals from 249 in 2002 to 3,083 as of December 31, 2017. Additionally, our considerable growth has placed demands on our management and our internal systems, procedures, and controls and will continue to do so in the near future. To successfully manage growth, we must periodically adjust and strengthen our operating, financial, accounting, and other systems, procedures, and controls, which could increase our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Although we have generated positive earnings since we became a public company, we may not sustain profitability in the future. Additionally, the nature of our services and the general economic environment make it difficult to predict our future operating results. To sustain profitability, we must:</w:t>
      </w:r>
    </w:p>
    <w:p>
      <w:pPr>
        <w:spacing w:after="0" w:line="93"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integrate, retain, and motivate highly qualified professionals;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and maintain adequate utilization and suitable billing rates for our revenue-generating professionals;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existing relationships with our clients and identify new clients in need of our services;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resell engagements and secure new engagements every year;</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and enhance our brand recognition;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adapt quickly to meet changes in our markets, our business mix, the economic environment, the credit markets, and competitive developments.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could suffer if we are unable to achieve or maintain adequate utilization and suitable billing rates for our consultants.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116"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size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the commencement, completion and termination of engagements, which in many cases is unpredictable;</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transition our consultants efficiently from completed engagements to new engagements;</w:t>
      </w:r>
    </w:p>
    <w:p>
      <w:pPr>
        <w:spacing w:after="0" w:line="171" w:lineRule="exact"/>
        <w:rPr>
          <w:rFonts w:ascii="Arial" w:cs="Arial" w:eastAsia="Arial" w:hAnsi="Arial"/>
          <w:sz w:val="18"/>
          <w:szCs w:val="18"/>
          <w:color w:val="auto"/>
        </w:rPr>
      </w:pPr>
    </w:p>
    <w:p>
      <w:pPr>
        <w:ind w:left="820" w:right="580" w:hanging="812"/>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hiring of additional consultants because there is generally a transition period for new consultants that results in a temporary drop in our utilization rate;</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the scope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thereby maintain an appropriate level of consultants;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affecting the industries in which we practice as well as general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71"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clients’ perception of our ability to add value through our services;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demand for the services we provide;</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number of engagements in the government sector, which are subject to federal contracting regulations;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services by us or our competitors;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competition and the pricing policies of our competitors;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economic conditions.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we are unable to achieve and maintain adequate overall utilization as well as maintain or increase the billing rates for our consultants, our financial results could materially suffer. In addition, our consultants oftentimes perform services at the physical locations of our clients. If there are natural disasters, disruptions to travel and transportation or problems with communications systems, our ability to perform services for, and interact with, our clients at their physical locations may be negatively impacted which could have an adverse effect on our business and results of operations.</w:t>
      </w:r>
    </w:p>
    <w:p>
      <w:pPr>
        <w:spacing w:after="0" w:line="11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1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key element of our strategy is to market our products and services directly to certain large organizations,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of our contracts provide that some portion or all of our fees are at risk if our services do not result in the achievement of certain performance targets. To the extent that any revenue is contingent upon the achievement of a performance target, we only recognize revenue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upon client confirmation that the performance targets have been achieved. If a client fails to provide such confirmation in a timely manner, our ability to recognize revenue will be delayed.</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Other fluctuations in our quarterly results of operations may be due to a number of other factors, some of which are not within our control, including:</w:t>
      </w:r>
    </w:p>
    <w:p>
      <w:pPr>
        <w:spacing w:after="0" w:line="183" w:lineRule="exact"/>
        <w:rPr>
          <w:sz w:val="20"/>
          <w:szCs w:val="20"/>
          <w:color w:val="auto"/>
        </w:rPr>
      </w:pPr>
    </w:p>
    <w:p>
      <w:pPr>
        <w:ind w:left="820" w:right="840" w:hanging="812"/>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volume of client invoices processed and payments received, which may affect the fees payable to us under certain of our engagements;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client decisions regarding renewal or termination of their contracts;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costs related to the development or acquisition of technologies or businesses;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other settlement gains or losses.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If our quarterly results of operations fall below the expectations of securities analysts or investors, the price of our common stock could decline substantially.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from our performance-based engagements are difficult to predict, and the timing and extent of recovery of our costs is uncertain.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engagement agreements under which our fees include a significant performance-based component. Performance-based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Because performance-based fees are contingent, revenues on such engagements, which are recognized when all revenue recognition criteria are met, are not certain and the timing of receipt is difficult to predict and may not occur evenly throughout the year. The percentage of our revenues derived from performance-based fees for the years ended December 31, 2017, 2016, and 2015, was 4.9%, 8.9%, and 8.7%,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profitability of our fixed-fee engagements with clients may not meet our expectations if we underestimate the cost of these engagements.</w:t>
      </w:r>
    </w:p>
    <w:p>
      <w:pPr>
        <w:spacing w:after="0" w:line="19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 For the years ended December 31, 2017, 2016, and 2015, fixed-fee engagements represented 46.7%, 47.4%, and 58.0% of our revenues, respectively.</w:t>
      </w:r>
    </w:p>
    <w:p>
      <w:pPr>
        <w:spacing w:after="0" w:line="11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depend on the use of sophisticated technologies and systems. Some of our practices provide services that are increasingly dependent on the use of software applications and systems that we do not own and could become unavailable. Moreover, our technology platforms will require continuing investments by us in order to expand existing service offerings and develop complementary services. Our future success depends on our ability to adapt our services and infrastructure while continuing to improve the performance, features, and reliability of our services in response to the evolving demands of the marketplace.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Adverse changes to our relationships with key third-party vendors, or in the business of our key third-party vendors, could unfavorably impact our business.</w:t>
      </w:r>
    </w:p>
    <w:p>
      <w:pPr>
        <w:spacing w:after="0" w:line="11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 portion of our services and solutions depend on technology or software provided by third-party vendors. Some of these third-party vendors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In addition, if a third-party vendor’s business changes or is reduced, that could adversely affect our business. Moreover, if third-party technology or software that is important to our business does not continue to be available or utilized within the marketplace, or if the services that we provide to clients is no longer relevant in the marketplace, our business may be unfavorably impacted.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organization is comprised of employees who work on matters throughout the United States and overseas.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1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rely on information technology systems to process, transmit, and store electronic information and to communicate among our locations around the world and with our clients, partners, and employees. The breadth and complexity of this infrastructure increases the potential risk of security breaches which could lead to potential unauthorized disclosure of confidential information.</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 Directive on Data Protection.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spacing w:after="0" w:line="11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These laws and regulations are increasing in complexity and number. If any person, including any of our employees, negligently disregards or intentionally breaches our established controls with respect to client or employee data, or otherwise mismanages or misappropriates that data, we could be subject to significant monetary damages, regulatory enforcement actions, fines, and/or criminal prosecution.</w:t>
      </w:r>
    </w:p>
    <w:p>
      <w:pPr>
        <w:spacing w:after="0" w:line="12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operate both domestically and internationally, including in Canada, Europe, Asia, and the Middle East. Although historically our international operations have been limited, we intend to continue to expand internationally. Such expansion may result in additional risks that are not present domestically and which could adversely affect our business or our results of operations, including:</w:t>
      </w:r>
    </w:p>
    <w:p>
      <w:pPr>
        <w:spacing w:after="0" w:line="127" w:lineRule="exact"/>
        <w:rPr>
          <w:sz w:val="20"/>
          <w:szCs w:val="20"/>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additional U.S. regulations and those of other nations applicable to international operations;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employment laws and rules and related social and cultural factors;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731"/>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related to start-up costs, lack of revenue, higher costs due to low utilization, and delays in purchase decisions by prospective clients;</w:t>
      </w:r>
    </w:p>
    <w:p>
      <w:pPr>
        <w:spacing w:after="0" w:line="182" w:lineRule="exact"/>
        <w:rPr>
          <w:rFonts w:ascii="Arial" w:cs="Arial" w:eastAsia="Arial" w:hAnsi="Arial"/>
          <w:sz w:val="17"/>
          <w:szCs w:val="17"/>
          <w:color w:val="auto"/>
        </w:rPr>
      </w:pPr>
    </w:p>
    <w:p>
      <w:pPr>
        <w:ind w:left="820" w:hanging="731"/>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currency fluctuations between the U.S. dollar and foreign currencies, which are harder to predict in the current adverse global economic climate;</w:t>
      </w:r>
    </w:p>
    <w:p>
      <w:pPr>
        <w:spacing w:after="0" w:line="194" w:lineRule="exact"/>
        <w:rPr>
          <w:rFonts w:ascii="Arial" w:cs="Arial" w:eastAsia="Arial" w:hAnsi="Arial"/>
          <w:sz w:val="16"/>
          <w:szCs w:val="16"/>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and limitations on our ability to utilize losses generated in our foreign operations;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regulatory requirements and other barriers to conducting business;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or less stable political and economic environments;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personal security risks for employees traveling to or located in unstable locations; and</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civil disturbances or other catastrophic events.</w:t>
      </w:r>
    </w:p>
    <w:p>
      <w:pPr>
        <w:spacing w:after="0" w:line="17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Further, conducting business abroad subjects us to increased regulatory compliance and oversight. For example, in connection with our international operations, we are subject to laws prohibiting certain payments to governmental officials, such as the Foreign Corrupt Practices Act. A failure to comply with applicable regulations could result in regulatory enforcement actions as well as substantial civil and criminal penalties assessed against us and our employees.</w:t>
      </w:r>
    </w:p>
    <w:p>
      <w:pPr>
        <w:spacing w:after="0" w:line="8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obligations under the Amended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2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31, 2015, we entered into a second amended and restated security agreement with Bank of America (the “Security Agreement”) and a second amended and restated pledge agreement (the “Pledge Agreement”) in connection with our entry into the Second Amended and Restated Credit Agreement, dated as of March 31, 2015 (as amended and restated, the “Amended Credit Agreement”).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100% of the voting stock or other equity interests in our domestic subsidiaries and 65% of the voting stock or other equity interests in certain of our foreign subsidiaries.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spacing w:after="0" w:line="1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At December 31, 2017, we had outstanding indebtedness of $250 million principal amount of our 1.25% convertible senior notes due October 1, 2019, $105.0 million on our revolving line of credit that becomes due and payable in full upon maturity on March 31, 2020, and $4.9 million principal amount of our promissory note due March 1, 2024. Our ability to make scheduled payments of the principal, to pay interest, to make payments upon conversion, or to refinance our indebtedness, depends on our future performance. Our business may not continue to generate cash flow from operations in the future sufficient to satisfy our obligations under our current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spacing w:after="0" w:line="11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116"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because some of our borrowings are at variable interest rates;</w:t>
      </w:r>
    </w:p>
    <w:p>
      <w:pPr>
        <w:spacing w:after="0" w:line="171" w:lineRule="exact"/>
        <w:rPr>
          <w:rFonts w:ascii="Arial" w:cs="Arial" w:eastAsia="Arial" w:hAnsi="Arial"/>
          <w:sz w:val="18"/>
          <w:szCs w:val="18"/>
          <w:color w:val="auto"/>
        </w:rPr>
      </w:pPr>
    </w:p>
    <w:p>
      <w:pPr>
        <w:ind w:left="820" w:right="160" w:hanging="812"/>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obtain additional financing and flexibility in planning for, or reacting to, changes in our business and our industry;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or have better access to capital resources; and</w:t>
      </w:r>
    </w:p>
    <w:p>
      <w:pPr>
        <w:spacing w:after="0" w:line="171" w:lineRule="exact"/>
        <w:rPr>
          <w:rFonts w:ascii="Arial" w:cs="Arial" w:eastAsia="Arial" w:hAnsi="Arial"/>
          <w:sz w:val="18"/>
          <w:szCs w:val="18"/>
          <w:color w:val="auto"/>
        </w:rPr>
      </w:pPr>
    </w:p>
    <w:p>
      <w:pPr>
        <w:ind w:left="820" w:right="100" w:hanging="812"/>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larger portion of our cash from operations to service our indebtedness and thus reduce the level of cash for other purposes such as funding working capital, strategic acquisitions, capital expenditures, and other general corporate purposes.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1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our convertible notes, could have a material effect on our reported financial results.</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GAAP, an entity must separately account for the debt component and the embedded conversion option of convertible debt instruments that may be settled entirely or partially in cash upon conversion, such as our convertible notes, in a manner that reflects a company’s economic interest cost. The effect of the accounting treatment for such instruments is that the value of such embedded conversion option would be treated as an original issue discount for purposes of accounting for the debt component of the notes and that original issue discount is amortized into interest expense over the term of the notes using an effective yield method. As a result, over the term of our convertible notes, we will initially be required to record a greater amount of non-cash interest expense. Accordingly, we will report lower net income in our financial results because of the recognition of both the current period’s amortization of the debt discount and our convertible notes’ coupon interest, which could adversely affect our reported or future financial results, the trading price of our common stock, and the trading price of our convertible notes.</w:t>
      </w:r>
    </w:p>
    <w:p>
      <w:pPr>
        <w:spacing w:after="0" w:line="1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certain circumstances, the shares of common stock underlying convertible debt instruments (such as our convertible notes) that may be settled entirely or partially in cash are reflected in earnings per share utilizing the treasury stock method, the effect of which is that such shares of common stock are not included in the calculation of diluted earnings per share except to the extent that the conversion value of the notes exceeds their principal amount at the end of the reporting period. Under the treasury stock method, for diluted earnings per share purposes, our convertible notes are accounted for as if the number of shares of common stock that would be necessary to settle such excess, if we elected to settle such excess in shares of common stock, are issued. The accounting standards in the future may not continue to permit the use of the treasury stock method. If we are unable to use the treasury stock method in accounting for the shares of common stock issuable upon conversion of our convertible notes, then our diluted earnings per share could be adversely affected.</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if the conditional conversion feature of our convertible notes is triggered, even if holders do not elect to convert their convertible notes, we could be required under applicable accounting rules to reclassify all of the outstanding principal of our convertible notes as a current, rather than long-term, liability, which would result in a material reduction of our net working capital.</w:t>
      </w:r>
    </w:p>
    <w:p>
      <w:pPr>
        <w:spacing w:after="0" w:line="123"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We may not have the ability to raise the funds necessary to pay the amount of cash due upon conversion of our convertible notes, if relevant, or the fundamental change repurchase price due when a holder submits its convertible notes for repurchase upon the occurrence of a fundamental change, and our debt may contain limitations on our ability to pay cash upon conversion or required repurchase of our convertible notes.</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occurrence of a fundamental change as defined in the indenture governing our convertible notes, holders of our convertible notes may require us to repurchase, for cash, all or a portion of their convertible notes at a repurchase price equal to 100% of their principal amount, plus accrued and unpaid interest, if any. In addition, upon conversion of our convertible notes, we will be required to make cash payments in respect of our convertible notes being converted, including if the conditional conversion feature of our convertible notes is triggered, unless we elect to deliver solely shares of our common stock to settle such conversion.</w:t>
      </w:r>
    </w:p>
    <w:p>
      <w:pPr>
        <w:spacing w:after="0" w:line="13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may not have sufficient financial resources, or may be unable to arrange financing, to pay the fundamental change repurchase price if holders of our convertible notes submit their convertible notes for purchase by us upon the occurrence of a fundamental change or to pay the amount of cash (if any) due if holders of our convertible notes surrender their convertible notes for conversion. In addition, the occurrence of a fundamental change may cause an event of default under agreements governing our or our subsidiaries’ indebtedness. Agreements governing any of our future debt may restrict our ability to make each of the required cash payments even if we have sufficient funds to make them. Furthermore, our ability to purchase our convertible notes or to pay cash (if any) due upon the conversion of our convertible notes may be limited by law or regulatory authorities. In addition, if we fail to repurchase our convertible notes or to pay the amount of cash (if any) due upon conversion of our convertible notes, we will be in default under the indenture. A default under the indenture or the fundamental change itself could also lead to a default under agreements governing our other indebtedness, which in turn may result in the acceleration of such other indebtedness we may then have outstanding. If the repayment of the other indebtedness were to be accelerated, we may not have sufficient funds to repay that indebtedness and to repurchase our convertible notes or to pay the amount of cash (if any) due upon conversion.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fundamental change provisions associated with our convertible notes may delay or prevent an otherwise beneficial takeover attempt of us.</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fundamental change purchase rights, which will allow holders of our convertible notes to require us to repurchase all or a portion of their convertible notes upon the occurrence of a fundamental change, and the provisions requiring an increase to the conversion rate for conversions in connection with certain other circumstances may delay or prevent a takeover of us that might otherwise be beneficial to investors.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convertible note hedge transactions and the warrant transactions may affect the value of our convertible notes and our common stock.</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pricing of our convertible notes, we entered into privately negotiated convertible note hedge transactions with affiliates of Merrill Lynch, Pierce, Fenner &amp; Smith Incorporated and J.P. Morgan Securities as hedge counterparties. The convertible note hedge transactions collectively cover, subject to customary anti-dilution adjustments, the number of shares of common stock that initially underlie our convertible notes. We also entered into separate privately negotiated warrant transactions with the hedge counterparties relating to the same number of shares of our common stock, subject to customary anti-dilution adjustments.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expect that the hedge counterparties and/or their affiliates may modify their hedge positions with respect to the convertible note hedge transactions and the warrant transactions from time to time by purchasing and/or selling shares of our common stock and/or our convertible notes in privately negotiated transactions and/or open market transactions or by entering into and/or unwinding various over-the-counter derivative transactions with respect to our common stock. This activity could also cause or prevent an increase or decrease in the market value of our common stock.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3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hedge counterparties are financial institutions which will be subject to the risk that one or both of the hedge counterparties might default under their respective convertible note hedge transactions. Upon a default by any hedge counterparty, we may suffer adverse tax consequences and more dilution than we currently anticipate with respect to our common stock. We can provide no assurances as to the financial stability or viability of the hedge counterparties.</w:t>
      </w:r>
    </w:p>
    <w:p>
      <w:pPr>
        <w:spacing w:after="0" w:line="8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such guidance during the year, the market value of our common stock could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may choose to develop new service offerings, open new offices, or eliminate service offerings because of market opportunities or client demands.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Developing new service offerings involves inherent risks, including:</w:t>
      </w:r>
    </w:p>
    <w:p>
      <w:pPr>
        <w:spacing w:after="0" w:line="157" w:lineRule="exact"/>
        <w:rPr>
          <w:sz w:val="20"/>
          <w:szCs w:val="20"/>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estimate demand for the new service offerings;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more established market participants;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lack of market understanding;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expenses to recruit and hire qualified consultants and to market our new service offerings.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service offerings or new locations effectively, we are unlikely to be successful in these efforts, which could harm our ability to sustain profitability and our business prospects.</w:t>
      </w:r>
    </w:p>
    <w:p>
      <w:pPr>
        <w:spacing w:after="0" w:line="11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healthcare industry is an area of significant focus for our business, and factors that adversely affect the financial condition of the healthcare industry could consequently affect our business.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derive a significant portion of our revenue from clients in the healthcare industry. As a result, our financial condition and results of operations could be adversely affected by conditions affecting the healthcare industry generally and hospitals and health systems particularly. The healthcare industry is highly regulated and is subject to changing political, legislative, regulatory, and other influences. Uncertainty in any of these areas could cause our clients to delay or postpone decisions to use our services. Existing and new federal and state laws and regulations affecting the healthcare industry could create unexpected liabilities for us, could cause us or our clients to incur additional costs, and could restrict our or our clients’ operations.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and continue to consider further significant reforms. Due to the significant implementation issues arising under these laws and potential new legislation, it is unclear what long-term effects they will have on the healthcare industry and in turn on our business, financial condition, and results of operations. Our failure to accurately anticipate the application of new laws and regulations, or our failure to comply with such laws and regulations, could create liability for us, result in adverse publicity and negatively affect our business.</w:t>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are many factors that could affect the purchasing practices, operations, and, ultimately, the operating funds of healthcare organizations, such as reimbursement policies for healthcare expenses, federal and state budgetary considerations, consolidation in the healthcare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the healthcare industry, such as changes in the way that healthcare organizations are paid for their services (e.g., based on patient outcomes instead of services provided). Furthermore, as a result of the 2016 election and the new presidential administration, there is an increased uncertainty surrounding the future of the Affordable Care Act and the regulation of the healthcare industry, and therefore healthcare organizations may wait to buy services such as ours until the regulatory environment is more certain.</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12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ability to maintain and attract new business and talented personnel depends upon our reputation, the professional reputation of our revenue-generating employees, and the quality of our services.</w:t>
      </w:r>
    </w:p>
    <w:p>
      <w:pPr>
        <w:spacing w:after="0" w:line="11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a professional services firm, our ability to secure new engagements and retain and attract talented personnel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clients, and employees.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00"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 and may result in unexpected declines in our utilization and revenues.</w:t>
      </w:r>
    </w:p>
    <w:p>
      <w:pPr>
        <w:spacing w:after="0" w:line="12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a consulting firm, we have derived, and expect to continue to derive, a significant portion of our revenues from a limited number of clients. Our 10 largest clients accounted for approximately 19.5%, 28.8%, and 29.9% of our revenues for the years ended December 31, 2017, 2016, and 2015, respectively. No single client accounted for more than 10% of our revenues in 2017, 2016, or 2015. Our clients typically retain us on an engagement-by-engagement basis, rather than under fixed-term contracts. The volume of work performed for any particular client is likely to vary from year to year, and a major client in one fiscal period may not require or may decide not to use our services in any subsequent fiscal period. Moreover, a large portion of our new engagements comes from existing clients. Accordingly, the failure to obtain new large engagements or multiple engagements from existing or new clients could have a material adverse effect on the amount of revenues we generate.</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almost all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retain our interim management consultants, terminate our retention, require us to reduce our fees for the duration of an engagement, or elect not to approve claims against fees earned by us prior to or after the bankruptcy filing.</w:t>
      </w:r>
    </w:p>
    <w:p>
      <w:pPr>
        <w:spacing w:after="0" w:line="1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regional and specialty consulting firms, and the internal professional resources of organizations. In addition, because there are relatively low barriers to entry, we expect to continue to face additional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as well as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10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31, 2017, our principal executive offices in Chicago, Illinois, consisted of approximately 134,000 square feet of office space, under a lease expiring September 2024. We have one five-year renewal option that will allow us to continue to occupy this office space until September 2029. This facility accommodates our executive team and corporate departments, as well as professionals in our practices.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Additionally, we occupy leased facilities for our other domestic and international offices, including those located in the following cities: Boston, Massachusetts; Buffalo, New York; Dallas, Texas; Denver, Colorado; Houston, Texas; Madison, Wisconsin; New York City, New York; Pensacola, Florida; Portland, Oregon; San Francisco, California; Washington, D.C.; Bangalore, India; Dubai, United Arab Emirates; London, United Kingdom; Luasanne, Switzerland; Riyadh, Saudi Arabia; Singapore; St. Ives, United Kingdom; and Toronto, Canada. We do not own any real property. We believe that our leased facilities are adequate to meet our current needs and that additional facilities are available for lease to meet future needs.</w:t>
      </w:r>
    </w:p>
    <w:p>
      <w:pPr>
        <w:spacing w:after="0" w:line="11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080" w:right="18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“HURN.” The following table sets forth, on a per share basis and for the periods indicated, the high and low sale prices for our common stock as reported by The NASDAQ Stock Market.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r>
      <w:tr>
        <w:trPr>
          <w:trHeight w:val="27"/>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46.00</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57.23</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40.50</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32.40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of February 21, 2018, there were 486 registered holders of record of Huron’s common stock. A number of Huron’s stockholders hold their shares in street name; therefore, the Company believes that there are substantially more beneficial owners of its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this item appears under Item 12. "Security Ownership of Certain Beneficial Owners and Management and Related Stockholders Matters”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December 31, 2017, we reacquired 9,832 shares of common stock with a weighted average fair market value of $40.28 as a result of such tax withholdings.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2014, our board of directors authorized a share repurchase program pursuant to which we may, from time to time, repurchase up to $125 million of our common stock and which expires on October 31, 2018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fourth quarter of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Purchased as Part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 Price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under the Plans or</w:t>
            </w:r>
          </w:p>
        </w:tc>
      </w:tr>
      <w:tr>
        <w:trPr>
          <w:trHeight w:val="26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1"/>
                <w:szCs w:val="21"/>
                <w:b w:val="1"/>
                <w:bCs w:val="1"/>
                <w:color w:val="auto"/>
                <w:w w:val="84"/>
                <w:vertAlign w:val="superscript"/>
              </w:rPr>
              <w:t>(1)</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Paid Per Share</w:t>
            </w: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1"/>
                <w:szCs w:val="21"/>
                <w:b w:val="1"/>
                <w:bCs w:val="1"/>
                <w:color w:val="auto"/>
                <w:w w:val="86"/>
                <w:vertAlign w:val="superscript"/>
              </w:rPr>
              <w:t>(2)</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2017 – October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 2017 – November 30, 2017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2017 –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40.28</w:t>
            </w:r>
          </w:p>
        </w:tc>
        <w:tc>
          <w:tcPr>
            <w:tcW w:w="120" w:type="dxa"/>
            <w:vAlign w:val="bottom"/>
          </w:tcPr>
          <w:p>
            <w:pPr>
              <w:spacing w:after="0"/>
              <w:rPr>
                <w:sz w:val="22"/>
                <w:szCs w:val="22"/>
                <w:color w:val="auto"/>
              </w:rPr>
            </w:pPr>
          </w:p>
        </w:tc>
        <w:tc>
          <w:tcPr>
            <w:tcW w:w="2260" w:type="dxa"/>
            <w:vAlign w:val="bottom"/>
            <w:tcBorders>
              <w:top w:val="single" w:sz="8" w:color="auto"/>
              <w:bottom w:val="single" w:sz="8" w:color="auto"/>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364" w:lineRule="exact"/>
        <w:rPr>
          <w:sz w:val="20"/>
          <w:szCs w:val="20"/>
          <w:color w:val="auto"/>
        </w:rPr>
      </w:pPr>
    </w:p>
    <w:p>
      <w:pPr>
        <w:ind w:left="820" w:right="80" w:hanging="812"/>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0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have derived the following selected consolidated financial data as of and for the years ended December 31, 2013 through 2017 from our consolidated financial statements. The following data reflects the business acquisitions that we have completed through December 31, 2017. The results of operations for acquired businesses have been included in our results of operations since the date of their acquisitions. See Note 4 "Acquisitions" within the notes to our consolidated financial statements for additional information regarding our acquisitions. The following data also reflects the classification of discontinued operations. See Note 3 "Discontinued Operations" within the notes to our consolidated financial statements for additional information regarding our discontinued operations. The information set forth below is not necessarily indicative of the results of future operations and should be read in conjunction with Item 7. "Management’s Discussion and Analysis of Financial Condition and Results of Operations” and the Consolidated Financial Statements and related notes included elsewhere in this Annual Report on Form 10-K.</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538,128</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75,175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71,712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70,013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73,847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64,623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807,745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701,533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602,751</w:t>
            </w:r>
          </w:p>
        </w:tc>
        <w:tc>
          <w:tcPr>
            <w:tcW w:w="0" w:type="dxa"/>
            <w:vAlign w:val="bottom"/>
          </w:tcPr>
          <w:p>
            <w:pPr>
              <w:spacing w:after="0"/>
              <w:rPr>
                <w:sz w:val="1"/>
                <w:szCs w:val="1"/>
                <w:color w:val="auto"/>
              </w:rPr>
            </w:pPr>
          </w:p>
        </w:tc>
      </w:tr>
      <w:tr>
        <w:trPr>
          <w:trHeight w:val="229"/>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w w:val="91"/>
              </w:rPr>
              <w:t xml:space="preserve">Direct costs and reimbursable expenses </w:t>
            </w:r>
            <w:r>
              <w:rPr>
                <w:rFonts w:ascii="Arial" w:cs="Arial" w:eastAsia="Arial" w:hAnsi="Arial"/>
                <w:sz w:val="18"/>
                <w:szCs w:val="18"/>
                <w:color w:val="auto"/>
                <w:w w:val="91"/>
              </w:rPr>
              <w:t>(exclusive of depreciation and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18"/>
                <w:szCs w:val="18"/>
                <w:color w:val="auto"/>
              </w:rPr>
              <w:t xml:space="preserve">amortization shown in operating expenses)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costs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454,806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323,398</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16,788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64,665</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541,174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524,445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488,635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462,722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390,723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and other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175,364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160,204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157,902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132,799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116,976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Litigation and other (gains) losses, net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38,213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253,093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 and other losses (gains), net</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474,027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122,129</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74,234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103,498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89,899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83,777</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19,677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32,200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51,577</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14,856</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79,051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66,433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44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 thousands, except per share data):</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Net earnings (loss) per basic share: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Net earnings (loss) per diluted share: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5280" w:type="dxa"/>
            <w:vAlign w:val="bottom"/>
            <w:gridSpan w:val="2"/>
          </w:tcPr>
          <w:p>
            <w:pPr>
              <w:ind w:left="40"/>
              <w:spacing w:after="0"/>
              <w:rPr>
                <w:sz w:val="20"/>
                <w:szCs w:val="20"/>
                <w:color w:val="auto"/>
              </w:rPr>
            </w:pPr>
            <w:r>
              <w:rPr>
                <w:rFonts w:ascii="Arial" w:cs="Arial" w:eastAsia="Arial" w:hAnsi="Arial"/>
                <w:sz w:val="18"/>
                <w:szCs w:val="18"/>
                <w:color w:val="auto"/>
                <w:w w:val="96"/>
              </w:rPr>
              <w:t>Weighted average shares used in calculating net earnings (loss) per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share: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22,322</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21,439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22,925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22,777</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88"/>
              </w:rPr>
              <w:t>As of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51,828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44,314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96,966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307,978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98,394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1,036,928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1,153,215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1,159,543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1,148,475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883,223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342,507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292,065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307,376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320,413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141,421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21"/>
                <w:szCs w:val="21"/>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503,316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648,033</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652,325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600,634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530,264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820" w:right="100" w:hanging="812"/>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Intangible asset amortization relating to customer contracts, certain client relationships, and software and amortization of software development costs are presented as a component of total direct costs. Depreciation and intangible assets amortization not classified as direct costs are presented as a component of operating expenses.</w:t>
      </w:r>
    </w:p>
    <w:p>
      <w:pPr>
        <w:spacing w:after="0" w:line="127" w:lineRule="exact"/>
        <w:rPr>
          <w:rFonts w:ascii="Arial" w:cs="Arial" w:eastAsia="Arial" w:hAnsi="Arial"/>
          <w:sz w:val="18"/>
          <w:szCs w:val="18"/>
          <w:color w:val="auto"/>
        </w:rPr>
      </w:pPr>
    </w:p>
    <w:p>
      <w:pPr>
        <w:ind w:left="820" w:right="520" w:hanging="81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not declared or paid dividends on our common stock in the periods presented above. See Item 5. "Market for Registrant's Common Equity, Related Stockholder Matters and Issuer Purchases of Equity Securities—Dividends."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should be read in conjunction with the information under Part II—Item 6. "Selected Financial Data," and our Consolidated Financial Statements and related notes appearing under Part II—Item 8. "Financial Statements and Supplementary Data." The following MD&amp;A contains forward-looking statements and involves numerous risks and uncertainties, including, without limitation, those described under Part I—Item 1A. "Risk Factors" and "Forward-Looking Statements" of this Annual Report on Form 10-K. Actual results may differ materially from those contained in any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a global professional services firm committed to achieving sustainable results in partnership with its clients. We bring a depth of expertise in strategy, technology, operations, advisory services, and analytics to drive lasting and measurable results in the healthcare, higher education, life sciences and commercial sectors.</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provide our services and manage our business under three operating segments: Healthcare, Education, and Business Advisory. See Part I—Item 1. "Business—Overview—Our Services” and Note 18 “Segment Information” within the notes to our consolidated financial statements for a discussion of our three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w:t>
      </w:r>
    </w:p>
    <w:p>
      <w:pPr>
        <w:spacing w:after="0" w:line="11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Fixed-fee engagements represented 46.7%, 47.4%, and 58.0% of our revenues for the years ended December 31, 2017, 2016, and 2015, respectively.</w:t>
      </w:r>
    </w:p>
    <w:p>
      <w:pPr>
        <w:spacing w:after="0" w:line="18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 related services or publications are provided. Time-and-expense engagements represented 43.0%, 38.7%, and 28.7% of our revenues in 2017, 2016, and 2015, respectively.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4.9%, 8.9%, and 8.7% of our revenues in 2017, 2016, and 2015, respectively.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1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We also generate subscription revenue from our cloud-based analytic tools and solutions. Software support and maintenance and subscription revenues are recognized ratably over the support or subscription period, which ranges from one to three years. These fees are billed in advance and included in deferred revenues until recognized. Software support and maintenance and subscription-based revenues represented 5.4%, 5.0%, and 4.6% of our revenues in 2017, 2016, and 2015, respectively.</w:t>
      </w:r>
    </w:p>
    <w:p>
      <w:pPr>
        <w:spacing w:after="0" w:line="10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Refer to Note 2 “Summary of Significant Policies” for anticipated changes to our revenue recognition accounting policy upon adoption of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effective January 1, 2018.</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and typically an equivalent amount of these expenses are included in total direct costs and reimbursable expenses. Reimbursable expenses also include subcontractors who are billed to our clients at cost. When billings do not specifically identify reimbursable expenses, we allocate the portion of the billings equivalent to these expenses to reimbursable expenses. We manage our business on the basis of revenues before reimbursable expenses, which we believe is the most accurate reflection of our services because it eliminates the effect of reimbursable expenses that we bill to our clients at cost.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most significant expenses are costs classified as total direct costs. These total direct costs primarily include salaries, performance bonuses, signing and retention bonuses, payroll taxes, and benefits for revenue-generating professionals, as well as commissions, technology costs, product and event costs, and fees paid to independent contractors that we retain to supplement our revenue-generating professionals, typically on an as-needed basis for specific client engagements. Direct costs also include share-based compensation, which represents the cost of restricted stock and performance-based share awards granted to our revenue-generating professionals. Compensation expense for restricted stock awards and performance-based share awards is recognized ratably using either the straight-line attribution method or the graded vesting attribution method, as appropriate, over the requisite service period, which is generally three to four years. Total direct costs also include amortization of intangible assets, primarily relating to customer contracts, certain customer relationships, and technology and software acquired in business combinations, and internally developed software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expenses include selling, general and administrative expenses, which consist primarily of salaries, performance bonuses, payroll taxes, benefits, and share-based compensation for our support personnel. Also included in operating expenses are sales and marketing related expenses, rent and other office related expenses, professional fees, recruiting and training expenses, restructuring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charges, and litigation and other gains and losses. Other operating expenses include depreciation and certain amortization expenses not included in total direct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relating to accounting and finance, human resources, legal, marketing, information technology, and company-wide business development functions, as well as costs related to overall corporate management.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pacing w:after="0" w:line="9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During the second quarter of 2017, we reorganized our internal financial reporting structure by moving our Life Sciences practice from the Education and Life Sciences segment to the Business Advisory segment. The remaining Education and Life Sciences segment is now referred to as the Education segment. While our consolidated results have not been impacted, we have reclassified our historical segment information for consistent presentation.</w:t>
      </w:r>
    </w:p>
    <w:p>
      <w:pPr>
        <w:spacing w:after="0" w:line="93"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During 2015, we wound down the businesses within our All Other operating segment, which consisted of our public sector consulting practice and our foreign consulting operations based in the Middle East. We did not generate any revenues from our All Other segment during 2016 and 2017.</w:t>
      </w:r>
    </w:p>
    <w:p>
      <w:pPr>
        <w:spacing w:after="0" w:line="66"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34290</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and Consolidated Operating Results (in thousands):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356,909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424,912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446,887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118,761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169,560</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167,908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149,817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134,009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38,310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32,246</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207,753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151,543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116,892</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31,233</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 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300" w:type="dxa"/>
            <w:vAlign w:val="bottom"/>
          </w:tcPr>
          <w:p>
            <w:pPr>
              <w:spacing w:after="0"/>
              <w:rPr>
                <w:sz w:val="21"/>
                <w:szCs w:val="21"/>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732,570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726,272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699,010</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75,175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70,013</w:t>
            </w:r>
          </w:p>
        </w:tc>
        <w:tc>
          <w:tcPr>
            <w:tcW w:w="0" w:type="dxa"/>
            <w:vAlign w:val="bottom"/>
          </w:tcPr>
          <w:p>
            <w:pPr>
              <w:spacing w:after="0"/>
              <w:rPr>
                <w:sz w:val="1"/>
                <w:szCs w:val="1"/>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807,745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797,984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769,023</w:t>
            </w:r>
          </w:p>
        </w:tc>
        <w:tc>
          <w:tcPr>
            <w:tcW w:w="0" w:type="dxa"/>
            <w:vAlign w:val="bottom"/>
          </w:tcPr>
          <w:p>
            <w:pPr>
              <w:spacing w:after="0"/>
              <w:rPr>
                <w:sz w:val="1"/>
                <w:szCs w:val="1"/>
                <w:color w:val="auto"/>
              </w:rPr>
            </w:pPr>
          </w:p>
        </w:tc>
      </w:tr>
      <w:tr>
        <w:trPr>
          <w:trHeight w:val="67"/>
        </w:trPr>
        <w:tc>
          <w:tcPr>
            <w:tcW w:w="7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205,679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215,595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231,321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120,718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111,852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112,164</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43"/>
        </w:trPr>
        <w:tc>
          <w:tcPr>
            <w:tcW w:w="7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38,213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31,499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253,093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8"/>
                <w:szCs w:val="18"/>
                <w:color w:val="auto"/>
              </w:rPr>
              <w:t>Total operating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(207,456)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74,234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103,498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19,933</w:t>
            </w:r>
          </w:p>
        </w:tc>
        <w:tc>
          <w:tcPr>
            <w:tcW w:w="0" w:type="dxa"/>
            <w:vAlign w:val="bottom"/>
          </w:tcPr>
          <w:p>
            <w:pPr>
              <w:spacing w:after="0"/>
              <w:rPr>
                <w:sz w:val="1"/>
                <w:szCs w:val="1"/>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(222,504)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59,157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83,565</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(51,999)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21,670</w:t>
            </w:r>
          </w:p>
        </w:tc>
        <w:tc>
          <w:tcPr>
            <w:tcW w:w="0" w:type="dxa"/>
            <w:vAlign w:val="bottom"/>
          </w:tcPr>
          <w:p>
            <w:pPr>
              <w:spacing w:after="0"/>
              <w:rPr>
                <w:sz w:val="1"/>
                <w:szCs w:val="1"/>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(170,505)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39,480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61,895</w:t>
            </w:r>
          </w:p>
        </w:tc>
        <w:tc>
          <w:tcPr>
            <w:tcW w:w="0" w:type="dxa"/>
            <w:vAlign w:val="bottom"/>
          </w:tcPr>
          <w:p>
            <w:pPr>
              <w:spacing w:after="0"/>
              <w:rPr>
                <w:sz w:val="1"/>
                <w:szCs w:val="1"/>
                <w:color w:val="auto"/>
              </w:rPr>
            </w:pPr>
          </w:p>
        </w:tc>
      </w:tr>
      <w:tr>
        <w:trPr>
          <w:trHeight w:val="67"/>
        </w:trPr>
        <w:tc>
          <w:tcPr>
            <w:tcW w:w="7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share from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7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Operating Data (excluding All Other):</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7"/>
        </w:trPr>
        <w:tc>
          <w:tcPr>
            <w:tcW w:w="72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(4)</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1"/>
                <w:szCs w:val="21"/>
                <w:color w:val="auto"/>
                <w:vertAlign w:val="superscript"/>
              </w:rPr>
              <w:t>(5)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(6)</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72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40" w:right="60" w:hanging="532"/>
        <w:spacing w:after="0" w:line="275"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0" w:lineRule="exact"/>
        <w:rPr>
          <w:rFonts w:ascii="Arial" w:cs="Arial" w:eastAsia="Arial" w:hAnsi="Arial"/>
          <w:sz w:val="16"/>
          <w:szCs w:val="16"/>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our full-time professionals who provide consulting services and generate revenues based on the number of hours worked.</w:t>
      </w:r>
    </w:p>
    <w:p>
      <w:pPr>
        <w:spacing w:after="0" w:line="59" w:lineRule="exact"/>
        <w:rPr>
          <w:rFonts w:ascii="Arial" w:cs="Arial" w:eastAsia="Arial" w:hAnsi="Arial"/>
          <w:sz w:val="16"/>
          <w:szCs w:val="16"/>
          <w:color w:val="auto"/>
        </w:rPr>
      </w:pPr>
    </w:p>
    <w:p>
      <w:pPr>
        <w:ind w:left="540" w:right="20" w:hanging="532"/>
        <w:spacing w:after="0" w:line="26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20" w:lineRule="exact"/>
        <w:rPr>
          <w:rFonts w:ascii="Arial" w:cs="Arial" w:eastAsia="Arial" w:hAnsi="Arial"/>
          <w:sz w:val="16"/>
          <w:szCs w:val="16"/>
          <w:color w:val="auto"/>
        </w:rPr>
      </w:pPr>
    </w:p>
    <w:p>
      <w:pPr>
        <w:ind w:left="540" w:right="60" w:hanging="532"/>
        <w:spacing w:after="0" w:line="275"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Average billing rate per hour for our full-time billable consultants is calculated by dividing revenues for a period by the number of hours worked on client assignments during the same period.</w:t>
      </w:r>
    </w:p>
    <w:p>
      <w:pPr>
        <w:spacing w:after="0" w:line="10" w:lineRule="exact"/>
        <w:rPr>
          <w:rFonts w:ascii="Arial" w:cs="Arial" w:eastAsia="Arial" w:hAnsi="Arial"/>
          <w:sz w:val="16"/>
          <w:szCs w:val="16"/>
          <w:color w:val="auto"/>
        </w:rPr>
      </w:pPr>
    </w:p>
    <w:p>
      <w:pPr>
        <w:ind w:left="540" w:right="280" w:hanging="532"/>
        <w:spacing w:after="0" w:line="256"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Business Advisory segment includes our India Enterprise Solutions and Analytics practice, formerly known as Rittman Mead Consulting Private Limited, a business that we acquired in July 2015. The average billing rate per hour for this practice is lower than our overall average billing rate per hour for the Business Advisory segment. Absent the impact of our India Enterprise Solutions and Analytics practice, the average billing rate per hour for Business Advisory for the years ended December 31, 2017, 2016, and 2015 would have been $233, $235, and $267, respectively.</w:t>
      </w:r>
    </w:p>
    <w:p>
      <w:pPr>
        <w:spacing w:after="0" w:line="25" w:lineRule="exact"/>
        <w:rPr>
          <w:rFonts w:ascii="Arial" w:cs="Arial" w:eastAsia="Arial" w:hAnsi="Arial"/>
          <w:sz w:val="16"/>
          <w:szCs w:val="16"/>
          <w:color w:val="auto"/>
        </w:rPr>
      </w:pPr>
    </w:p>
    <w:p>
      <w:pPr>
        <w:ind w:left="540" w:right="580" w:hanging="532"/>
        <w:spacing w:after="0" w:line="275"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N/M - Not meaningful</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N/A - Not applicable</w:t>
      </w:r>
    </w:p>
    <w:p>
      <w:pPr>
        <w:sectPr>
          <w:pgSz w:w="11900" w:h="16838" w:orient="portrait"/>
          <w:cols w:equalWidth="0" w:num="1">
            <w:col w:w="11420"/>
          </w:cols>
          <w:pgMar w:left="240" w:top="125" w:right="239" w:bottom="813"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5" w:right="239" w:bottom="813"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(loss)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4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1"/>
              </w:rPr>
              <w:t>Year Ended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732,570</w:t>
            </w:r>
          </w:p>
        </w:tc>
        <w:tc>
          <w:tcPr>
            <w:tcW w:w="5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726,272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699,010</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(170,505)</w:t>
            </w:r>
          </w:p>
        </w:tc>
        <w:tc>
          <w:tcPr>
            <w:tcW w:w="5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39,480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61,895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19,677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21,670</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18,136</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49,145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46,639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41,923</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Earnings (loss) before interest, taxes, depreciation and amortization (EBITDA)</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122,070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143,624</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Litigation and other losses (gains), net</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253,093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Other non-operating expense (income)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104,574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129,661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139,117</w:t>
            </w:r>
          </w:p>
        </w:tc>
        <w:tc>
          <w:tcPr>
            <w:tcW w:w="0" w:type="dxa"/>
            <w:vAlign w:val="bottom"/>
          </w:tcPr>
          <w:p>
            <w:pPr>
              <w:spacing w:after="0"/>
              <w:rPr>
                <w:sz w:val="1"/>
                <w:szCs w:val="1"/>
                <w:color w:val="auto"/>
              </w:rPr>
            </w:pPr>
          </w:p>
        </w:tc>
      </w:tr>
      <w:tr>
        <w:trPr>
          <w:trHeight w:val="67"/>
        </w:trPr>
        <w:tc>
          <w:tcPr>
            <w:tcW w:w="6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Adjusted EBITDA as a percentage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26</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 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28,696</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losses (gains),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Goodwill impairment charges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253,093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interest on convertible notes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 non-operating income,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Tax expense related to the enactment of Tax Cuts and Jobs Act of 2017</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related to "check-the-box" election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adjustments, net of tax</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217,109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29,256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67,551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Adjusted weighted average shares - 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21,627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diluted earnings per share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Litigation and other losses (gains), net: </w:t>
      </w:r>
      <w:r>
        <w:rPr>
          <w:rFonts w:ascii="Arial" w:cs="Arial" w:eastAsia="Arial" w:hAnsi="Arial"/>
          <w:sz w:val="18"/>
          <w:szCs w:val="18"/>
          <w:color w:val="auto"/>
        </w:rPr>
        <w:t>We have excluded the effects of remeasurement losses and gains related to contingent acquisition liabilities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gain recorded in 2015 to permit comparability with periods that were not impacted by these items.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that occurred in 2017 as these are infrequent events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exclusion permits comparability with periods that were not impacted by such charges.</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i w:val="1"/>
          <w:iCs w:val="1"/>
          <w:color w:val="auto"/>
        </w:rPr>
        <w:t xml:space="preserve">Other non-operating income, net: </w:t>
      </w:r>
      <w:r>
        <w:rPr>
          <w:rFonts w:ascii="Arial" w:cs="Arial" w:eastAsia="Arial" w:hAnsi="Arial"/>
          <w:sz w:val="17"/>
          <w:szCs w:val="17"/>
          <w:color w:val="auto"/>
        </w:rPr>
        <w:t>We have excluded the effect of other non-operating income and expense items as they are infrequent, management believes</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these items are not indicative of the ongoing performance of our business, and their exclusion permits comparability with periods that were not impacted by such items. The other non-operating income, net for 2017 is primarily attributable to a $0.9 million gain on the sale of Life Sciences C&amp;O, partially offset by a $0.3 million remeasurement loss recorded on a promissory note that was amended in the fourth quarter of 2017.</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Foreign currency transaction losses (gains), net: </w:t>
      </w:r>
      <w:r>
        <w:rPr>
          <w:rFonts w:ascii="Arial" w:cs="Arial" w:eastAsia="Arial" w:hAnsi="Arial"/>
          <w:sz w:val="17"/>
          <w:szCs w:val="17"/>
          <w:color w:val="auto"/>
        </w:rPr>
        <w:t>We have excluded the effect of foreign currency transaction losses and gains from the calculation of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because the amount of each loss or gain is significantly affected by timing and changes in foreign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impact applicable to the non-GAAP adjustments.</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Tax expense related to the enactment of Tax Cuts and Jobs Act of 2017 ("2017 Tax Reform"): </w:t>
      </w:r>
      <w:r>
        <w:rPr>
          <w:rFonts w:ascii="Arial" w:cs="Arial" w:eastAsia="Arial" w:hAnsi="Arial"/>
          <w:sz w:val="18"/>
          <w:szCs w:val="18"/>
          <w:color w:val="auto"/>
        </w:rPr>
        <w:t>We have excluded the impact of the 2017 Tax Reform,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enacted in the fourth quarter of 2017, and is primarily due to the remeasurement of net deferred tax balances at the lower federal income tax rate, additional one-time income tax expense related to the transition tax on accumulated foreign earnings, and</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withholding tax on outside basis differences due to our change in assertion for permanent reinvestment. The exclusion of the 2017 Tax Reform permits comparability with prior periods. Refer to Note 16 "Income Taxes" within the notes to the consolidated financial statements for additional information on the impact of the 2017 Tax Reform.</w:t>
      </w:r>
    </w:p>
    <w:p>
      <w:pPr>
        <w:spacing w:after="0" w:line="1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Tax benefit related to "check-the-box" election: </w:t>
      </w:r>
      <w:r>
        <w:rPr>
          <w:rFonts w:ascii="Arial" w:cs="Arial" w:eastAsia="Arial" w:hAnsi="Arial"/>
          <w:sz w:val="18"/>
          <w:szCs w:val="18"/>
          <w:color w:val="auto"/>
        </w:rPr>
        <w:t>We have excluded the effects of our "check-the-box" elections to treat certain wholly-owned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as disregarded entities for U.S. federal income tax purposes. In 2017, we recognized a previously unrecognized tax benefit from our "check-the-box" election made in 2014 due to the expiration of statute of limitations. In 2015, we made a "check-the-box" election to treat two of our wholly-owned foreign subsidiaries as disregarded entities for U.S. federal income tax purposes. The exclusion of these discrete tax benefits permits comparability with periods that were not impacted by these items. Refer to Note 16 “Income Taxes” within the notes to the consolidated financial statements for additional information on our "check-the-box" elections.</w:t>
      </w:r>
    </w:p>
    <w:p>
      <w:pPr>
        <w:spacing w:after="0" w:line="13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year ended December 31, 2017, GAAP diluted weighted average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equals the basic weighted average shares outstanding for that period. For the year ended December 31, 2017, the non-GAAP adjustments described above resulted in adjusted net income from continuing operations. Therefore, we included the dilutive common stock equivalents in the calculation of adjusted diluted weighted average shares outstanding for that period.</w:t>
      </w:r>
    </w:p>
    <w:p>
      <w:pPr>
        <w:spacing w:after="0" w:line="129" w:lineRule="exact"/>
        <w:rPr>
          <w:sz w:val="20"/>
          <w:szCs w:val="20"/>
          <w:color w:val="auto"/>
        </w:rPr>
      </w:pPr>
    </w:p>
    <w:p>
      <w:pPr>
        <w:ind w:right="5500"/>
        <w:spacing w:after="0" w:line="440" w:lineRule="auto"/>
        <w:rPr>
          <w:sz w:val="20"/>
          <w:szCs w:val="20"/>
          <w:color w:val="auto"/>
        </w:rPr>
      </w:pPr>
      <w:r>
        <w:rPr>
          <w:rFonts w:ascii="Arial" w:cs="Arial" w:eastAsia="Arial" w:hAnsi="Arial"/>
          <w:sz w:val="18"/>
          <w:szCs w:val="18"/>
          <w:b w:val="1"/>
          <w:bCs w:val="1"/>
          <w:color w:val="auto"/>
        </w:rPr>
        <w:t>Year Ended December 31, 2017 Compared to Year Ended December 31, 2016 Revenues</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Revenues increased $6.3 million, or 0.9%, to $732.6 million for the year ended December 31, 2017, from $726.3 million for the year ended December 31, 2016. Revenues for 2017 included $43.9 million from our acquisitions of Innosight and Pope Woodhead, which were completed in the first quarter of 2017, and $13.9 million of incremental revenues due to the full year impact of our acquisitions of MyRounding and HSM Consulting, which were completed in the first and third quarters of 2016, respectively. Revenues for 2017 also included a full period impact of our acquisition of the U.S. assets of ADI Strategies and revenues from our acquisition of the international assets of ADI Strategies. These acquisitions were completed in May 2016 and April 2017, respectively, and have since been fully integrated into the Business Advisory segment.</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overall $6.3 million increase in revenues, $10.6 million was attributable to our full-time billable consultants, partially offset by a $4.3 million decrease in revenues attributable to our full-time equivalents.</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increase in full-time billable consultant revenues was driven by an increase in the average number of full-time billable consultants, partially offset by decreases in the average billing rate and consultant utilization rate. As discussed below in Segment Results, this increase in full-time billable consultant revenues reflected our acquisitions of Innosight and Pope Woodhead, as well as strengthened demand for services in our Business Advisory and Education segments, partially offset by decreased demand for services in our Healthcare segment.</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decrease in full-time equivalent revenues was primarily attributable to a decrease in the revenue from our Studer Group solution within our Healthcare segment as discussed below in Segment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$13.0 million, or 2.9%, to $465.7 million for the year ended December 31, 2017 from $452.7 million for the year ended December 31, 2016. The overall $13.0 million increase in direct costs primarily related to a $17.5 million increase in salaries and related expenses for our revenue-generating professionals, which was largely driven by increased headcount from acquisitions and our continued investment in revenue-generating consultants in our cloud-based enterprise resource planning (ERP) implementation practices, partially offset by a decrease in salaries and related expenses in our Healthcare segment as a result of headcount reductions. Additional increases in direct costs included a $3.3 million increase in contractor expense and a $2.7 million increase in signing and retention bonus expense for our revenue-generating professionals. All of these increases were partially offset by a $5.6 million decrease in performance bonus expense for our revenue-generating professionals, a $4.0 million decrease in intangible asset amortization expense, and a $1.2 million decrease in share-based compensation expense for our revenue-generating professionals. As a percentage of revenues, our total direct costs increased to 63.6% during 2017 compared to 62.3% during 2016, primarily due to the items described above.</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direct costs for the year ended December 31, 2017 included $10.9 million of amortization expense for intangible assets, primarily representing customer contracts and software acquired in business combinations, and internal software development costs, compared to $15.1 million of amortization expense in 2016. The $4.2 million decrease in amortization expense was primarily attributable to the decreasing amortization expense of customer contracts acquired in our Studer Group acquisition, due to the accelerated basis of amortization, and the customer contracts acquired as part of our acquisition of the U.S. assets of ADI Strategies which were fully amortized in 2016, partially offset</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by the amortization of intangible assets acquired in the acquisitions of Innosight and HSM Consulting. See Note 4 "Acquisitions" and Note 5 "Goodwill and Intangible Assets" within the notes to our consolidated financial statements for additional information about our intangible assets.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Gains, Net</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Selling, general and administrative expenses increased $15.2 million, or 9.5%, to $175.4 million for the year ended December 31, 2017, compared to $160.2 million for the year ended December 31, 2016. Selling, general and administrative expenses for 2017 included $14.5 million from Innosight and Pope Woodhead. The overall increase of $15.2 million was primarily related to a $10.4 million increase in salaries and related expenses for our support personnel; a $2.7 million increase in facilities and other office-related expenses; a $2.0 million increase in travel related costs, largely related to the operations of our aircraft purchased in connection with our Innosight acquisition; a $1.4 million increase in third-party consulting expenses; a $1.0 million increase in promotion and sponsorship expenses; and a $0.9 million increase in signing and retention bonus expense for our support personnel. These increases were partially offset by a $2.6 million decrease in performance bonus expenses for our support personnel, a $1.1 million decrease in legal expenses, and a $1.0 million decrease in share-based compensation expense for our support personnel. As a percentage of revenues, selling, general and administrative expenses increased to 23.9% during 2017 compared to 22.1% during 2016, primarily due to the items described above.</w:t>
      </w:r>
    </w:p>
    <w:p>
      <w:pPr>
        <w:spacing w:after="0" w:line="12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Restructuring charges for the year ended December 31, 2017 totaled $6.2 million, compared to $9.6 million for the year ended December 31, 2016. The $6.2 million of restructuring charges in 2017 included $3.7 million related to workforce reductions to better align resources with market demand, of which $2.1 million related to our Healthcare segment, $1.1 million related to our Business Advisory segment, and $0.4 million related to our corporate operations. The overall $6.2 million of restructuring charges also included $2.4 million of office space reductions, which primarily consisted of the accrual of remaining lease obligations, net of estimated sublease income, due to relocating our San Francisco office to a smaller space and consolidating our Chicago and New York offices, and accelerated depreciation on leasehold improvements in our San Francisco office. The $9.6 million of restructuring charges in 2016 primarily consisted of $7.3 million related to workforce reductions, of which $5.8 million related to our Healthcare segment and $0.6 million related to our Business Advisory segment, both to better align resources with market demand, and $0.9 million related to our corporate operations primarily to adjust our infrastructure to align with our Legal divestiture. The $9.6 million of restructuring charges also included $1.5 million related to updated lease accrual assumptions, primarily for our Washington, D.C. space vacated in the fourth quarter of 2014, and $0.8 million related to the wind down of our foreign operations based in the Middle East and other exit costs. See Note 10 “Restructuring Charges” within the notes to our consolidated financial statements for further discussion of our restructuring expenses.</w:t>
      </w:r>
    </w:p>
    <w:p>
      <w:pPr>
        <w:spacing w:after="0" w:line="12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Other gains (losses), net totaled a net loss of $1.1 million for the year ended December 31, 2017, compared to a net gain of $2.0 million for the year ended December 31, 2016. The net loss in 2017 and the net gain in 2016 represent the changes in the estimated fair values of our liabilities for contingent consideration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12 "Fair Value of Financial Instruments" within the notes to our consolidated financial statements for additional information on the fair value of contingent consideration liabilities.</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Depreciation and amortization expense increased $6.7 million, or 21.3%, to $38.2 million for the year ended December 31, 2017, from $31.5 million for the year ended December 31, 2016. The increase was primarily attributable to amortization expense for intangible assets acquired in the Innosight, Pope Woodhead, and ADI Strategies acquisitions, and an increase in amortization expense for a customer-related intangible asset acquired in the Studer Group acquisition. Intangible asset amortization included within operating expenses primarily relates to certain customer relationships, trade names, and non-competition agreements acquired in connection with our business acquisitions. See Note 4 "Acquisitions" and Note 5 "Goodwill and Intangible Assets" within the notes to our consolidated financial statements for additional information about our intangible assets.</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2017, we recorded $253.1 million of non-cash goodwill impairment charges. Of the $253.1 million, $208.1 million related to our Healthcare reporting unit and $45.0 million related to our Enterprise Solutions and Analytics reporting unit which is included in our Business Advisory segment. These charges are non-cash in nature and do not affect our liquidity or debt covenants. See the "Critical Accounting Policies" section below and Note 5 "Goodwill and Intangible Assets" within the notes to our consolidated financial statements for further discussion of these charges.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Operating income decreased $281.7 million, to a loss of $207.5 million for the year ended December 31, 2017, from income of $74.2 million for the year ended December 31, 2016. The decrease is primarily attributable to the $253.1 million non-cash pretax goodwill impairment charges recorded in 2017. See the "Critical Accounting Policies" section below and Note 5 "Goodwill and Intangible Assets" within the notes to our consolidated financial statements for additional information about the non-cash goodwill impairment charges. Operating margin, which is defined as operating income (loss) expressed as a percentage of revenues, decreased to (28.3)% in 2017 compared to 10.2% in 2016. The decrease in operating margin was primarily attributable to the goodwill impairment charges, as well as increases in salaries and related expenses for both our revenue-generating professionals and support personnel.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other expense, net decreased slightly to $15.0 million for the year ended December 31, 2017, from $15.1 million for the year ended December 31, 2016. The decrease was primarily attributable to a $2.4 million gain on the market value of our investments that are used to fund our deferred compensation liability, compared to a $1.2 million gain in 2016, as well as a $0.9 million gain on the sale of our Life Sciences Compliance and Operations solution ("LS C&amp;O") within our Business Advisory segment in the second quarter of 2017, and a $0.4 million increase in foreign currency transaction gains. These decreases were largely offset by a $2.3 million increase in interest expense, net of interest income due to higher levels of borrowings and higher interest rates under our credit facility during 2017 compared to 2016. See Note 5 "Goodwill and Intangible Assets" within the notes to our consolidated financial statements for additional information on the sale of LS C&amp;O.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For the year ended December 31, 2017, our effective tax rate was 23.4% as we recognized income tax benefit from continuing operations of $52.0 million on a loss from continuing operations of $222.5 million. For the year ended December 31, 2016, our effective tax rate was 33.3% as we recognized income tax expense from continuing operations of $19.7 million on income from continuing operations of $59.2 million. The effective tax rate for 2017 was less favorable than the statutory rate, inclusive of state income taxes, primarily due to the $65.0 million non-deductible portion of the goodwill impairment charges related to the Healthcare and Enterprise Solutions and Analytics reporting units recorded in 2017; $8.8 million of discrete income tax expense related to the enactment of the 2017 Tax Reform in the fourth quarter of 2017; and $1.8 million of discrete tax expense for share-based compensation related to the adoption of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Refer to Note 2 "Summary of Significant Accounting Policies" for additional information on the adoption of ASU 2016-09. These unfavorable discrete items were partially offset by a $2.7 million tax benefit recorded in the third quarter of 2017 related to a previously unrecognized tax benefit from our 2014 "check-the-box" election.</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December 22, 2017, the President of the United States signed into law the Tax Cuts and Jobs Act (“2017 Tax Reform”), a tax reform bill which, among other items, reduces the current corporate federal income tax rate from 35% to 21% and moves from a worldwide tax system to a territorial system. The rate reduction is effective January 1, 2018. As a result of the enactment of the legislation in 2017, we have estimated the remeasurement of our net deferred taxes based on the new lower tax rate, as well as provided for additional one-time income tax expense estimates primarily related to the transition tax on accumulated foreign earnings and elimination of foreign tax credits for dividends that are subject to the 100 percent exemption in our consolidated financial statements as of and for the year ended December 31, 2017. Our provisional analysis resulted in $8.8 million of additional income tax expense for the year ended December 31, 2017. Of the $8.8 million, $7.9 million related to the remeasurement of our deferred tax balances at the lower federal income tax rate; $0.6 million related to the transition tax on accumulated foreign earnings, net of applicable foreign tax credits; and $0.3 million related to withholding tax on outside basis differences due to our change in assertion for permanent reinvestment. The impacts on our financial statements as a result of 2017 Tax Reform are considered preliminary and are based on the information that is currently available. These provisional results may be subject to future adjustments as additional analysis is anticipated based on technical corrections and regulatory interpretations to come. We expect to finalize the analysis as soon as practicable, but, in accordance with Staff Accounting Bulletin (“SAB”) No. 118, which was issued as a result of 2017 Tax Reform, not later than one year from the enactment date. Any changes to our provisional analysis will be included as an adjustment to tax expense or benefit in the period the amounts are determined.</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2017 Tax Reform, and barring any unfavorable discrete items, we expect our 2018 effective tax rate to be lower than our historical effective tax rate, comprised of the lower 21% corporate federal income tax rate, a state blended tax rate, net of federal benefit, estimated to be between 4-8% depending on where we provide services, and any unfavorable impact due to limitations on the deductibility of executive compensation and meals and entertainment.</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effective tax rate for 2016 was lower than the statutory rate, inclusive of state income taxes, primarily due to valuation allowance reductions, certain credits and deductions, non-taxable income, and a discrete tax benefit related to share-based compensation, partially offset by non-deductible business expenses. In 2016, we released certain valuation allowances primarily related to foreign tax credits, as we expect to have sufficient foreign source income to utilize these credits before their expiration.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income from continuing operations decreased by $210.0 million, to a net loss from continuing operations of $170.5 million for the year ended December 31, 2017, compared to net income from continuing operations of $39.5 million for the year ended December 31, 2016. The decrease was primarily attributable to the $253.1 million non-cash pretax goodwill impairment charges recorded in 2017. As a result of the decrease in net income from continuing operations, diluted loss per share from continuing operations for the year ended December 31, 2017 was $7.95 compared to diluted earnings per share from continuing operations of $1.84 for 2016. The non-cash goodwill impairment charges had an $8.40 unfavorable impact on diluted earnings per share from continuing operations in 2017.</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income from discontinued operations for the year ended December 31, 2017 was $0.4 million and primarily related to updated lease assumptions for vacated office spaces directly related to the sale of the Huron Legal segment. Net loss from discontinued operations for the year ended December 31, 2016 was $1.9 million and primarily related to obligations for former employees, legal fees, and updated lease assumptions for vacated office spaces directly related to the sale of the Huron Legal segment. See Note 3 "Discontinued Operations" within the notes to our consolidated financial statements for additional information on our discontinued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EBITDA decreased $276.8 million, to a loss of $154.7 million for the year ended December 31, 2017, from earnings of $122.1 million for the year ended December 31, 2016. Adjusted EBITDA decreased $25.1 million, or 19.3%, to $104.6 million in 2017 from $129.7 million in 2016. The decrease in EBITDA was primarily attributable to the non-cash goodwill impairment charges of $253.1 million recorded in 2017. The decrease in adjusted EBITDA was primarily due to the decrease in segment operating income, as discussed below in Segment Results, as well as an increase in corporate expenses primarily due to our acquisitions of Innosight and Pope Woodhead.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from continuing operations decreased $22.1 million, or 32.2%, to $46.6 million for the year ended December 31, 2017, compared to</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$68.7 million for the year ended December 31, 2016. As a result of the decrease in adjusted net income from continuing operations, adjusted diluted earnings per share from continuing operations for 2017 was $2.15, compared to $3.21 for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Healthcare segment revenues decreased $68.0 million, or 16.0%, to $356.9 million for the year ended December 31, 2017, from $424.9 million for the year ended December 31, 2016. Revenues for 2017 included $13.9 million of incremental revenues due to the full year impact of our acquisitions of MyRounding and HSM Consulting, which were completed in the first and third quarters of 2016, respectively.</w:t>
      </w:r>
    </w:p>
    <w:p>
      <w:pPr>
        <w:spacing w:after="0" w:line="12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For the year ended December 31, 2017, revenues from fixed-fee engagements, time-and-expense engagements, performance-based arrangements, and software support and maintenance and subscription arrangements represented 67.7%, 16.1%, 8.7%, and 7.5% of this segment’s revenues, respectively, compared to 68.9%, 11.6%, 13.5%, and 6.0%, respectively, in 2016.</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Of the overall $68.0 million decrease in revenues, $65.5 million was attributable to a decrease in revenue from our full-time billable consultants, and $2.5 million was attributable to a decrease in revenue generated by our full-time equivalents.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decrease in revenue attributable to our full-time billable consultants was primarily driven by decreased demand for our performance improvement solution and reflected decreases in the average number of full-time billable consultants and the average billing rate, partially offset by an increase in the consultant utilization rate. Performance-based fee revenue was $30.9 million in 2017 compared to $57.2 million in 2016. The level of performance-based fees earned may vary based on our clients' risk sharing preferences 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13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decrease in full-time equivalent revenues was primarily driven by a decreased demand for our Studer Group solution and reflected a decrease in revenue per full-time equivalent, partially offset by an increase in the average number of full-time equivalents in 2017 compared to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Healthcare segment operating income decreased $29.1 million, or 19.7%, to $118.8 million for the year ended December 31, 2017, from $147.9 million for the year ended December 31, 2016. The Healthcare segment operating margin, defined as segment operating income expressed as a percentage of segment revenues, decreased to 33.3% in 2017 from 34.8% in 2016. The decrease in this segment’s operating margin was primarily attributable to an increase, as a percentage of revenues, in salaries and related expenses for both our support personnel and revenue-generating professionals, as well as an increase in contractor expenses, partially offset by decreases in restructuring charges, performance bonus expense for our revenue-generating professionals, and intangible asset amortization expense, all as a percentage of revenues, in 2017 compared to 2016.</w:t>
      </w:r>
    </w:p>
    <w:p>
      <w:pPr>
        <w:spacing w:after="0" w:line="12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non-cash goodwill impairment charge related to our Healthcare segment discussed above within the consolidated results is not allocated at the segment level because the underlying goodwill asset is reflective of our corporate investment in the segments. We do not include the impact of goodwill impairment charges in our evaluation of segment performance. See the "Critical Accounting Policies" section below and</w:t>
      </w:r>
    </w:p>
    <w:p>
      <w:pPr>
        <w:sectPr>
          <w:pgSz w:w="11900" w:h="16838" w:orient="portrait"/>
          <w:cols w:equalWidth="0" w:num="1">
            <w:col w:w="11380"/>
          </w:cols>
          <w:pgMar w:left="240" w:top="125" w:right="279" w:bottom="1440" w:gutter="0" w:footer="0" w:header="0"/>
        </w:sect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80"/>
          </w:cols>
          <w:pgMar w:left="240" w:top="125" w:right="2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Note 5 "Goodwill and Intangibles Assets" within the notes to our consolidated financial statements for further discussion of this charge and our most recent goodwill impairment test performed as of November 30, 2017. We will continue to evaluate goodwill for impairment during future periods. Any future significant decline in the performance of the Healthcare segment compared to our internal forecasts could result in another non-cash goodwill impairment charge.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Education segment revenues increased $18.1 million, or 12.1%, to $167.9 million for the year ended December 31, 2017, from $149.8 million for the year ended December 31, 2016.</w:t>
      </w:r>
    </w:p>
    <w:p>
      <w:pPr>
        <w:spacing w:after="0" w:line="116"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For the year ended December 31, 2017, revenues from fixed-fee engagements, time-and-expense engagements, performance-based arrangements, and software support and maintenance and subscription arrangements represented 16.6%, 77.5%, 0.2%, and 5.7% of this segment’s revenues, respectively, compared to 14.4%, 78.9%, 0.7%, and 6.0%, respectively, during 2016.</w:t>
      </w:r>
    </w:p>
    <w:p>
      <w:pPr>
        <w:spacing w:after="0" w:line="1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Of the overall $18.1 million increase in revenues, $20.0 million was attributable to an increase in revenue generated by our full-time billable consultants, partially offset by a $1.9 million decrease in revenue generated by our full-time equivalents. The increase in revenues from our full-time billable consultants reflected an increase in the average number of full-time billable consultants and the consultant utilization rate, partially offset by a decrease in the average billing rate. The decrease in revenue from our full-time equivalents reflected decreases in the average number of full-time equivalents and revenue per full-time equivalent in 2017 compared to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Education segment operating income increased $2.0 million, or 5.2%, to $40.3 million for the year ended December 31, 2017, from $38.3 million for the year ended December 31, 2016. The Education segment operating margin decreased to 24.0% for 2017 from 25.6% for 2016. The decrease in this segment’s operating margin was primarily attributable to an increase in salaries and related expenses for our revenue-generating professionals, which was largely driven by our continued investment in revenue-generating consultants in our cloud-based enterprise resource planning (ERP) implementation practices, and performance bonus expenses for our revenue-generating professionals, all as a percentage of revenues, partially offset by a decrease in project costs.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Business Advisory segment revenues increased $56.2 million, or 37.1%, to $207.8 million for the year ended December 31, 2017, from $151.5 million for the year ended December 31, 2016. Revenues for 2017 included $43.9 million from our acquisitions of Innosight and Pope Woodhead, which were completed in the first quarter of 2017. Revenues for 2017 also included a full period impact of our acquisition of the U.S. assets of ADI Strategies and revenues from our acquisition of the international assets of ADI Strategies. These acquisitions were completed in May 2016 and April 2017, respectively, and have since been fully integrated into the Business Advisory segment.</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year ended December 31, 2017, revenues from fixed-fee engagements, time-and-expense engagements, performance-based engagements, and software support and maintenance and subscription arrangements represented 34.8%, 61.4%, 2.1%, and 1.7% of this segment's revenues, respectively, compared to 19.8%, 74.6%, 4.1%, and 1.5%, respectively, in 2016. Performance-based fee revenue for the year ended December 31, 2017 was $4.5 million compared to $6.2 million in 2016.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overall $56.2 million increase in revenues was primarily attributable to an increase in revenue generated by our full-time billable consultants. The increase in revenue from our full-time billable consultants was primarily driven by our acquisitions of Innosight, ADI Strategies, and Pope Woodhead, and reflected an increase in the average number of full-time billable consultants, partially offset by decreases in the average billing rate and consultant utilization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Business Advisory segment operating income increased by $17.2 million, or 58.6%, to $46.6 million for the year ended December 31, 2017, compared to $29.4 million for the year ended December 31, 2016. Segment operating margin increased to 22.4% for 2017 from 19.4% for 2016. The increase in this segment’s operating margin was primarily attributable to decreases in performance bonus expense and share-based compensation for our revenue-generating professionals, as well as a decrease in contractor expense. These increases to operating margin were partially offset by increases in salaries and related expenses for our revenue-generating professionals; travel related costs,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largely related to the operations of our aircraft purchased in connection with our Innosight acquisition; third-party consulting expenses; and signing and retention bonus expense for our revenue-generating professionals, all as a percentage of revenues.</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While the Business Advisory segment's revenues and operating income increased year-over-year, the Enterprise Solutions and Analytics practice within this segment experienced a decline in revenues and operating income in the fourth quarter of 2017 compared to the third quarter of 2017. During the first three quarters of 2017, the performance of Enterprise Solutions and Analytics continued to reasonably meet our expectations. However, both revenues and operating margin during the fourth quarter of 2017 fell short of our expectations resulting in a reduction in workforce within the reporting unit during that quarter. As a result, our goodwill impairment test conducted as of November 30, 2017, indicated that the fair value of the Enterprise Solutions and Analytics reporting unit no longer exceeded its carrying value, and we recorded a $45.0 million non-cash pretax goodwill impairment charge to write off the entire carrying value of this reporting unit's goodwill.</w:t>
      </w:r>
    </w:p>
    <w:p>
      <w:pPr>
        <w:spacing w:after="0" w:line="135"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This non-cash goodwill impairment charge is not allocated at the segment level because the underlying goodwill asset is reflective of our corporate investment in the segments. We do not include the impact of goodwill impairment charges in our evaluation of segment performance. See the "Critical Accounting Policies" section below and Note 5 "Goodwill and Intangibles Assets" within the notes to our consolidated financial statements for further discussion of this charge.</w:t>
      </w:r>
    </w:p>
    <w:p>
      <w:pPr>
        <w:spacing w:after="0" w:line="129" w:lineRule="exact"/>
        <w:rPr>
          <w:sz w:val="20"/>
          <w:szCs w:val="20"/>
          <w:color w:val="auto"/>
        </w:rPr>
      </w:pPr>
    </w:p>
    <w:p>
      <w:pPr>
        <w:ind w:right="5500"/>
        <w:spacing w:after="0" w:line="440" w:lineRule="auto"/>
        <w:rPr>
          <w:sz w:val="20"/>
          <w:szCs w:val="20"/>
          <w:color w:val="auto"/>
        </w:rPr>
      </w:pPr>
      <w:r>
        <w:rPr>
          <w:rFonts w:ascii="Arial" w:cs="Arial" w:eastAsia="Arial" w:hAnsi="Arial"/>
          <w:sz w:val="18"/>
          <w:szCs w:val="18"/>
          <w:b w:val="1"/>
          <w:bCs w:val="1"/>
          <w:color w:val="auto"/>
        </w:rPr>
        <w:t>Year Ended December 31, 2016 Compared to Year Ended December 31, 2015 Revenues</w:t>
      </w:r>
    </w:p>
    <w:p>
      <w:pPr>
        <w:spacing w:after="0" w:line="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Revenues increased $27.3 million, or 3.9%, to $726.3 million for the year ended December 31, 2016, from $699.0 million for the year ended December 31, 2015. Revenues for 2016 included $34.5 million from our acquisitions of MyRounding, ADI Strategies, and HSM Consulting, all of which were completed during 2016, and $19.3 million of incremental revenues due to the full year impact in 2016 of our acquisitions of Studer Group, which was completed mid-first quarter 2015, Rittman Mead India, which was completed at the beginning of the third quarter of 2015, and Cloud62, Inc. ("Cloud62"), which was completed at the beginning of the fourth quarter of 2015.</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overall $27.3 million increase in revenues, $20.6 million was attributable to our full-time equivalents and $6.7 million was attributable to our full-time billable consultants.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full-time equivalent revenues was primarily attributable to the full year impact of our acquisition of Studer Group, as well as overall growth of the Studer Group practice, and increased use of contractors and subscription revenue in the Business Advisory segment, largely due to our acquisition of ADI Strategies, and reflected an increase in the average number of full-time equivalents.</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full-time billable consultant revenues was driven by an increase in the average number of full-time billable consultants, partially offset by decreases in the average billing rate and consultant utilization rate. As discussed below in Segment Results, this increase in revenue reflected our acquisitions and strengthened demand for our services in the Education and Business Advisory segments. These increases to revenue were partially offset by lower revenues from full-time billable consultants in our Healthcare segment, which was largely driven by decreases in revenue in our revenue cycle and cost and clinical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$34.0 million, or 8.1%, to $452.7 million for the year ended December 31, 2016 from $418.7 million for the year ended December 31, 2015. The overall $34.0 million increase in direct costs primarily related to a $36.7 million increase in salaries and related expenses for our revenue-generating professionals, which was primarily driven by increased headcount from acquisitions and our ongoing cloud-based ERP investment, and a $1.6 million increase in technology expenses, partially offset by a $2.6 million decrease in share-based compensation expense for our revenue-generating professionals and a $1.7 million decrease in intangible asset amortization expense. As a percentage of revenues, our total direct costs increased to 62.3% during 2016 compared to 59.9% during 2015, primarily due to the items described above.</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direct costs for the year ended December 31, 2016 included $15.1 million of amortization expense for intangible assets, primarily representing customer contracts and software acquired in business combinations, and internal software development costs, compared to $16.8 million of amortization expense in 2015. See Note 4 "Acquisitions" and Note 5 "Goodwill and Intangible Assets" within the notes to our consolidated financial statements for additional information about our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75"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Selling, general and administrative expenses increased $2.3 million, or 1.5%, to $160.2 million for the year ended December 31, 2016, compared to $157.9 million for the year ended December 31, 2015. This overall increase was primarily related to a $4.8 million increase in salaries and related expenses for our support personnel and a $1.3 million increase in share-based compensation expense for our support personnel, partially offset by a $1.4 million decrease in facilities and other office related expenses, a $1.1 million decrease in recruiting expenses, a $0.5 million decrease in severance expense, and a $0.8 million decrease in performance bonus expense for our support</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personnel. As a percentage of revenues, selling, general and administrative expenses decreased to 22.1% during 2016 compared to 22.6% during 2015, primarily due to the items described above.</w:t>
      </w:r>
    </w:p>
    <w:p>
      <w:pPr>
        <w:spacing w:after="0" w:line="11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Restructuring charges for the year ended December 31, 2016 totaled $9.6 million, compared to $3.3 million for the year ended December 31, 2015. The $9.6 million of restructuring charges in 2016 primarily consisted of $7.3 million related to workforce reductions, of which $5.8 million related to our Healthcare segment and $0.6 million related to our Business Advisory segment, both to better align resources with market demand, and $0.9 million related to our corporate operations primarily to adjust our infrastructure to align with our Legal divestiture. The $9.6 million of restructuring charges also included $1.5 million related to updated lease accrual assumptions, primarily for our Washington, D.C. space vacated in the fourth quarter of 2014, and $0.3 million related to the wind down of our foreign operations based in the Middle East. The charges in 2015 consisted of $2.8 million related to workforce reductions to better align our resources with market demand and $0.5 million related to office exit costs primarily related to updated assumptions for the lease accrual of the Washington, D.C. space vacated in the fourth quarter of 2014. Of the overall $3.3 million pretax charge for 2015, $1.2 million related to our Healthcare segment, $1.1 million related to our All Other segment as we wound down our public sector consulting practice and our foreign consulting operations based in the Middle East, and $1.0 million related to our corporate operations. See Note 10 “Restructuring Charges” within the notes to our consolidated financial statements for further discussion of our restructuring expenses.</w:t>
      </w:r>
    </w:p>
    <w:p>
      <w:pPr>
        <w:spacing w:after="0" w:line="1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Litigation and other gains, net totaled $2.0 million for the year ended December 31, 2016, compared to $9.5 million for the year ended December 31, 2015. The total gain of $2.0 million in 2016 represented net remeasurement gains related to changes in the fair value of contingent consideration liabilities incurred in connection with business acquisitions. The total gain of $9.5 million in 2015 consisted of a $9.2 million net gain from litigation settlements and a $0.3 million remeasurement gain related to a decrease in the fair value of a contingent consideration liability incurred in connection with a business acquisition. During the fourth quarter of 2015, we settled two lawsuits brought by Huron, resulting in a gain of $10.0 million being recorded. We collected the $10.0 million in January 2016. During the second quarter of 2015, we recorded a net litigation accrual of $0.8 million related to the settlement of a legal claim.</w:t>
      </w:r>
    </w:p>
    <w:p>
      <w:pPr>
        <w:spacing w:after="0" w:line="1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Depreciation and amortization expense increased $6.4 million, or 25.3%, to $31.5 million for the year ended December 31, 2016, from $25.1 million for the year ended December 31, 2015. The increase was primarily attributable to amortization expense for intangible assets acquired in the Studer Group acquisition, as well as amortization expense for intangible assets acquired in the Cloud62, ADI Strategies, and HSM Consulting acquisitions. Intangible asset amortization included within operating expenses primarily relates to customer relationships, non-competition agreements, and trade names acquired in connection with our business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Operating income decreased $29.3 million, or 28.3%, to $74.2 million for the year ended December 31, 2016, from $103.5 million for the year ended December 31, 2015. Operating margin, which is defined as operating income expressed as a percentage of revenues, decreased to 10.2% in 2016 compared to 14.8% in 2015. The decrease in operating margin was primarily attributable to the increase in salaries and related expenses for our revenue-generating professionals as a percentage of revenues, the decrease in litigation and other gains, net, and the increase in restructuring charges as a percentage of revenues, partially offset by the decrease in share-based compensation expense for our revenue-generating professionals in 2016 compared to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other expense, net decreased $4.9 million to $15.1 million for the year ended December 31, 2016, from $19.9 million for the year ended December 31, 2015. The decrease was primarily attributable to a $1.9 million decrease in interest expense, net, a $1.7 million decrease in foreign currency transaction losses, and a $1.2 million gain during 2016 from an increase in the market value of our investments that are used to fund our deferred compensation liability compared to a $0.2 million loss during 2015. The decrease in interest expense was due to lower levels of borrowings under our credit facility during 2016 compared to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year ended December 31, 2016, our effective tax rate was 33.3% as we recognized income tax expense from continuing operations of $19.7 million on income from continuing operations of $59.2 million. For the year ended December 31, 2015, our effective tax rate was 25.9% as we recognized income tax expense from continuing operations of $21.7 million on income from continuing operations of $83.6 million. Our effective tax rate for 2016 was lower than the statutory rate, inclusive of state income taxes, primarily due to valuation allowance reductions, certain credits and deductions, non-taxable income, and a discrete tax benefit related to share-based compensation, partially offset by non-deductible business expenses. In 2016, we released certain valuation allowances primarily related to foreign tax credits, as we expect to have sufficient foreign source income to utilize these credits before their expiration. Our effective tax rate for 2015 was lower than the statutory rate, inclusive of state income taxes, primarily due to the impact of a tax election made in the fourth quarter of 2015 to classify two of our wholly-owned foreign subsidiaries as disregarded entities for U.S. federal income tax purposes (commonly referred to as a “check-the-box” election). As a result of this election, we realized an income tax benefit of $13.0 million, of which $0.7 million is unrecognized, resulting in a net recognized tax benefit of $12.3 million. See Note 16 "Income Taxes" within the notes to our consolidated financial statements for additional information related to our income tax expense.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income from continuing operations was $39.5 million for the year ended December 31, 2016, compared to $61.9 million for the year ended December 31, 2015. The $22.4 million decrease in net income from continuing operations was primarily due to the decrease in operating income, partially offset by the decrease in other expense, net, as discussed above. As a result of the decrease in net income from continuing operations, partially offset by the reduction in diluted shares outstanding due to the share repurchases in the fourth quarter of 2015 and first quarter of 2016, diluted earnings per share from continuing operations for the year ended December 31, 2016 was $1.84 compared to $2.74 for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loss from discontinued operations for the year ended December 31, 2016 was $1.9 million and primarily related to obligations for former employees, legal fees, and updated lease assumptions for vacated office space directly related to the sale of the Legal segment. Net loss from discontinued operations for the year ended December 31, 2015 was $2.8 million. See Note 3 "Discontinued Operations" within the notes to our consolidated financial statements for additional information about our discontinued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EBITDA decreased $21.6 million, or 15.0%, to $122.1 million for the year ended December 31, 2016, from $143.6 million for the year ended December 31, 2015. Adjusted EBITDA decreased $9.5 million, or 6.8%, to $129.7 million in 2016 from $139.1 million in 2015. The decrease in EBITDA was primarily due to the decrease in segment operating income, as discussed below in Segment Results, and the decrease in litigation and other gains. The decrease in Adjusted EBITDA was primarily due to the decrease in segment operating income, exclusive of restructuring charges.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Adjusted net income from continuing operations increased $1.2 million, or 1.8%, to $68.7 million for the year ended December 31, 2016, compared to $67.6 million for the year ended December 31, 2015. As a result of the increase in adjusted net income from continuing operations, coupled with the reduction in diluted shares outstanding due to the share repurchases in the fourth quarter of 2015 and first quarter of 2016, adjusted diluted earnings per share from continuing operations for 2016 was $3.21, compared to $2.99 for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Healthcare segment revenues decreased $22.0 million, or 4.9%, to $424.9 million for the year ended December 31, 2016, from $446.9 million for the year ended December 31, 2015. Revenues for 2016 included $10.3 million from our acquisitions of MyRounding and HSM Consulting, both of which were completed during 2016, and $10.7 million of incremental revenues due to the full year impact in 2016 of our acquisition of Studer Group, which was completed mid-first quarter 2015.</w:t>
      </w:r>
    </w:p>
    <w:p>
      <w:pPr>
        <w:spacing w:after="0" w:line="13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For the year ended December 31, 2016, revenues from fixed-fee engagements, time-and-expense engagements, performance-based arrangements, and software support and maintenance and subscription arrangements represented 68.9%, 11.6%, 13.5%, and 6.0% of this segment’s revenues, respectively, compared to 75.7%, 7.2%, 11.7%, and 5.4%, respectively, in 2015.</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Of the overall $22.0 million decrease in revenues, $39.2 million was attributable to a decrease in revenue from our full-time billable consultants, partially offset by a $17.2 million increase in revenue generated by our full-time equivalents.</w:t>
      </w:r>
    </w:p>
    <w:p>
      <w:pPr>
        <w:spacing w:after="0" w:line="1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decrease in revenue attributable to our full-time billable consultants reflected decreases in the average number of full-time billable consultants, the average billing rate, and consultant utilization rate. This decrease in revenue was largely driven by a decrease in revenue in our revenue cycle and cost and clinical solutions compared to the prior year. Performance-based fee revenue was $57.2 million in 2016 compared to $52.3 million in 2015. Performance-based fee arrangements may cause significant variations in revenues, operating results, and average billing rates due to our level of execution and the timing of achievement of the performance-based criteria.</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full-time equivalent revenues was primarily attributable to the full period impact of our acquisition of Studer Group, as well as overall growth of the Studer Group practice, and reflected increases in both the average number of full-time equivalents and revenue per full-time equivalent in 2016 compared to 2015.</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Healthcare segment operating income decreased $21.7 million, or 12.8%, to $147.9 million for the year ended December 31, 2016, from $169.6 million for the year ended December 31, 2015. The Healthcare segment operating margin, defined as segment operating income expressed as a percentage of segment revenues, decreased to 34.8% in 2016 from 37.9% in 2015. The decrease in this segment’s operating margin was primarily attributable to an increase in salaries and related expenses for our revenue-generating professionals as a percentage of revenues, as well as increases in salaries and related expenses for our support personnel and restructuring charges, partially offset by a decrease in share-based compensation expense for our revenue-generating professionals as a percentage of revenues in 2016 compared to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Education segment revenues increased $15.8 million, or 11.8%, to $149.8 million for the year ended December 31, 2016, from $134.0 million for the year ended December 31, 2015. Revenues from fixed-fee engagements, time-and-expense engagements, performance-based arrangements, and software support and maintenance and subscription arrangements represented 14.4%, 78.9%, 0.7%, and 6.0% of this segment’s revenues, respectively, during 2016, compared to 24.8%, 68.9%, 0.4%, and 5.9% of this segment's revenues, respectively, during 2015.</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 the overall $15.8 million increase in revenues, $16.8 million was attributable to an increase in revenue generated by our full-time billable consultants, partially offset by a $1.0 million decrease in revenue attributable to our full-time equivalents. The overall increase in revenues was driven by strong demand across all practices within this segment. The increase in revenues from our full-time billable consultants reflected increases in the average number of full-time billable consultants and the average billing rate, partially offset by a decrease in the consultant utilization rate in 2016 compared to 2015. The decrease in revenue from our full-time equivalents reflected decreases in the average number of full-time equivalents and revenue per full-time equivalent in 2016 compared to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Education segment operating income increased $6.1 million, or 18.8%, to $38.3 million for the year ended December 31, 2016, from $32.2 million for the year ended December 31, 2015. The Education segment operating margin increased to 25.6% for 2016 from 24.1% for 2015. The increase in this segment’s operating margin was primarily attributable to decreases in project costs, contractor expense, and bonus expense for our revenue-generating professionals, partially offset by an increase in salaries and related expenses for our revenue-generating professionals.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Business Advisory segment revenues increased $34.7 million, or 29.6%, to $151.5 million for the year ended December 31, 2016, from $116.9 million for the year ended December 31, 2015. Revenues for 2016 included $24.2 million from our acquisitions of ADI Strategies, which was completed during 2016, and $8.6 million of incremental revenues due to the full year impact in 2016 of our acquisitions of Cloud62 and Rittman Mead India, which were completed in 2015.</w:t>
      </w:r>
    </w:p>
    <w:p>
      <w:pPr>
        <w:spacing w:after="0" w:line="133"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Revenues from fixed-fee engagements, time-and-expense engagements, performance-based engagements, and software support and maintenance and subscription arrangements represented 19.8%, 74.6%, 4.1%, and 1.5% of this segment's revenues, respectively, during 2016 compared to 28.2%, 64.6%,</w:t>
      </w:r>
    </w:p>
    <w:p>
      <w:pPr>
        <w:ind w:right="60"/>
        <w:spacing w:after="0" w:line="271" w:lineRule="auto"/>
        <w:rPr>
          <w:sz w:val="20"/>
          <w:szCs w:val="20"/>
          <w:color w:val="auto"/>
        </w:rPr>
      </w:pPr>
      <w:r>
        <w:rPr>
          <w:rFonts w:ascii="Arial" w:cs="Arial" w:eastAsia="Arial" w:hAnsi="Arial"/>
          <w:sz w:val="17"/>
          <w:szCs w:val="17"/>
          <w:color w:val="auto"/>
        </w:rPr>
        <w:t>6.9%, and 0.3%, respectively, in 2015. Performance-based fee revenue for the year ended December 31, 2016 was $6.2 million, of which $5.3 million was generated by Huron Transaction Advisory LLC, our registered broker-dealer. Performance-based fee revenue for the year ended December 31, 2015 was $8.0 million, of which $5.2 million was generated by Huron Transaction Advisory LLC.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Of the overall $34.7 million increase in revenues, $30.5 million was attributable to an increase in revenue generated by our full-time billable consultants and $4.2 million was attributable to our full-time equivalents. The increase in revenue from our full-time billable consultants reflected an increase in the average number of full-time billable consultants, partially offset by decreases in the average billing rate and consultant utilization rate in 2016 compared to 2015. The increase in the average number of full-time billable consultants was primarily the result of our acquisitions of ADI Strategies and Cloud62. The increase in revenue from our full-time equivalents reflected increases in both the average number of full-time equivalents and revenue per full-time equivalent in 2016 compared to 2015.</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Business Advisory segment operating income decreased by $1.9 million, or 5.9%, to $29.4 million for the year ended December 31, 2016, compared to $31.2 million for the year ended December 31, 2015. Segment operating margin decreased to 19.4% for 2016 from 26.7% for 2015. The decrease in this segment’s operating margin was primarily attributable to increases in salaries and related expenses for our revenue-generating professionals as a percentage of revenues, as well as increases in contractor expenses and intangible asset amortization expense as a percentage of revenues. These decreases in margin were partially offset by revenue growth that outpaced the increase in performance bonus expense for our revenue-generating professionals. The overall decrease in this segment's operating margin reflects an increase in the Enterprise Solutions and Analytics practice revenue as a percentage of this segment's total revenue, as the recent growth of this practice, which has lower operating margins, outpaced the growth of the legacy Business Advisory and Life Sciences practices.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Cash and cash equivalents were $16.9 million, $17.0 million, and $58.4 million at December 31, 2017, 2016, and 2015, respectively. As of December 31, 2017,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4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w w:val="89"/>
              </w:rPr>
              <w:t>Year Ended December 31,</w:t>
            </w:r>
          </w:p>
        </w:tc>
        <w:tc>
          <w:tcPr>
            <w:tcW w:w="13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99,795</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167,855</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(128,948)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(86,636)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(272,158)</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(93,543)</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(198,435)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Net cash provided by operating activities totaled $99.8 million, $129.2 million, and $167.9 million for the years ended December 31, 2017, 2016, and 2015,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0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decrease in cash provided by operations in 2017 compared to 2016 was primarily attributable to lower net income, the collection of a $10.0 million settlement receivable in the first quarter of 2016, and a decrease in cash collections from clients, partially offset by decreased vendor and tax payments in 2017 compared to 2016.</w:t>
      </w:r>
    </w:p>
    <w:p>
      <w:pPr>
        <w:spacing w:after="0" w:line="1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decrease in cash provided by operations in 2016 compared to 2015 was primarily attributable to lower net income, a decrease in cash collections from clients, and an increase in accounts payable payments to vendors, largely offset by a decrease in the amount paid for annual performance bonuses during the first quarter of 2016 compared to the first quarter of 2015 and the collection of a settlement receivable in the first quarter of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Net cash used in investing activities was $128.9 million, $86.6 million, and $272.2 million for the years ended December 31, 2017, 2016, and 2015, respectively.</w:t>
      </w:r>
    </w:p>
    <w:p>
      <w:pPr>
        <w:spacing w:after="0" w:line="11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use of cash in 2017 primarily consisted of $106.9 million for purchases of businesses and $24.4 million for purchases of property and equipment, primarily related to leasehold improvements and purchase of furniture and fixtures for new office spaces in certain locations.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use of cash in 2016 primarily consisted of $69.1 million for purchases of businesses and $13.9 million for purchases of property and equipment.</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use of cash in 2015 primarily consisted of $340.0 million for purchases of businesses, $18.6 million for purchases of property and equipment, and $15.4 million for the purchase of convertible debt investments in Shorelight Holdings, LLC (“Shorelight”). The use of cash in 2015 was partially offset by the net proceeds received of $108.5 million for the sale of the Huron Legal segment in December 2015. See Note 3 "Discontinued Operations" within the notes to our consolidated financial statements for information about the sale of the Huron Legal segment.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estimate that cash utilized for purchases of property and equipment and software in 2018 will be approximately $15 million, primarily consisting of information technology related equipment to support our corporate infrastructure, software development costs, and leasehold improvements.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provided by financing activities was $28.8 million for the year ended December 31, 2017. During 2017, we borrowed $277.5 million under our credit facility, primarily to fund our acquisitions of Innosight and Pope Woodhead and our annual performance bonus payment, and made repayments on our credit facility of $240.7 million.</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financing activities was $84.1 million for the year ended December 31, 2016. During 2016, we borrowed $200.0 million under our credit facility, primarily to fund the acquisitions of HSM Consulting and ADI Strategies and our annual performance bonus payment, and we made repayments on our credit facility of $224.0 million. We also repurchased and retired $55.3 million of our common stock under our Share Repurchase Program, as discussed below.</w:t>
      </w:r>
    </w:p>
    <w:p>
      <w:pPr>
        <w:spacing w:after="0" w:line="13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Net cash used in financing activities was $93.5 million for the year ended December 31, 2015. During 2015, we borrowed $314.0 million under our credit facility, including $102.0 million for the Studer Group acquisition, made repayments on our credit facility of $365.8 million, and repurchased and retired $34.6 million of our common stock under our Share Repurchase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2018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In 2015, we repurchased and retired 583,880 shares for $34.6 million, and in 2016, we repurchased and retired 982,192 shares for $55.3 million. No shares were repurchased under this program in 2017. As of December 31, 2017, $35.1 million remains available for share repurchases.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2017, we had $250 million principal amount of our 1.25% convertible senior notes outstanding, $105.0 million outstanding under our senior secured credit facility, and $4.9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further information, see Note 7 “Financing Arrangements” within the notes to our consolidated financial statements. For a discussion of certain risks and uncertainties related to the Convertible Notes, see Part I—Item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a $500 million senior secured revolving credit facility, subject to the terms of a Second Amended and Restated Credit Agreement dated as of March 31, 2015, as amended to date (as amended and modified the "Amended Credit Facility"),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2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3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3.25 to 1.00 to 3.75 to 1.00, depending on the measurement period, and</w:t>
      </w:r>
    </w:p>
    <w:p>
      <w:pPr>
        <w:ind w:right="260" w:firstLine="8"/>
        <w:spacing w:after="0" w:line="253"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among other items, share-based compensation costs, non-cash goodwill impairment charges, non-cash restructuring charges, and pro forma historical EBITDA for businesses acquired. At December 31, 2017, we were in compliance with these financial covenants with a Consolidated Leverage Ratio of 3.02 to 1.00 and a Consolidated Interest Coverage Ratio of 12.43 to 1.00.</w:t>
      </w:r>
    </w:p>
    <w:p>
      <w:pPr>
        <w:spacing w:after="0" w:line="13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and share repurchases we may make. Pursuant to the terms of the Amended Credit Agreement, if our Consolidated Leverage Ratio is greater than 3.00, the amount of dividends, share repurchases, and other Restricted Payments (as defined in the Amended Credit Agreement) we may make is limited to an amount up to $50 million plus 50% of cumulative consolidated net income (as defined in the Amended Credit Agreement) from the closing date of the Amended Credit Agreement plus 50% of the net cash proceeds from equity issuances after the closing date of the Amended Credit Agreement.</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Borrowings outstanding under the Amended Credit Agreement at December 31, 2017 totaled $105.0 million. These borrowings carried a weighted average interest rate of 3.7%, including the impact of the interest rate swap in effect as of December 31, 2017 and described in Note 11 “Derivative Instruments and Hedging Activity" within the notes to the consolidated financial statements. Borrowings outstanding under the Amended Credit Agreement at December 31, 2016 were $68.0 million and carried a weighted average interest rate of 2.5%, including the impact of the interest rate swap in effect as of December 31, 2016. The borrowing capacity under the revolving credit facility is reduced by any outstanding borrowings under the revolving credit facility and outstanding letters of credit. At December 31, 2017, we had outstanding letters of credit totaling $1.9 million, which are primarily used as security deposits for our office facilities. As of December 31, 2017, the unused borrowing capacity under the revolving credit facility was $393.1 million.</w:t>
      </w:r>
    </w:p>
    <w:p>
      <w:pPr>
        <w:spacing w:after="0" w:line="1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 For a discussion of certain risks and uncertainties related to the Amended Credit Facility, see Part I—Item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December 31, 2017, the outstanding principal amount of the promissory note was $4.9 million. As of December 31, 2017, the aircraft had a carrying amount of $6.5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our significant obligations and commitments as of December 31, 2017 and the scheduled years of payments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More than</w:t>
            </w:r>
          </w:p>
        </w:tc>
      </w:t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1 Year</w:t>
            </w: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Convertible senior notes—principal and interest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256,250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253,125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Long-term bank borrowings—principal and interest </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113,335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109,631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Promissory note—principal and interest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99,960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25,710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21,707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37,804</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1"/>
                <w:szCs w:val="21"/>
                <w:color w:val="auto"/>
                <w:vertAlign w:val="superscript"/>
              </w:rPr>
              <w:t>(6)</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Transition tax on accumulated foreign earnings </w:t>
            </w:r>
            <w:r>
              <w:rPr>
                <w:rFonts w:ascii="Arial" w:cs="Arial" w:eastAsia="Arial" w:hAnsi="Arial"/>
                <w:sz w:val="21"/>
                <w:szCs w:val="21"/>
                <w:color w:val="auto"/>
                <w:vertAlign w:val="superscript"/>
              </w:rPr>
              <w:t>(7)</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21"/>
                <w:szCs w:val="21"/>
                <w:color w:val="auto"/>
                <w:vertAlign w:val="superscript"/>
              </w:rPr>
              <w:t>(8)</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1"/>
                <w:szCs w:val="21"/>
                <w:color w:val="auto"/>
                <w:vertAlign w:val="superscript"/>
              </w:rPr>
              <w:t>(9)</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529,549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41,229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404,469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24,894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40,466</w:t>
            </w: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40" w:hanging="332"/>
        <w:spacing w:after="0" w:line="261"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September 2014, we issued $250 million principal of 1.25% convertible senior notes due 2019. We will pay cash interest on the outstanding notes at an annual rate of 1.25% semi-annually on April 1 and October 1 of each year until October 1, 2019, at which time we will repay any accrued and unpaid interest and the principal amount of all outstanding notes.</w:t>
      </w:r>
    </w:p>
    <w:p>
      <w:pPr>
        <w:spacing w:after="0" w:line="132" w:lineRule="exact"/>
        <w:rPr>
          <w:rFonts w:ascii="Arial" w:cs="Arial" w:eastAsia="Arial" w:hAnsi="Arial"/>
          <w:sz w:val="17"/>
          <w:szCs w:val="17"/>
          <w:color w:val="auto"/>
        </w:rPr>
      </w:pPr>
    </w:p>
    <w:p>
      <w:pPr>
        <w:ind w:left="340" w:hanging="332"/>
        <w:spacing w:after="0" w:line="255"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interest payments on long-term bank borrowings are estimated based on the principal amount outstanding and the interest rate in effect as of December 31, 2017. Actual future interest payments will differ due to changes in our borrowings outstanding and the interest rate on those borrowings, as the interest rate varies based on the fluctuations in the variable base rates and the spread we pay over those base rates pursuant to the Amended Credit Agreement. Refer to “Liquidity and Capital Resources” and Note 7 “Financing Arrangements” within the notes to our consolidated financial statements for more information on our outstanding borrowings.</w:t>
      </w:r>
    </w:p>
    <w:p>
      <w:pPr>
        <w:spacing w:after="0" w:line="136" w:lineRule="exact"/>
        <w:rPr>
          <w:rFonts w:ascii="Arial" w:cs="Arial" w:eastAsia="Arial" w:hAnsi="Arial"/>
          <w:sz w:val="17"/>
          <w:szCs w:val="17"/>
          <w:color w:val="auto"/>
        </w:rPr>
      </w:pPr>
    </w:p>
    <w:p>
      <w:pPr>
        <w:ind w:left="340" w:right="340" w:hanging="332"/>
        <w:spacing w:after="0" w:line="30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interest payments on the promissory note are estimated based on the principal amount outstanding, scheduled principal payments, and the interest rate in effect as of December 31, 2017. Actual future interest payments may differ due to changes in the principal amount outstanding and the interest rate on that principal amount, as the interest rate varies based on the fluctuations in the one-month LIBOR rate. Refer to “Liquidity and Capital Resources” and Note 7 “Financing Arrangements” within the notes to our consolidated financial statements for more information on the promissory note.</w:t>
      </w:r>
    </w:p>
    <w:p>
      <w:pPr>
        <w:spacing w:after="0" w:line="104" w:lineRule="exact"/>
        <w:rPr>
          <w:rFonts w:ascii="Arial" w:cs="Arial" w:eastAsia="Arial" w:hAnsi="Arial"/>
          <w:sz w:val="15"/>
          <w:szCs w:val="15"/>
          <w:color w:val="auto"/>
        </w:rPr>
      </w:pPr>
    </w:p>
    <w:p>
      <w:pPr>
        <w:ind w:left="340" w:right="100" w:hanging="332"/>
        <w:spacing w:after="0" w:line="34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lease our facilities under operating lease arrangements expiring on various dates through 2028, with various renewal options. We lease office facilities under non-cancelable operating leases that include fixed or minimum payments plus, in some cases, scheduled base rent increases over the term of the lease.</w:t>
      </w:r>
    </w:p>
    <w:p>
      <w:pPr>
        <w:spacing w:after="0" w:line="75" w:lineRule="exact"/>
        <w:rPr>
          <w:rFonts w:ascii="Arial" w:cs="Arial" w:eastAsia="Arial" w:hAnsi="Arial"/>
          <w:sz w:val="15"/>
          <w:szCs w:val="15"/>
          <w:color w:val="auto"/>
        </w:rPr>
      </w:pPr>
    </w:p>
    <w:p>
      <w:pPr>
        <w:ind w:left="340" w:right="100" w:hanging="332"/>
        <w:spacing w:after="0" w:line="31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2017, the estimated fair value of the contingent consideration liability was $22.8 million. The maximum amount that may be paid under contingent consideration liabilities existing as of December 31, 2017 is $56.2 million.</w:t>
      </w:r>
    </w:p>
    <w:p>
      <w:pPr>
        <w:spacing w:after="0" w:line="97" w:lineRule="exact"/>
        <w:rPr>
          <w:rFonts w:ascii="Arial" w:cs="Arial" w:eastAsia="Arial" w:hAnsi="Arial"/>
          <w:sz w:val="15"/>
          <w:szCs w:val="15"/>
          <w:color w:val="auto"/>
        </w:rPr>
      </w:pPr>
    </w:p>
    <w:p>
      <w:pPr>
        <w:jc w:val="both"/>
        <w:ind w:left="340" w:right="80" w:hanging="332"/>
        <w:spacing w:after="0" w:line="261"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Purchase obligations do not include agreements that are cancelable without penalty.</w:t>
      </w:r>
    </w:p>
    <w:p>
      <w:pPr>
        <w:spacing w:after="0" w:line="132" w:lineRule="exact"/>
        <w:rPr>
          <w:rFonts w:ascii="Arial" w:cs="Arial" w:eastAsia="Arial" w:hAnsi="Arial"/>
          <w:sz w:val="17"/>
          <w:szCs w:val="17"/>
          <w:color w:val="auto"/>
        </w:rPr>
      </w:pPr>
    </w:p>
    <w:p>
      <w:pPr>
        <w:jc w:val="both"/>
        <w:ind w:left="340" w:right="140" w:hanging="332"/>
        <w:spacing w:after="0" w:line="261"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a result of the 2017 Tax Reform, we are required to pay a one-time transition tax on our accumulated foreign earnings as of December 31, 2017, which were primarily generated by our operations in Canada. We have the option to pay this liability in installments over the next eight years as reflected in the table above, and the payments may be offset with certain foreign tax credits.</w:t>
      </w:r>
    </w:p>
    <w:p>
      <w:pPr>
        <w:spacing w:after="0" w:line="132" w:lineRule="exact"/>
        <w:rPr>
          <w:rFonts w:ascii="Arial" w:cs="Arial" w:eastAsia="Arial" w:hAnsi="Arial"/>
          <w:sz w:val="17"/>
          <w:szCs w:val="17"/>
          <w:color w:val="auto"/>
        </w:rPr>
      </w:pPr>
    </w:p>
    <w:p>
      <w:pPr>
        <w:ind w:left="340" w:right="160" w:hanging="332"/>
        <w:spacing w:after="0" w:line="255"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Included in deferred compensation and other liabilities on our consolidated balance sheet as of December 31, 2017 is a $17.7 million obligation for deferred compensation. The specific payment dates for the deferred compensation are unknown; therefore, the related balances have not been reflected in the “Payments Due by Period” section of the table. This deferred compensation liability is fully funded by corresponding deferred compensation plan assets. Refer to Note 14 “Employee Benefit and Deferred Compensation Plans” within the notes to our consolidated financial statements for more information on our deferred compensation plan.</w:t>
      </w:r>
    </w:p>
    <w:p>
      <w:pPr>
        <w:spacing w:after="0" w:line="136" w:lineRule="exact"/>
        <w:rPr>
          <w:rFonts w:ascii="Arial" w:cs="Arial" w:eastAsia="Arial" w:hAnsi="Arial"/>
          <w:sz w:val="17"/>
          <w:szCs w:val="17"/>
          <w:color w:val="auto"/>
        </w:rPr>
      </w:pPr>
    </w:p>
    <w:p>
      <w:pPr>
        <w:ind w:left="340" w:right="480" w:hanging="332"/>
        <w:spacing w:after="0" w:line="34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liabilities for uncertain tax positions are classified as non-current. We are unable to reasonably estimate the timing of future payments as it depends on examinations by taxing authorities; as such, the related balance has not been reflected in the “Payments Due by Period” section of the table.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five accounting policies that could be considered critical: revenue recognition, allowances for doubtful accounts and unbilled services, business combinations, carrying values of goodwill and other intangible assets, and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Revenue is recognized when persuasive evidence of an arrangement exists, the related services are provided, the price is fixed or determinable, and collectability is reasonably assured. We generate our revenues from providing professional services under four types of billing arrangements: fixed-fee (including software license revenue), time-and-expense, performance-based, and software support and maintenance and subscriptions.</w:t>
      </w:r>
    </w:p>
    <w:p>
      <w:pPr>
        <w:spacing w:after="0" w:line="9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arrangements as the related services or publications are provided.</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do not recognize revenues under performance-based billing arrangements until all related performance criteria are met.</w:t>
      </w:r>
    </w:p>
    <w:p>
      <w:pPr>
        <w:spacing w:after="0" w:line="13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w:t>
      </w:r>
    </w:p>
    <w:p>
      <w:pPr>
        <w:spacing w:after="0" w:line="9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have arrangements with clients in which we provide multiple elements of services under one engagement contract. Revenues under these types of arrangements are allocated to each element based on the element’s fair value and recognized pursuant to the criteria described above.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0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Refer to Note 2 “Summary of Significant Policies” for anticipated changes to our revenue recognition accounting policy upon adoption of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effective January 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assets acquired and liabilities assumed in a business combination, including identifiable intangible assets, are recorded at their estimated fair values as of the acquisition date. Goodwill is recorded as the excess of the fair value of consideration transferred, including any contingent consideration, over the fair value of the net assets acquired.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 See Note 4 "Acquisitions" within the notes to our consolidated financial statements for additional information regarding our acquisitions.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Intangibles Assets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At the time of our November 30, 2017 annual goodwill impairment test, we had six reporting units with goodwill balances: Healthcare, Education, Business Advisory, Enterprise Solutions and Analytics, Strategy and Innovation, and Life Sciences. The Business Advisory, Enterprise Solutions and Analytics, Strategy and Innovation, and Life Sciences reporting units make up our Business Advisory operating segment.</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GAAP, we have the option to first assess qualitative factors to determine whether the existence of current events or circumstances would lead to a determination that it is more likely than not that the fair value of one of our reporting units is greater than its carrying value. If we determine it is more likely than not that the fair value of a reporting unit is greater than its carrying value, no further testing is necessary. However, if we conclude otherwise, then we are required to perform a quantitative impairment test by calculating the fair value of the reporting unit and comparing the fair value with the carrying value of the reporting unit. If the fair value of the reporting unit is less than 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carrying value, a non-cash impairment charge is recorded in an amount equal to that difference with the loss not to exceed the total amount of goodwill allocated to the reporting unit.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have the option to bypass the qualitative assessment for any reporting unit and proceed directly to performing the quantitative goodwill impairment test.</w:t>
      </w:r>
    </w:p>
    <w:p>
      <w:pPr>
        <w:spacing w:after="0" w:line="1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reporting units where we perform the quantitative test, we determine the fair value using a combination of the income approach and the market approach. For a company such as ours, the income and market approaches will generally provide the most reliable indications of fair value because the value of such companies is dependent on their ability to generate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goodwill impairment tests performed during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2017 Goodwill Reallocation</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second quarter of 2017, we reorganized our internal financial reporting structure, which management uses to assess performance and allocate resources, by moving our Life Sciences practice from the Education and Life Sciences reporting unit and segment to its own reporting unit within the Business Advisory segment. The remaining Education and Life Sciences segment is now referred to as the Education segment.</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reorganization, we reallocated $10.8 million of the goodwill balance associated with the previous Education and Life Sciences reporting unit to the new Life Sciences reporting unit based on the relative fair values of the Life Sciences reporting unit and the remaining Education reporting unit. The estimated fair values were determined using a combination of the income approach and the market approach, utilizing the guideline company method, with a fifty-fifty weighting.</w:t>
      </w:r>
    </w:p>
    <w:p>
      <w:pPr>
        <w:spacing w:after="0" w:line="13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conjunction with the goodwill reallocation, we performed a goodwill impairment test for the goodwill balances within our Education reporting unit and Life Sciences reporting unit as of June 1, 2017. Based on the results of the goodwill impairment test, we determined that the fair values of our Education reporting unit and Life Sciences reporting unit exceeded their carrying values. As such, we concluded there was no indication of goodwill impairment for either reporting unit at that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2017 Goodwill Impairment Analysis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second quarter of 2017, we performed a goodwill impairment analysis for our Healthcare reporting unit as our Healthcare business had experienced a prolonged period of declining revenues, primarily driven by softness in our revenue cycle offering within our performance improvement solution. This softness was attributable to decreased demand for our services, the winding down of some of our larger projects, and a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and workforce reductions to better align resources with market demand. While the initiatives undertaken to improve the financial performance of our Healthcare segment began yielding some positive impacts, hospitals and health systems continued to face regulatory and funding uncertainty; therefore, we remained cautious about near-term growth. As we had previously disclosed in prior quarters, if the financial performance of our Healthcare segment continued to decline and did not meet our expectations, we could be required to perform an interim impairment analysis with respect to our carrying value of goodwill for the Healthcare reporting unit prior to our usual annual test. Based on forecasts prepared in the second quarter of 2017 in connection with our quarterly forecasting cycle, we determined that the likely time frame to improve the financial results of this segment would take longer than originally anticipated. As such, we concluded, during the second quarter of 2017, that the fair value of the Healthcare reporting unit may have no longer exceeded its carrying value. In connection with the preparation of our financial statements for the quarter ended June 30, 2017, we performed an interim impairment test on the Healthcare reporting unit.</w:t>
      </w:r>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interim goodwill impairment test indicated that the fair value of the Healthcare reporting was lower than its carrying value, which resulted in an impairment charge for the difference. To estimate the fair value of the Healthcare reporting unit, we relied on a combination of the income approach and the market approach, utilizing the guideline company method, with a fifty-fifty weighting. Based on the estimated fair value of the Healthcare reporting unit, we recorded a $208.1 million non-cash pretax goodwill impairment charge to reduce the carrying value of goodwill in our Healthcare reporting unit. Refer to Note 5 “Goodwill and Intangible Assets" within the notes to the consolidated financial statements for additional information on our interim goodwill impairment analysis.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Annual Goodwill Impairment Analysis</w:t>
      </w:r>
    </w:p>
    <w:p>
      <w:pPr>
        <w:spacing w:after="0" w:line="17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Pursuant to our policy, we performed our annual goodwill impairment test as of November 30, 2017 on our six reporting units with goodwill balances: Healthcare, Education, Business Advisory, Enterprise Solutions and Analytics, Strategy and Innovation, and Life Sciences. We elected to bypass the qualitative assessment and proceeded directly to the quantitative goodwill impairment test.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each reporting unit, we reviewed goodwill for impairment by comparing the fair value of the reporting unit to its carrying value, including goodwill. In estimating the fair value of each reporting unit, we relied on a combination of the income approach and the market approach, utilizing the guideline company method, with a fifty-fifty weighting. Based on the results of the goodwill impairment test, we determined that the fair value of the Healthcare, Education, Business Advisory, Strategy and Innovation, and Life Sciences reporting units exceeded their carrying value by 40%, 120%, 115%, 33%, and 14%, respectively. As such, we concluded that there was no indication of goodwill impairment for these five reporting units. However, the results of the quantitative impairment test indicated that the fair value of the Enterprise Solutions and Analytics reporting unit did not exceed its carrying value. Based on the estimated fair value of the Enterprise Solutions and Analytics reporting unit, we recorded a $45.0 million non-cash pretax charge to reduce the carrying value of this reporting unit's goodwill to zero.</w:t>
      </w:r>
    </w:p>
    <w:p>
      <w:pPr>
        <w:spacing w:after="0" w:line="1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Enterprise Solutions and Analytics reporting unit was established with the acquisition of Blue Stone International, LLC in 2013. Since that time, we completed five additional business acquisitions within the reporting unit, most recently the acquisitions of the U.S. assets and international assets of ADI Strategies in May 2016 and April 2017, respectively.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 Therefore, the initial accounting for an acquisition results in its fair value equaling its carrying value. As we have previously disclosed in prior quarters, due to this reporting unit’s relatively low headroom, in the event that the financial performance of the reporting unit did not meet our expectations during 2017, we could be required to take a non-cash impairment charge as a result of any goodwill impairment test. During the first three quarters of 2017, the performance of Enterprise Solutions and Analytics continued to reasonably meet our expectations. However, both revenues and operating margin during the fourth quarter of 2017 fell short of our expectations resulting in a reduction in workforce within the reporting unit during that quarter. Further, in connection with our annual budget process for 2018, which coincided with our annual goodwill impairment test during the fourth quarter of 2017, we determined that the reporting unit's expected future revenue growth rates and operating margin would be lower than previously anticipated for this reporting unit. As a result, our goodwill impairment test indicated that the fair value of the Enterprise Solutions and Analytics reporting unit no longer exceeded its carrying value, and we recorded a $45.0 million non-cash pretax charge to write off the entire carrying value of this reporting unit's goodwill.</w:t>
      </w:r>
    </w:p>
    <w:p>
      <w:pPr>
        <w:spacing w:after="0" w:line="13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income approach used to calculate the fair value of all reporting units, we utilized a discounted cash flow analysis, which involves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market conditions, tax rates reflecting anticipated tax reform, and discount rates reflecting the risk inherent in future cash flows for each reporting unit. In estimating future cash flows, we relied on internally generated forecasts for each reporting unit based on historical experience, current backlog, expected market demand, and other industry information, and assumed a long-term annual revenue growth rate of 3.5% for all reporting units. Our discounted cash flow analysis assumed a weighted average cost of capital discount rate of 10.5% for the Healthcare, Education, and Life Sciences reporting units, 14.5% for the Business Advisory reporting unit, 13.0% for the Enterprise Solutions and Analytics reporting unit, and 15.0% for the Strategy and Innovation reporting unit.</w:t>
      </w:r>
    </w:p>
    <w:p>
      <w:pPr>
        <w:spacing w:after="0" w:line="12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For each reporting unit, these multiples are evaluated and adjusted based on specific characteristics of the reporting unit relative to the selected guideline companies and applied to the reporting unit's operating data to arrive at an indication of value.</w:t>
      </w:r>
    </w:p>
    <w:p>
      <w:pPr>
        <w:spacing w:after="0" w:line="100"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goodwill impairment charge is recognized and also the magnitude of any such charge. The results of an impairment analysis are as of a point in time.</w:t>
      </w:r>
    </w:p>
    <w:p>
      <w:pPr>
        <w:jc w:val="both"/>
        <w:ind w:right="80"/>
        <w:spacing w:after="0" w:line="255" w:lineRule="auto"/>
        <w:rPr>
          <w:sz w:val="20"/>
          <w:szCs w:val="20"/>
          <w:color w:val="auto"/>
        </w:rPr>
      </w:pPr>
      <w:r>
        <w:rPr>
          <w:rFonts w:ascii="Arial" w:cs="Arial" w:eastAsia="Arial" w:hAnsi="Arial"/>
          <w:sz w:val="18"/>
          <w:szCs w:val="18"/>
          <w:color w:val="auto"/>
        </w:rPr>
        <w:t>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1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Life Sciences reporting unit has also been established primarily through recent business acquisitions: The Frankel Group Associates LLC in January 2014 and Pope Woodhead in January 2017. As discussed above, goodwill is recorded for such business acquisitions as the excess of purchase price over the fair value of the tangible and identifiable intangible assets acquired and liabilities assumed, resulting in the fair value equaling the carrying value at the acquisition date. Based on the results of our annual goodwill impairment test as of November 30, 2017, the Life Sciences reporting unit's fair value exceeded its carrying value by 14%. We will monitor any changes to our assumptions and will evaluate goodwill as deemed warranted during future periods. In the event that the financial performance of the reporting unit does not meet our expectations during 2018, we may be required to perform an interim impairment analysis with respect to the carrying value of goodwill for this reporting unit prior to our annual test, and based on the outcome of that analysis, could be required to take a non-cash goodwill impairment charge as a result of any such test.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table below presents, based on the goodwill impairment test performed as of November 30, 2017, the decrease in the fair value of our reporting units given a 100 basis point increase in the assumed discount rate or a 100 basis point decrease in the assumed long-term annual revenue growth rate. The table below excludes the Enterprise Solutions and Analytics reporting unit as its carrying value of goodwill was reduced to zero as a result of our 2017 annual goodwill impairment test and an increase in the assumed discount rate or a decrease in the assumed long-term growth rate would not result in a change to the non-cash impairment charge.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Discount rate</w:t>
            </w:r>
          </w:p>
        </w:tc>
        <w:tc>
          <w:tcPr>
            <w:tcW w:w="240" w:type="dxa"/>
            <w:vAlign w:val="bottom"/>
          </w:tcPr>
          <w:p>
            <w:pPr>
              <w:spacing w:after="0"/>
              <w:rPr>
                <w:sz w:val="18"/>
                <w:szCs w:val="18"/>
                <w:color w:val="auto"/>
              </w:rPr>
            </w:pPr>
          </w:p>
        </w:tc>
        <w:tc>
          <w:tcPr>
            <w:tcW w:w="2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Long-term growth rate</w:t>
            </w:r>
          </w:p>
        </w:tc>
      </w:tr>
      <w:tr>
        <w:trPr>
          <w:trHeight w:val="216"/>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increased by</w:t>
            </w:r>
          </w:p>
        </w:tc>
        <w:tc>
          <w:tcPr>
            <w:tcW w:w="240" w:type="dxa"/>
            <w:vAlign w:val="bottom"/>
          </w:tcPr>
          <w:p>
            <w:pPr>
              <w:spacing w:after="0"/>
              <w:rPr>
                <w:sz w:val="18"/>
                <w:szCs w:val="18"/>
                <w:color w:val="auto"/>
              </w:rPr>
            </w:pPr>
          </w:p>
        </w:tc>
        <w:tc>
          <w:tcPr>
            <w:tcW w:w="2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decreased by</w:t>
            </w:r>
          </w:p>
        </w:tc>
      </w:t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100 bps</w:t>
            </w:r>
          </w:p>
        </w:tc>
        <w:tc>
          <w:tcPr>
            <w:tcW w:w="240" w:type="dxa"/>
            <w:vAlign w:val="bottom"/>
          </w:tcPr>
          <w:p>
            <w:pPr>
              <w:spacing w:after="0"/>
              <w:rPr>
                <w:sz w:val="20"/>
                <w:szCs w:val="20"/>
                <w:color w:val="auto"/>
              </w:rPr>
            </w:pPr>
          </w:p>
        </w:tc>
        <w:tc>
          <w:tcPr>
            <w:tcW w:w="2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100 bps</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(46,700)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(32,600)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(1,400)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Strategy and Innovation:</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Life Sciences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(1,400)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378"/>
        </w:trPr>
        <w:tc>
          <w:tcPr>
            <w:tcW w:w="8960" w:type="dxa"/>
            <w:vAlign w:val="bottom"/>
            <w:gridSpan w:val="4"/>
          </w:tcPr>
          <w:p>
            <w:pPr>
              <w:spacing w:after="0"/>
              <w:rPr>
                <w:sz w:val="20"/>
                <w:szCs w:val="20"/>
                <w:color w:val="auto"/>
              </w:rPr>
            </w:pPr>
            <w:r>
              <w:rPr>
                <w:rFonts w:ascii="Arial" w:cs="Arial" w:eastAsia="Arial" w:hAnsi="Arial"/>
                <w:sz w:val="18"/>
                <w:szCs w:val="18"/>
                <w:color w:val="auto"/>
                <w:w w:val="95"/>
              </w:rPr>
              <w:t>The carrying values of goodwill for each of our reporting units as of December 31, 2017 are as follows (in thousands):</w:t>
            </w: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Carrying Value</w:t>
            </w:r>
          </w:p>
        </w:tc>
      </w:tr>
      <w:tr>
        <w:trPr>
          <w:trHeight w:val="234"/>
        </w:trPr>
        <w:tc>
          <w:tcPr>
            <w:tcW w:w="9720" w:type="dxa"/>
            <w:vAlign w:val="bottom"/>
            <w:gridSpan w:val="2"/>
          </w:tcPr>
          <w:p>
            <w:pPr>
              <w:ind w:left="40"/>
              <w:spacing w:after="0"/>
              <w:rPr>
                <w:sz w:val="20"/>
                <w:szCs w:val="20"/>
                <w:color w:val="auto"/>
              </w:rPr>
            </w:pPr>
            <w:r>
              <w:rPr>
                <w:rFonts w:ascii="Arial" w:cs="Arial" w:eastAsia="Arial" w:hAnsi="Arial"/>
                <w:sz w:val="18"/>
                <w:szCs w:val="18"/>
                <w:b w:val="1"/>
                <w:bCs w:val="1"/>
                <w:color w:val="auto"/>
              </w:rPr>
              <w:t>Reporting Unit</w:t>
            </w:r>
          </w:p>
        </w:tc>
        <w:tc>
          <w:tcPr>
            <w:tcW w:w="1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9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428,729</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102,829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Enterprise Solutions and Analytics</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Strategy and Innovation</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87,411</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Life Sciences</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10,687</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645,750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$72.3 million at December 31, 2017 and primarily consist of customer relationships, trade names, customer contracts, technology and software, non-competition agreements, and publishing content,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w:t>
      </w:r>
    </w:p>
    <w:p>
      <w:pPr>
        <w:spacing w:after="0" w:line="1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w:t>
      </w:r>
    </w:p>
    <w:p>
      <w:pPr>
        <w:spacing w:after="0" w:line="10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 for information on new accounting pronouncements.</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$233.1 million as of December 31, 2017, which represents the liability component of the $250 million principal balance. The estimated fair value of our Convertible Notes at December 31, 2017 was $232.6 million, and was determined based on the quoted bid price of the Convertible Notes in an over-the-counter market as of the last day of trading for the year ended December 31, 2017, which was $93.031 per $100 principal amount. At December 31, 2016, the carrying value of our Convertible Notes was $224.1 million, and the estimated fair value of our Convertible Notes was $245.0 million, which was determined based on the quoted bid price of the Convertible Notes in an over-the-counter market as of the last day of trading for the year ended December 31, 2016, which was $98.007 per $100 principal amount.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December 31, 2017, we had borrowings outstanding under the credit facility totaling $105.0 million that carried a weighted average interest rate of 3.7% including the impact of the interest rate swap described below. A hypothetical 100 basis point change in this interest rate would have a $0.6 million effect on our pretax income, on an annualized basis, including the effect of the interest rate swap. At December 31, 2016, our borrowings outstanding under the credit facility totaled $68.0 million and carried a weighted average interest rate of 2.5%, including the effect of the interest rate swap described below. The outstanding borrowings at December 31, 2016 were fully hedged against changes in interest rates by our interest rate swap, which had a notional amount of $68.0 million at December 31, 2016.</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August 31, 2017. We entered into this derivative instrument to hedge against the interest rate risks of our variable-rate borrowings. The swap had an initial notional amount of $60.0 million and amortized quarterly until April 2016. In April 2016, the notional amount of this interest rate swap increased to $86.0 million and continued to amortize quarterly until it expired in August 2017. Under the terms of the interest rate swap agreement, we received from the counterparty interest on the notional amount based on one-month LIBOR and we paid to the counterparty a fixed rate of 0.985%.</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continue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also have exposure to changes in interest rates associated with the promissory note assumed on June 30, 2017 in connection with our purchase of an aircraft, which has variable interest rates tied to LIBOR. At December 31, 2017, the outstanding principal amount of the promissory note was $4.9 million and carried an interest rate of 3.2%. A hypothetical 100 basis point change in this interest rate would have a de minimis effect on our pretax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December 31, 2017, the fair value of the investment was $39.9 million, with a total cost basis of $27.9 million. At December 31, 2016, the fair value of the investment was $34.7 million, with a total cost basis of $27.9 million.</w:t>
      </w:r>
    </w:p>
    <w:p>
      <w:pPr>
        <w:spacing w:after="0" w:line="1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2017. Based on this evaluation, our Chief Executive Officer and Chief Financial Officer have concluded that, as of December 31, 2017,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right="4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2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2017 using the criteria set forth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w:t>
      </w:r>
      <w:r>
        <w:rPr>
          <w:rFonts w:ascii="Arial" w:cs="Arial" w:eastAsia="Arial" w:hAnsi="Arial"/>
          <w:sz w:val="17"/>
          <w:szCs w:val="17"/>
          <w:i w:val="1"/>
          <w:iCs w:val="1"/>
          <w:color w:val="auto"/>
        </w:rPr>
        <w:t>.</w:t>
      </w:r>
      <w:r>
        <w:rPr>
          <w:rFonts w:ascii="Arial" w:cs="Arial" w:eastAsia="Arial" w:hAnsi="Arial"/>
          <w:sz w:val="17"/>
          <w:szCs w:val="17"/>
          <w:color w:val="auto"/>
        </w:rPr>
        <w:t xml:space="preserve"> As a result of that evaluation, management concluded that our internal control over financial reporting was effective as of December 31, 2017.</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2017 has been audited by PricewaterhouseCoopers LLP, an independent registered public accounting firm, as stated in their report appearing on page F-2 of this Annual Report on Form 10-K.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December 31, 2017 that has materially affected, or is reasonably likely to materially affect, our internal control over financial reporting.</w:t>
      </w:r>
    </w:p>
    <w:p>
      <w:pPr>
        <w:spacing w:after="0" w:line="12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tab/>
        <w:t>OTHER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April 30, 2018 (the “Proxy Statement”) under “Nominees to Board of Directors,” “Directors Not Standing For Election” and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“Section 16(a) Beneficial Ownership Reporting Compliance.”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We have adopted a Code of Business Conduct and Ethics (the “Code”) that is applicable to all of our employees, officers and directors. The Code is available on the Corporate Governance page of our investor relations website at </w:t>
      </w:r>
      <w:r>
        <w:rPr>
          <w:rFonts w:ascii="Arial" w:cs="Arial" w:eastAsia="Arial" w:hAnsi="Arial"/>
          <w:sz w:val="16"/>
          <w:szCs w:val="16"/>
          <w:u w:val="single" w:color="auto"/>
          <w:color w:val="auto"/>
        </w:rPr>
        <w:t>ir.huronconsultinggroup.com</w:t>
      </w:r>
      <w:r>
        <w:rPr>
          <w:rFonts w:ascii="Arial" w:cs="Arial" w:eastAsia="Arial" w:hAnsi="Arial"/>
          <w:sz w:val="16"/>
          <w:szCs w:val="16"/>
          <w:color w:val="auto"/>
        </w:rPr>
        <w:t>. If we make any amendments to or grant any waivers from the Code which are required to be disclosed pursuant to the Securities Exchange Act of 1934, we will make such disclosures on our website.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“Board Meetings and Committees.”</w:t>
      </w:r>
    </w:p>
    <w:p>
      <w:pPr>
        <w:spacing w:after="0" w:line="17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“Compensation Committee Report.”</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125" w:right="3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80" w:right="46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information with respect to equity compensation plans approved by shareholders as of December 31, 2017. We do not have equity compensation plans that have not been approved by shareholders.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to be Issued Upon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 Future Issuance</w:t>
            </w:r>
          </w:p>
        </w:tc>
      </w:t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Exercise Price of</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(excluding shares in</w:t>
            </w:r>
          </w:p>
        </w:tc>
      </w:tr>
      <w:tr>
        <w:trPr>
          <w:trHeight w:val="194"/>
        </w:trPr>
        <w:tc>
          <w:tcPr>
            <w:tcW w:w="5040" w:type="dxa"/>
            <w:vAlign w:val="bottom"/>
            <w:gridSpan w:val="3"/>
          </w:tcPr>
          <w:p>
            <w:pPr>
              <w:ind w:left="40"/>
              <w:spacing w:after="0" w:line="194" w:lineRule="exact"/>
              <w:rPr>
                <w:sz w:val="20"/>
                <w:szCs w:val="20"/>
                <w:color w:val="auto"/>
              </w:rPr>
            </w:pPr>
            <w:r>
              <w:rPr>
                <w:rFonts w:ascii="Arial" w:cs="Arial" w:eastAsia="Arial" w:hAnsi="Arial"/>
                <w:sz w:val="18"/>
                <w:szCs w:val="18"/>
                <w:color w:val="auto"/>
              </w:rPr>
              <w:t>Plan Category</w:t>
            </w:r>
          </w:p>
        </w:tc>
        <w:tc>
          <w:tcPr>
            <w:tcW w:w="19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2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6"/>
              </w:rPr>
              <w:t>1</w:t>
            </w:r>
            <w:r>
              <w:rPr>
                <w:rFonts w:ascii="Arial" w:cs="Arial" w:eastAsia="Arial" w:hAnsi="Arial"/>
                <w:sz w:val="21"/>
                <w:szCs w:val="21"/>
                <w:b w:val="1"/>
                <w:bCs w:val="1"/>
                <w:color w:val="auto"/>
                <w:w w:val="86"/>
                <w:vertAlign w:val="superscript"/>
              </w:rPr>
              <w:t>st</w:t>
            </w:r>
            <w:r>
              <w:rPr>
                <w:rFonts w:ascii="Arial" w:cs="Arial" w:eastAsia="Arial" w:hAnsi="Arial"/>
                <w:sz w:val="18"/>
                <w:szCs w:val="18"/>
                <w:b w:val="1"/>
                <w:bCs w:val="1"/>
                <w:color w:val="auto"/>
                <w:w w:val="86"/>
              </w:rPr>
              <w:t xml:space="preserve"> column)</w:t>
            </w:r>
          </w:p>
        </w:tc>
      </w:tr>
      <w:tr>
        <w:trPr>
          <w:trHeight w:val="48"/>
        </w:trPr>
        <w:tc>
          <w:tcPr>
            <w:tcW w:w="40" w:type="dxa"/>
            <w:vAlign w:val="bottom"/>
            <w:tcBorders>
              <w:bottom w:val="single" w:sz="8" w:color="CCEEFF"/>
            </w:tcBorders>
          </w:tcPr>
          <w:p>
            <w:pPr>
              <w:spacing w:after="0"/>
              <w:rPr>
                <w:sz w:val="4"/>
                <w:szCs w:val="4"/>
                <w:color w:val="auto"/>
              </w:rPr>
            </w:pPr>
          </w:p>
        </w:tc>
        <w:tc>
          <w:tcPr>
            <w:tcW w:w="1020" w:type="dxa"/>
            <w:vAlign w:val="bottom"/>
            <w:tcBorders>
              <w:top w:val="single" w:sz="8" w:color="auto"/>
              <w:bottom w:val="single" w:sz="8" w:color="CCEEFF"/>
            </w:tcBorders>
          </w:tcPr>
          <w:p>
            <w:pPr>
              <w:spacing w:after="0"/>
              <w:rPr>
                <w:sz w:val="4"/>
                <w:szCs w:val="4"/>
                <w:color w:val="auto"/>
              </w:rPr>
            </w:pPr>
          </w:p>
        </w:tc>
        <w:tc>
          <w:tcPr>
            <w:tcW w:w="3980" w:type="dxa"/>
            <w:vAlign w:val="bottom"/>
            <w:tcBorders>
              <w:bottom w:val="single" w:sz="8" w:color="CCEEFF"/>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shareholders: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 xml:space="preserve">2004 Omnibus Stock Plan </w:t>
            </w:r>
            <w:r>
              <w:rPr>
                <w:rFonts w:ascii="Arial" w:cs="Arial" w:eastAsia="Arial" w:hAnsi="Arial"/>
                <w:sz w:val="21"/>
                <w:szCs w:val="21"/>
                <w:color w:val="auto"/>
                <w:vertAlign w:val="superscript"/>
              </w:rPr>
              <w:t>(1)</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157,680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3"/>
                <w:szCs w:val="23"/>
                <w:color w:val="auto"/>
              </w:rPr>
            </w:pPr>
          </w:p>
        </w:tc>
        <w:tc>
          <w:tcPr>
            <w:tcW w:w="2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2012 Omnibus Incentive Plan </w:t>
            </w:r>
            <w:r>
              <w:rPr>
                <w:rFonts w:ascii="Arial" w:cs="Arial" w:eastAsia="Arial" w:hAnsi="Arial"/>
                <w:sz w:val="21"/>
                <w:szCs w:val="21"/>
                <w:color w:val="auto"/>
                <w:vertAlign w:val="superscript"/>
              </w:rPr>
              <w:t>(2)</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36,617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1,273,361</w:t>
            </w:r>
          </w:p>
        </w:tc>
        <w:tc>
          <w:tcPr>
            <w:tcW w:w="34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 xml:space="preserve">Stock Ownership Participation Program </w:t>
            </w:r>
            <w:r>
              <w:rPr>
                <w:rFonts w:ascii="Arial" w:cs="Arial" w:eastAsia="Arial" w:hAnsi="Arial"/>
                <w:sz w:val="21"/>
                <w:szCs w:val="21"/>
                <w:color w:val="auto"/>
                <w:vertAlign w:val="superscript"/>
              </w:rPr>
              <w:t>(3)</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141,153</w:t>
            </w:r>
          </w:p>
        </w:tc>
        <w:tc>
          <w:tcPr>
            <w:tcW w:w="340" w:type="dxa"/>
            <w:vAlign w:val="bottom"/>
          </w:tcPr>
          <w:p>
            <w:pPr>
              <w:spacing w:after="0"/>
              <w:rPr>
                <w:sz w:val="23"/>
                <w:szCs w:val="23"/>
                <w:color w:val="auto"/>
              </w:rPr>
            </w:pPr>
          </w:p>
        </w:tc>
      </w:tr>
      <w:tr>
        <w:trPr>
          <w:trHeight w:val="27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N/A</w:t>
            </w:r>
          </w:p>
        </w:tc>
        <w:tc>
          <w:tcPr>
            <w:tcW w:w="226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N/A</w:t>
            </w:r>
          </w:p>
        </w:tc>
      </w:tr>
      <w:tr>
        <w:trPr>
          <w:trHeight w:val="257"/>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194,297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1,414,514</w:t>
            </w:r>
          </w:p>
        </w:tc>
        <w:tc>
          <w:tcPr>
            <w:tcW w:w="34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right="520" w:hanging="412"/>
        <w:spacing w:after="0" w:line="342"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2004 Omnibus Stock Plan was approved by the existing shareholders prior to our initial public offering. Upon adoption of the 2012 Omnibus Incentive Plan, we terminated the 2004 Omnibus Stock Plan with respect to future awards and no further awards will be granted under this plan.</w:t>
      </w:r>
    </w:p>
    <w:p>
      <w:pPr>
        <w:spacing w:after="0" w:line="69" w:lineRule="exact"/>
        <w:rPr>
          <w:rFonts w:ascii="Arial" w:cs="Arial" w:eastAsia="Arial" w:hAnsi="Arial"/>
          <w:sz w:val="16"/>
          <w:szCs w:val="16"/>
          <w:color w:val="auto"/>
        </w:rPr>
      </w:pPr>
    </w:p>
    <w:p>
      <w:pPr>
        <w:ind w:left="420" w:right="40" w:hanging="412"/>
        <w:spacing w:after="0" w:line="25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2012 Omnibus Incentive Plan was approved by our shareholders at our annual meeting held on May 1, 2012. At our annual meeting held on May 2, 2014, our shareholders approved an amendment to the 2012 Omnibus Incentive Plan to increase the number of shares reserved for issuance thereunder by 850,000 shares. At our annual meeting held on May 5, 2017, our shareholders approved an amended and restated 2012 Omnibus Incentive Plan which increased the number of shares authorized for issuance by 804,000 shares.</w:t>
      </w:r>
    </w:p>
    <w:p>
      <w:pPr>
        <w:spacing w:after="0" w:line="132" w:lineRule="exact"/>
        <w:rPr>
          <w:rFonts w:ascii="Arial" w:cs="Arial" w:eastAsia="Arial" w:hAnsi="Arial"/>
          <w:sz w:val="18"/>
          <w:szCs w:val="18"/>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Stock Ownership Participation Program was approved by our shareholders at our annual meeting held on May 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line="209" w:lineRule="auto"/>
        <w:framePr w:w="2160" w:h="160" w:wrap="auto" w:vAnchor="page" w:hAnchor="page" w:x="7960" w:y="5598"/>
        <w:rPr>
          <w:rFonts w:ascii="Arial" w:cs="Arial" w:eastAsia="Arial" w:hAnsi="Arial"/>
          <w:sz w:val="16"/>
          <w:szCs w:val="16"/>
          <w:b w:val="1"/>
          <w:bCs w:val="1"/>
          <w:color w:val="auto"/>
        </w:rPr>
      </w:pPr>
      <w:r>
        <w:rPr>
          <w:rFonts w:ascii="Arial" w:cs="Arial" w:eastAsia="Arial" w:hAnsi="Arial"/>
          <w:sz w:val="16"/>
          <w:szCs w:val="16"/>
          <w:b w:val="1"/>
          <w:bCs w:val="1"/>
          <w:color w:val="auto"/>
        </w:rPr>
        <w:t>Incorporated by Reference</w:t>
      </w:r>
    </w:p>
    <w:p>
      <w:pPr>
        <w:spacing w:after="0" w:line="218" w:lineRule="auto"/>
        <w:framePr w:w="4300" w:h="376" w:wrap="auto" w:vAnchor="page" w:hAnchor="page" w:x="1260" w:y="2924"/>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 Consolidated Balance Sheets</w:t>
      </w:r>
    </w:p>
    <w:p>
      <w:pPr>
        <w:spacing w:after="0" w:line="218" w:lineRule="auto"/>
        <w:framePr w:w="5420" w:h="376" w:wrap="auto" w:vAnchor="page" w:hAnchor="page" w:x="1260" w:y="3356"/>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Operations and Other Comprehensive Income Consolidated Statements of Stockholders’ Equity</w:t>
      </w:r>
    </w:p>
    <w:p>
      <w:pPr>
        <w:spacing w:after="0" w:line="245" w:lineRule="auto"/>
        <w:framePr w:w="3240" w:h="376" w:wrap="auto" w:vAnchor="page" w:hAnchor="page" w:x="1260" w:y="3788"/>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of Cash Flows Notes to Consolidated Financial Statements</w:t>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07"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60" w:lineRule="exact"/>
        <w:rPr>
          <w:rFonts w:ascii="Arial" w:cs="Arial" w:eastAsia="Arial" w:hAnsi="Arial"/>
          <w:sz w:val="16"/>
          <w:szCs w:val="16"/>
          <w:b w:val="1"/>
          <w:bCs w:val="1"/>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98"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75" w:lineRule="exact"/>
        <w:rPr>
          <w:rFonts w:ascii="Arial" w:cs="Arial" w:eastAsia="Arial" w:hAnsi="Arial"/>
          <w:sz w:val="16"/>
          <w:szCs w:val="16"/>
          <w:b w:val="1"/>
          <w:bCs w:val="1"/>
          <w:color w:val="auto"/>
        </w:rPr>
      </w:pPr>
    </w:p>
    <w:p>
      <w:pPr>
        <w:ind w:left="820" w:right="60" w:hanging="812"/>
        <w:spacing w:after="0" w:line="277" w:lineRule="auto"/>
        <w:tabs>
          <w:tab w:leader="none" w:pos="8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48" w:lineRule="exact"/>
        <w:rPr>
          <w:rFonts w:ascii="Arial" w:cs="Arial" w:eastAsia="Arial" w:hAnsi="Arial"/>
          <w:sz w:val="16"/>
          <w:szCs w:val="16"/>
          <w:b w:val="1"/>
          <w:bCs w:val="1"/>
          <w:color w:val="auto"/>
        </w:rPr>
      </w:pPr>
    </w:p>
    <w:p>
      <w:pPr>
        <w:ind w:left="820" w:hanging="812"/>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4198620</wp:posOffset>
            </wp:positionH>
            <wp:positionV relativeFrom="paragraph">
              <wp:posOffset>392430</wp:posOffset>
            </wp:positionV>
            <wp:extent cx="2778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20"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1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860" w:type="dxa"/>
            <w:vAlign w:val="bottom"/>
            <w:gridSpan w:val="27"/>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Ending</w:t>
            </w: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160" w:type="dxa"/>
            <w:vAlign w:val="bottom"/>
          </w:tcPr>
          <w:p>
            <w:pPr>
              <w:ind w:left="2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2.1</w:t>
            </w:r>
          </w:p>
        </w:tc>
        <w:tc>
          <w:tcPr>
            <w:tcW w:w="3440" w:type="dxa"/>
            <w:vAlign w:val="bottom"/>
            <w:tcBorders>
              <w:bottom w:val="single" w:sz="8" w:color="0000FF"/>
            </w:tcBorders>
            <w:gridSpan w:val="16"/>
          </w:tcPr>
          <w:p>
            <w:pPr>
              <w:spacing w:after="0" w:line="196" w:lineRule="exact"/>
              <w:rPr>
                <w:rFonts w:ascii="Arial" w:cs="Arial" w:eastAsia="Arial" w:hAnsi="Arial"/>
                <w:sz w:val="18"/>
                <w:szCs w:val="18"/>
                <w:color w:val="0000FF"/>
                <w:w w:val="88"/>
              </w:rPr>
            </w:pPr>
            <w:hyperlink r:id="rId12">
              <w:r>
                <w:rPr>
                  <w:rFonts w:ascii="Arial" w:cs="Arial" w:eastAsia="Arial" w:hAnsi="Arial"/>
                  <w:sz w:val="18"/>
                  <w:szCs w:val="18"/>
                  <w:color w:val="0000FF"/>
                  <w:w w:val="88"/>
                </w:rPr>
                <w:t>Purchase Agreement, dated as of December 10,</w:t>
              </w:r>
            </w:hyperlink>
          </w:p>
        </w:tc>
        <w:tc>
          <w:tcPr>
            <w:tcW w:w="42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1/7/2016</w:t>
            </w:r>
          </w:p>
        </w:tc>
      </w:tr>
      <w:tr>
        <w:trPr>
          <w:trHeight w:val="196"/>
        </w:trPr>
        <w:tc>
          <w:tcPr>
            <w:tcW w:w="920" w:type="dxa"/>
            <w:vAlign w:val="bottom"/>
          </w:tcPr>
          <w:p>
            <w:pPr>
              <w:spacing w:after="0"/>
              <w:rPr>
                <w:sz w:val="17"/>
                <w:szCs w:val="17"/>
                <w:color w:val="auto"/>
              </w:rPr>
            </w:pPr>
          </w:p>
        </w:tc>
        <w:tc>
          <w:tcPr>
            <w:tcW w:w="37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2015, by and among Huron Consulting Group Inc.,</w:t>
              </w:r>
            </w:hyperlink>
          </w:p>
        </w:tc>
        <w:tc>
          <w:tcPr>
            <w:tcW w:w="1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7"/>
          </w:tcPr>
          <w:p>
            <w:pPr>
              <w:spacing w:after="0" w:line="196" w:lineRule="exact"/>
              <w:rPr>
                <w:rFonts w:ascii="Arial" w:cs="Arial" w:eastAsia="Arial" w:hAnsi="Arial"/>
                <w:sz w:val="18"/>
                <w:szCs w:val="18"/>
                <w:color w:val="0000FF"/>
                <w:w w:val="95"/>
              </w:rPr>
            </w:pPr>
            <w:hyperlink r:id="rId12">
              <w:r>
                <w:rPr>
                  <w:rFonts w:ascii="Arial" w:cs="Arial" w:eastAsia="Arial" w:hAnsi="Arial"/>
                  <w:sz w:val="18"/>
                  <w:szCs w:val="18"/>
                  <w:color w:val="0000FF"/>
                  <w:w w:val="95"/>
                </w:rPr>
                <w:t>Huron Consulting Services LLC, Huron Consulting</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Group Holdings LLC, and Consilio, Inc.</w:t>
              </w:r>
            </w:hyperlink>
          </w:p>
        </w:tc>
        <w:tc>
          <w:tcPr>
            <w:tcW w:w="14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3860" w:type="dxa"/>
            <w:vAlign w:val="bottom"/>
            <w:gridSpan w:val="27"/>
          </w:tcPr>
          <w:p>
            <w:pPr>
              <w:spacing w:after="0"/>
              <w:rPr>
                <w:rFonts w:ascii="Arial" w:cs="Arial" w:eastAsia="Arial" w:hAnsi="Arial"/>
                <w:sz w:val="18"/>
                <w:szCs w:val="18"/>
                <w:color w:val="0000FF"/>
              </w:rPr>
            </w:pPr>
            <w:hyperlink r:id="rId13">
              <w:r>
                <w:rPr>
                  <w:rFonts w:ascii="Arial" w:cs="Arial" w:eastAsia="Arial" w:hAnsi="Arial"/>
                  <w:sz w:val="18"/>
                  <w:szCs w:val="18"/>
                  <w:color w:val="0000FF"/>
                </w:rPr>
                <w:t>Third Amended and Restated Certificate of</w:t>
              </w:r>
            </w:hyperlink>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12/31/2004</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2/16/2005</w:t>
            </w:r>
          </w:p>
        </w:tc>
      </w:tr>
      <w:tr>
        <w:trPr>
          <w:trHeight w:val="20"/>
        </w:trPr>
        <w:tc>
          <w:tcPr>
            <w:tcW w:w="9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36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Incorporation of Huron Consulting Group Inc.</w:t>
              </w:r>
            </w:hyperlink>
          </w:p>
        </w:tc>
        <w:tc>
          <w:tcPr>
            <w:tcW w:w="50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3800" w:type="dxa"/>
            <w:vAlign w:val="bottom"/>
            <w:tcBorders>
              <w:bottom w:val="single" w:sz="8" w:color="0000FF"/>
            </w:tcBorders>
            <w:gridSpan w:val="26"/>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Amended and Restated Bylaws of Huron Consulting</w:t>
              </w:r>
            </w:hyperlink>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10/28/2015</w:t>
            </w:r>
          </w:p>
        </w:tc>
      </w:tr>
      <w:tr>
        <w:trPr>
          <w:trHeight w:val="196"/>
        </w:trPr>
        <w:tc>
          <w:tcPr>
            <w:tcW w:w="920" w:type="dxa"/>
            <w:vAlign w:val="bottom"/>
          </w:tcPr>
          <w:p>
            <w:pPr>
              <w:spacing w:after="0"/>
              <w:rPr>
                <w:sz w:val="17"/>
                <w:szCs w:val="17"/>
                <w:color w:val="auto"/>
              </w:rPr>
            </w:pPr>
          </w:p>
        </w:tc>
        <w:tc>
          <w:tcPr>
            <w:tcW w:w="3860" w:type="dxa"/>
            <w:vAlign w:val="bottom"/>
            <w:gridSpan w:val="27"/>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Group Inc.</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4.1</w:t>
            </w:r>
          </w:p>
        </w:tc>
        <w:tc>
          <w:tcPr>
            <w:tcW w:w="3860" w:type="dxa"/>
            <w:vAlign w:val="bottom"/>
            <w:gridSpan w:val="27"/>
          </w:tcPr>
          <w:p>
            <w:pPr>
              <w:spacing w:after="0"/>
              <w:rPr>
                <w:rFonts w:ascii="Arial" w:cs="Arial" w:eastAsia="Arial" w:hAnsi="Arial"/>
                <w:sz w:val="18"/>
                <w:szCs w:val="18"/>
                <w:color w:val="0000FF"/>
              </w:rPr>
            </w:pPr>
            <w:hyperlink r:id="rId15">
              <w:r>
                <w:rPr>
                  <w:rFonts w:ascii="Arial" w:cs="Arial" w:eastAsia="Arial" w:hAnsi="Arial"/>
                  <w:sz w:val="18"/>
                  <w:szCs w:val="18"/>
                  <w:color w:val="0000FF"/>
                </w:rPr>
                <w:t>Specimen Stock Certificate.</w:t>
              </w:r>
            </w:hyperlink>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10/5/2004</w:t>
            </w:r>
          </w:p>
        </w:tc>
      </w:tr>
      <w:tr>
        <w:trPr>
          <w:trHeight w:val="222"/>
        </w:trPr>
        <w:tc>
          <w:tcPr>
            <w:tcW w:w="920" w:type="dxa"/>
            <w:vAlign w:val="bottom"/>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(File No. 333-</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115434)</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4.2</w:t>
            </w:r>
          </w:p>
        </w:tc>
        <w:tc>
          <w:tcPr>
            <w:tcW w:w="3680" w:type="dxa"/>
            <w:vAlign w:val="bottom"/>
            <w:tcBorders>
              <w:bottom w:val="single" w:sz="8" w:color="0000FF"/>
            </w:tcBorders>
            <w:gridSpan w:val="21"/>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Indenture (including Form of Note) with respect to</w:t>
              </w:r>
            </w:hyperlink>
          </w:p>
        </w:tc>
        <w:tc>
          <w:tcPr>
            <w:tcW w:w="180" w:type="dxa"/>
            <w:vAlign w:val="bottom"/>
            <w:gridSpan w:val="6"/>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196"/>
        </w:trPr>
        <w:tc>
          <w:tcPr>
            <w:tcW w:w="920" w:type="dxa"/>
            <w:vAlign w:val="bottom"/>
          </w:tcPr>
          <w:p>
            <w:pPr>
              <w:spacing w:after="0"/>
              <w:rPr>
                <w:sz w:val="17"/>
                <w:szCs w:val="17"/>
                <w:color w:val="auto"/>
              </w:rPr>
            </w:pPr>
          </w:p>
        </w:tc>
        <w:tc>
          <w:tcPr>
            <w:tcW w:w="3860" w:type="dxa"/>
            <w:vAlign w:val="bottom"/>
            <w:gridSpan w:val="27"/>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the Company’s 1.25% Convertible Senior Notes due</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88"/>
              </w:rPr>
            </w:pPr>
            <w:hyperlink r:id="rId16">
              <w:r>
                <w:rPr>
                  <w:rFonts w:ascii="Arial" w:cs="Arial" w:eastAsia="Arial" w:hAnsi="Arial"/>
                  <w:sz w:val="18"/>
                  <w:szCs w:val="18"/>
                  <w:color w:val="0000FF"/>
                  <w:w w:val="88"/>
                </w:rPr>
                <w:t>2019, dated as of September 10, 2014, between</w:t>
              </w:r>
            </w:hyperlink>
          </w:p>
        </w:tc>
        <w:tc>
          <w:tcPr>
            <w:tcW w:w="360" w:type="dxa"/>
            <w:vAlign w:val="bottom"/>
            <w:tcBorders>
              <w:top w:val="single" w:sz="8" w:color="0000FF"/>
            </w:tcBorders>
            <w:gridSpan w:val="10"/>
          </w:tcPr>
          <w:p>
            <w:pPr>
              <w:spacing w:after="0"/>
              <w:rPr>
                <w:sz w:val="17"/>
                <w:szCs w:val="17"/>
                <w:color w:val="auto"/>
              </w:rPr>
            </w:pPr>
          </w:p>
        </w:tc>
        <w:tc>
          <w:tcPr>
            <w:tcW w:w="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Huron Consulting Group Inc. and U.S. Bank</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National Association, as trustee.</w:t>
              </w:r>
            </w:hyperlink>
          </w:p>
        </w:tc>
        <w:tc>
          <w:tcPr>
            <w:tcW w:w="880" w:type="dxa"/>
            <w:vAlign w:val="bottom"/>
            <w:tcBorders>
              <w:top w:val="single" w:sz="8" w:color="0000FF"/>
            </w:tcBorders>
            <w:gridSpan w:val="5"/>
          </w:tcPr>
          <w:p>
            <w:pPr>
              <w:spacing w:after="0"/>
              <w:rPr>
                <w:sz w:val="17"/>
                <w:szCs w:val="17"/>
                <w:color w:val="auto"/>
              </w:rPr>
            </w:pPr>
          </w:p>
        </w:tc>
        <w:tc>
          <w:tcPr>
            <w:tcW w:w="64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3860" w:type="dxa"/>
            <w:vAlign w:val="bottom"/>
            <w:gridSpan w:val="27"/>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Office Lease, dated December 2003, between Union</w:t>
              </w:r>
            </w:hyperlink>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10/5/2004</w:t>
            </w:r>
          </w:p>
        </w:tc>
      </w:tr>
      <w:tr>
        <w:trPr>
          <w:trHeight w:val="196"/>
        </w:trPr>
        <w:tc>
          <w:tcPr>
            <w:tcW w:w="92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Tower, LLC and Huron Consulting Services LLC</w:t>
              </w:r>
            </w:hyperlink>
          </w:p>
        </w:tc>
        <w:tc>
          <w:tcPr>
            <w:tcW w:w="200" w:type="dxa"/>
            <w:vAlign w:val="bottom"/>
            <w:tcBorders>
              <w:top w:val="single" w:sz="8" w:color="0000FF"/>
            </w:tcBorders>
            <w:gridSpan w:val="5"/>
          </w:tcPr>
          <w:p>
            <w:pPr>
              <w:spacing w:after="0"/>
              <w:rPr>
                <w:sz w:val="17"/>
                <w:szCs w:val="17"/>
                <w:color w:val="auto"/>
              </w:rPr>
            </w:pPr>
          </w:p>
        </w:tc>
        <w:tc>
          <w:tcPr>
            <w:tcW w:w="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3"/>
              </w:rPr>
              <w:t>(File No. 333-</w:t>
            </w: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7"/>
          </w:tcPr>
          <w:p>
            <w:pPr>
              <w:spacing w:after="0" w:line="196"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(formerly known as Huron Consulting Group LLC).</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87"/>
              </w:rPr>
              <w:t>115434)</w:t>
            </w: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354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Amended and Restated Huron Consulting Group</w:t>
              </w:r>
            </w:hyperlink>
          </w:p>
        </w:tc>
        <w:tc>
          <w:tcPr>
            <w:tcW w:w="220" w:type="dxa"/>
            <w:vAlign w:val="bottom"/>
            <w:tcBorders>
              <w:top w:val="single" w:sz="8" w:color="0000FF"/>
            </w:tcBorders>
            <w:gridSpan w:val="5"/>
          </w:tcPr>
          <w:p>
            <w:pPr>
              <w:spacing w:after="0"/>
              <w:rPr>
                <w:sz w:val="21"/>
                <w:szCs w:val="21"/>
                <w:color w:val="auto"/>
              </w:rPr>
            </w:pPr>
          </w:p>
        </w:tc>
        <w:tc>
          <w:tcPr>
            <w:tcW w:w="100" w:type="dxa"/>
            <w:vAlign w:val="bottom"/>
            <w:gridSpan w:val="3"/>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5/5/2010</w:t>
            </w:r>
          </w:p>
        </w:tc>
      </w:tr>
      <w:tr>
        <w:trPr>
          <w:trHeight w:val="196"/>
        </w:trPr>
        <w:tc>
          <w:tcPr>
            <w:tcW w:w="920" w:type="dxa"/>
            <w:vAlign w:val="bottom"/>
          </w:tcPr>
          <w:p>
            <w:pPr>
              <w:spacing w:after="0"/>
              <w:rPr>
                <w:sz w:val="17"/>
                <w:szCs w:val="17"/>
                <w:color w:val="auto"/>
              </w:rPr>
            </w:pPr>
          </w:p>
        </w:tc>
        <w:tc>
          <w:tcPr>
            <w:tcW w:w="22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Inc. 2004 Omnibus Stock Plan.</w:t>
              </w:r>
            </w:hyperlink>
          </w:p>
        </w:tc>
        <w:tc>
          <w:tcPr>
            <w:tcW w:w="1600" w:type="dxa"/>
            <w:vAlign w:val="bottom"/>
            <w:gridSpan w:val="22"/>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2820" w:type="dxa"/>
            <w:vAlign w:val="bottom"/>
            <w:tcBorders>
              <w:bottom w:val="single" w:sz="8" w:color="0000FF"/>
            </w:tcBorders>
            <w:gridSpan w:val="7"/>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Huron Consulting Group Inc. Deferred</w:t>
              </w:r>
            </w:hyperlink>
          </w:p>
        </w:tc>
        <w:tc>
          <w:tcPr>
            <w:tcW w:w="1040" w:type="dxa"/>
            <w:vAlign w:val="bottom"/>
            <w:gridSpan w:val="20"/>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12/31/2008</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2/24/2009</w:t>
            </w:r>
          </w:p>
        </w:tc>
      </w:tr>
      <w:tr>
        <w:trPr>
          <w:trHeight w:val="196"/>
        </w:trPr>
        <w:tc>
          <w:tcPr>
            <w:tcW w:w="920" w:type="dxa"/>
            <w:vAlign w:val="bottom"/>
          </w:tcPr>
          <w:p>
            <w:pPr>
              <w:spacing w:after="0"/>
              <w:rPr>
                <w:sz w:val="17"/>
                <w:szCs w:val="17"/>
                <w:color w:val="auto"/>
              </w:rPr>
            </w:pPr>
          </w:p>
        </w:tc>
        <w:tc>
          <w:tcPr>
            <w:tcW w:w="3340" w:type="dxa"/>
            <w:vAlign w:val="bottom"/>
            <w:tcBorders>
              <w:bottom w:val="single" w:sz="8" w:color="0000FF"/>
            </w:tcBorders>
            <w:gridSpan w:val="13"/>
          </w:tcPr>
          <w:p>
            <w:pPr>
              <w:spacing w:after="0" w:line="196" w:lineRule="exact"/>
              <w:rPr>
                <w:rFonts w:ascii="Arial" w:cs="Arial" w:eastAsia="Arial" w:hAnsi="Arial"/>
                <w:sz w:val="18"/>
                <w:szCs w:val="18"/>
                <w:color w:val="0000FF"/>
                <w:w w:val="88"/>
              </w:rPr>
            </w:pPr>
            <w:hyperlink r:id="rId19">
              <w:r>
                <w:rPr>
                  <w:rFonts w:ascii="Arial" w:cs="Arial" w:eastAsia="Arial" w:hAnsi="Arial"/>
                  <w:sz w:val="18"/>
                  <w:szCs w:val="18"/>
                  <w:color w:val="0000FF"/>
                  <w:w w:val="88"/>
                </w:rPr>
                <w:t>Compensation Plan as Amended and Restated</w:t>
              </w:r>
            </w:hyperlink>
          </w:p>
        </w:tc>
        <w:tc>
          <w:tcPr>
            <w:tcW w:w="52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7"/>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effective January 1, 2009.</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3860" w:type="dxa"/>
            <w:vAlign w:val="bottom"/>
            <w:gridSpan w:val="27"/>
          </w:tcPr>
          <w:p>
            <w:pPr>
              <w:spacing w:after="0"/>
              <w:rPr>
                <w:rFonts w:ascii="Arial" w:cs="Arial" w:eastAsia="Arial" w:hAnsi="Arial"/>
                <w:sz w:val="18"/>
                <w:szCs w:val="18"/>
                <w:color w:val="0000FF"/>
                <w:w w:val="99"/>
              </w:rPr>
            </w:pPr>
            <w:hyperlink r:id="rId20">
              <w:r>
                <w:rPr>
                  <w:rFonts w:ascii="Arial" w:cs="Arial" w:eastAsia="Arial" w:hAnsi="Arial"/>
                  <w:sz w:val="18"/>
                  <w:szCs w:val="18"/>
                  <w:color w:val="0000FF"/>
                  <w:w w:val="99"/>
                </w:rPr>
                <w:t>Senior Management Agreement by and between</w:t>
              </w:r>
            </w:hyperlink>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0"/>
        </w:trPr>
        <w:tc>
          <w:tcPr>
            <w:tcW w:w="92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Huron Consulting Group Inc. and John D. Kelly.</w:t>
              </w:r>
            </w:hyperlink>
          </w:p>
        </w:tc>
        <w:tc>
          <w:tcPr>
            <w:tcW w:w="34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w:t>
            </w:r>
          </w:p>
        </w:tc>
        <w:tc>
          <w:tcPr>
            <w:tcW w:w="3180" w:type="dxa"/>
            <w:vAlign w:val="bottom"/>
            <w:tcBorders>
              <w:bottom w:val="single" w:sz="8" w:color="0000FF"/>
            </w:tcBorders>
            <w:gridSpan w:val="10"/>
          </w:tcPr>
          <w:p>
            <w:pPr>
              <w:spacing w:after="0"/>
              <w:rPr>
                <w:rFonts w:ascii="Arial" w:cs="Arial" w:eastAsia="Arial" w:hAnsi="Arial"/>
                <w:sz w:val="18"/>
                <w:szCs w:val="18"/>
                <w:color w:val="0000FF"/>
                <w:w w:val="88"/>
              </w:rPr>
            </w:pPr>
            <w:hyperlink r:id="rId21">
              <w:r>
                <w:rPr>
                  <w:rFonts w:ascii="Arial" w:cs="Arial" w:eastAsia="Arial" w:hAnsi="Arial"/>
                  <w:sz w:val="18"/>
                  <w:szCs w:val="18"/>
                  <w:color w:val="0000FF"/>
                  <w:w w:val="88"/>
                </w:rPr>
                <w:t>Amended and Restated Senior Management</w:t>
              </w:r>
            </w:hyperlink>
          </w:p>
        </w:tc>
        <w:tc>
          <w:tcPr>
            <w:tcW w:w="680" w:type="dxa"/>
            <w:vAlign w:val="bottom"/>
            <w:gridSpan w:val="17"/>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196"/>
        </w:trPr>
        <w:tc>
          <w:tcPr>
            <w:tcW w:w="920" w:type="dxa"/>
            <w:vAlign w:val="bottom"/>
          </w:tcPr>
          <w:p>
            <w:pPr>
              <w:spacing w:after="0"/>
              <w:rPr>
                <w:sz w:val="17"/>
                <w:szCs w:val="17"/>
                <w:color w:val="auto"/>
              </w:rPr>
            </w:pPr>
          </w:p>
        </w:tc>
        <w:tc>
          <w:tcPr>
            <w:tcW w:w="3860" w:type="dxa"/>
            <w:vAlign w:val="bottom"/>
            <w:gridSpan w:val="27"/>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Agreement by and between Huron Consulting</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Group Inc. and James H. Roth.</w:t>
              </w:r>
            </w:hyperlink>
          </w:p>
        </w:tc>
        <w:tc>
          <w:tcPr>
            <w:tcW w:w="1080" w:type="dxa"/>
            <w:vAlign w:val="bottom"/>
            <w:tcBorders>
              <w:top w:val="single" w:sz="8" w:color="0000FF"/>
            </w:tcBorders>
            <w:gridSpan w:val="8"/>
          </w:tcPr>
          <w:p>
            <w:pPr>
              <w:spacing w:after="0"/>
              <w:rPr>
                <w:sz w:val="17"/>
                <w:szCs w:val="17"/>
                <w:color w:val="auto"/>
              </w:rPr>
            </w:pPr>
          </w:p>
        </w:tc>
        <w:tc>
          <w:tcPr>
            <w:tcW w:w="54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10.6*</w:t>
            </w:r>
          </w:p>
        </w:tc>
        <w:tc>
          <w:tcPr>
            <w:tcW w:w="3860" w:type="dxa"/>
            <w:vAlign w:val="bottom"/>
            <w:gridSpan w:val="27"/>
          </w:tcPr>
          <w:p>
            <w:pPr>
              <w:spacing w:after="0"/>
              <w:rPr>
                <w:rFonts w:ascii="Arial" w:cs="Arial" w:eastAsia="Arial" w:hAnsi="Arial"/>
                <w:sz w:val="18"/>
                <w:szCs w:val="18"/>
                <w:color w:val="0000FF"/>
                <w:w w:val="99"/>
              </w:rPr>
            </w:pPr>
            <w:hyperlink r:id="rId22">
              <w:r>
                <w:rPr>
                  <w:rFonts w:ascii="Arial" w:cs="Arial" w:eastAsia="Arial" w:hAnsi="Arial"/>
                  <w:sz w:val="18"/>
                  <w:szCs w:val="18"/>
                  <w:color w:val="0000FF"/>
                  <w:w w:val="99"/>
                </w:rPr>
                <w:t>Senior Management Agreement by and between</w:t>
              </w:r>
            </w:hyperlink>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0"/>
        </w:trPr>
        <w:tc>
          <w:tcPr>
            <w:tcW w:w="920" w:type="dxa"/>
            <w:vAlign w:val="bottom"/>
          </w:tcPr>
          <w:p>
            <w:pPr>
              <w:spacing w:after="0" w:line="20" w:lineRule="exact"/>
              <w:rPr>
                <w:sz w:val="1"/>
                <w:szCs w:val="1"/>
                <w:color w:val="auto"/>
              </w:rPr>
            </w:pPr>
          </w:p>
        </w:tc>
        <w:tc>
          <w:tcPr>
            <w:tcW w:w="3480" w:type="dxa"/>
            <w:vAlign w:val="bottom"/>
            <w:gridSpan w:val="17"/>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Huron Consulting Group Inc. and C. Mark Hussey.</w:t>
              </w:r>
            </w:hyperlink>
          </w:p>
        </w:tc>
        <w:tc>
          <w:tcPr>
            <w:tcW w:w="1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125"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4780" w:type="dxa"/>
            <w:vAlign w:val="bottom"/>
            <w:gridSpan w:val="3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98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860" w:type="dxa"/>
            <w:vAlign w:val="bottom"/>
            <w:gridSpan w:val="30"/>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Ending</w:t>
            </w:r>
          </w:p>
        </w:tc>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10.7*</w:t>
            </w:r>
          </w:p>
        </w:tc>
        <w:tc>
          <w:tcPr>
            <w:tcW w:w="3860" w:type="dxa"/>
            <w:vAlign w:val="bottom"/>
            <w:gridSpan w:val="30"/>
          </w:tcPr>
          <w:p>
            <w:pPr>
              <w:spacing w:after="0" w:line="196" w:lineRule="exact"/>
              <w:rPr>
                <w:rFonts w:ascii="Arial" w:cs="Arial" w:eastAsia="Arial" w:hAnsi="Arial"/>
                <w:sz w:val="18"/>
                <w:szCs w:val="18"/>
                <w:color w:val="0000FF"/>
                <w:w w:val="99"/>
              </w:rPr>
            </w:pPr>
            <w:hyperlink r:id="rId23">
              <w:r>
                <w:rPr>
                  <w:rFonts w:ascii="Arial" w:cs="Arial" w:eastAsia="Arial" w:hAnsi="Arial"/>
                  <w:sz w:val="18"/>
                  <w:szCs w:val="18"/>
                  <w:color w:val="0000FF"/>
                  <w:w w:val="99"/>
                </w:rPr>
                <w:t>Senior Management Agreement by and between</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17"/>
                <w:szCs w:val="17"/>
                <w:color w:val="auto"/>
              </w:rPr>
            </w:pPr>
          </w:p>
        </w:tc>
        <w:tc>
          <w:tcPr>
            <w:tcW w:w="100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1"/>
              </w:rPr>
              <w:t>1/6/2017</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Huron Consulting Group Inc. and Diane E. Ratekin.</w:t>
              </w:r>
            </w:hyperlink>
          </w:p>
        </w:tc>
        <w:tc>
          <w:tcPr>
            <w:tcW w:w="10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10.8</w:t>
            </w:r>
          </w:p>
        </w:tc>
        <w:tc>
          <w:tcPr>
            <w:tcW w:w="3860" w:type="dxa"/>
            <w:vAlign w:val="bottom"/>
            <w:gridSpan w:val="30"/>
          </w:tcPr>
          <w:p>
            <w:pPr>
              <w:spacing w:after="0"/>
              <w:rPr>
                <w:rFonts w:ascii="Arial" w:cs="Arial" w:eastAsia="Arial" w:hAnsi="Arial"/>
                <w:sz w:val="18"/>
                <w:szCs w:val="18"/>
                <w:color w:val="0000FF"/>
                <w:w w:val="96"/>
              </w:rPr>
            </w:pPr>
            <w:hyperlink r:id="rId24">
              <w:r>
                <w:rPr>
                  <w:rFonts w:ascii="Arial" w:cs="Arial" w:eastAsia="Arial" w:hAnsi="Arial"/>
                  <w:sz w:val="18"/>
                  <w:szCs w:val="18"/>
                  <w:color w:val="0000FF"/>
                  <w:w w:val="96"/>
                </w:rPr>
                <w:t>First Amendment to Lease by and between Huron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10.17</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64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Consulting Services LLC and Union Tower, LLC,</w:t>
              </w:r>
            </w:hyperlink>
          </w:p>
        </w:tc>
        <w:tc>
          <w:tcPr>
            <w:tcW w:w="22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dated August 23, 2004.</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10.9</w:t>
            </w:r>
          </w:p>
        </w:tc>
        <w:tc>
          <w:tcPr>
            <w:tcW w:w="3860" w:type="dxa"/>
            <w:vAlign w:val="bottom"/>
            <w:gridSpan w:val="30"/>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Second Amendment to Lease by and between Huron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10.18</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196"/>
        </w:trPr>
        <w:tc>
          <w:tcPr>
            <w:tcW w:w="9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Consulting Services LLC and Union Tower, LLC,</w:t>
              </w:r>
            </w:hyperlink>
          </w:p>
        </w:tc>
        <w:tc>
          <w:tcPr>
            <w:tcW w:w="160" w:type="dxa"/>
            <w:vAlign w:val="bottom"/>
            <w:tcBorders>
              <w:top w:val="single" w:sz="8" w:color="0000FF"/>
            </w:tcBorders>
            <w:gridSpan w:val="7"/>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dated March 14, 2007.</w:t>
              </w:r>
            </w:hyperlink>
          </w:p>
        </w:tc>
        <w:tc>
          <w:tcPr>
            <w:tcW w:w="2180" w:type="dxa"/>
            <w:vAlign w:val="bottom"/>
            <w:gridSpan w:val="2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10.10</w:t>
            </w:r>
          </w:p>
        </w:tc>
        <w:tc>
          <w:tcPr>
            <w:tcW w:w="3680" w:type="dxa"/>
            <w:vAlign w:val="bottom"/>
            <w:tcBorders>
              <w:bottom w:val="single" w:sz="8" w:color="0000FF"/>
            </w:tcBorders>
            <w:gridSpan w:val="24"/>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Third Amendment to Lease by and between Huron</w:t>
              </w:r>
            </w:hyperlink>
          </w:p>
        </w:tc>
        <w:tc>
          <w:tcPr>
            <w:tcW w:w="180" w:type="dxa"/>
            <w:vAlign w:val="bottom"/>
            <w:gridSpan w:val="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10.19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196"/>
        </w:trPr>
        <w:tc>
          <w:tcPr>
            <w:tcW w:w="920" w:type="dxa"/>
            <w:vAlign w:val="bottom"/>
          </w:tcPr>
          <w:p>
            <w:pPr>
              <w:spacing w:after="0"/>
              <w:rPr>
                <w:sz w:val="17"/>
                <w:szCs w:val="17"/>
                <w:color w:val="auto"/>
              </w:rPr>
            </w:pPr>
          </w:p>
        </w:tc>
        <w:tc>
          <w:tcPr>
            <w:tcW w:w="364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Consulting Services LLC and Union Tower, LLC,</w:t>
              </w:r>
            </w:hyperlink>
          </w:p>
        </w:tc>
        <w:tc>
          <w:tcPr>
            <w:tcW w:w="22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4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dated April 2, 2010.</w:t>
              </w:r>
            </w:hyperlink>
          </w:p>
        </w:tc>
        <w:tc>
          <w:tcPr>
            <w:tcW w:w="2400" w:type="dxa"/>
            <w:vAlign w:val="bottom"/>
            <w:gridSpan w:val="2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3760" w:type="dxa"/>
            <w:vAlign w:val="bottom"/>
            <w:tcBorders>
              <w:bottom w:val="single" w:sz="8" w:color="0000FF"/>
            </w:tcBorders>
            <w:gridSpan w:val="27"/>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Fourth Amendment to Lease by and between Huron</w:t>
              </w:r>
            </w:hyperlink>
          </w:p>
        </w:tc>
        <w:tc>
          <w:tcPr>
            <w:tcW w:w="100" w:type="dxa"/>
            <w:vAlign w:val="bottom"/>
            <w:gridSpan w:val="3"/>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1/4/2013</w:t>
            </w:r>
          </w:p>
        </w:tc>
      </w:tr>
      <w:tr>
        <w:trPr>
          <w:trHeight w:val="196"/>
        </w:trPr>
        <w:tc>
          <w:tcPr>
            <w:tcW w:w="920" w:type="dxa"/>
            <w:vAlign w:val="bottom"/>
          </w:tcPr>
          <w:p>
            <w:pPr>
              <w:spacing w:after="0"/>
              <w:rPr>
                <w:sz w:val="17"/>
                <w:szCs w:val="17"/>
                <w:color w:val="auto"/>
              </w:rPr>
            </w:pPr>
          </w:p>
        </w:tc>
        <w:tc>
          <w:tcPr>
            <w:tcW w:w="364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Consulting Services LLC and Union Tower, LLC,</w:t>
              </w:r>
            </w:hyperlink>
          </w:p>
        </w:tc>
        <w:tc>
          <w:tcPr>
            <w:tcW w:w="22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dated December 31, 2012.</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3480" w:type="dxa"/>
            <w:vAlign w:val="bottom"/>
            <w:tcBorders>
              <w:bottom w:val="single" w:sz="8" w:color="0000FF"/>
            </w:tcBorders>
            <w:gridSpan w:val="16"/>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Form of the Huron Consulting Group Inc. 2012</w:t>
              </w:r>
            </w:hyperlink>
          </w:p>
        </w:tc>
        <w:tc>
          <w:tcPr>
            <w:tcW w:w="380" w:type="dxa"/>
            <w:vAlign w:val="bottom"/>
            <w:gridSpan w:val="14"/>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10.20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196"/>
        </w:trPr>
        <w:tc>
          <w:tcPr>
            <w:tcW w:w="920" w:type="dxa"/>
            <w:vAlign w:val="bottom"/>
          </w:tcPr>
          <w:p>
            <w:pPr>
              <w:spacing w:after="0"/>
              <w:rPr>
                <w:sz w:val="17"/>
                <w:szCs w:val="17"/>
                <w:color w:val="auto"/>
              </w:rPr>
            </w:pPr>
          </w:p>
        </w:tc>
        <w:tc>
          <w:tcPr>
            <w:tcW w:w="29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Omnibus Incentive Plan Restricted Stock</w:t>
              </w:r>
            </w:hyperlink>
          </w:p>
        </w:tc>
        <w:tc>
          <w:tcPr>
            <w:tcW w:w="88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Agreement.</w:t>
              </w:r>
            </w:hyperlink>
          </w:p>
        </w:tc>
        <w:tc>
          <w:tcPr>
            <w:tcW w:w="3000" w:type="dxa"/>
            <w:vAlign w:val="bottom"/>
            <w:gridSpan w:val="2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3860" w:type="dxa"/>
            <w:vAlign w:val="bottom"/>
            <w:gridSpan w:val="30"/>
          </w:tcPr>
          <w:p>
            <w:pPr>
              <w:spacing w:after="0"/>
              <w:rPr>
                <w:rFonts w:ascii="Arial" w:cs="Arial" w:eastAsia="Arial" w:hAnsi="Arial"/>
                <w:sz w:val="18"/>
                <w:szCs w:val="18"/>
                <w:color w:val="0000FF"/>
              </w:rPr>
            </w:pPr>
            <w:hyperlink r:id="rId29">
              <w:r>
                <w:rPr>
                  <w:rFonts w:ascii="Arial" w:cs="Arial" w:eastAsia="Arial" w:hAnsi="Arial"/>
                  <w:sz w:val="18"/>
                  <w:szCs w:val="18"/>
                  <w:color w:val="0000FF"/>
                </w:rPr>
                <w:t>Purchase Agreement, dated as of September 4,</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60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2014, between Huron Consulting Group Inc. and</w:t>
              </w:r>
            </w:hyperlink>
          </w:p>
        </w:tc>
        <w:tc>
          <w:tcPr>
            <w:tcW w:w="26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80" w:type="dxa"/>
            <w:vAlign w:val="bottom"/>
            <w:tcBorders>
              <w:bottom w:val="single" w:sz="8" w:color="0000FF"/>
            </w:tcBorders>
            <w:gridSpan w:val="28"/>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Merrill Lynch, Pierce, Fenner &amp; Smith Incorporated</w:t>
              </w:r>
            </w:hyperlink>
          </w:p>
        </w:tc>
        <w:tc>
          <w:tcPr>
            <w:tcW w:w="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and J.P. Morgan Securities LLC, as Representatives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of the several Initial Purchasers.</w:t>
              </w:r>
            </w:hyperlink>
          </w:p>
        </w:tc>
        <w:tc>
          <w:tcPr>
            <w:tcW w:w="1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3860" w:type="dxa"/>
            <w:vAlign w:val="bottom"/>
            <w:gridSpan w:val="30"/>
          </w:tcPr>
          <w:p>
            <w:pPr>
              <w:spacing w:after="0"/>
              <w:rPr>
                <w:rFonts w:ascii="Arial" w:cs="Arial" w:eastAsia="Arial" w:hAnsi="Arial"/>
                <w:sz w:val="18"/>
                <w:szCs w:val="18"/>
                <w:color w:val="0000FF"/>
              </w:rPr>
            </w:pPr>
            <w:hyperlink r:id="rId30">
              <w:r>
                <w:rPr>
                  <w:rFonts w:ascii="Arial" w:cs="Arial" w:eastAsia="Arial" w:hAnsi="Arial"/>
                  <w:sz w:val="18"/>
                  <w:szCs w:val="18"/>
                  <w:color w:val="0000FF"/>
                </w:rPr>
                <w:t>Base Convertible Bond Hedge Transaction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Confirmation, dated as of September 4, 2014, by</w:t>
              </w:r>
            </w:hyperlink>
          </w:p>
        </w:tc>
        <w:tc>
          <w:tcPr>
            <w:tcW w:w="32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and between Huron Consulting Group Inc. and</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Bank of America, N.A.</w:t>
              </w:r>
            </w:hyperlink>
          </w:p>
        </w:tc>
        <w:tc>
          <w:tcPr>
            <w:tcW w:w="1680" w:type="dxa"/>
            <w:vAlign w:val="bottom"/>
            <w:tcBorders>
              <w:top w:val="single" w:sz="8" w:color="0000FF"/>
            </w:tcBorders>
            <w:gridSpan w:val="7"/>
          </w:tcPr>
          <w:p>
            <w:pPr>
              <w:spacing w:after="0"/>
              <w:rPr>
                <w:sz w:val="17"/>
                <w:szCs w:val="17"/>
                <w:color w:val="auto"/>
              </w:rPr>
            </w:pPr>
          </w:p>
        </w:tc>
        <w:tc>
          <w:tcPr>
            <w:tcW w:w="48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3860" w:type="dxa"/>
            <w:vAlign w:val="bottom"/>
            <w:gridSpan w:val="30"/>
          </w:tcPr>
          <w:p>
            <w:pPr>
              <w:spacing w:after="0"/>
              <w:rPr>
                <w:rFonts w:ascii="Arial" w:cs="Arial" w:eastAsia="Arial" w:hAnsi="Arial"/>
                <w:sz w:val="18"/>
                <w:szCs w:val="18"/>
                <w:color w:val="0000FF"/>
              </w:rPr>
            </w:pPr>
            <w:hyperlink r:id="rId31">
              <w:r>
                <w:rPr>
                  <w:rFonts w:ascii="Arial" w:cs="Arial" w:eastAsia="Arial" w:hAnsi="Arial"/>
                  <w:sz w:val="18"/>
                  <w:szCs w:val="18"/>
                  <w:color w:val="0000FF"/>
                </w:rPr>
                <w:t>Base Convertible Bond Hedge Transaction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Confirmation, dated as of September 4, 2014, by</w:t>
              </w:r>
            </w:hyperlink>
          </w:p>
        </w:tc>
        <w:tc>
          <w:tcPr>
            <w:tcW w:w="32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and between Huron Consulting Group Inc. and J.P.</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Morgan Securities LLC, as an agent for JPMorgan</w:t>
              </w:r>
            </w:hyperlink>
          </w:p>
        </w:tc>
        <w:tc>
          <w:tcPr>
            <w:tcW w:w="20" w:type="dxa"/>
            <w:vAlign w:val="bottom"/>
            <w:tcBorders>
              <w:top w:val="single" w:sz="8" w:color="0000FF"/>
            </w:tcBorders>
          </w:tcPr>
          <w:p>
            <w:pPr>
              <w:spacing w:after="0"/>
              <w:rPr>
                <w:sz w:val="17"/>
                <w:szCs w:val="17"/>
                <w:color w:val="auto"/>
              </w:rPr>
            </w:pPr>
          </w:p>
        </w:tc>
        <w:tc>
          <w:tcPr>
            <w:tcW w:w="20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Chase Bank, National Association, London Branch.</w:t>
              </w:r>
            </w:hyperlink>
          </w:p>
        </w:tc>
        <w:tc>
          <w:tcPr>
            <w:tcW w:w="12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3400" w:type="dxa"/>
            <w:vAlign w:val="bottom"/>
            <w:tcBorders>
              <w:bottom w:val="single" w:sz="8" w:color="0000FF"/>
            </w:tcBorders>
            <w:gridSpan w:val="14"/>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Base Issuer Warrant Transaction Confirmation,</w:t>
              </w:r>
            </w:hyperlink>
          </w:p>
        </w:tc>
        <w:tc>
          <w:tcPr>
            <w:tcW w:w="460" w:type="dxa"/>
            <w:vAlign w:val="bottom"/>
            <w:gridSpan w:val="1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FF"/>
            </w:tcBorders>
            <w:gridSpan w:val="15"/>
          </w:tcPr>
          <w:p>
            <w:pPr>
              <w:spacing w:after="0" w:line="196" w:lineRule="exact"/>
              <w:rPr>
                <w:rFonts w:ascii="Arial" w:cs="Arial" w:eastAsia="Arial" w:hAnsi="Arial"/>
                <w:sz w:val="18"/>
                <w:szCs w:val="18"/>
                <w:color w:val="0000FF"/>
                <w:w w:val="88"/>
              </w:rPr>
            </w:pPr>
            <w:hyperlink r:id="rId32">
              <w:r>
                <w:rPr>
                  <w:rFonts w:ascii="Arial" w:cs="Arial" w:eastAsia="Arial" w:hAnsi="Arial"/>
                  <w:sz w:val="18"/>
                  <w:szCs w:val="18"/>
                  <w:color w:val="0000FF"/>
                  <w:w w:val="88"/>
                </w:rPr>
                <w:t>dated as of September 4, 2014, by and between</w:t>
              </w:r>
            </w:hyperlink>
          </w:p>
        </w:tc>
        <w:tc>
          <w:tcPr>
            <w:tcW w:w="44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Huron Consulting Group Inc. and Bank of America,</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6"/>
              </w:rPr>
            </w:pPr>
            <w:hyperlink r:id="rId32">
              <w:r>
                <w:rPr>
                  <w:rFonts w:ascii="Arial" w:cs="Arial" w:eastAsia="Arial" w:hAnsi="Arial"/>
                  <w:sz w:val="18"/>
                  <w:szCs w:val="18"/>
                  <w:color w:val="0000FF"/>
                  <w:w w:val="96"/>
                </w:rPr>
                <w:t>N.A.</w:t>
              </w:r>
            </w:hyperlink>
          </w:p>
        </w:tc>
        <w:tc>
          <w:tcPr>
            <w:tcW w:w="3400" w:type="dxa"/>
            <w:vAlign w:val="bottom"/>
            <w:tcBorders>
              <w:top w:val="single" w:sz="8" w:color="0000FF"/>
            </w:tcBorders>
            <w:gridSpan w:val="26"/>
          </w:tcPr>
          <w:p>
            <w:pPr>
              <w:spacing w:after="0"/>
              <w:rPr>
                <w:sz w:val="17"/>
                <w:szCs w:val="17"/>
                <w:color w:val="auto"/>
              </w:rPr>
            </w:pPr>
          </w:p>
        </w:tc>
        <w:tc>
          <w:tcPr>
            <w:tcW w:w="10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3400" w:type="dxa"/>
            <w:vAlign w:val="bottom"/>
            <w:tcBorders>
              <w:bottom w:val="single" w:sz="8" w:color="0000FF"/>
            </w:tcBorders>
            <w:gridSpan w:val="14"/>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Base Issuer Warrant Transaction Confirmation,</w:t>
              </w:r>
            </w:hyperlink>
          </w:p>
        </w:tc>
        <w:tc>
          <w:tcPr>
            <w:tcW w:w="460" w:type="dxa"/>
            <w:vAlign w:val="bottom"/>
            <w:gridSpan w:val="1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10.5</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dated as of September 4, 2014, by and between</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00" w:type="dxa"/>
            <w:vAlign w:val="bottom"/>
            <w:tcBorders>
              <w:top w:val="single" w:sz="8" w:color="0000FF"/>
            </w:tcBorders>
            <w:gridSpan w:val="14"/>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Huron Consulting Group Inc. and J.P. Morgan</w:t>
              </w:r>
            </w:hyperlink>
          </w:p>
        </w:tc>
        <w:tc>
          <w:tcPr>
            <w:tcW w:w="46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80" w:type="dxa"/>
            <w:vAlign w:val="bottom"/>
            <w:tcBorders>
              <w:right w:val="single" w:sz="8" w:color="0000FF"/>
            </w:tcBorders>
            <w:gridSpan w:val="5"/>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Securities LLC, as an agent for JPMorgan Chase</w:t>
              </w:r>
            </w:hyperlink>
          </w:p>
        </w:tc>
        <w:tc>
          <w:tcPr>
            <w:tcW w:w="34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32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Bank, National Association, London Branch.</w:t>
              </w:r>
            </w:hyperlink>
          </w:p>
        </w:tc>
        <w:tc>
          <w:tcPr>
            <w:tcW w:w="54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3860" w:type="dxa"/>
            <w:vAlign w:val="bottom"/>
            <w:gridSpan w:val="30"/>
          </w:tcPr>
          <w:p>
            <w:pPr>
              <w:spacing w:after="0"/>
              <w:rPr>
                <w:rFonts w:ascii="Arial" w:cs="Arial" w:eastAsia="Arial" w:hAnsi="Arial"/>
                <w:sz w:val="18"/>
                <w:szCs w:val="18"/>
                <w:color w:val="0000FF"/>
              </w:rPr>
            </w:pPr>
            <w:hyperlink r:id="rId34">
              <w:r>
                <w:rPr>
                  <w:rFonts w:ascii="Arial" w:cs="Arial" w:eastAsia="Arial" w:hAnsi="Arial"/>
                  <w:sz w:val="18"/>
                  <w:szCs w:val="18"/>
                  <w:color w:val="0000FF"/>
                </w:rPr>
                <w:t>Additional Convertible Bond Hedge Transaction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0"/>
        </w:trPr>
        <w:tc>
          <w:tcPr>
            <w:tcW w:w="920" w:type="dxa"/>
            <w:vAlign w:val="bottom"/>
          </w:tcPr>
          <w:p>
            <w:pPr>
              <w:spacing w:after="0" w:line="20" w:lineRule="exact"/>
              <w:rPr>
                <w:sz w:val="1"/>
                <w:szCs w:val="1"/>
                <w:color w:val="auto"/>
              </w:rPr>
            </w:pPr>
          </w:p>
        </w:tc>
        <w:tc>
          <w:tcPr>
            <w:tcW w:w="1680" w:type="dxa"/>
            <w:vAlign w:val="bottom"/>
            <w:tcBorders>
              <w:right w:val="single" w:sz="8" w:color="0000FF"/>
            </w:tcBorders>
            <w:gridSpan w:val="5"/>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40" w:type="dxa"/>
            <w:vAlign w:val="bottom"/>
            <w:gridSpan w:val="8"/>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w w:val="96"/>
              </w:rPr>
            </w:pPr>
            <w:hyperlink r:id="rId34">
              <w:r>
                <w:rPr>
                  <w:rFonts w:ascii="Arial" w:cs="Arial" w:eastAsia="Arial" w:hAnsi="Arial"/>
                  <w:sz w:val="18"/>
                  <w:szCs w:val="18"/>
                  <w:color w:val="0000FF"/>
                  <w:w w:val="96"/>
                </w:rPr>
                <w:t>Confirmation, dated as of September 10, 2014, by</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0" w:type="dxa"/>
            <w:vAlign w:val="bottom"/>
            <w:tcBorders>
              <w:top w:val="single" w:sz="8" w:color="0000FF"/>
            </w:tcBorders>
            <w:gridSpan w:val="20"/>
          </w:tcPr>
          <w:p>
            <w:pPr>
              <w:spacing w:after="0" w:line="196"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and between Huron Consulting Group Inc. and</w:t>
              </w:r>
            </w:hyperlink>
          </w:p>
        </w:tc>
        <w:tc>
          <w:tcPr>
            <w:tcW w:w="26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3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Bank of America, N.A.</w:t>
              </w:r>
            </w:hyperlink>
          </w:p>
        </w:tc>
        <w:tc>
          <w:tcPr>
            <w:tcW w:w="48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80" w:type="dxa"/>
            <w:vAlign w:val="bottom"/>
            <w:tcBorders>
              <w:right w:val="single" w:sz="8" w:color="0000FF"/>
            </w:tcBorders>
            <w:gridSpan w:val="5"/>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3860" w:type="dxa"/>
            <w:vAlign w:val="bottom"/>
            <w:gridSpan w:val="30"/>
          </w:tcPr>
          <w:p>
            <w:pPr>
              <w:spacing w:after="0"/>
              <w:rPr>
                <w:rFonts w:ascii="Arial" w:cs="Arial" w:eastAsia="Arial" w:hAnsi="Arial"/>
                <w:sz w:val="18"/>
                <w:szCs w:val="18"/>
                <w:color w:val="0000FF"/>
              </w:rPr>
            </w:pPr>
            <w:hyperlink r:id="rId35">
              <w:r>
                <w:rPr>
                  <w:rFonts w:ascii="Arial" w:cs="Arial" w:eastAsia="Arial" w:hAnsi="Arial"/>
                  <w:sz w:val="18"/>
                  <w:szCs w:val="18"/>
                  <w:color w:val="0000FF"/>
                </w:rPr>
                <w:t>Additional Convertible Bond Hedge Transaction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0"/>
        </w:trPr>
        <w:tc>
          <w:tcPr>
            <w:tcW w:w="920" w:type="dxa"/>
            <w:vAlign w:val="bottom"/>
          </w:tcPr>
          <w:p>
            <w:pPr>
              <w:spacing w:after="0" w:line="20" w:lineRule="exact"/>
              <w:rPr>
                <w:sz w:val="1"/>
                <w:szCs w:val="1"/>
                <w:color w:val="auto"/>
              </w:rPr>
            </w:pPr>
          </w:p>
        </w:tc>
        <w:tc>
          <w:tcPr>
            <w:tcW w:w="2760" w:type="dxa"/>
            <w:vAlign w:val="bottom"/>
            <w:gridSpan w:val="9"/>
            <w:shd w:val="clear" w:color="auto" w:fill="0000FF"/>
          </w:tcPr>
          <w:p>
            <w:pPr>
              <w:spacing w:after="0" w:line="20" w:lineRule="exact"/>
              <w:rPr>
                <w:sz w:val="1"/>
                <w:szCs w:val="1"/>
                <w:color w:val="auto"/>
              </w:rPr>
            </w:pPr>
          </w:p>
        </w:tc>
        <w:tc>
          <w:tcPr>
            <w:tcW w:w="740" w:type="dxa"/>
            <w:vAlign w:val="bottom"/>
            <w:gridSpan w:val="8"/>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62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Confirmation, dated as of September 10, 2014, by</w:t>
              </w:r>
            </w:hyperlink>
          </w:p>
        </w:tc>
        <w:tc>
          <w:tcPr>
            <w:tcW w:w="24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and between Huron Consulting Group Inc. and J.P.</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Morgan Securities LLC, as an agent for JPMorgan</w:t>
              </w:r>
            </w:hyperlink>
          </w:p>
        </w:tc>
        <w:tc>
          <w:tcPr>
            <w:tcW w:w="20" w:type="dxa"/>
            <w:vAlign w:val="bottom"/>
            <w:tcBorders>
              <w:top w:val="single" w:sz="8" w:color="0000FF"/>
            </w:tcBorders>
          </w:tcPr>
          <w:p>
            <w:pPr>
              <w:spacing w:after="0"/>
              <w:rPr>
                <w:sz w:val="17"/>
                <w:szCs w:val="17"/>
                <w:color w:val="auto"/>
              </w:rPr>
            </w:pPr>
          </w:p>
        </w:tc>
        <w:tc>
          <w:tcPr>
            <w:tcW w:w="20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Chase Bank, National Association, London Branch.</w:t>
              </w:r>
            </w:hyperlink>
          </w:p>
        </w:tc>
        <w:tc>
          <w:tcPr>
            <w:tcW w:w="12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2760" w:type="dxa"/>
            <w:vAlign w:val="bottom"/>
            <w:tcBorders>
              <w:bottom w:val="single" w:sz="8" w:color="0000FF"/>
            </w:tcBorders>
            <w:gridSpan w:val="9"/>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Additional Issuer Warrant Transaction</w:t>
              </w:r>
            </w:hyperlink>
          </w:p>
        </w:tc>
        <w:tc>
          <w:tcPr>
            <w:tcW w:w="1100" w:type="dxa"/>
            <w:vAlign w:val="bottom"/>
            <w:gridSpan w:val="21"/>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196"/>
        </w:trPr>
        <w:tc>
          <w:tcPr>
            <w:tcW w:w="920" w:type="dxa"/>
            <w:vAlign w:val="bottom"/>
          </w:tcPr>
          <w:p>
            <w:pPr>
              <w:spacing w:after="0"/>
              <w:rPr>
                <w:sz w:val="17"/>
                <w:szCs w:val="17"/>
                <w:color w:val="auto"/>
              </w:rPr>
            </w:pPr>
          </w:p>
        </w:tc>
        <w:tc>
          <w:tcPr>
            <w:tcW w:w="3860" w:type="dxa"/>
            <w:vAlign w:val="bottom"/>
            <w:gridSpan w:val="30"/>
          </w:tcPr>
          <w:p>
            <w:pPr>
              <w:spacing w:after="0" w:line="196" w:lineRule="exact"/>
              <w:rPr>
                <w:rFonts w:ascii="Arial" w:cs="Arial" w:eastAsia="Arial" w:hAnsi="Arial"/>
                <w:sz w:val="18"/>
                <w:szCs w:val="18"/>
                <w:color w:val="0000FF"/>
                <w:w w:val="96"/>
              </w:rPr>
            </w:pPr>
            <w:hyperlink r:id="rId36">
              <w:r>
                <w:rPr>
                  <w:rFonts w:ascii="Arial" w:cs="Arial" w:eastAsia="Arial" w:hAnsi="Arial"/>
                  <w:sz w:val="18"/>
                  <w:szCs w:val="18"/>
                  <w:color w:val="0000FF"/>
                  <w:w w:val="96"/>
                </w:rPr>
                <w:t>Confirmation, dated as of September 10, 2014, by</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0" w:type="dxa"/>
            <w:vAlign w:val="bottom"/>
            <w:tcBorders>
              <w:top w:val="single" w:sz="8" w:color="0000FF"/>
            </w:tcBorders>
            <w:gridSpan w:val="20"/>
          </w:tcPr>
          <w:p>
            <w:pPr>
              <w:spacing w:after="0" w:line="196" w:lineRule="exact"/>
              <w:rPr>
                <w:rFonts w:ascii="Arial" w:cs="Arial" w:eastAsia="Arial" w:hAnsi="Arial"/>
                <w:sz w:val="18"/>
                <w:szCs w:val="18"/>
                <w:color w:val="0000FF"/>
                <w:w w:val="95"/>
              </w:rPr>
            </w:pPr>
            <w:hyperlink r:id="rId36">
              <w:r>
                <w:rPr>
                  <w:rFonts w:ascii="Arial" w:cs="Arial" w:eastAsia="Arial" w:hAnsi="Arial"/>
                  <w:sz w:val="18"/>
                  <w:szCs w:val="18"/>
                  <w:color w:val="0000FF"/>
                  <w:w w:val="95"/>
                </w:rPr>
                <w:t>and between Huron Consulting Group Inc. and</w:t>
              </w:r>
            </w:hyperlink>
          </w:p>
        </w:tc>
        <w:tc>
          <w:tcPr>
            <w:tcW w:w="26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4"/>
              </w:rPr>
            </w:pPr>
            <w:hyperlink r:id="rId36">
              <w:r>
                <w:rPr>
                  <w:rFonts w:ascii="Arial" w:cs="Arial" w:eastAsia="Arial" w:hAnsi="Arial"/>
                  <w:sz w:val="18"/>
                  <w:szCs w:val="18"/>
                  <w:color w:val="0000FF"/>
                  <w:w w:val="94"/>
                </w:rPr>
                <w:t>Bank of America, N.A.</w:t>
              </w:r>
            </w:hyperlink>
          </w:p>
        </w:tc>
        <w:tc>
          <w:tcPr>
            <w:tcW w:w="1680" w:type="dxa"/>
            <w:vAlign w:val="bottom"/>
            <w:tcBorders>
              <w:top w:val="single" w:sz="8" w:color="0000FF"/>
            </w:tcBorders>
            <w:gridSpan w:val="7"/>
          </w:tcPr>
          <w:p>
            <w:pPr>
              <w:spacing w:after="0"/>
              <w:rPr>
                <w:sz w:val="17"/>
                <w:szCs w:val="17"/>
                <w:color w:val="auto"/>
              </w:rPr>
            </w:pPr>
          </w:p>
        </w:tc>
        <w:tc>
          <w:tcPr>
            <w:tcW w:w="48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980"/>
          </w:cols>
          <w:pgMar w:left="240" w:top="108" w:right="679" w:bottom="1440" w:gutter="0" w:footer="0" w:header="0"/>
        </w:sectPr>
      </w:pP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980"/>
          </w:cols>
          <w:pgMar w:left="240" w:top="108" w:right="67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4780" w:type="dxa"/>
            <w:vAlign w:val="bottom"/>
            <w:gridSpan w:val="3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104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860" w:type="dxa"/>
            <w:vAlign w:val="bottom"/>
            <w:gridSpan w:val="36"/>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Form</w:t>
            </w:r>
          </w:p>
        </w:tc>
        <w:tc>
          <w:tcPr>
            <w:tcW w:w="1180" w:type="dxa"/>
            <w:vAlign w:val="bottom"/>
          </w:tcPr>
          <w:p>
            <w:pPr>
              <w:ind w:left="360"/>
              <w:spacing w:after="0"/>
              <w:rPr>
                <w:sz w:val="20"/>
                <w:szCs w:val="20"/>
                <w:color w:val="auto"/>
              </w:rPr>
            </w:pPr>
            <w:r>
              <w:rPr>
                <w:rFonts w:ascii="Arial" w:cs="Arial" w:eastAsia="Arial" w:hAnsi="Arial"/>
                <w:sz w:val="18"/>
                <w:szCs w:val="18"/>
                <w:b w:val="1"/>
                <w:bCs w:val="1"/>
                <w:color w:val="auto"/>
              </w:rPr>
              <w:t>Ending</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10.21</w:t>
            </w:r>
          </w:p>
        </w:tc>
        <w:tc>
          <w:tcPr>
            <w:tcW w:w="276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Additional Issuer Warrant Transaction</w:t>
              </w:r>
            </w:hyperlink>
          </w:p>
        </w:tc>
        <w:tc>
          <w:tcPr>
            <w:tcW w:w="1100" w:type="dxa"/>
            <w:vAlign w:val="bottom"/>
            <w:gridSpan w:val="2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9/16/2014</w:t>
            </w: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w w:val="96"/>
              </w:rPr>
            </w:pPr>
            <w:hyperlink r:id="rId37">
              <w:r>
                <w:rPr>
                  <w:rFonts w:ascii="Arial" w:cs="Arial" w:eastAsia="Arial" w:hAnsi="Arial"/>
                  <w:sz w:val="18"/>
                  <w:szCs w:val="18"/>
                  <w:color w:val="0000FF"/>
                  <w:w w:val="96"/>
                </w:rPr>
                <w:t>Confirmation, dated as of September 10, 2014, by</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and between Huron Consulting Group Inc. and J.P.</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7"/>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Morgan Securities LLC, as an agent for JPMorgan</w:t>
              </w:r>
            </w:hyperlink>
          </w:p>
        </w:tc>
        <w:tc>
          <w:tcPr>
            <w:tcW w:w="20" w:type="dxa"/>
            <w:vAlign w:val="bottom"/>
            <w:tcBorders>
              <w:top w:val="single" w:sz="8" w:color="0000FF"/>
            </w:tcBorders>
          </w:tcPr>
          <w:p>
            <w:pPr>
              <w:spacing w:after="0"/>
              <w:rPr>
                <w:sz w:val="17"/>
                <w:szCs w:val="17"/>
                <w:color w:val="auto"/>
              </w:rPr>
            </w:pPr>
          </w:p>
        </w:tc>
        <w:tc>
          <w:tcPr>
            <w:tcW w:w="20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6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Chase Bank, National Association, London Branch.</w:t>
              </w:r>
            </w:hyperlink>
          </w:p>
        </w:tc>
        <w:tc>
          <w:tcPr>
            <w:tcW w:w="1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10.22*</w:t>
            </w:r>
          </w:p>
        </w:tc>
        <w:tc>
          <w:tcPr>
            <w:tcW w:w="3440" w:type="dxa"/>
            <w:vAlign w:val="bottom"/>
            <w:tcBorders>
              <w:bottom w:val="single" w:sz="8" w:color="0000FF"/>
            </w:tcBorders>
            <w:gridSpan w:val="20"/>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Form of the Huron Consulting Group Inc. 2012</w:t>
              </w:r>
            </w:hyperlink>
          </w:p>
        </w:tc>
        <w:tc>
          <w:tcPr>
            <w:tcW w:w="420" w:type="dxa"/>
            <w:vAlign w:val="bottom"/>
            <w:gridSpan w:val="1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ind w:left="300"/>
              <w:spacing w:after="0"/>
              <w:rPr>
                <w:sz w:val="20"/>
                <w:szCs w:val="20"/>
                <w:color w:val="auto"/>
              </w:rPr>
            </w:pPr>
            <w:r>
              <w:rPr>
                <w:rFonts w:ascii="Arial" w:cs="Arial" w:eastAsia="Arial" w:hAnsi="Arial"/>
                <w:sz w:val="18"/>
                <w:szCs w:val="18"/>
                <w:color w:val="auto"/>
                <w:w w:val="95"/>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196"/>
        </w:trPr>
        <w:tc>
          <w:tcPr>
            <w:tcW w:w="920" w:type="dxa"/>
            <w:vAlign w:val="bottom"/>
          </w:tcPr>
          <w:p>
            <w:pPr>
              <w:spacing w:after="0"/>
              <w:rPr>
                <w:sz w:val="17"/>
                <w:szCs w:val="17"/>
                <w:color w:val="auto"/>
              </w:rPr>
            </w:pPr>
          </w:p>
        </w:tc>
        <w:tc>
          <w:tcPr>
            <w:tcW w:w="29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Omnibus Incentive Plan Restricted Stock</w:t>
              </w:r>
            </w:hyperlink>
          </w:p>
        </w:tc>
        <w:tc>
          <w:tcPr>
            <w:tcW w:w="880" w:type="dxa"/>
            <w:vAlign w:val="bottom"/>
            <w:gridSpan w:val="2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Agreement (Stock Ownership Participation</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Program).</w:t>
              </w:r>
            </w:hyperlink>
          </w:p>
        </w:tc>
        <w:tc>
          <w:tcPr>
            <w:tcW w:w="2380" w:type="dxa"/>
            <w:vAlign w:val="bottom"/>
            <w:tcBorders>
              <w:top w:val="single" w:sz="8" w:color="0000FF"/>
            </w:tcBorders>
            <w:gridSpan w:val="12"/>
          </w:tcPr>
          <w:p>
            <w:pPr>
              <w:spacing w:after="0"/>
              <w:rPr>
                <w:sz w:val="17"/>
                <w:szCs w:val="17"/>
                <w:color w:val="auto"/>
              </w:rPr>
            </w:pPr>
          </w:p>
        </w:tc>
        <w:tc>
          <w:tcPr>
            <w:tcW w:w="740" w:type="dxa"/>
            <w:vAlign w:val="bottom"/>
            <w:gridSpan w:val="2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10.23*</w:t>
            </w:r>
          </w:p>
        </w:tc>
        <w:tc>
          <w:tcPr>
            <w:tcW w:w="3440" w:type="dxa"/>
            <w:vAlign w:val="bottom"/>
            <w:tcBorders>
              <w:bottom w:val="single" w:sz="8" w:color="0000FF"/>
            </w:tcBorders>
            <w:gridSpan w:val="20"/>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Form of the Huron Consulting Group Inc. 2012</w:t>
              </w:r>
            </w:hyperlink>
          </w:p>
        </w:tc>
        <w:tc>
          <w:tcPr>
            <w:tcW w:w="420" w:type="dxa"/>
            <w:vAlign w:val="bottom"/>
            <w:gridSpan w:val="1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ind w:left="300"/>
              <w:spacing w:after="0"/>
              <w:rPr>
                <w:sz w:val="20"/>
                <w:szCs w:val="20"/>
                <w:color w:val="auto"/>
              </w:rPr>
            </w:pPr>
            <w:r>
              <w:rPr>
                <w:rFonts w:ascii="Arial" w:cs="Arial" w:eastAsia="Arial" w:hAnsi="Arial"/>
                <w:sz w:val="18"/>
                <w:szCs w:val="18"/>
                <w:color w:val="auto"/>
                <w:w w:val="95"/>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196"/>
        </w:trPr>
        <w:tc>
          <w:tcPr>
            <w:tcW w:w="920" w:type="dxa"/>
            <w:vAlign w:val="bottom"/>
          </w:tcPr>
          <w:p>
            <w:pPr>
              <w:spacing w:after="0"/>
              <w:rPr>
                <w:sz w:val="17"/>
                <w:szCs w:val="17"/>
                <w:color w:val="auto"/>
              </w:rPr>
            </w:pPr>
          </w:p>
        </w:tc>
        <w:tc>
          <w:tcPr>
            <w:tcW w:w="354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Omnibus Incentive Plan Performance Stock Unit</w:t>
              </w:r>
            </w:hyperlink>
          </w:p>
        </w:tc>
        <w:tc>
          <w:tcPr>
            <w:tcW w:w="32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Agreement.</w:t>
              </w:r>
            </w:hyperlink>
          </w:p>
        </w:tc>
        <w:tc>
          <w:tcPr>
            <w:tcW w:w="3000" w:type="dxa"/>
            <w:vAlign w:val="bottom"/>
            <w:gridSpan w:val="3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10.24*</w:t>
            </w:r>
          </w:p>
        </w:tc>
        <w:tc>
          <w:tcPr>
            <w:tcW w:w="3440" w:type="dxa"/>
            <w:vAlign w:val="bottom"/>
            <w:tcBorders>
              <w:bottom w:val="single" w:sz="8" w:color="0000FF"/>
            </w:tcBorders>
            <w:gridSpan w:val="20"/>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Form of the Huron Consulting Group Inc. 2012</w:t>
              </w:r>
            </w:hyperlink>
          </w:p>
        </w:tc>
        <w:tc>
          <w:tcPr>
            <w:tcW w:w="420" w:type="dxa"/>
            <w:vAlign w:val="bottom"/>
            <w:gridSpan w:val="1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ind w:left="300"/>
              <w:spacing w:after="0"/>
              <w:rPr>
                <w:sz w:val="20"/>
                <w:szCs w:val="20"/>
                <w:color w:val="auto"/>
              </w:rPr>
            </w:pPr>
            <w:r>
              <w:rPr>
                <w:rFonts w:ascii="Arial" w:cs="Arial" w:eastAsia="Arial" w:hAnsi="Arial"/>
                <w:sz w:val="18"/>
                <w:szCs w:val="18"/>
                <w:color w:val="auto"/>
                <w:w w:val="95"/>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196"/>
        </w:trPr>
        <w:tc>
          <w:tcPr>
            <w:tcW w:w="920" w:type="dxa"/>
            <w:vAlign w:val="bottom"/>
          </w:tcPr>
          <w:p>
            <w:pPr>
              <w:spacing w:after="0"/>
              <w:rPr>
                <w:sz w:val="17"/>
                <w:szCs w:val="17"/>
                <w:color w:val="auto"/>
              </w:rPr>
            </w:pPr>
          </w:p>
        </w:tc>
        <w:tc>
          <w:tcPr>
            <w:tcW w:w="364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Omnibus Incentive Plan Stock Option Agreement.</w:t>
              </w:r>
            </w:hyperlink>
          </w:p>
        </w:tc>
        <w:tc>
          <w:tcPr>
            <w:tcW w:w="22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10.25*</w:t>
            </w:r>
          </w:p>
        </w:tc>
        <w:tc>
          <w:tcPr>
            <w:tcW w:w="3440" w:type="dxa"/>
            <w:vAlign w:val="bottom"/>
            <w:tcBorders>
              <w:bottom w:val="single" w:sz="8" w:color="0000FF"/>
            </w:tcBorders>
            <w:gridSpan w:val="20"/>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Form of the Huron Consulting Group Inc. 2012</w:t>
              </w:r>
            </w:hyperlink>
          </w:p>
        </w:tc>
        <w:tc>
          <w:tcPr>
            <w:tcW w:w="420" w:type="dxa"/>
            <w:vAlign w:val="bottom"/>
            <w:gridSpan w:val="1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ind w:left="300"/>
              <w:spacing w:after="0"/>
              <w:rPr>
                <w:sz w:val="20"/>
                <w:szCs w:val="20"/>
                <w:color w:val="auto"/>
              </w:rPr>
            </w:pPr>
            <w:r>
              <w:rPr>
                <w:rFonts w:ascii="Arial" w:cs="Arial" w:eastAsia="Arial" w:hAnsi="Arial"/>
                <w:sz w:val="18"/>
                <w:szCs w:val="18"/>
                <w:color w:val="auto"/>
                <w:w w:val="95"/>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w w:val="97"/>
              </w:rPr>
            </w:pPr>
            <w:hyperlink r:id="rId41">
              <w:r>
                <w:rPr>
                  <w:rFonts w:ascii="Arial" w:cs="Arial" w:eastAsia="Arial" w:hAnsi="Arial"/>
                  <w:sz w:val="18"/>
                  <w:szCs w:val="18"/>
                  <w:color w:val="0000FF"/>
                  <w:w w:val="97"/>
                </w:rPr>
                <w:t>Omnibus Incentive Plan NEO Performance Stock</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Unit Agreement.</w:t>
              </w:r>
            </w:hyperlink>
          </w:p>
        </w:tc>
        <w:tc>
          <w:tcPr>
            <w:tcW w:w="2380" w:type="dxa"/>
            <w:vAlign w:val="bottom"/>
            <w:tcBorders>
              <w:top w:val="single" w:sz="8" w:color="0000FF"/>
            </w:tcBorders>
            <w:gridSpan w:val="20"/>
          </w:tcPr>
          <w:p>
            <w:pPr>
              <w:spacing w:after="0"/>
              <w:rPr>
                <w:sz w:val="17"/>
                <w:szCs w:val="17"/>
                <w:color w:val="auto"/>
              </w:rPr>
            </w:pPr>
          </w:p>
        </w:tc>
        <w:tc>
          <w:tcPr>
            <w:tcW w:w="26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10.26</w:t>
            </w:r>
          </w:p>
        </w:tc>
        <w:tc>
          <w:tcPr>
            <w:tcW w:w="3640" w:type="dxa"/>
            <w:vAlign w:val="bottom"/>
            <w:tcBorders>
              <w:bottom w:val="single" w:sz="8" w:color="0000FF"/>
            </w:tcBorders>
            <w:gridSpan w:val="26"/>
          </w:tcPr>
          <w:p>
            <w:pPr>
              <w:spacing w:after="0"/>
              <w:rPr>
                <w:rFonts w:ascii="Arial" w:cs="Arial" w:eastAsia="Arial" w:hAnsi="Arial"/>
                <w:sz w:val="18"/>
                <w:szCs w:val="18"/>
                <w:color w:val="0000FF"/>
                <w:w w:val="89"/>
              </w:rPr>
            </w:pPr>
            <w:hyperlink r:id="rId42">
              <w:r>
                <w:rPr>
                  <w:rFonts w:ascii="Arial" w:cs="Arial" w:eastAsia="Arial" w:hAnsi="Arial"/>
                  <w:sz w:val="18"/>
                  <w:szCs w:val="18"/>
                  <w:color w:val="0000FF"/>
                  <w:w w:val="89"/>
                </w:rPr>
                <w:t>Second Amended and Restated Credit Agreement,</w:t>
              </w:r>
            </w:hyperlink>
          </w:p>
        </w:tc>
        <w:tc>
          <w:tcPr>
            <w:tcW w:w="220" w:type="dxa"/>
            <w:vAlign w:val="bottom"/>
            <w:gridSpan w:val="10"/>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dated as of March 31, 2015, among Huron</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Consulting Group Inc., as Borrower, certain</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00" w:type="dxa"/>
            <w:vAlign w:val="bottom"/>
            <w:tcBorders>
              <w:bottom w:val="single" w:sz="8" w:color="0000FF"/>
            </w:tcBorders>
            <w:gridSpan w:val="33"/>
          </w:tcPr>
          <w:p>
            <w:pPr>
              <w:spacing w:after="0" w:line="196"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subsidiaries as Guarantors, the Lenders Party Hereto</w:t>
              </w:r>
            </w:hyperlink>
          </w:p>
        </w:tc>
        <w:tc>
          <w:tcPr>
            <w:tcW w:w="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36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and Bank of America, N.A., as Administrative</w:t>
              </w:r>
            </w:hyperlink>
          </w:p>
        </w:tc>
        <w:tc>
          <w:tcPr>
            <w:tcW w:w="500" w:type="dxa"/>
            <w:vAlign w:val="bottom"/>
            <w:gridSpan w:val="19"/>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8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Agent and Collateral Agent, JPMorgan Chase Bank,</w:t>
              </w:r>
            </w:hyperlink>
          </w:p>
        </w:tc>
        <w:tc>
          <w:tcPr>
            <w:tcW w:w="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N.A., as Syndication Agent, PNC Bank, Bank of</w:t>
              </w:r>
            </w:hyperlink>
          </w:p>
        </w:tc>
        <w:tc>
          <w:tcPr>
            <w:tcW w:w="34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5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Montreal and Key Bank National Association as</w:t>
              </w:r>
            </w:hyperlink>
          </w:p>
        </w:tc>
        <w:tc>
          <w:tcPr>
            <w:tcW w:w="36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Co-Documentation Agents, and Merrill Lynch,</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380" w:type="dxa"/>
            <w:vAlign w:val="bottom"/>
            <w:tcBorders>
              <w:top w:val="single" w:sz="8" w:color="0000FF"/>
            </w:tcBorders>
            <w:gridSpan w:val="18"/>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Pierce, Fenner &amp; Smith Incorporated and J.P.</w:t>
              </w:r>
            </w:hyperlink>
          </w:p>
        </w:tc>
        <w:tc>
          <w:tcPr>
            <w:tcW w:w="48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Morgan Securities LLC, as Joint Lead Arrangers</w:t>
              </w:r>
            </w:hyperlink>
          </w:p>
        </w:tc>
        <w:tc>
          <w:tcPr>
            <w:tcW w:w="34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and Joint Book Managers.</w:t>
              </w:r>
            </w:hyperlink>
          </w:p>
        </w:tc>
        <w:tc>
          <w:tcPr>
            <w:tcW w:w="1960" w:type="dxa"/>
            <w:vAlign w:val="bottom"/>
            <w:gridSpan w:val="29"/>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10.27</w:t>
            </w:r>
          </w:p>
        </w:tc>
        <w:tc>
          <w:tcPr>
            <w:tcW w:w="3860" w:type="dxa"/>
            <w:vAlign w:val="bottom"/>
            <w:gridSpan w:val="36"/>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Second Amended and Restated Security Agreement,</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196"/>
        </w:trPr>
        <w:tc>
          <w:tcPr>
            <w:tcW w:w="920" w:type="dxa"/>
            <w:vAlign w:val="bottom"/>
          </w:tcPr>
          <w:p>
            <w:pPr>
              <w:spacing w:after="0"/>
              <w:rPr>
                <w:sz w:val="17"/>
                <w:szCs w:val="17"/>
                <w:color w:val="auto"/>
              </w:rPr>
            </w:pPr>
          </w:p>
        </w:tc>
        <w:tc>
          <w:tcPr>
            <w:tcW w:w="378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dated as of March 31, 2015.</w:t>
              </w:r>
            </w:hyperlink>
          </w:p>
        </w:tc>
        <w:tc>
          <w:tcPr>
            <w:tcW w:w="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10.28</w:t>
            </w:r>
          </w:p>
        </w:tc>
        <w:tc>
          <w:tcPr>
            <w:tcW w:w="3680" w:type="dxa"/>
            <w:vAlign w:val="bottom"/>
            <w:tcBorders>
              <w:bottom w:val="single" w:sz="8" w:color="0000FF"/>
            </w:tcBorders>
            <w:gridSpan w:val="29"/>
          </w:tcPr>
          <w:p>
            <w:pPr>
              <w:spacing w:after="0"/>
              <w:rPr>
                <w:rFonts w:ascii="Arial" w:cs="Arial" w:eastAsia="Arial" w:hAnsi="Arial"/>
                <w:sz w:val="18"/>
                <w:szCs w:val="18"/>
                <w:color w:val="0000FF"/>
                <w:w w:val="88"/>
              </w:rPr>
            </w:pPr>
            <w:hyperlink r:id="rId44">
              <w:r>
                <w:rPr>
                  <w:rFonts w:ascii="Arial" w:cs="Arial" w:eastAsia="Arial" w:hAnsi="Arial"/>
                  <w:sz w:val="18"/>
                  <w:szCs w:val="18"/>
                  <w:color w:val="0000FF"/>
                  <w:w w:val="88"/>
                </w:rPr>
                <w:t>Second Amended and Restated Pledge Agreement,</w:t>
              </w:r>
            </w:hyperlink>
          </w:p>
        </w:tc>
        <w:tc>
          <w:tcPr>
            <w:tcW w:w="180" w:type="dxa"/>
            <w:vAlign w:val="bottom"/>
            <w:gridSpan w:val="7"/>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dated as of March 31, 2015.</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3420" w:type="dxa"/>
            <w:vAlign w:val="bottom"/>
            <w:tcBorders>
              <w:bottom w:val="single" w:sz="8" w:color="0000FF"/>
            </w:tcBorders>
            <w:gridSpan w:val="19"/>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Huron Consulting Group Inc. Stock Ownership</w:t>
              </w:r>
            </w:hyperlink>
          </w:p>
        </w:tc>
        <w:tc>
          <w:tcPr>
            <w:tcW w:w="440" w:type="dxa"/>
            <w:vAlign w:val="bottom"/>
            <w:gridSpan w:val="17"/>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5"/>
              </w:rPr>
              <w:t>DEF 14A</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3/20/2015</w:t>
            </w: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Participation Program.</w:t>
              </w:r>
            </w:hyperlink>
          </w:p>
        </w:tc>
        <w:tc>
          <w:tcPr>
            <w:tcW w:w="2220" w:type="dxa"/>
            <w:vAlign w:val="bottom"/>
            <w:gridSpan w:val="30"/>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10.30*</w:t>
            </w:r>
          </w:p>
        </w:tc>
        <w:tc>
          <w:tcPr>
            <w:tcW w:w="3260" w:type="dxa"/>
            <w:vAlign w:val="bottom"/>
            <w:tcBorders>
              <w:bottom w:val="single" w:sz="8" w:color="0000FF"/>
            </w:tcBorders>
            <w:gridSpan w:val="16"/>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Huron Consulting Group Inc. 2012 Omnibus</w:t>
              </w:r>
            </w:hyperlink>
          </w:p>
        </w:tc>
        <w:tc>
          <w:tcPr>
            <w:tcW w:w="600" w:type="dxa"/>
            <w:vAlign w:val="bottom"/>
            <w:gridSpan w:val="20"/>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5"/>
              </w:rPr>
              <w:t>DEF 14A</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3/27/2017</w:t>
            </w:r>
          </w:p>
        </w:tc>
      </w:tr>
      <w:tr>
        <w:trPr>
          <w:trHeight w:val="196"/>
        </w:trPr>
        <w:tc>
          <w:tcPr>
            <w:tcW w:w="920" w:type="dxa"/>
            <w:vAlign w:val="bottom"/>
          </w:tcPr>
          <w:p>
            <w:pPr>
              <w:spacing w:after="0"/>
              <w:rPr>
                <w:sz w:val="17"/>
                <w:szCs w:val="17"/>
                <w:color w:val="auto"/>
              </w:rPr>
            </w:pPr>
          </w:p>
        </w:tc>
        <w:tc>
          <w:tcPr>
            <w:tcW w:w="3560" w:type="dxa"/>
            <w:vAlign w:val="bottom"/>
            <w:tcBorders>
              <w:bottom w:val="single" w:sz="8" w:color="0000FF"/>
            </w:tcBorders>
            <w:gridSpan w:val="24"/>
          </w:tcPr>
          <w:p>
            <w:pPr>
              <w:spacing w:after="0" w:line="196" w:lineRule="exact"/>
              <w:rPr>
                <w:rFonts w:ascii="Arial" w:cs="Arial" w:eastAsia="Arial" w:hAnsi="Arial"/>
                <w:sz w:val="18"/>
                <w:szCs w:val="18"/>
                <w:color w:val="0000FF"/>
                <w:w w:val="88"/>
              </w:rPr>
            </w:pPr>
            <w:hyperlink r:id="rId46">
              <w:r>
                <w:rPr>
                  <w:rFonts w:ascii="Arial" w:cs="Arial" w:eastAsia="Arial" w:hAnsi="Arial"/>
                  <w:sz w:val="18"/>
                  <w:szCs w:val="18"/>
                  <w:color w:val="0000FF"/>
                  <w:w w:val="88"/>
                </w:rPr>
                <w:t>Incentive Plan, as amended and restated effective</w:t>
              </w:r>
            </w:hyperlink>
          </w:p>
        </w:tc>
        <w:tc>
          <w:tcPr>
            <w:tcW w:w="30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May 1, 2017.</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920" w:type="dxa"/>
            <w:vAlign w:val="bottom"/>
          </w:tcPr>
          <w:p>
            <w:pPr>
              <w:ind w:left="40"/>
              <w:spacing w:after="0"/>
              <w:rPr>
                <w:sz w:val="20"/>
                <w:szCs w:val="20"/>
                <w:color w:val="auto"/>
              </w:rPr>
            </w:pPr>
            <w:r>
              <w:rPr>
                <w:rFonts w:ascii="Arial" w:cs="Arial" w:eastAsia="Arial" w:hAnsi="Arial"/>
                <w:sz w:val="18"/>
                <w:szCs w:val="18"/>
                <w:color w:val="auto"/>
              </w:rPr>
              <w:t>10.31</w:t>
            </w:r>
          </w:p>
        </w:tc>
        <w:tc>
          <w:tcPr>
            <w:tcW w:w="3860" w:type="dxa"/>
            <w:vAlign w:val="bottom"/>
            <w:gridSpan w:val="36"/>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Amendment No. 1 of the Second Amended and</w:t>
              </w:r>
            </w:hyperlink>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3/6/2017</w:t>
            </w:r>
          </w:p>
        </w:tc>
      </w:tr>
      <w:tr>
        <w:trPr>
          <w:trHeight w:val="20"/>
        </w:trPr>
        <w:tc>
          <w:tcPr>
            <w:tcW w:w="920" w:type="dxa"/>
            <w:vAlign w:val="bottom"/>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40" w:type="dxa"/>
            <w:vAlign w:val="bottom"/>
            <w:tcBorders>
              <w:bottom w:val="single" w:sz="8" w:color="0000FF"/>
            </w:tcBorders>
            <w:gridSpan w:val="35"/>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Restated Credit Agreement, dated as of February 28,</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2017, by and among Huron Consulting Group Inc.,</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1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20" w:type="dxa"/>
            <w:vAlign w:val="bottom"/>
            <w:tcBorders>
              <w:bottom w:val="single" w:sz="8" w:color="0000FF"/>
            </w:tcBorders>
            <w:gridSpan w:val="34"/>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as Borrower, certain subsidiaries, as Guarantors, and</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00" w:type="dxa"/>
            <w:vAlign w:val="bottom"/>
            <w:tcBorders>
              <w:bottom w:val="single" w:sz="8" w:color="0000FF"/>
            </w:tcBorders>
            <w:gridSpan w:val="33"/>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Bank of America, N.A., as Administrative Agent for</w:t>
              </w:r>
            </w:hyperlink>
          </w:p>
        </w:tc>
        <w:tc>
          <w:tcPr>
            <w:tcW w:w="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and on behalf of the Lenders.</w:t>
              </w:r>
            </w:hyperlink>
          </w:p>
        </w:tc>
        <w:tc>
          <w:tcPr>
            <w:tcW w:w="1720" w:type="dxa"/>
            <w:vAlign w:val="bottom"/>
            <w:gridSpan w:val="2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66"/>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3860" w:type="dxa"/>
            <w:vAlign w:val="bottom"/>
            <w:gridSpan w:val="36"/>
          </w:tcPr>
          <w:p>
            <w:pPr>
              <w:spacing w:after="0"/>
              <w:rPr>
                <w:rFonts w:ascii="Arial" w:cs="Arial" w:eastAsia="Arial" w:hAnsi="Arial"/>
                <w:sz w:val="18"/>
                <w:szCs w:val="18"/>
                <w:color w:val="0000FF"/>
              </w:rPr>
            </w:pPr>
            <w:hyperlink r:id="rId48">
              <w:r>
                <w:rPr>
                  <w:rFonts w:ascii="Arial" w:cs="Arial" w:eastAsia="Arial" w:hAnsi="Arial"/>
                  <w:sz w:val="18"/>
                  <w:szCs w:val="18"/>
                  <w:color w:val="0000FF"/>
                </w:rPr>
                <w:t>Amendment No. 2 of the Second Amended and</w:t>
              </w:r>
            </w:hyperlink>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4"/>
              </w:rPr>
              <w:t>10-Q</w:t>
            </w:r>
          </w:p>
        </w:tc>
        <w:tc>
          <w:tcPr>
            <w:tcW w:w="1180" w:type="dxa"/>
            <w:vAlign w:val="bottom"/>
          </w:tcPr>
          <w:p>
            <w:pPr>
              <w:ind w:left="280"/>
              <w:spacing w:after="0"/>
              <w:rPr>
                <w:sz w:val="20"/>
                <w:szCs w:val="20"/>
                <w:color w:val="auto"/>
              </w:rPr>
            </w:pPr>
            <w:r>
              <w:rPr>
                <w:rFonts w:ascii="Arial" w:cs="Arial" w:eastAsia="Arial" w:hAnsi="Arial"/>
                <w:sz w:val="18"/>
                <w:szCs w:val="18"/>
                <w:color w:val="auto"/>
              </w:rPr>
              <w:t>9/30/2017</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11/1/2017</w:t>
            </w:r>
          </w:p>
        </w:tc>
      </w:tr>
      <w:tr>
        <w:trPr>
          <w:trHeight w:val="20"/>
        </w:trPr>
        <w:tc>
          <w:tcPr>
            <w:tcW w:w="920" w:type="dxa"/>
            <w:vAlign w:val="bottom"/>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40" w:type="dxa"/>
            <w:vAlign w:val="bottom"/>
            <w:tcBorders>
              <w:bottom w:val="single" w:sz="8" w:color="0000FF"/>
            </w:tcBorders>
            <w:gridSpan w:val="30"/>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Restated Credit Agreement, dated as of October 24,</w:t>
              </w:r>
            </w:hyperlink>
          </w:p>
        </w:tc>
        <w:tc>
          <w:tcPr>
            <w:tcW w:w="1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6"/>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2017, by and among Huron Consulting Group Inc.,</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gridSpan w:val="1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20" w:type="dxa"/>
            <w:vAlign w:val="bottom"/>
            <w:tcBorders>
              <w:bottom w:val="single" w:sz="8" w:color="0000FF"/>
            </w:tcBorders>
            <w:gridSpan w:val="34"/>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as Borrower, certain subsidiaries, as Guarantors, and</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00" w:type="dxa"/>
            <w:vAlign w:val="bottom"/>
            <w:tcBorders>
              <w:bottom w:val="single" w:sz="8" w:color="0000FF"/>
            </w:tcBorders>
            <w:gridSpan w:val="33"/>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Bank of America, N.A., as Administrative Agent for</w:t>
              </w:r>
            </w:hyperlink>
          </w:p>
        </w:tc>
        <w:tc>
          <w:tcPr>
            <w:tcW w:w="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and on behalf of the Lenders.</w:t>
              </w:r>
            </w:hyperlink>
          </w:p>
        </w:tc>
        <w:tc>
          <w:tcPr>
            <w:tcW w:w="1740" w:type="dxa"/>
            <w:vAlign w:val="bottom"/>
            <w:gridSpan w:val="2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3860" w:type="dxa"/>
            <w:vAlign w:val="bottom"/>
            <w:gridSpan w:val="36"/>
          </w:tcPr>
          <w:p>
            <w:pPr>
              <w:spacing w:after="0"/>
              <w:rPr>
                <w:rFonts w:ascii="Arial" w:cs="Arial" w:eastAsia="Arial" w:hAnsi="Arial"/>
                <w:sz w:val="18"/>
                <w:szCs w:val="18"/>
                <w:color w:val="0000FF"/>
                <w:w w:val="94"/>
              </w:rPr>
            </w:pPr>
            <w:hyperlink w:anchor="page106">
              <w:r>
                <w:rPr>
                  <w:rFonts w:ascii="Arial" w:cs="Arial" w:eastAsia="Arial" w:hAnsi="Arial"/>
                  <w:sz w:val="18"/>
                  <w:szCs w:val="18"/>
                  <w:color w:val="0000FF"/>
                  <w:w w:val="94"/>
                </w:rPr>
                <w:t>List of Subsidiaries of Huron Consulting Group Inc.</w:t>
              </w:r>
            </w:hyperlink>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30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9"/>
              </w:rPr>
            </w:pPr>
            <w:hyperlink w:anchor="page107">
              <w:r>
                <w:rPr>
                  <w:rFonts w:ascii="Arial" w:cs="Arial" w:eastAsia="Arial" w:hAnsi="Arial"/>
                  <w:sz w:val="18"/>
                  <w:szCs w:val="18"/>
                  <w:color w:val="0000FF"/>
                  <w:w w:val="89"/>
                </w:rPr>
                <w:t>Consent of PricewaterhouseCoopers LLP.</w:t>
              </w:r>
            </w:hyperlink>
          </w:p>
        </w:tc>
        <w:tc>
          <w:tcPr>
            <w:tcW w:w="700" w:type="dxa"/>
            <w:vAlign w:val="bottom"/>
            <w:tcBorders>
              <w:top w:val="single" w:sz="8" w:color="0000FF"/>
            </w:tcBorders>
            <w:gridSpan w:val="18"/>
          </w:tcPr>
          <w:p>
            <w:pPr>
              <w:spacing w:after="0"/>
              <w:rPr>
                <w:sz w:val="21"/>
                <w:szCs w:val="21"/>
                <w:color w:val="auto"/>
              </w:rPr>
            </w:pPr>
          </w:p>
        </w:tc>
        <w:tc>
          <w:tcPr>
            <w:tcW w:w="100" w:type="dxa"/>
            <w:vAlign w:val="bottom"/>
            <w:gridSpan w:val="5"/>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980"/>
          </w:cols>
          <w:pgMar w:left="240" w:top="108" w:right="679" w:bottom="1440" w:gutter="0" w:footer="0" w:header="0"/>
        </w:sectPr>
      </w:pP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980"/>
          </w:cols>
          <w:pgMar w:left="240" w:top="108" w:right="67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478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980" w:type="dxa"/>
            <w:vAlign w:val="bottom"/>
          </w:tcPr>
          <w:p>
            <w:pPr>
              <w:spacing w:after="0"/>
              <w:rPr>
                <w:sz w:val="18"/>
                <w:szCs w:val="18"/>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Period</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860" w:type="dxa"/>
            <w:vAlign w:val="bottom"/>
            <w:gridSpan w:val="11"/>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ind w:left="380"/>
              <w:spacing w:after="0"/>
              <w:rPr>
                <w:sz w:val="20"/>
                <w:szCs w:val="20"/>
                <w:color w:val="auto"/>
              </w:rPr>
            </w:pPr>
            <w:r>
              <w:rPr>
                <w:rFonts w:ascii="Arial" w:cs="Arial" w:eastAsia="Arial" w:hAnsi="Arial"/>
                <w:sz w:val="18"/>
                <w:szCs w:val="18"/>
                <w:b w:val="1"/>
                <w:bCs w:val="1"/>
                <w:color w:val="auto"/>
              </w:rPr>
              <w:t>Form</w:t>
            </w: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Ending</w:t>
            </w:r>
          </w:p>
        </w:tc>
        <w:tc>
          <w:tcPr>
            <w:tcW w:w="110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31.1</w:t>
            </w:r>
          </w:p>
        </w:tc>
        <w:tc>
          <w:tcPr>
            <w:tcW w:w="3860" w:type="dxa"/>
            <w:vAlign w:val="bottom"/>
            <w:gridSpan w:val="11"/>
          </w:tcPr>
          <w:p>
            <w:pPr>
              <w:spacing w:after="0" w:line="196" w:lineRule="exact"/>
              <w:rPr>
                <w:rFonts w:ascii="Arial" w:cs="Arial" w:eastAsia="Arial" w:hAnsi="Arial"/>
                <w:sz w:val="18"/>
                <w:szCs w:val="18"/>
                <w:color w:val="0000FF"/>
              </w:rPr>
            </w:pPr>
            <w:hyperlink w:anchor="page108">
              <w:r>
                <w:rPr>
                  <w:rFonts w:ascii="Arial" w:cs="Arial" w:eastAsia="Arial" w:hAnsi="Arial"/>
                  <w:sz w:val="18"/>
                  <w:szCs w:val="18"/>
                  <w:color w:val="0000FF"/>
                </w:rPr>
                <w:t>Certification of the Chief Executive Officer,</w:t>
              </w:r>
            </w:hyperlink>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w:anchor="page108">
              <w:r>
                <w:rPr>
                  <w:rFonts w:ascii="Arial" w:cs="Arial" w:eastAsia="Arial" w:hAnsi="Arial"/>
                  <w:sz w:val="18"/>
                  <w:szCs w:val="18"/>
                  <w:color w:val="0000FF"/>
                  <w:w w:val="89"/>
                </w:rPr>
                <w:t>pursuant to Rule 13a-14(a)/15d-14(a), as adopted</w:t>
              </w:r>
            </w:hyperlink>
          </w:p>
        </w:tc>
        <w:tc>
          <w:tcPr>
            <w:tcW w:w="3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108">
              <w:r>
                <w:rPr>
                  <w:rFonts w:ascii="Arial" w:cs="Arial" w:eastAsia="Arial" w:hAnsi="Arial"/>
                  <w:sz w:val="18"/>
                  <w:szCs w:val="18"/>
                  <w:color w:val="0000FF"/>
                  <w:w w:val="90"/>
                </w:rPr>
                <w:t>pursuant to Section 302 of the Sarbanes-Oxley Act</w:t>
              </w:r>
            </w:hyperlink>
          </w:p>
        </w:tc>
        <w:tc>
          <w:tcPr>
            <w:tcW w:w="1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11"/>
          </w:tcPr>
          <w:p>
            <w:pPr>
              <w:spacing w:after="0" w:line="196" w:lineRule="exact"/>
              <w:rPr>
                <w:rFonts w:ascii="Arial" w:cs="Arial" w:eastAsia="Arial" w:hAnsi="Arial"/>
                <w:sz w:val="18"/>
                <w:szCs w:val="18"/>
                <w:color w:val="0000FF"/>
              </w:rPr>
            </w:pPr>
            <w:hyperlink w:anchor="page108">
              <w:r>
                <w:rPr>
                  <w:rFonts w:ascii="Arial" w:cs="Arial" w:eastAsia="Arial" w:hAnsi="Arial"/>
                  <w:sz w:val="18"/>
                  <w:szCs w:val="18"/>
                  <w:color w:val="0000FF"/>
                </w:rPr>
                <w:t>of 2002.</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380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09">
              <w:r>
                <w:rPr>
                  <w:rFonts w:ascii="Arial" w:cs="Arial" w:eastAsia="Arial" w:hAnsi="Arial"/>
                  <w:sz w:val="18"/>
                  <w:szCs w:val="18"/>
                  <w:color w:val="0000FF"/>
                  <w:w w:val="92"/>
                </w:rPr>
                <w:t>Certification of the Chief Financial Officer, pursuant</w:t>
              </w:r>
            </w:hyperlink>
          </w:p>
        </w:tc>
        <w:tc>
          <w:tcPr>
            <w:tcW w:w="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3860" w:type="dxa"/>
            <w:vAlign w:val="bottom"/>
            <w:gridSpan w:val="11"/>
          </w:tcPr>
          <w:p>
            <w:pPr>
              <w:spacing w:after="0" w:line="196" w:lineRule="exact"/>
              <w:rPr>
                <w:rFonts w:ascii="Arial" w:cs="Arial" w:eastAsia="Arial" w:hAnsi="Arial"/>
                <w:sz w:val="18"/>
                <w:szCs w:val="18"/>
                <w:color w:val="0000FF"/>
                <w:w w:val="92"/>
              </w:rPr>
            </w:pPr>
            <w:hyperlink w:anchor="page109">
              <w:r>
                <w:rPr>
                  <w:rFonts w:ascii="Arial" w:cs="Arial" w:eastAsia="Arial" w:hAnsi="Arial"/>
                  <w:sz w:val="18"/>
                  <w:szCs w:val="18"/>
                  <w:color w:val="0000FF"/>
                  <w:w w:val="92"/>
                </w:rPr>
                <w:t>to Rule 13a-14(a)/15d-14(a), as adopted pursuant to</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40" w:type="dxa"/>
            <w:vAlign w:val="bottom"/>
            <w:tcBorders>
              <w:top w:val="single" w:sz="8" w:color="0000FF"/>
            </w:tcBorders>
            <w:gridSpan w:val="9"/>
          </w:tcPr>
          <w:p>
            <w:pPr>
              <w:spacing w:after="0" w:line="196" w:lineRule="exact"/>
              <w:rPr>
                <w:rFonts w:ascii="Arial" w:cs="Arial" w:eastAsia="Arial" w:hAnsi="Arial"/>
                <w:sz w:val="18"/>
                <w:szCs w:val="18"/>
                <w:color w:val="0000FF"/>
                <w:w w:val="97"/>
              </w:rPr>
            </w:pPr>
            <w:hyperlink w:anchor="page109">
              <w:r>
                <w:rPr>
                  <w:rFonts w:ascii="Arial" w:cs="Arial" w:eastAsia="Arial" w:hAnsi="Arial"/>
                  <w:sz w:val="18"/>
                  <w:szCs w:val="18"/>
                  <w:color w:val="0000FF"/>
                  <w:w w:val="97"/>
                </w:rPr>
                <w:t>Section 302 of the Sarbanes-Oxley Act of 2002.</w:t>
              </w:r>
            </w:hyperlink>
          </w:p>
        </w:tc>
        <w:tc>
          <w:tcPr>
            <w:tcW w:w="1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3460" w:type="dxa"/>
            <w:vAlign w:val="bottom"/>
            <w:tcBorders>
              <w:top w:val="single" w:sz="8" w:color="0000FF"/>
            </w:tcBorders>
            <w:gridSpan w:val="5"/>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Certification of the Chief Executive Officer,</w:t>
              </w:r>
            </w:hyperlink>
          </w:p>
        </w:tc>
        <w:tc>
          <w:tcPr>
            <w:tcW w:w="400" w:type="dxa"/>
            <w:vAlign w:val="bottom"/>
            <w:gridSpan w:val="6"/>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w:anchor="page110">
              <w:r>
                <w:rPr>
                  <w:rFonts w:ascii="Arial" w:cs="Arial" w:eastAsia="Arial" w:hAnsi="Arial"/>
                  <w:sz w:val="18"/>
                  <w:szCs w:val="18"/>
                  <w:color w:val="0000FF"/>
                  <w:w w:val="88"/>
                </w:rPr>
                <w:t>pursuant to 18 U.S.C. Section 1350, as adopted</w:t>
              </w:r>
            </w:hyperlink>
          </w:p>
        </w:tc>
        <w:tc>
          <w:tcPr>
            <w:tcW w:w="44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110">
              <w:r>
                <w:rPr>
                  <w:rFonts w:ascii="Arial" w:cs="Arial" w:eastAsia="Arial" w:hAnsi="Arial"/>
                  <w:sz w:val="18"/>
                  <w:szCs w:val="18"/>
                  <w:color w:val="0000FF"/>
                  <w:w w:val="90"/>
                </w:rPr>
                <w:t>pursuant to Section 906 of the Sarbanes-Oxley Act</w:t>
              </w:r>
            </w:hyperlink>
          </w:p>
        </w:tc>
        <w:tc>
          <w:tcPr>
            <w:tcW w:w="1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11"/>
          </w:tcPr>
          <w:p>
            <w:pPr>
              <w:spacing w:after="0" w:line="196" w:lineRule="exact"/>
              <w:rPr>
                <w:rFonts w:ascii="Arial" w:cs="Arial" w:eastAsia="Arial" w:hAnsi="Arial"/>
                <w:sz w:val="18"/>
                <w:szCs w:val="18"/>
                <w:color w:val="0000FF"/>
              </w:rPr>
            </w:pPr>
            <w:hyperlink w:anchor="page110">
              <w:r>
                <w:rPr>
                  <w:rFonts w:ascii="Arial" w:cs="Arial" w:eastAsia="Arial" w:hAnsi="Arial"/>
                  <w:sz w:val="18"/>
                  <w:szCs w:val="18"/>
                  <w:color w:val="0000FF"/>
                </w:rPr>
                <w:t>of 2002.</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380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Certification of the Chief Financial Officer, pursuant</w:t>
              </w:r>
            </w:hyperlink>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3600" w:type="dxa"/>
            <w:vAlign w:val="bottom"/>
            <w:tcBorders>
              <w:bottom w:val="single" w:sz="8" w:color="0000FF"/>
            </w:tcBorders>
            <w:gridSpan w:val="7"/>
          </w:tcPr>
          <w:p>
            <w:pPr>
              <w:spacing w:after="0" w:line="196" w:lineRule="exact"/>
              <w:rPr>
                <w:rFonts w:ascii="Arial" w:cs="Arial" w:eastAsia="Arial" w:hAnsi="Arial"/>
                <w:sz w:val="18"/>
                <w:szCs w:val="18"/>
                <w:color w:val="0000FF"/>
                <w:w w:val="88"/>
              </w:rPr>
            </w:pPr>
            <w:hyperlink w:anchor="page111">
              <w:r>
                <w:rPr>
                  <w:rFonts w:ascii="Arial" w:cs="Arial" w:eastAsia="Arial" w:hAnsi="Arial"/>
                  <w:sz w:val="18"/>
                  <w:szCs w:val="18"/>
                  <w:color w:val="0000FF"/>
                  <w:w w:val="88"/>
                </w:rPr>
                <w:t>to 18 U.S.C. Section 1350, as adopted pursuant to</w:t>
              </w:r>
            </w:hyperlink>
          </w:p>
        </w:tc>
        <w:tc>
          <w:tcPr>
            <w:tcW w:w="26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11"/>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Section 906 of the Sarbanes-Oxley Act of 2002.</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91"/>
        </w:trPr>
        <w:tc>
          <w:tcPr>
            <w:tcW w:w="920" w:type="dxa"/>
            <w:vAlign w:val="bottom"/>
          </w:tcPr>
          <w:p>
            <w:pPr>
              <w:ind w:left="40"/>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400" w:type="dxa"/>
            <w:vAlign w:val="bottom"/>
            <w:gridSpan w:val="6"/>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386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3860" w:type="dxa"/>
            <w:vAlign w:val="bottom"/>
            <w:gridSpan w:val="11"/>
          </w:tcPr>
          <w:p>
            <w:pPr>
              <w:spacing w:after="0"/>
              <w:rPr>
                <w:sz w:val="20"/>
                <w:szCs w:val="20"/>
                <w:color w:val="auto"/>
              </w:rPr>
            </w:pPr>
            <w:r>
              <w:rPr>
                <w:rFonts w:ascii="Arial" w:cs="Arial" w:eastAsia="Arial" w:hAnsi="Arial"/>
                <w:sz w:val="18"/>
                <w:szCs w:val="18"/>
                <w:color w:val="auto"/>
                <w:w w:val="98"/>
              </w:rPr>
              <w:t>XBRL Taxonomy Extension Calculation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920" w:type="dxa"/>
            <w:vAlign w:val="bottom"/>
          </w:tcPr>
          <w:p>
            <w:pPr>
              <w:spacing w:after="0"/>
              <w:rPr>
                <w:sz w:val="20"/>
                <w:szCs w:val="20"/>
                <w:color w:val="auto"/>
              </w:rPr>
            </w:pPr>
          </w:p>
        </w:tc>
        <w:tc>
          <w:tcPr>
            <w:tcW w:w="38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38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920" w:type="dxa"/>
            <w:vAlign w:val="bottom"/>
          </w:tcPr>
          <w:p>
            <w:pPr>
              <w:spacing w:after="0"/>
              <w:rPr>
                <w:sz w:val="20"/>
                <w:szCs w:val="20"/>
                <w:color w:val="auto"/>
              </w:rPr>
            </w:pPr>
          </w:p>
        </w:tc>
        <w:tc>
          <w:tcPr>
            <w:tcW w:w="38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3860" w:type="dxa"/>
            <w:vAlign w:val="bottom"/>
            <w:gridSpan w:val="11"/>
          </w:tcPr>
          <w:p>
            <w:pPr>
              <w:spacing w:after="0"/>
              <w:rPr>
                <w:sz w:val="20"/>
                <w:szCs w:val="20"/>
                <w:color w:val="auto"/>
              </w:rPr>
            </w:pPr>
            <w:r>
              <w:rPr>
                <w:rFonts w:ascii="Arial" w:cs="Arial" w:eastAsia="Arial" w:hAnsi="Arial"/>
                <w:sz w:val="18"/>
                <w:szCs w:val="18"/>
                <w:color w:val="auto"/>
                <w:w w:val="95"/>
              </w:rPr>
              <w:t>XBRL Taxonomy Extension Presentation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920" w:type="dxa"/>
            <w:vAlign w:val="bottom"/>
          </w:tcPr>
          <w:p>
            <w:pPr>
              <w:spacing w:after="0"/>
              <w:rPr>
                <w:sz w:val="20"/>
                <w:szCs w:val="20"/>
                <w:color w:val="auto"/>
              </w:rPr>
            </w:pPr>
          </w:p>
        </w:tc>
        <w:tc>
          <w:tcPr>
            <w:tcW w:w="38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38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920" w:type="dxa"/>
            <w:vAlign w:val="bottom"/>
          </w:tcPr>
          <w:p>
            <w:pPr>
              <w:spacing w:after="0"/>
              <w:rPr>
                <w:sz w:val="20"/>
                <w:szCs w:val="20"/>
                <w:color w:val="auto"/>
              </w:rPr>
            </w:pPr>
          </w:p>
        </w:tc>
        <w:tc>
          <w:tcPr>
            <w:tcW w:w="38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75" w:lineRule="exact"/>
        <w:rPr>
          <w:sz w:val="20"/>
          <w:szCs w:val="20"/>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the exhibit is a management contract or compensatory plan or arrangement.</w:t>
      </w:r>
    </w:p>
    <w:p>
      <w:pPr>
        <w:spacing w:after="0" w:line="35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240" w:top="108" w:right="6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500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1500" w:type="dxa"/>
            <w:vAlign w:val="bottom"/>
          </w:tcPr>
          <w:p>
            <w:pPr>
              <w:spacing w:after="0"/>
              <w:rPr>
                <w:sz w:val="17"/>
                <w:szCs w:val="17"/>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5"/>
              </w:rPr>
              <w:t>/s/  James H. Roth</w:t>
            </w:r>
          </w:p>
        </w:tc>
        <w:tc>
          <w:tcPr>
            <w:tcW w:w="500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2/28/2018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James H. Roth</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James H. Roth, John D. Kelly, and Diane Ratekin,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558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920" w:type="dxa"/>
            <w:vAlign w:val="bottom"/>
          </w:tcPr>
          <w:p>
            <w:pPr>
              <w:spacing w:after="0"/>
              <w:rPr>
                <w:sz w:val="18"/>
                <w:szCs w:val="18"/>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580" w:type="dxa"/>
            <w:vAlign w:val="bottom"/>
            <w:gridSpan w:val="3"/>
          </w:tcPr>
          <w:p>
            <w:pPr>
              <w:jc w:val="center"/>
              <w:ind w:right="1020"/>
              <w:spacing w:after="0"/>
              <w:rPr>
                <w:sz w:val="20"/>
                <w:szCs w:val="20"/>
                <w:color w:val="auto"/>
              </w:rPr>
            </w:pPr>
            <w:r>
              <w:rPr>
                <w:rFonts w:ascii="Arial" w:cs="Arial" w:eastAsia="Arial" w:hAnsi="Arial"/>
                <w:sz w:val="18"/>
                <w:szCs w:val="18"/>
                <w:color w:val="auto"/>
                <w:w w:val="94"/>
              </w:rPr>
              <w:t>JAMES H. ROTH</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2/28/2018</w:t>
            </w:r>
          </w:p>
        </w:tc>
        <w:tc>
          <w:tcPr>
            <w:tcW w:w="0" w:type="dxa"/>
            <w:vAlign w:val="bottom"/>
          </w:tcPr>
          <w:p>
            <w:pPr>
              <w:spacing w:after="0"/>
              <w:rPr>
                <w:sz w:val="1"/>
                <w:szCs w:val="1"/>
                <w:color w:val="auto"/>
              </w:rPr>
            </w:pPr>
          </w:p>
        </w:tc>
      </w:tr>
      <w:tr>
        <w:trPr>
          <w:trHeight w:val="41"/>
        </w:trPr>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58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Executive Officer)</w:t>
            </w: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3"/>
            <w:vMerge w:val="restart"/>
          </w:tcPr>
          <w:p>
            <w:pPr>
              <w:jc w:val="center"/>
              <w:ind w:right="1020"/>
              <w:spacing w:after="0"/>
              <w:rPr>
                <w:sz w:val="20"/>
                <w:szCs w:val="20"/>
                <w:color w:val="auto"/>
              </w:rPr>
            </w:pPr>
            <w:r>
              <w:rPr>
                <w:rFonts w:ascii="Arial" w:cs="Arial" w:eastAsia="Arial" w:hAnsi="Arial"/>
                <w:sz w:val="18"/>
                <w:szCs w:val="18"/>
                <w:color w:val="auto"/>
                <w:w w:val="87"/>
              </w:rPr>
              <w:t>James H. Roth</w:t>
            </w:r>
          </w:p>
        </w:tc>
        <w:tc>
          <w:tcPr>
            <w:tcW w:w="55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640"/>
              <w:spacing w:after="0"/>
              <w:rPr>
                <w:sz w:val="20"/>
                <w:szCs w:val="20"/>
                <w:color w:val="auto"/>
              </w:rPr>
            </w:pPr>
            <w:r>
              <w:rPr>
                <w:rFonts w:ascii="Arial" w:cs="Arial" w:eastAsia="Arial" w:hAnsi="Arial"/>
                <w:sz w:val="18"/>
                <w:szCs w:val="18"/>
                <w:color w:val="auto"/>
              </w:rPr>
              <w:t>/s/</w:t>
            </w:r>
          </w:p>
        </w:tc>
        <w:tc>
          <w:tcPr>
            <w:tcW w:w="2860" w:type="dxa"/>
            <w:vAlign w:val="bottom"/>
            <w:gridSpan w:val="4"/>
          </w:tcPr>
          <w:p>
            <w:pPr>
              <w:ind w:left="80"/>
              <w:spacing w:after="0"/>
              <w:rPr>
                <w:sz w:val="20"/>
                <w:szCs w:val="20"/>
                <w:color w:val="auto"/>
              </w:rPr>
            </w:pPr>
            <w:r>
              <w:rPr>
                <w:rFonts w:ascii="Arial" w:cs="Arial" w:eastAsia="Arial" w:hAnsi="Arial"/>
                <w:sz w:val="18"/>
                <w:szCs w:val="18"/>
                <w:color w:val="auto"/>
              </w:rPr>
              <w:t>JOHN F. MCCARTNEY</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Non-Executive Chairman of the Board</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2/28/2018</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0"/>
              </w:rPr>
              <w:t>John F. McCartney</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640"/>
              <w:spacing w:after="0"/>
              <w:rPr>
                <w:sz w:val="20"/>
                <w:szCs w:val="20"/>
                <w:color w:val="auto"/>
              </w:rPr>
            </w:pPr>
            <w:r>
              <w:rPr>
                <w:rFonts w:ascii="Arial" w:cs="Arial" w:eastAsia="Arial" w:hAnsi="Arial"/>
                <w:sz w:val="18"/>
                <w:szCs w:val="18"/>
                <w:color w:val="auto"/>
              </w:rPr>
              <w:t>/s/</w:t>
            </w:r>
          </w:p>
        </w:tc>
        <w:tc>
          <w:tcPr>
            <w:tcW w:w="2860" w:type="dxa"/>
            <w:vAlign w:val="bottom"/>
            <w:gridSpan w:val="4"/>
          </w:tcPr>
          <w:p>
            <w:pPr>
              <w:ind w:left="60"/>
              <w:spacing w:after="0"/>
              <w:rPr>
                <w:sz w:val="20"/>
                <w:szCs w:val="20"/>
                <w:color w:val="auto"/>
              </w:rPr>
            </w:pPr>
            <w:r>
              <w:rPr>
                <w:rFonts w:ascii="Arial" w:cs="Arial" w:eastAsia="Arial" w:hAnsi="Arial"/>
                <w:sz w:val="18"/>
                <w:szCs w:val="18"/>
                <w:color w:val="auto"/>
              </w:rPr>
              <w:t>GEORGE E. MASSARO</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Vice Chairman of the Board</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2/28/2018</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George E. Massaro</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3"/>
              </w:rPr>
              <w:t>/s/</w:t>
            </w:r>
          </w:p>
        </w:tc>
        <w:tc>
          <w:tcPr>
            <w:tcW w:w="2580" w:type="dxa"/>
            <w:vAlign w:val="bottom"/>
            <w:gridSpan w:val="3"/>
          </w:tcPr>
          <w:p>
            <w:pPr>
              <w:jc w:val="center"/>
              <w:ind w:right="920"/>
              <w:spacing w:after="0"/>
              <w:rPr>
                <w:sz w:val="20"/>
                <w:szCs w:val="20"/>
                <w:color w:val="auto"/>
              </w:rPr>
            </w:pPr>
            <w:r>
              <w:rPr>
                <w:rFonts w:ascii="Arial" w:cs="Arial" w:eastAsia="Arial" w:hAnsi="Arial"/>
                <w:sz w:val="18"/>
                <w:szCs w:val="18"/>
                <w:color w:val="auto"/>
                <w:w w:val="97"/>
              </w:rPr>
              <w:t>JOHN D. KELLY</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Chief Financial Officer and Treasurer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2/28/2018</w:t>
            </w:r>
          </w:p>
        </w:tc>
        <w:tc>
          <w:tcPr>
            <w:tcW w:w="0" w:type="dxa"/>
            <w:vAlign w:val="bottom"/>
          </w:tcPr>
          <w:p>
            <w:pPr>
              <w:spacing w:after="0"/>
              <w:rPr>
                <w:sz w:val="1"/>
                <w:szCs w:val="1"/>
                <w:color w:val="auto"/>
              </w:rPr>
            </w:pPr>
          </w:p>
        </w:tc>
      </w:tr>
      <w:tr>
        <w:trPr>
          <w:trHeight w:val="41"/>
        </w:trPr>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58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Financial and Accounting Officer)</w:t>
            </w: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3"/>
            <w:vMerge w:val="restart"/>
          </w:tcPr>
          <w:p>
            <w:pPr>
              <w:jc w:val="center"/>
              <w:ind w:right="1200"/>
              <w:spacing w:after="0"/>
              <w:rPr>
                <w:sz w:val="20"/>
                <w:szCs w:val="20"/>
                <w:color w:val="auto"/>
              </w:rPr>
            </w:pPr>
            <w:r>
              <w:rPr>
                <w:rFonts w:ascii="Arial" w:cs="Arial" w:eastAsia="Arial" w:hAnsi="Arial"/>
                <w:sz w:val="18"/>
                <w:szCs w:val="18"/>
                <w:color w:val="auto"/>
                <w:w w:val="96"/>
              </w:rPr>
              <w:t>John D. Kelly</w:t>
            </w:r>
          </w:p>
        </w:tc>
        <w:tc>
          <w:tcPr>
            <w:tcW w:w="55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780" w:type="dxa"/>
            <w:vAlign w:val="bottom"/>
            <w:gridSpan w:val="5"/>
          </w:tcPr>
          <w:p>
            <w:pPr>
              <w:ind w:left="820"/>
              <w:spacing w:after="0"/>
              <w:rPr>
                <w:sz w:val="20"/>
                <w:szCs w:val="20"/>
                <w:color w:val="auto"/>
              </w:rPr>
            </w:pPr>
            <w:r>
              <w:rPr>
                <w:rFonts w:ascii="Arial" w:cs="Arial" w:eastAsia="Arial" w:hAnsi="Arial"/>
                <w:sz w:val="18"/>
                <w:szCs w:val="18"/>
                <w:color w:val="auto"/>
              </w:rPr>
              <w:t>/s/  JAMES D. EDWARDS</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2/28/2018</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James D. Edwards</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720"/>
              <w:spacing w:after="0"/>
              <w:rPr>
                <w:sz w:val="20"/>
                <w:szCs w:val="20"/>
                <w:color w:val="auto"/>
              </w:rPr>
            </w:pPr>
            <w:r>
              <w:rPr>
                <w:rFonts w:ascii="Arial" w:cs="Arial" w:eastAsia="Arial" w:hAnsi="Arial"/>
                <w:sz w:val="18"/>
                <w:szCs w:val="18"/>
                <w:color w:val="auto"/>
                <w:w w:val="94"/>
              </w:rPr>
              <w:t>/s/</w:t>
            </w:r>
          </w:p>
        </w:tc>
        <w:tc>
          <w:tcPr>
            <w:tcW w:w="2860" w:type="dxa"/>
            <w:vAlign w:val="bottom"/>
            <w:gridSpan w:val="4"/>
          </w:tcPr>
          <w:p>
            <w:pPr>
              <w:jc w:val="center"/>
              <w:ind w:right="620"/>
              <w:spacing w:after="0"/>
              <w:rPr>
                <w:sz w:val="20"/>
                <w:szCs w:val="20"/>
                <w:color w:val="auto"/>
              </w:rPr>
            </w:pPr>
            <w:r>
              <w:rPr>
                <w:rFonts w:ascii="Arial" w:cs="Arial" w:eastAsia="Arial" w:hAnsi="Arial"/>
                <w:sz w:val="18"/>
                <w:szCs w:val="18"/>
                <w:color w:val="auto"/>
                <w:w w:val="96"/>
              </w:rPr>
              <w:t>H. EUGENE LOCKHART</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2/28/2018</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6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H. Eugene Lockhart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3"/>
              </w:rPr>
              <w:t>/s/</w:t>
            </w:r>
          </w:p>
        </w:tc>
        <w:tc>
          <w:tcPr>
            <w:tcW w:w="258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JOHN S. MOODY</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2/28/2018</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1"/>
              </w:rPr>
              <w:t>John S. Moody</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/s/</w:t>
            </w:r>
          </w:p>
        </w:tc>
        <w:tc>
          <w:tcPr>
            <w:tcW w:w="2580" w:type="dxa"/>
            <w:vAlign w:val="bottom"/>
            <w:gridSpan w:val="3"/>
          </w:tcPr>
          <w:p>
            <w:pPr>
              <w:jc w:val="center"/>
              <w:ind w:right="900"/>
              <w:spacing w:after="0"/>
              <w:rPr>
                <w:sz w:val="20"/>
                <w:szCs w:val="20"/>
                <w:color w:val="auto"/>
              </w:rPr>
            </w:pPr>
            <w:r>
              <w:rPr>
                <w:rFonts w:ascii="Arial" w:cs="Arial" w:eastAsia="Arial" w:hAnsi="Arial"/>
                <w:sz w:val="18"/>
                <w:szCs w:val="18"/>
                <w:color w:val="auto"/>
                <w:w w:val="96"/>
              </w:rPr>
              <w:t>HUGH E. SAWYER</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2/28/2018</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0"/>
              </w:rPr>
              <w:t>Hugh E. Sawyer</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2580" w:type="dxa"/>
            <w:vAlign w:val="bottom"/>
            <w:gridSpan w:val="3"/>
          </w:tcPr>
          <w:p>
            <w:pPr>
              <w:jc w:val="center"/>
              <w:ind w:right="840"/>
              <w:spacing w:after="0"/>
              <w:rPr>
                <w:sz w:val="20"/>
                <w:szCs w:val="20"/>
                <w:color w:val="auto"/>
              </w:rPr>
            </w:pPr>
            <w:r>
              <w:rPr>
                <w:rFonts w:ascii="Arial" w:cs="Arial" w:eastAsia="Arial" w:hAnsi="Arial"/>
                <w:sz w:val="18"/>
                <w:szCs w:val="18"/>
                <w:color w:val="auto"/>
                <w:w w:val="98"/>
              </w:rPr>
              <w:t>DEBRA ZUMWALT</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2/28/2018</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3"/>
              </w:rPr>
              <w:t>Debra Zumwalt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320"/>
          </w:cols>
          <w:pgMar w:left="24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HURON CONSULTING GROUP INC.</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170180</wp:posOffset>
            </wp:positionV>
            <wp:extent cx="3679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INDEX</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10200" w:type="dxa"/>
            <w:vAlign w:val="bottom"/>
          </w:tcPr>
          <w:p>
            <w:pPr>
              <w:spacing w:after="0"/>
              <w:rPr>
                <w:rFonts w:ascii="Arial" w:cs="Arial" w:eastAsia="Arial" w:hAnsi="Arial"/>
                <w:sz w:val="18"/>
                <w:szCs w:val="18"/>
                <w:color w:val="auto"/>
              </w:rPr>
            </w:pPr>
            <w:hyperlink w:anchor="page59">
              <w:r>
                <w:rPr>
                  <w:rFonts w:ascii="Arial" w:cs="Arial" w:eastAsia="Arial" w:hAnsi="Arial"/>
                  <w:sz w:val="18"/>
                  <w:szCs w:val="18"/>
                  <w:color w:val="auto"/>
                </w:rPr>
                <w:t>Report of Independent Registered Public Accounting Firm</w:t>
              </w:r>
            </w:hyperlink>
          </w:p>
        </w:tc>
        <w:tc>
          <w:tcPr>
            <w:tcW w:w="800" w:type="dxa"/>
            <w:vAlign w:val="bottom"/>
          </w:tcPr>
          <w:p>
            <w:pPr>
              <w:spacing w:after="0"/>
              <w:rPr>
                <w:sz w:val="24"/>
                <w:szCs w:val="24"/>
                <w:color w:val="auto"/>
              </w:rPr>
            </w:pPr>
          </w:p>
        </w:tc>
        <w:tc>
          <w:tcPr>
            <w:tcW w:w="360" w:type="dxa"/>
            <w:vAlign w:val="bottom"/>
            <w:tcBorders>
              <w:top w:val="single" w:sz="8" w:color="auto"/>
            </w:tcBorders>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59">
              <w:r>
                <w:rPr>
                  <w:rFonts w:ascii="Arial" w:cs="Arial" w:eastAsia="Arial" w:hAnsi="Arial"/>
                  <w:sz w:val="18"/>
                  <w:szCs w:val="18"/>
                  <w:color w:val="auto"/>
                </w:rPr>
                <w:t>2</w:t>
              </w:r>
            </w:hyperlink>
          </w:p>
        </w:tc>
      </w:tr>
      <w:tr>
        <w:trPr>
          <w:trHeight w:val="270"/>
        </w:trPr>
        <w:tc>
          <w:tcPr>
            <w:tcW w:w="10200" w:type="dxa"/>
            <w:vAlign w:val="bottom"/>
          </w:tcPr>
          <w:p>
            <w:pPr>
              <w:spacing w:after="0"/>
              <w:rPr>
                <w:sz w:val="20"/>
                <w:szCs w:val="20"/>
                <w:color w:val="auto"/>
              </w:rPr>
            </w:pPr>
            <w:r>
              <w:rPr>
                <w:rFonts w:ascii="Arial" w:cs="Arial" w:eastAsia="Arial" w:hAnsi="Arial"/>
                <w:sz w:val="18"/>
                <w:szCs w:val="18"/>
                <w:color w:val="auto"/>
              </w:rPr>
              <w:t>Consolidated Balance Sheets at December 31, 2017 and 2016</w:t>
            </w:r>
          </w:p>
        </w:tc>
        <w:tc>
          <w:tcPr>
            <w:tcW w:w="800" w:type="dxa"/>
            <w:vAlign w:val="bottom"/>
          </w:tcPr>
          <w:p>
            <w:pPr>
              <w:spacing w:after="0"/>
              <w:rPr>
                <w:sz w:val="23"/>
                <w:szCs w:val="23"/>
                <w:color w:val="auto"/>
              </w:rPr>
            </w:pPr>
          </w:p>
        </w:tc>
        <w:tc>
          <w:tcPr>
            <w:tcW w:w="36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60">
              <w:r>
                <w:rPr>
                  <w:rFonts w:ascii="Arial" w:cs="Arial" w:eastAsia="Arial" w:hAnsi="Arial"/>
                  <w:sz w:val="18"/>
                  <w:szCs w:val="18"/>
                  <w:color w:val="auto"/>
                </w:rPr>
                <w:t>3</w:t>
              </w:r>
            </w:hyperlink>
          </w:p>
        </w:tc>
      </w:tr>
      <w:tr>
        <w:trPr>
          <w:trHeight w:val="270"/>
        </w:trPr>
        <w:tc>
          <w:tcPr>
            <w:tcW w:w="10200" w:type="dxa"/>
            <w:vAlign w:val="bottom"/>
          </w:tcPr>
          <w:p>
            <w:pPr>
              <w:spacing w:after="0"/>
              <w:rPr>
                <w:sz w:val="20"/>
                <w:szCs w:val="20"/>
                <w:color w:val="auto"/>
              </w:rPr>
            </w:pPr>
            <w:r>
              <w:rPr>
                <w:rFonts w:ascii="Arial" w:cs="Arial" w:eastAsia="Arial" w:hAnsi="Arial"/>
                <w:sz w:val="18"/>
                <w:szCs w:val="18"/>
                <w:color w:val="auto"/>
                <w:w w:val="96"/>
              </w:rPr>
              <w:t>Consolidated Statements of Operations and Other Comprehensive Income for the years ended December 31, 2017, 2016, and 2015</w:t>
            </w:r>
          </w:p>
        </w:tc>
        <w:tc>
          <w:tcPr>
            <w:tcW w:w="800" w:type="dxa"/>
            <w:vAlign w:val="bottom"/>
          </w:tcPr>
          <w:p>
            <w:pPr>
              <w:spacing w:after="0"/>
              <w:rPr>
                <w:sz w:val="23"/>
                <w:szCs w:val="23"/>
                <w:color w:val="auto"/>
              </w:rPr>
            </w:pPr>
          </w:p>
        </w:tc>
        <w:tc>
          <w:tcPr>
            <w:tcW w:w="36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61">
              <w:r>
                <w:rPr>
                  <w:rFonts w:ascii="Arial" w:cs="Arial" w:eastAsia="Arial" w:hAnsi="Arial"/>
                  <w:sz w:val="18"/>
                  <w:szCs w:val="18"/>
                  <w:color w:val="auto"/>
                </w:rPr>
                <w:t>4</w:t>
              </w:r>
            </w:hyperlink>
          </w:p>
        </w:tc>
      </w:tr>
      <w:tr>
        <w:trPr>
          <w:trHeight w:val="270"/>
        </w:trPr>
        <w:tc>
          <w:tcPr>
            <w:tcW w:w="10200" w:type="dxa"/>
            <w:vAlign w:val="bottom"/>
          </w:tcPr>
          <w:p>
            <w:pPr>
              <w:spacing w:after="0"/>
              <w:rPr>
                <w:rFonts w:ascii="Arial" w:cs="Arial" w:eastAsia="Arial" w:hAnsi="Arial"/>
                <w:sz w:val="18"/>
                <w:szCs w:val="18"/>
                <w:color w:val="auto"/>
              </w:rPr>
            </w:pPr>
            <w:hyperlink w:anchor="page62">
              <w:r>
                <w:rPr>
                  <w:rFonts w:ascii="Arial" w:cs="Arial" w:eastAsia="Arial" w:hAnsi="Arial"/>
                  <w:sz w:val="18"/>
                  <w:szCs w:val="18"/>
                  <w:color w:val="auto"/>
                </w:rPr>
                <w:t xml:space="preserve">Consolidated Statements of Stockholders’ Equity for the years ended December 31, </w:t>
              </w:r>
            </w:hyperlink>
            <w:r>
              <w:rPr>
                <w:rFonts w:ascii="Arial" w:cs="Arial" w:eastAsia="Arial" w:hAnsi="Arial"/>
                <w:sz w:val="18"/>
                <w:szCs w:val="18"/>
                <w:color w:val="auto"/>
              </w:rPr>
              <w:t>2017, 2016, and 2015</w:t>
            </w:r>
          </w:p>
        </w:tc>
        <w:tc>
          <w:tcPr>
            <w:tcW w:w="8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10200" w:type="dxa"/>
            <w:vAlign w:val="bottom"/>
          </w:tcPr>
          <w:p>
            <w:pPr>
              <w:spacing w:after="0"/>
              <w:rPr>
                <w:rFonts w:ascii="Arial" w:cs="Arial" w:eastAsia="Arial" w:hAnsi="Arial"/>
                <w:sz w:val="18"/>
                <w:szCs w:val="18"/>
                <w:color w:val="auto"/>
              </w:rPr>
            </w:pPr>
            <w:hyperlink w:anchor="page63">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2017, 2016, and 2015</w:t>
            </w:r>
          </w:p>
        </w:tc>
        <w:tc>
          <w:tcPr>
            <w:tcW w:w="8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10200" w:type="dxa"/>
            <w:vAlign w:val="bottom"/>
          </w:tcPr>
          <w:p>
            <w:pPr>
              <w:spacing w:after="0"/>
              <w:rPr>
                <w:rFonts w:ascii="Arial" w:cs="Arial" w:eastAsia="Arial" w:hAnsi="Arial"/>
                <w:sz w:val="18"/>
                <w:szCs w:val="18"/>
                <w:color w:val="auto"/>
              </w:rPr>
            </w:pPr>
            <w:hyperlink w:anchor="page65">
              <w:r>
                <w:rPr>
                  <w:rFonts w:ascii="Arial" w:cs="Arial" w:eastAsia="Arial" w:hAnsi="Arial"/>
                  <w:sz w:val="18"/>
                  <w:szCs w:val="18"/>
                  <w:color w:val="auto"/>
                </w:rPr>
                <w:t>Notes to Consolidated Financial Statements</w:t>
              </w:r>
            </w:hyperlink>
          </w:p>
        </w:tc>
        <w:tc>
          <w:tcPr>
            <w:tcW w:w="8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486"/>
        </w:trPr>
        <w:tc>
          <w:tcPr>
            <w:tcW w:w="10200" w:type="dxa"/>
            <w:vAlign w:val="bottom"/>
          </w:tcPr>
          <w:p>
            <w:pPr>
              <w:ind w:left="5540"/>
              <w:spacing w:after="0"/>
              <w:rPr>
                <w:sz w:val="20"/>
                <w:szCs w:val="20"/>
                <w:color w:val="auto"/>
              </w:rPr>
            </w:pPr>
            <w:r>
              <w:rPr>
                <w:rFonts w:ascii="Arial" w:cs="Arial" w:eastAsia="Arial" w:hAnsi="Arial"/>
                <w:sz w:val="18"/>
                <w:szCs w:val="18"/>
                <w:color w:val="auto"/>
              </w:rPr>
              <w:t>F-1</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Huron Consulting Group Inc.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69" w:lineRule="exact"/>
        <w:rPr>
          <w:sz w:val="20"/>
          <w:szCs w:val="20"/>
          <w:color w:val="auto"/>
        </w:rPr>
      </w:pPr>
    </w:p>
    <w:p>
      <w:pPr>
        <w:ind w:right="300"/>
        <w:spacing w:after="0" w:line="274" w:lineRule="auto"/>
        <w:rPr>
          <w:sz w:val="20"/>
          <w:szCs w:val="20"/>
          <w:color w:val="auto"/>
        </w:rPr>
      </w:pPr>
      <w:r>
        <w:rPr>
          <w:rFonts w:ascii="Arial" w:cs="Arial" w:eastAsia="Arial" w:hAnsi="Arial"/>
          <w:sz w:val="16"/>
          <w:szCs w:val="16"/>
          <w:color w:val="auto"/>
        </w:rPr>
        <w:t xml:space="preserve">We have audited the accompanying consolidated balance sheets of Huron Consulting Group Inc. and its subsidiaries as of December 31, 2017 and 2016, and the related consolidated statement of operations and other comprehensive income (loss), statement of stockholders’ equity and statement of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2017 and December 31,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Chicago, Illinois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28, 2018</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2002.</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2017</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17,027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from clients,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101,778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94,246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Unbilled services,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51,290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4,211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13,308</w:t>
            </w:r>
          </w:p>
        </w:tc>
        <w:tc>
          <w:tcPr>
            <w:tcW w:w="0" w:type="dxa"/>
            <w:vAlign w:val="bottom"/>
          </w:tcPr>
          <w:p>
            <w:pPr>
              <w:spacing w:after="0"/>
              <w:rPr>
                <w:sz w:val="1"/>
                <w:szCs w:val="1"/>
                <w:color w:val="auto"/>
              </w:rPr>
            </w:pP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191,295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180,082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32,434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16,752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investment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34,675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25,375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24,814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81,348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645,750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799,862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1,036,928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1,153,215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9,194</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7,273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payroll and related benefits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73,698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82,669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contingent consideration for business 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revenues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27,916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24,053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135,768</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 and 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24,171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contingent consideration for business acquisitions, net of current portion</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14,313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6,842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debt, net of current portion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342,507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292,065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lease incentives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15,333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10,703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net</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35,633</w:t>
            </w:r>
          </w:p>
        </w:tc>
        <w:tc>
          <w:tcPr>
            <w:tcW w:w="0" w:type="dxa"/>
            <w:vAlign w:val="bottom"/>
          </w:tcPr>
          <w:p>
            <w:pPr>
              <w:spacing w:after="0"/>
              <w:rPr>
                <w:sz w:val="1"/>
                <w:szCs w:val="1"/>
                <w:color w:val="auto"/>
              </w:rPr>
            </w:pP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non-current liabilities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394,145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369,414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$0.01 par value; 500,000,000 shares authorized; 24,560,468 and 24,126,118 shares issued at December 31,</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 and December 31, 2016, respectively</w:t>
            </w:r>
          </w:p>
        </w:tc>
        <w:tc>
          <w:tcPr>
            <w:tcW w:w="4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w w:val="99"/>
              </w:rPr>
              <w:t>Treasury stock, at cost, 2,443,577 and 2,408,343 shares at December 31, 2017 and December 31, 2016, respectively</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(121,994)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(113,195)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434,256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405,895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180,443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351,483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10,370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503,316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648,033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1,036,928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1,153,215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 and reimbursable expenses: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732,570</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726,272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699,010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70,013</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revenues and reimbursable expenses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807,745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797,984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769,023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 xml:space="preserve">Direct costs and reimbursable expenses </w:t>
            </w:r>
            <w:r>
              <w:rPr>
                <w:rFonts w:ascii="Arial" w:cs="Arial" w:eastAsia="Arial" w:hAnsi="Arial"/>
                <w:sz w:val="16"/>
                <w:szCs w:val="16"/>
                <w:color w:val="auto"/>
                <w:w w:val="97"/>
              </w:rPr>
              <w:t>(exclusive of depreciation and amortization shown in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Direct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454,806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437,556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401,915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 and software development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75,436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71,749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69,932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direct costs and 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541,174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488,635</w:t>
            </w: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Operating expenses and other losses (gains), net:</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175,364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157,902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9,592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Litigation and other losses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38,213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31,499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25,135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253,093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operating expenses and other losses (gains), net</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474,027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199,305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176,890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(207,456)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103,498</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(19,933)</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taxes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(222,504)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59,157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83,565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(51,999)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21,670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 from continuing operations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(170,505)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39,480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61,895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(2,843)</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(170,117)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37,617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59,052</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Net earnings (loss) per basic share: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 from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(7.95)</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(loss) per diluted share:</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 from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(7.95)</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used in calculating earnings per share:</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21,439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21,084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22,136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22,600</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(170,117)</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59,052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1,817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(loss) on investment,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Unrealized gain (loss) on cash flow hedging instruments,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(163,362)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37,647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65,292</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91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120" w:type="dxa"/>
            <w:vAlign w:val="bottom"/>
            <w:gridSpan w:val="5"/>
            <w:vMerge w:val="restart"/>
          </w:tcPr>
          <w:p>
            <w:pPr>
              <w:ind w:left="500"/>
              <w:spacing w:after="0"/>
              <w:rPr>
                <w:sz w:val="20"/>
                <w:szCs w:val="20"/>
                <w:color w:val="auto"/>
              </w:rPr>
            </w:pPr>
            <w:r>
              <w:rPr>
                <w:rFonts w:ascii="Arial" w:cs="Arial" w:eastAsia="Arial" w:hAnsi="Arial"/>
                <w:sz w:val="16"/>
                <w:szCs w:val="16"/>
                <w:color w:val="auto"/>
              </w:rPr>
              <w:t>Common Stock</w:t>
            </w:r>
          </w:p>
        </w:tc>
        <w:tc>
          <w:tcPr>
            <w:tcW w:w="2080" w:type="dxa"/>
            <w:vAlign w:val="bottom"/>
            <w:gridSpan w:val="5"/>
            <w:vMerge w:val="restart"/>
          </w:tcPr>
          <w:p>
            <w:pPr>
              <w:ind w:left="5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Pr>
          <w:p>
            <w:pPr>
              <w:spacing w:after="0"/>
              <w:rPr>
                <w:sz w:val="17"/>
                <w:szCs w:val="17"/>
                <w:color w:val="auto"/>
              </w:rPr>
            </w:pPr>
          </w:p>
        </w:tc>
        <w:tc>
          <w:tcPr>
            <w:tcW w:w="2120" w:type="dxa"/>
            <w:vAlign w:val="bottom"/>
            <w:gridSpan w:val="5"/>
            <w:vMerge w:val="continue"/>
          </w:tcPr>
          <w:p>
            <w:pPr>
              <w:spacing w:after="0"/>
              <w:rPr>
                <w:sz w:val="17"/>
                <w:szCs w:val="17"/>
                <w:color w:val="auto"/>
              </w:rPr>
            </w:pPr>
          </w:p>
        </w:tc>
        <w:tc>
          <w:tcPr>
            <w:tcW w:w="2080" w:type="dxa"/>
            <w:vAlign w:val="bottom"/>
            <w:gridSpan w:val="5"/>
            <w:vMerge w:val="continue"/>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Additional</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Other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Paid-In</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Retained</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1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w w:val="89"/>
              </w:rPr>
              <w:t>Stockholders'</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180" w:type="dxa"/>
            <w:vAlign w:val="bottom"/>
            <w:gridSpan w:val="2"/>
          </w:tcPr>
          <w:p>
            <w:pPr>
              <w:ind w:left="32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Capital</w:t>
            </w: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Income (Loss)</w:t>
            </w:r>
          </w:p>
        </w:tc>
        <w:tc>
          <w:tcPr>
            <w:tcW w:w="120" w:type="dxa"/>
            <w:vAlign w:val="bottom"/>
          </w:tcPr>
          <w:p>
            <w:pPr>
              <w:spacing w:after="0"/>
              <w:rPr>
                <w:sz w:val="17"/>
                <w:szCs w:val="17"/>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24,115,593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254,814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600,634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59,052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65,292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504,955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(42,797)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2,501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Business acquisition</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28,486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22,484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22,484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Income tax benefit on share-based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(583,880)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(34,591)</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24,065,154</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(2,262,080)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(103,734)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438,367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313,866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3,585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652,325</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37,647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390,348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17,929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(88,414)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on share-based</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 repurchases</w:t>
            </w:r>
          </w:p>
        </w:tc>
        <w:tc>
          <w:tcPr>
            <w:tcW w:w="1040" w:type="dxa"/>
            <w:vAlign w:val="bottom"/>
          </w:tcPr>
          <w:p>
            <w:pPr>
              <w:jc w:val="right"/>
              <w:spacing w:after="0"/>
              <w:rPr>
                <w:sz w:val="20"/>
                <w:szCs w:val="20"/>
                <w:color w:val="auto"/>
              </w:rPr>
            </w:pPr>
            <w:r>
              <w:rPr>
                <w:rFonts w:ascii="Arial" w:cs="Arial" w:eastAsia="Arial" w:hAnsi="Arial"/>
                <w:sz w:val="16"/>
                <w:szCs w:val="16"/>
                <w:color w:val="auto"/>
              </w:rPr>
              <w:t>(982,192)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(55,265)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23,478,016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351,483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648,033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(170,117)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(163,362)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399,248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(58,211)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3,949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Business acquisition</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221,558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14,419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14,419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Cumulative-effect adjustment from</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adoption of ASU 2016-09</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Cumulative-effect adjustment from</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ASU 2018-02</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44"/>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24,098,822</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(2,591,135)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(121,994)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434,256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180,443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10,370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503,316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60"/>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(170,117)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37,617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59,052</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50,089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46,816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58,053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21,487</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10,203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9,609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9,329</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impairment charge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253,093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Allowances for doubtful accounts and unbilled services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1,025</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6,353</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(Gain) loss on sale of businesses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2,303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7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(2,836)</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unbilled services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31,696</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8,818</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11,904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(14,742)</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8,805</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(25,221)</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4,859</w:t>
            </w:r>
          </w:p>
        </w:tc>
      </w:tr>
      <w:tr>
        <w:trPr>
          <w:trHeight w:val="217"/>
        </w:trPr>
        <w:tc>
          <w:tcPr>
            <w:tcW w:w="776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99,795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129,243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167,855</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60"/>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Purchases of property and equipment,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(24,402)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(18,571)</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life insurance policies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(5,804)</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Distributions from life insurance policies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(339,966)</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Purchases of convertible debt investment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(15,438)</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Capitalization of internally developed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note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businesses, net of cash sold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108,487</w:t>
            </w:r>
          </w:p>
        </w:tc>
      </w:tr>
      <w:tr>
        <w:trPr>
          <w:trHeight w:val="217"/>
        </w:trPr>
        <w:tc>
          <w:tcPr>
            <w:tcW w:w="776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(128,948)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(86,636)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(272,158)</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60"/>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(55,265)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(34,591)</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borrowings under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314,000</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Repayments of debt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(240,745)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(365,750)</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for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Payments for capital lease obligations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acquisition payments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760" w:type="dxa"/>
            <w:vAlign w:val="bottom"/>
          </w:tcPr>
          <w:p>
            <w:pPr>
              <w:ind w:left="7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28,821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(84,095)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(93,543)</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(41,410)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(198,435)</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256,872</w:t>
            </w: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16,909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17,027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58,437</w:t>
            </w:r>
          </w:p>
        </w:tc>
      </w:tr>
      <w:tr>
        <w:trPr>
          <w:trHeight w:val="73"/>
        </w:trPr>
        <w:tc>
          <w:tcPr>
            <w:tcW w:w="77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77"/>
        </w:trPr>
        <w:tc>
          <w:tcPr>
            <w:tcW w:w="77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74"/>
        </w:trPr>
        <w:tc>
          <w:tcPr>
            <w:tcW w:w="7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7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2,089</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Promissory note assumed for purchase of property and equipment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5,113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2,963</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Common stock issued related to business acquisitions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9,560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2,204</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during the year for: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9,068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6,470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9,274</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7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24,584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10,955</w:t>
            </w:r>
          </w:p>
        </w:tc>
      </w:tr>
      <w:tr>
        <w:trPr>
          <w:trHeight w:val="33"/>
        </w:trPr>
        <w:tc>
          <w:tcPr>
            <w:tcW w:w="7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125" w:right="259" w:bottom="0" w:gutter="0" w:footer="0" w:header="0"/>
        </w:sectPr>
      </w:pPr>
    </w:p>
    <w:bookmarkStart w:id="63" w:name="page64"/>
    <w:bookmarkEnd w:id="63"/>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ectPr>
          <w:pgSz w:w="11900" w:h="16838" w:orient="portrait"/>
          <w:cols w:equalWidth="0" w:num="1">
            <w:col w:w="9019"/>
          </w:cols>
          <w:pgMar w:left="1440" w:top="125" w:right="1440"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9019"/>
          </w:cols>
          <w:pgMar w:left="1440" w:top="125" w:right="1440"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its clients. We bring a depth of expertise in strategy, technology, operations, advisory services, and analytics to drive lasting and measurable results in the healthcare, higher education, life sciences and commercial sectors.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2017 and 2016, and the results of operations and cash flows for the years ended December 31, 2017, 2016, and 2015.</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consolidated financial statements include the accounts of Huron Consulting Group Inc. and its subsidiaries, all of which are wholly-owned. All intercompany balances and transactions have been eliminated in consolidation.</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second quarter of 2017, we recorded a non-cash pretax goodwill impairment charge of $209.6 million related to our Healthcare reporting unit. During the fourth quarter of 2017, we identified that our calculation of the non-deductible portion of this goodwill impairment charge erroneously excluded a portion of goodwill that was related to an acquisition completed in 2008 that has since been divested. To correct this error, in the fourth quarter of 2017, we recorded a $1.5 million decrease to our non-cash pretax goodwill impairment charge with an offsetting $1.5 million increase to our goodwill balance. We also recorded a $1.5 million decrease to our income tax benefit with an offsetting $1.5 million increase to our deferred tax asset balance. This error had no impact on our consolidated net loss from continuing operations, and we concluded that the impact of the error was not material for the second, third, or fourth quarter financial statements, or the financial statements for the year ended December 31, 2017.</w:t>
      </w:r>
    </w:p>
    <w:p>
      <w:pPr>
        <w:spacing w:after="0" w:line="12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During the fourth quarter of 2017, we identified an error on our previously reported consolidated balance sheets as of June 30, 2017 and September 30, 2017 related to the classification of deferred tax assets and liabilities. We incorrectly netted $1.5 million of deferred tax liabilities related to certain jurisdictions with the deferred tax assets of unrelated jurisdictions as of June 30, 2017 and September 30, 2017. This error has been corrected as of December 31,</w:t>
      </w:r>
    </w:p>
    <w:p>
      <w:pPr>
        <w:ind w:right="80"/>
        <w:spacing w:after="0" w:line="261" w:lineRule="auto"/>
        <w:rPr>
          <w:sz w:val="20"/>
          <w:szCs w:val="20"/>
          <w:color w:val="auto"/>
        </w:rPr>
      </w:pPr>
      <w:r>
        <w:rPr>
          <w:rFonts w:ascii="Arial" w:cs="Arial" w:eastAsia="Arial" w:hAnsi="Arial"/>
          <w:sz w:val="18"/>
          <w:szCs w:val="18"/>
          <w:color w:val="auto"/>
        </w:rPr>
        <w:t>2017. This error had no impact on our statement of operations, and we concluded that the impact of the error was not material to the second and third quarter financial statements or the financial statements for the year ended December 31, 2017.</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31, 2015, we sold our Huron Legal segment to a third party. The operations of our Huron Legal segment have been classified as discontinued operations in our consolidated statements of operations for all periods presented. As of December 31, 2017 and 2016, no assets or liabilities of the disposed business remained on our consolidated balance sheet. See Note 3 "Discontinued Operations" for additional information on the divestiture of our Huron Legal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Revenue is recognized when persuasive evidence of an arrangement exists, the related services are provided, the price is fixed or determinable, and collectability is reasonably assured. We generate the majority of our revenues from providing professional services under four types of billing arrangements: fixed-fee (including software license revenue), time-and-expense, performance-based, and software support and maintenance and subscriptions.</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 Estimates of total engagement revenues and cost</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services are monitored regularly during the term of the engagement. If our estimates indicate a potential loss, such loss is recognized in the period in which the loss first becomes probable and reasonably estimable.</w:t>
      </w:r>
    </w:p>
    <w:p>
      <w:pPr>
        <w:spacing w:after="0" w:line="1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 orders purchased by our clients outside of Partner Contracts within our Studer Group solution. We recognize revenues under time-and-expense arrangements as the related services or publications are provided.</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do not recognize revenues under performance-based billing arrangements until all related performance criteria are met.</w:t>
      </w:r>
    </w:p>
    <w:p>
      <w:pPr>
        <w:spacing w:after="0" w:line="13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w:t>
      </w:r>
    </w:p>
    <w:p>
      <w:pPr>
        <w:spacing w:after="0" w:line="9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have arrangements with clients in which we provide multiple elements of services under one engagement contract. Revenues under these types of arrangements are allocated to each element based on the element’s fair value and recognized pursuant to the criteria described above.</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0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benefits and share-based compensation costs, as well as commissions, the cost of outside consultants or subcontractors assigned to revenue-generating activities, technology costs, other third-party costs directly attributable to our revenue-generating activities, and direct expenses to be reimbursed by clients. Direct costs and reimbursable expenses incurred on engagements are expensed in the period incurred.</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18 “Segment Information” for concentration of accounts receivable and unbilled services.</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long-term investment consists of our convertible debt investment in Shorelight Holdings, LLC. We classified the investment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we assess whether the investment is other than temporarily impaired. We consider impairments to be other than temporary if they are related to significant credit deterioration or if it is likely we will sell the security before the recovery of its cost basis. We have not identified any other than temporary impairments for our convertible debt investment. In the event there are realized gains and losses or declines in value judged to be other than temporary, we will record the amount in earnings. See Note 12 “Fair Value of Financial Instruments” for further information on our convertible debt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12 “Fair Value of Financial Instruments” for the accounting policies used to measure the fair value of our financial assets and liabilities that are measured at fair value on a recurring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 five years. Aircraft are depreciated over ten years. Leasehold improvements are amortized over the lesser of the estimated useful life of the asset or the initial term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incur internal and external software development costs related to our cloud computing applications and software for internal use. We capitalize these software development costs incurred during the application development stage. Costs related to preliminary project activities and post implementation activities are expensed as incurred. Once the project is substantially complete and ready for its intended use these costs are amortized on a straight-line basis over the technology's estimated useful life. Acquired technology assets are initially recorded at fair value and amortized on a straight-line basis over the estimated useful life.</w:t>
      </w:r>
    </w:p>
    <w:p>
      <w:pPr>
        <w:spacing w:after="0" w:line="13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also incur internal and external software development costs related to our software products that will be sold, leased, or otherwise marketed. We expense these software development costs until technological feasibility has been established. Thereafter and until the software is available for general release to customers, these software development costs are capitalized and subsequently reported at the lower of unamortized cost or net realizable value. These capitalized development costs are amortized in proportion to current and future revenue for each product with an annual minimum equal to the straight-line amortization over the remaining estimated economic life of the product.</w:t>
      </w:r>
    </w:p>
    <w:p>
      <w:pPr>
        <w:spacing w:after="0" w:line="11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classify capitalized software development costs as other non-current assets on our consolidated balance sheet. Unamortized capitalized software development costs were $2.0 million and $1.4 million at December 31, 2017 and 2016, respectively. During the years ended December 31, 2017, 2016, and 2015, we amortized $0.8 million, $1.1 million, and $1.0 million, respectively, of capitalized software development costs.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Identifiable intangible assets are amortized over their expected useful lives using a method that reflects the economic benefit expected to be derived from the assets or on a straight-line basis. We evaluate the recoverability of intangible assets periodically by taking into account events or circumstances that may warrant revised estimates of useful lives or that indicate the asset may be impaired.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Long-lived assets, including property and equipment and intangible assets, are reviewed for impairment whenever events or changes in circumstances indicate that the carrying amount of an asset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on forecasted undiscounted cash flows.</w:t>
      </w:r>
    </w:p>
    <w:p>
      <w:pPr>
        <w:spacing w:after="0" w:line="13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goodwill impairment tests performed for the Healthcare and Enterprise Solutions and Analytics reporting units in 2017, which resulted in non-cash goodwill impairment charges, we performed impairment tests on the long-lived assets allocated to the asset groups within the Healthcare and Enterprise Solutions and Analytics reporting units. Based on the impairment tests performed, we concluded that the long-lived assets allocated to the asset groups were not impaired. No impairment charges for long-lived assets were recorded in 2017, 2016, or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We have six reporting units: Healthcare, Education, Business Advisory, Enterprise Solutions and Analytics, Strategy and Innovation, and Life Sciences. The Business Advisory, Enterprise Solutions and Analytics, Strategy and Innovation, and Life Sciences reporting units make up our Business Advisory operating segment.</w:t>
      </w:r>
    </w:p>
    <w:p>
      <w:pPr>
        <w:spacing w:after="0" w:line="13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test goodwill for impairment annually and whenever events or circumstances make it more likely than not that an impairment may have occurred. We perform our annual goodwill impairment test as of November 30 and monitor for interim triggering events on an ongoing basis.</w:t>
      </w:r>
    </w:p>
    <w:p>
      <w:pPr>
        <w:spacing w:after="0" w:line="9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2017, we performed three goodwill impairment tests: an interim impairment test on our Healthcare reporting unit in the second quarter of 2017; an interim impairment test on our Education and Life Sciences reporting units as a result of our segment reorganization in the second quarter of 2017; and the annual impairment test on all reporting units in the fourth quarter of 2017. As a result of these tests, we recorded total non-cash pretax goodwill impairment charges of $253.1 million. No goodwill impairment charges were recorded in 2016 or 2015. See Note 5 "Goodwill and Intangible Assets" for additional information regarding our interim and annual goodwill impairment tests, and the non-cash goodwill impairment charges recorded in 2017.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use the acquisition method of accounting for business combinations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are recorded at fair value as of the acquisition date. Goodwill is recognized for the excess of purchase price over the net fair value of tangible and intangible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12 “Fair Value of Financial Instruments” for further information regarding our contingent acquisition liability balances.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Incentives</w:t>
      </w:r>
    </w:p>
    <w:p>
      <w:pPr>
        <w:spacing w:after="0" w:line="17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record the portion of the deferred lease incentive liability that we expect to recognize over a period greater than one year as a non-current liability. The non-current portion of the deferred lease incentive liability totaled $15.3 million and $10.7 million at December 31, 2017 and 2016, respectively, and was primarily generated from tenant improvement allowances and rent abatement. Deferred lease incentives are amortized on a straight-line basis over the life of the lease. The portion of the deferred lease incentive corresponding to the rent payments that will be paid within 12 months of the balance sheet date is classified as a current liability. We monitor the classification of such liabilities based on the expectation of their utilization periods.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w:t>
      </w:r>
    </w:p>
    <w:p>
      <w:pPr>
        <w:spacing w:after="0" w:line="1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 to Note 16 "Income Taxes" for information on the impact of the Tax Cuts and Jobs Act of 2017 ("2017 Tax Reform") enacted in the fourth quarter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It is our policy to account for forfeitures as they occur.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Sponsorship and advertising costs are expensed as incurred. Such expenses for the years ended December 31, 2017, 2016, and 2015 totaled $6.6 million, $7.1 million, and $6.4 million, respectively, and are a component of selling, general and administrative expenses on our consolidated statement of earnings.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September 2014, we issued $250 million principal amount of 1.25% convertible senior notes due 2019 (the “Convertible Notes”) in a private offering. We have separated the Convertible Notes into liability and equity components. The carrying amount of the liability component was determined by measuring the fair value of a similar liability that does not have an associated convertible feature.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the effective interest method over the term of the Convertible Notes. The equity component will not be remeasured as long as it continues to meet the conditions for equity classification. Refer to Note 7 “Financing Arrangements” for further information regarding the Convertible Notes.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 of earnings. Unamortized debt issuance costs attributable to our revolving credit facility are included as a component of other non-current assets. Unamortized debt issuance costs attributable to our Convertible Notes are recorded as a deduction from the carrying amount of the debt liability.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Assets and liabilities of foreign subsidiaries whose functional currency is not the United States Dollar (USD) are translated into the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spacing w:after="0" w:line="1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Foreign currency transaction gains and losses are included in other income, net on the statement of earnings. We recognized $0.4 million of foreign currency transaction gains in 2017, de minimis foreign currency transaction gains in 2016, and $1.6 million of foreign currency transaction losses in 2015.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three operating segments, which are reportable segments: Healthcare, Education, and Business Advisory. During the second quarter of 2017, we reorganized our internal financial reporting structure, which management uses to assess performance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allocate resources, by moving our Life Sciences practice from the Education and Life Sciences segment to the Business Advisory segment. The remaining Education and Life Sciences segment is now referred to as the Education segment. While our consolidated results have not been impacted, we have reclassified our historical segment information for consistent presentation.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2018, the Financial Accounting Standards Board ("FASB") issued Accounting Standards Update ("ASU") 2018-02, </w:t>
      </w:r>
      <w:r>
        <w:rPr>
          <w:rFonts w:ascii="Arial" w:cs="Arial" w:eastAsia="Arial" w:hAnsi="Arial"/>
          <w:sz w:val="18"/>
          <w:szCs w:val="18"/>
          <w:i w:val="1"/>
          <w:iCs w:val="1"/>
          <w:color w:val="auto"/>
        </w:rPr>
        <w:t>Income Statement -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 (Topic 220): Reclassification of Certain Tax Effects from Accumulated Other Comprehensive Income</w:t>
      </w:r>
      <w:r>
        <w:rPr>
          <w:rFonts w:ascii="Arial" w:cs="Arial" w:eastAsia="Arial" w:hAnsi="Arial"/>
          <w:sz w:val="18"/>
          <w:szCs w:val="18"/>
          <w:color w:val="auto"/>
        </w:rPr>
        <w:t>. ASU 2018-02 allows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reclassify stranded tax effects resulting from the enactment of the 2017 Tax Cuts and Jobs Act ("2017 Tax Reform") from accumulated other comprehensive income to retained earnings. We adopted ASU 2018-02 upon issuance and reclassified $0.5 million of stranded tax effects, primarily related to our convertible debt investment, from accumulated other comprehensive income to retained earnings as of December 31, 2017. Refer to Note 16 "Income Taxes" for additional information on the 2017 Tax Reform.</w:t>
      </w:r>
    </w:p>
    <w:p>
      <w:pPr>
        <w:spacing w:after="0" w:line="13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eliminates Step 2 of the goodwill impairment test, which required us to determine the implied fair value of goodwill by allocating the reporting unit's fair value to each of its assets and liabilities as if the reporting unit was acquired in a business acquisition. Instead, the updated guidance requires an entity to perform its annual or interim goodwill impairment test by comparing the fair value of the reporting unit to its carrying value, and recognizing a non-cash impairment charge for the amount by which the carrying value exceeds the reporting unit's fair value with the loss not exceeding the total amount of goodwill allocated to that reporting unit. We adopted this ASU in the second quarter of 2017 on a prospective basis and applied the new guidance to our interim goodwill impairment tests performed in the second quarter of 2017 and our annual impairment test performed as of November 30, 2017. Refer to Note 5 “Goodwill and Intangible Assets” for additional information on our interim and annual goodwill impairment tests performed.</w:t>
      </w:r>
    </w:p>
    <w:p>
      <w:pPr>
        <w:spacing w:after="0" w:line="1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ASU 2016-09 simplifies several aspects of the accounting for share-based payment transactions, including the accounting for income taxes, classification of excess tax benefits on the statement of cash flows, and forfeitures. We adopted this guidance in the first quarter of 2017, at which time we began recognizing excess tax benefits and deficiencies as income tax benefit or expense in our consolidated statements of operations on a prospective basis. We recognized $1.8 million of net excess tax deficiencies as income tax expense in our consolidated statement of operations for the year ended December 31, 2017. Additionally, upon adoption, we began classifying excess tax benefits as an operating activity on the statement of cash flows on a retrospective basis. As a result, we reclassified $0.9 million and $3.6 million of excess tax benefits for the years ended December 31, 2016 and 2015, respectively, from cash flows from financing activities to cash flows from operating activities on our statement of cash flows. We elected to account for share-based award forfeitures as they occur, and applied this accounting change on a modified retrospective basis as a cumulative-effect adjustment to retained earnings of $0.4 million during the first quarter of 2017.</w:t>
      </w:r>
    </w:p>
    <w:p>
      <w:pPr>
        <w:spacing w:after="0" w:line="11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Derivatives and Hedging: Contingent Put and Call Options in Debt Instruments</w:t>
      </w:r>
      <w:r>
        <w:rPr>
          <w:rFonts w:ascii="Arial" w:cs="Arial" w:eastAsia="Arial" w:hAnsi="Arial"/>
          <w:sz w:val="16"/>
          <w:szCs w:val="16"/>
          <w:color w:val="auto"/>
        </w:rPr>
        <w:t>. ASU 2016-06 clarifies that in assessing whether an embedded contingent put or call option is clearly and closely related to the debt host, an entity is required to perform only the four-step decision sequence in ASC 815-15-25-42 (as amended by the ASU). The entity does not have to separately assess whether the event that triggers its ability to exercise the contingent option is itself indexed only to interest rates or credit risk. We adopted these amendments in the first quarter of 2017 on a modified retrospective basis. The adoption of these amendments did not have any impact on our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7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The amendments to the guidance improve and simplify accounting rules for hedge accounting to better present the economic results of an entity’s risk management activities in its financial statements and improve the disclosures of hedging arrangements. Additionally, ASU 2017-12 simplifies the hedge documentation and effectiveness assessment requirements. The updated guidance is effective for us beginning January 1, 2019. We do not expect this guidance to have a material impact on our consolidated financial statements.</w:t>
      </w:r>
    </w:p>
    <w:p>
      <w:pPr>
        <w:spacing w:after="0" w:line="2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March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supersedes ASC Topic 840, </w:t>
      </w:r>
      <w:r>
        <w:rPr>
          <w:rFonts w:ascii="Arial" w:cs="Arial" w:eastAsia="Arial" w:hAnsi="Arial"/>
          <w:sz w:val="18"/>
          <w:szCs w:val="18"/>
          <w:i w:val="1"/>
          <w:iCs w:val="1"/>
          <w:color w:val="auto"/>
        </w:rPr>
        <w:t>Leases</w:t>
      </w:r>
      <w:r>
        <w:rPr>
          <w:rFonts w:ascii="Arial" w:cs="Arial" w:eastAsia="Arial" w:hAnsi="Arial"/>
          <w:sz w:val="18"/>
          <w:szCs w:val="18"/>
          <w:color w:val="auto"/>
        </w:rPr>
        <w:t>,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 interest rate method or a straight-line basis over the term of the lease. ASU 2016-02 will be effective for us beginning January 1, 2019, with early adoption permitted. Entities are required to</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use a modified retrospective transition method for existing leases. We are currently evaluating the potential impact this guidance will have on our consolidated financial statements.</w:t>
      </w:r>
    </w:p>
    <w:p>
      <w:pPr>
        <w:spacing w:after="0" w:line="2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The updated guidance is effective for us beginning January 1, 2018. We do not expect this guidance to have a material impact on our consolidated financial statements.</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a new Topic</w:t>
      </w:r>
      <w:r>
        <w:rPr>
          <w:rFonts w:ascii="Arial" w:cs="Arial" w:eastAsia="Arial" w:hAnsi="Arial"/>
          <w:sz w:val="17"/>
          <w:szCs w:val="17"/>
          <w:i w:val="1"/>
          <w:iCs w:val="1"/>
          <w:color w:val="auto"/>
        </w:rPr>
        <w:t>,</w:t>
      </w:r>
      <w:r>
        <w:rPr>
          <w:rFonts w:ascii="Arial" w:cs="Arial" w:eastAsia="Arial" w:hAnsi="Arial"/>
          <w:sz w:val="17"/>
          <w:szCs w:val="17"/>
          <w:color w:val="auto"/>
        </w:rPr>
        <w:t xml:space="preserve">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accordance with the new standard, we will adopt ASU 2014-09 on January 1, 2018 using the modified retrospective transition method, under which the new guidance will be applied to the current period presented in the financial statements and a cumulative-effect adjustment will be recorded as of the date of adoption. We are currently completing our analysis to determine the impact of ASC 606 on our consolidated financial statements, and expect the more impactful aspect of ASC 606 will relate to how we recognize revenue under performance-based fee billing arrangements. Currently, we recognize revenue under these arrangements once all related performance criteria are met and the amount to be recognized is fixed or determinable. However, upon adoption of the new standard, we will estimate these amounts and recognize the estimated amounts as services are performed over the contractual term of the engagements. The cumulative-effect adjustment will capture the amount of revenue we would have recognized on all outstanding performance-based fee billing arrangements under ASC 606 as of the adoption date, and record the difference as a cumulative-effect adjustment to retained earnings. Further, ASC 606 provides for certain practical expedients that we intend to use, including the option to expense contract acquisition costs as incurred if the contract term is one year or shorter. We also intend to use the as-invoiced practical expedient, which permits us to recognize revenue in the amount to which we have the right to invoice a customer if that amount corresponds to the value of the performance completed to date.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2015, we began evaluating strategic alternatives related to our Huron Legal segment, including the potential divestiture of the practice. On December 10, 2015, we entered into an agreement to sell Huron Legal to Consilio, Inc. ("Consilio"). Pursuant to this agreement, Consilio acquired substantially all of the assets and assumed certain liabilities of Huron Legal, and acquired all issued and outstanding equity interests in certain entities wholly owned by Huron. Huron Legal provided eDiscovery services, consulting services and contract management services related to law department management, information governance and compliance, legal discovery, litigation management, and legal analytics.</w:t>
      </w:r>
    </w:p>
    <w:p>
      <w:pPr>
        <w:spacing w:after="0" w:line="13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sale closed on December 31, 2015, at which time we received proceeds of $110.1 million and recognized a pretax disposal loss of $2.3 million. The divestiture of the Huron Legal segment represented a strategic shift that had a major effect on our operations and financial results. As such, the operations of our Huron Legal segment have been classified as discontinued operations in our consolidated statements of operations for all periods presented. As of December 31, 2017 and 2016, no assets or liabilities of the disposed business remained on our consolidated balance sheets.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year ended December 31, 2017, we recognized income from discontinued operations, net of tax, of $0.4 million primarily related to updated lease assumptions for vacated office space directly related to the sale of the Huron Legal segment. For the year ended December 31, 2016, we recognized a loss from discontinued operations, net of tax, of $1.9 million, primarily related to obligations for former employees, legal fees, and updated lease assumptions for vacated office space directly related to the sale of the Huron Legal segment. The table below summarizes the operating results of Huron Legal for the year ended December 31,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6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9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 2015</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0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139,430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3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142,578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 xml:space="preserve">Direct costs and reimbursable expenses </w:t>
            </w:r>
            <w:r>
              <w:rPr>
                <w:rFonts w:ascii="Arial" w:cs="Arial" w:eastAsia="Arial" w:hAnsi="Arial"/>
                <w:sz w:val="18"/>
                <w:szCs w:val="18"/>
                <w:color w:val="auto"/>
                <w:w w:val="95"/>
              </w:rPr>
              <w:t>(exclusive of depreciation and amortization shown in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95,247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98,633</w:t>
            </w:r>
          </w:p>
        </w:tc>
        <w:tc>
          <w:tcPr>
            <w:tcW w:w="0" w:type="dxa"/>
            <w:vAlign w:val="bottom"/>
          </w:tcPr>
          <w:p>
            <w:pPr>
              <w:spacing w:after="0"/>
              <w:rPr>
                <w:sz w:val="1"/>
                <w:szCs w:val="1"/>
                <w:color w:val="auto"/>
              </w:rPr>
            </w:pPr>
          </w:p>
        </w:tc>
      </w:tr>
      <w:tr>
        <w:trPr>
          <w:trHeight w:val="22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Operating expenses and other operating gain:</w:t>
            </w:r>
          </w:p>
        </w:tc>
        <w:tc>
          <w:tcPr>
            <w:tcW w:w="30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gain</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 and other operating gain</w:t>
            </w:r>
          </w:p>
        </w:tc>
        <w:tc>
          <w:tcPr>
            <w:tcW w:w="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42,686</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taxes</w:t>
            </w:r>
          </w:p>
        </w:tc>
        <w:tc>
          <w:tcPr>
            <w:tcW w:w="3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w:t>
            </w: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Total loss from discontinued operations before taxes</w:t>
            </w:r>
          </w:p>
        </w:tc>
        <w:tc>
          <w:tcPr>
            <w:tcW w:w="3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Income tax benefit </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loss from discontinued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20" w:hanging="332"/>
        <w:spacing w:after="0" w:line="259" w:lineRule="auto"/>
        <w:tabs>
          <w:tab w:leader="none" w:pos="2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2015, the Huron Legal segment incurred a $13.3 million restructuring charge. Of the $13.3 million, $6.1 million related to accelerated depreciation on assets disposed of as a result of the sale, $5.1 million related to employee costs incurred in connection with the sale, $1.1 million related to the accrual of our remaining lease obligations for vacated spaces, net of estimated sublease income, and $1.0 million related to severance costs incurred from prior workforce reductions.</w:t>
      </w:r>
    </w:p>
    <w:p>
      <w:pPr>
        <w:spacing w:after="0" w:line="13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Refer to Note 16 "Income Taxes" for additional detail on the income tax benefit recognized for discontinued operations.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summarizes the amounts reflected in our consolidated statements of cash flows that relate to the discontinued operations for the year ended December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6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9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 2015</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Significant non-cash investing items of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Contingent consideration related to a business acquisition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sale of Huron Legal, we entered into a transition services agreement ("TSA") with Consilio, under which we provided certain post-closing services, support, and facilities to Consilio to facilitate an orderly transfer of the Huron Legal business operations. Billings under the TSA, which we did not consider to be significant, were recorded as a reduction of the costs to provide the respective services, primarily in selling, general and administrative expenses in the consolidated statements of operations. Services under the TSA ended as of June 30, 2017. We have no continuing involvement with the Huron Legal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Pope Woodhead's results of operations have been included in our consolidated financial statements and the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1, 2017, we completed our acquisition of the international assets of ADI Strategies, Inc. ("ADI Strategies") in Dubai and India. We acquired the U.S. assets of ADI Strategies in the second quarter of 2016. ADI Strategies is a leading enterprise performance management, risk management and business intelligence firm. The acquisition strengthens our technology and analytics competencies and expands our global reach. The international results of operations of ADI Strategies have been included in our consolidated financial statements and results of operations of the Business Advisory segment from the date of acquisition.</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acquisitions of ADI Strategies and Pope Woodhead are not significant to our consolidated financial statements individually or in the aggregate as of and for the twelve months ended December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March 1, 2017, we acquired 100% of the membership interests of Innosight Holdings, LLC ("Innosight"). Innosight is a growth strategy firm focused on helping companies navigate disruptive change and manage strategic transformation. Together with Innosight, we use our strategic, operational, and technology capabilities to help clients across multiple industries develop pioneering solutions to address disruption and achieve sustained growth.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acquisition was accounted for using the acquisition method of accounting. Tangible and identifiable intangible assets acquired and liabilities assumed are recorded at fair value as of the acquisition date. The current fair values of assets acquired and liabilities assumed are considered preliminary and are based on the information that is currently available. We believe that the information provides a reasonable basis for estimating the preliminary fair values of assets acquired and liabilities assumed, but certain items, such as working capital amounts, may be subject to change as additional information is received. Thus, the provisional measurements of fair value and goodwill are subject to change. We will finalize the valuation in the first quarter of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Innosight was $113.6 million, which consisted of the following:</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9,560</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Net working capital adjustment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consideration transferred</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funded the cash component of the purchase price with cash on hand and borrowings of $89.0 million under our senior secured credit facility. We issued 221,558 shares of our common stock as part of the consideration transferred, with an acquisition date fair value of $9.6 million based on our common stock's closing price of $43.15 on the date of acquisition. The contingent consideration liability of $12.1 million represents the acquisition date fair value of the contingent consideration arrangement, pursuant to which we may be required to pay additional consideration to the sellers if specific financial performance targets are met over a four-year term. The maximum amount of contingent consideration that may be paid is $35.0 million. See Note 12 "Fair Value of Financial Instruments" for additional information on the valuation of contingent consideration liabilities.</w:t>
      </w:r>
    </w:p>
    <w:p>
      <w:pPr>
        <w:spacing w:after="0" w:line="12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as of the acquisition date.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1, 2017</w:t>
            </w:r>
          </w:p>
        </w:tc>
        <w:tc>
          <w:tcPr>
            <w:tcW w:w="0" w:type="dxa"/>
            <w:vAlign w:val="bottom"/>
          </w:tcPr>
          <w:p>
            <w:pPr>
              <w:spacing w:after="0"/>
              <w:rPr>
                <w:sz w:val="1"/>
                <w:szCs w:val="1"/>
                <w:color w:val="auto"/>
              </w:rPr>
            </w:pPr>
          </w:p>
        </w:tc>
      </w:tr>
      <w:tr>
        <w:trPr>
          <w:trHeight w:val="27"/>
        </w:trPr>
        <w:tc>
          <w:tcPr>
            <w:tcW w:w="4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420" w:type="dxa"/>
            <w:vAlign w:val="bottom"/>
          </w:tcPr>
          <w:p>
            <w:pPr>
              <w:spacing w:after="0"/>
              <w:rPr>
                <w:sz w:val="3"/>
                <w:szCs w:val="3"/>
                <w:color w:val="auto"/>
              </w:rPr>
            </w:pPr>
          </w:p>
        </w:tc>
        <w:tc>
          <w:tcPr>
            <w:tcW w:w="4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5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4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4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Goodwill</w:t>
            </w:r>
          </w:p>
        </w:tc>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87,410</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4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5240" w:type="dxa"/>
            <w:vAlign w:val="bottom"/>
            <w:gridSpan w:val="2"/>
          </w:tcPr>
          <w:p>
            <w:pPr>
              <w:jc w:val="right"/>
              <w:ind w:right="3670"/>
              <w:spacing w:after="0"/>
              <w:rPr>
                <w:sz w:val="20"/>
                <w:szCs w:val="20"/>
                <w:color w:val="auto"/>
              </w:rPr>
            </w:pPr>
            <w:r>
              <w:rPr>
                <w:rFonts w:ascii="Arial" w:cs="Arial" w:eastAsia="Arial" w:hAnsi="Arial"/>
                <w:sz w:val="18"/>
                <w:szCs w:val="18"/>
                <w:color w:val="auto"/>
              </w:rPr>
              <w:t>F-16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weighted average amortization period for the identifiable intangible assets shown above is 5.6 years. Customer relationships and customer contracts represent the fair values of the underlying relationships and agreements with Innosight customers. The trade name represents the fair value of the brand and name recognition associated with the marketing of Innosight's service offerings. Non-compete agreements represent the value derived from preventing certain Innosight executives from entering into or starting a similar, competing business. The favorable lease contract represents the difference between the fair value and minimum lease obligations under the current outstanding lease. Goodwill is recognized for the excess of purchase price over the net fair value of assets acquired and liabilities assumed, and largely reflects the expanded market opportunities expected from combining the service offerings of Huron and Innosight, as well as the assembled workforce of Innosight. Goodwill recognized in conjunction with the acquisition of Innosight was recorded in the Business Advisory segment. Goodwill of $87.4 million is expected to be deductible for income tax purposes.</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Innosight’s results of operations have been included in our unaudited consolidated statements of operations and results of operations of our Business Advisory segment from the date of acquisition. For the year ended December 31, 2017, revenues from Innosight were $34.3 million and operating loss was $0.9 million, which included $3.4 million of amortization expense for intangible assets acquired. In connection with the acquisition of Innosight, we incurred $1.7 million of transaction and acquisition-related expenses. Of the $1.7 million of expense, $1.4 million was incurred in the first quarter of 2017 and $0.3 million was incurred in the second quarter in 2017. These costs are recorded in selling, general and administrative expenses.</w:t>
      </w:r>
    </w:p>
    <w:p>
      <w:pPr>
        <w:spacing w:after="0" w:line="11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of Huron and Innosight as though the companies were combined on January 1, 2016.</w:t>
      </w:r>
    </w:p>
    <w:p>
      <w:pPr>
        <w:spacing w:after="0" w:line="112"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741,695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769,114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 per share - 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per share - diluted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historical financial information has been adjusted to give effect to pro forma adjustments consisting of intangible asset amortization expense, acquisition-related costs, interest expense, and the related income tax effects. The unaudited pro forma information above includes adjustments to include additional expense of $0.6 million and $11.4 million for the years ended December 31, 2017 and 2016, respectively. Additionally, the historical financial information has been adjusted to give effect to the shares issued as consideration. All of these adjustments are based upon currently available information and certain assumptions. Therefore, the pro forma consolidated results are not necessarily indicative of what our consolidated results of operations actually would have been had we completed the acquisition on January 1, 2016.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MyRounding Solutions, LLC</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February 1, 2016, we completed the acquisition of MyRounding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The addition of MyRounding expands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integration of our software and consulting solutions and strengthens our transformation services for healthcare providers. The results of operations of MyRounding have been included in our consolidated financial statements and the results of operations of our Healthcare segment from the date of acquisition.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May 1, 2016, we completed the acquisition of the U.S. assets of ADI Strategies, Inc. ("ADI Strategies"), a leading enterprise performance management, risk management, and business intelligence firm focused on implementing the Oracle enterprise application suite. The results of operations of ADI Strategies have been included in our consolidated financial statements and the results of operations of our Business Advisory segment from the date of acquisition.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Services Management, Inc.</w:t>
      </w:r>
    </w:p>
    <w:p>
      <w:pPr>
        <w:spacing w:after="0" w:line="171"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On August 1, 2016, we completed the acquisition of Healthcare Services Management, Inc. ("HSM Consulting"), a firm specializing in healthcare information technology and management consulting. The results of operations of HSM Consulting have been included in our consolidated financial statements and results of operations of our Healthcare segment from the date of acquisition.</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acquisitions of MyRounding, ADI Strategies, and HSM Consulting are not significant to our consolidated financial statements individually or in the aggregate as of and for the twelve months ended December 31,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Studer Holdings, Inc.</w:t>
      </w:r>
    </w:p>
    <w:p>
      <w:pPr>
        <w:spacing w:after="0" w:line="17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February 12, 2015, we acquired 100% of the outstanding stock of Studer Holdings, Inc. (“Studer Group”) from the existing shareholders in accordance with an Agreement and Plan of Merger dated January 26, 2015 (the “Merger Agreement”). Studer Group is a professional services firm that assists healthcare providers achieve cultural transformation to deliver and sustain improvement in clinical outcomes and financial results. The acquisition combines Healthcare’s performance improvement and clinical transformation capabilities with Studer Group’s Evidence-Based Leadership</w:t>
      </w:r>
      <w:r>
        <w:rPr>
          <w:rFonts w:ascii="Arial" w:cs="Arial" w:eastAsia="Arial" w:hAnsi="Arial"/>
          <w:sz w:val="21"/>
          <w:szCs w:val="21"/>
          <w:color w:val="auto"/>
          <w:vertAlign w:val="superscript"/>
        </w:rPr>
        <w:t>SM</w:t>
      </w:r>
      <w:r>
        <w:rPr>
          <w:rFonts w:ascii="Arial" w:cs="Arial" w:eastAsia="Arial" w:hAnsi="Arial"/>
          <w:sz w:val="18"/>
          <w:szCs w:val="18"/>
          <w:color w:val="auto"/>
        </w:rPr>
        <w:t xml:space="preserve"> framework to provide leadership and cultural transformation expertise for healthcare provider clients.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date fair value of the consideration transferred for Studer Group was approximately $325.2 million, which consisted of the following:</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323,237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2,204</w:t>
            </w:r>
          </w:p>
        </w:tc>
      </w:tr>
      <w:tr>
        <w:trPr>
          <w:trHeight w:val="27"/>
        </w:trPr>
        <w:tc>
          <w:tcPr>
            <w:tcW w:w="9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 adjustment</w:t>
            </w:r>
          </w:p>
        </w:tc>
        <w:tc>
          <w:tcPr>
            <w:tcW w:w="7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9360" w:type="dxa"/>
            <w:vAlign w:val="bottom"/>
          </w:tcPr>
          <w:p>
            <w:pPr>
              <w:ind w:left="380"/>
              <w:spacing w:after="0"/>
              <w:rPr>
                <w:sz w:val="20"/>
                <w:szCs w:val="20"/>
                <w:color w:val="auto"/>
              </w:rPr>
            </w:pPr>
            <w:r>
              <w:rPr>
                <w:rFonts w:ascii="Arial" w:cs="Arial" w:eastAsia="Arial" w:hAnsi="Arial"/>
                <w:sz w:val="18"/>
                <w:szCs w:val="18"/>
                <w:color w:val="auto"/>
              </w:rPr>
              <w:t>Total consideration transferred</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325,186</w:t>
            </w:r>
          </w:p>
        </w:tc>
      </w:tr>
      <w:tr>
        <w:trPr>
          <w:trHeight w:val="27"/>
        </w:trPr>
        <w:tc>
          <w:tcPr>
            <w:tcW w:w="93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funded the cash component of the purchase price with cash on hand and borrowings of $102.0 million under our senior secured credit facility. We issued 28,486 shares of our common stock as part of the consideration transferred, with an acquisition date fair value of $2.2 million based on the closing price of our stock of $77.35 on the date of acquisition.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following table summarizes the allocation of the purchase price to the fair value of assets acquired and liabilities assumed as of the acquisition date.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February 12, 2015</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21,263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92,510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232,676</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325,186</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698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69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bottom w:val="single" w:sz="8" w:color="CCEEFF"/>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17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25,100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4</w:t>
            </w:r>
          </w:p>
        </w:tc>
      </w:tr>
      <w:tr>
        <w:trPr>
          <w:trHeight w:val="27"/>
        </w:trPr>
        <w:tc>
          <w:tcPr>
            <w:tcW w:w="6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7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7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w:t>
            </w:r>
          </w:p>
        </w:tc>
      </w:tr>
      <w:tr>
        <w:trPr>
          <w:trHeight w:val="27"/>
        </w:trPr>
        <w:tc>
          <w:tcPr>
            <w:tcW w:w="6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Publishing content</w:t>
            </w:r>
          </w:p>
        </w:tc>
        <w:tc>
          <w:tcPr>
            <w:tcW w:w="17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1700" w:type="dxa"/>
            <w:vAlign w:val="bottom"/>
            <w:tcBorders>
              <w:top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97,500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weighted average amortization period for the identifiable intangible assets shown above is 6.3 years. Customer relationships and customer contracts represent the fair values of the underlying relationships and agreements with Studer Group customers. The trade name represents the fair value of the brand and name recognition associated with the marketing of Studer Group’s service offerings. Technology and software and publishing content represent the estimated fair values of Studer Group’s software and books that are sold to customers. Goodwill is recognized for the excess of purchase price over the net fair value of assets acquired and liabilities assumed, and largely reflects the expanded market opportunities expected from combining the service offerings of Huron and Studer Group, as well as the assembled workforce of Studer Group. Goodwill recognized in conjunction with the acquisition of Studer Group was recorded in the Healthcare segment. Goodwill of $119.5 million is expected to be deductible for income tax purposes.</w:t>
      </w:r>
    </w:p>
    <w:p>
      <w:pPr>
        <w:spacing w:after="0" w:line="11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Studer Group’s results of operations have been included in our consolidated statements of operations and other comprehensive income and results of operations of our Healthcare segment from the date of acquisition. For the year ended December 31, 2015, revenues from Studer Group were $79.9 million and operating income was $5.1 million, which included $21.3 million of amortization expense for intangible assets acquired. In connection with the acquisition of Studer Group, we incurred $2.1 million of transaction and acquisition-related expenses, $0.9 million of which were incurred in 2014, and $1.2 million of which were incurred in 2015. These costs are recorded in selling, general and administrative expenses in the period in which they were incurred.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for Huron and Studer Group for the twelve months ended December 31, 2015 as though the companies were combined on January 1,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Pr>
          <w:p>
            <w:pPr>
              <w:jc w:val="right"/>
              <w:ind w:right="7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8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8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709,813</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63,600</w:t>
            </w:r>
          </w:p>
        </w:tc>
      </w:tr>
      <w:tr>
        <w:trPr>
          <w:trHeight w:val="27"/>
        </w:trPr>
        <w:tc>
          <w:tcPr>
            <w:tcW w:w="8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per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Net income from continuing operations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2.81</w:t>
            </w:r>
          </w:p>
        </w:tc>
      </w:tr>
    </w:tbl>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historical financial information shown above has been adjusted to give effect to pro forma adjustments totaling $2.4 million of additional expense, which consist of intangible assets amortization expense, acquisition-related costs, interest expense, and the related income tax effects. The historical per share information has been adjusted to give effect to the shares issued as consideration. These adjustments are based upon currently available information and certain assumptions. Therefore, the pro forma consolidated results are not necessarily indicative of what our consolidated results of operations actually would have been had we completed the acquisition on January 1, 2014.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Sky Analytics, Inc.</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January 1, 2015, we completed the acquisition of Sky Analytics, Inc. ("Sky Analytics"), a Massachusetts-based provider of legal spend management software for corporate law departments. Sky Analytics' results of operations were included in the results of operations of our Huron Legal segment from the date of acquisition, and classified as discontinued operations upon the sale of the Huron Legal segment in the fourth quarter of 2015. Refer to Note 3 "Discontinued Operations" for additional detail on the sale of the Huron Legal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Rittman Mead India</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Effective July 1, 2015, we completed the acquisition of Rittman Mead Consulting Private Limited ("Rittman Mead India"), the India affiliate of Rittman Mead Consulting Ltd. Rittman Mead India is a data and analytics consulting firm that specializes in the implementation of enterprise performance management and analytics systems. Rittman Mead India's results of operations have been included in our consolidated financial statements and results of operations of our Business Advisory segment from the date of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Cloud62, Inc.</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 October 1, 2015, we completed the acquisition of Cloud62, Inc. ("Cloud62"), a New York-based consulting firm specializing in Salesforce.com implementations and related cloud-based applications. Cloud62's results of operations have been included in our consolidated financial statements and results of operations of our Business Advisory segment from the date of acquisition.</w:t>
      </w:r>
    </w:p>
    <w:p>
      <w:pPr>
        <w:spacing w:after="0" w:line="1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acquisitions of Sky Analytics, Rittman Mead India, and Cloud62 were not significant to our consolidated financial statements individually or in the aggregate as of and for the twelve months ended December 31,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changes in the carrying amount of goodwill by reportable segment for the years ended December 31,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Business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Education</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Advisory</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181,213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894,383</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751,400</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recorded in connection with business combinations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48,362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203,137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942,845</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60,154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799,862</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recorded in connection with business combinations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88,183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98,443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(253,093)</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reallocation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 xml:space="preserve">Goodwill allocated to disposal of business </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r>
      <w:tr>
        <w:trPr>
          <w:trHeight w:val="223"/>
        </w:trPr>
        <w:tc>
          <w:tcPr>
            <w:tcW w:w="60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6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1,041,826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(187,995)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(396,076)</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net as of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645,750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Refer to Note 4 "Acquisitions" for additional information on the goodwill recorded in connection with business combinations.</w:t>
      </w:r>
    </w:p>
    <w:p>
      <w:pPr>
        <w:spacing w:after="0" w:line="171" w:lineRule="exact"/>
        <w:rPr>
          <w:rFonts w:ascii="Arial" w:cs="Arial" w:eastAsia="Arial" w:hAnsi="Arial"/>
          <w:sz w:val="18"/>
          <w:szCs w:val="18"/>
          <w:color w:val="auto"/>
        </w:rPr>
      </w:pPr>
    </w:p>
    <w:p>
      <w:pPr>
        <w:ind w:left="660" w:right="140" w:hanging="652"/>
        <w:spacing w:after="0" w:line="30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second quarter of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The Life Sciences practice is a separate reporting unit for purposes of goodwill impairment testing. See Note 18 "Segment Information" for additional information on our reportable segments.</w:t>
      </w:r>
    </w:p>
    <w:p>
      <w:pPr>
        <w:spacing w:after="0" w:line="100" w:lineRule="exact"/>
        <w:rPr>
          <w:rFonts w:ascii="Arial" w:cs="Arial" w:eastAsia="Arial" w:hAnsi="Arial"/>
          <w:sz w:val="16"/>
          <w:szCs w:val="16"/>
          <w:color w:val="auto"/>
        </w:rPr>
      </w:pPr>
    </w:p>
    <w:p>
      <w:pPr>
        <w:ind w:left="660" w:right="120" w:hanging="652"/>
        <w:spacing w:after="0" w:line="27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June 16, 2017, we sold our Life Sciences Compliance and Operations practice ("Life Sciences C&amp;O") to a third-party, and allocated a portion of goodwill within the Life Sciences reporting unit to the disposed business based on the relative fair values of Life Sciences C&amp;O and the remaining reporting unit. The allocated goodwill of $0.6 million was written off and included in the gain on sale of Life Sciences C&amp;O. The sale of Life Sciences C&amp;O did not meet the criteria for reporting separately as discontinued operations. In connection with the sale, we recorded a $0.9 million gain which is included in other income, net in our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Goodwill Impairment Charge</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second quarter of 2017, we performed a goodwill impairment analysis for our Healthcare reporting unit as our Healthcare business had experienced a prolonged period of declining revenues, primarily driven by softness in our revenue cycle offering within our performance improvement solution. This softness was attributable to decreased demand for our services, the winding down of some of our larger projects, and a trend toward smaller projects, as well as fewer large integrated projects. In light of these challenges, several initiatives were undertaken to improve the segment's financial performance, including repositioning our solutions to address the most critical needs of our clients, the expansion of our existing services such as those in our Studer Group, strategy, physician and technology offerings, and workforce reductions to better align resources with market demand. While these initiatives have yielded some positive impacts, hospitals and health systems continue to face regulatory and funding uncertainty; therefore, we remain cautious about near-term growth. As we had previously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disclosed in prior quarters, if the financial performance of our Healthcare segment continued to decline and did not meet our expectations, we could be required to perform an interim impairment analysis with respect to our carrying value of goodwill for the Healthcare reporting unit prior to our usual annual test. Based on forecasts prepared in the second quarter of 2017 in connection with our quarterly forecasting cycle, we determined that the likely time frame to improve the financial results of this segment would take longer than originally anticipated. As such, we concluded, during the second quarter of 2017, that the fair value of the Healthcare reporting unit may have no longer exceeded its carrying value. In connection with the preparation of our financial statements for the quarter ended June 30, 2017, we performed an interim impairment test on the Healthcare reporting unit.</w:t>
      </w:r>
    </w:p>
    <w:p>
      <w:pPr>
        <w:spacing w:after="0" w:line="1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goodwill impairment test was performed by comparing the fair value of the Healthcare reporting unit with its carrying value and, in accordance with ASU 2017-04, which we adopted in the second quarter of 2017, recognizing an impairment charge for the amount by which the carrying value exceeded the fair value. To estimate the fair value of the Healthcare reporting unit, we relied on a combination of the income approach and the market approach, utilizing the guideline company method, with a fifty-fifty weighting. Based on the estimated fair value of the Healthcare reporting unit, we recorded a $209.6 million non-cash pretax charge in the second quarter of 2017 to reduce the carrying value of goodwill in our Healthcare reporting unit. As discussed in Note 2 "Summary of Significant Accounting," during the fourth quarter of 2017, we identified that our calculation of the non-deductible portion of our goodwill impairment charge recorded in the second quarter of 2017 erroneously excluded a portion of goodwill that was related to an acquisition completed in 2008 and has since been divested. To correct this error, in the fourth quarter of 2017, we recorded a $1.5 million decrease to our non-cash pretax goodwill impairment charge related to our Healthcare reporting unit. The total non-cash pretax goodwill impairment charge recorded in 2017 related to our Healthcare reporting unit, including the adjustment in the fourth quarter of 2017, was $208.1 million.</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goodwill impairment test performed on the Healthcare reporting unit, we performed an impairment test on the long-lived assets allocated to the asset groups within the Healthcare reporting unit. Based on the impairment test performed, we concluded that the long-lived assets allocated to the asset groups within the Healthcare reporting unit were not impaired as of June 30,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Goodwill Reallocation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segment reorganization in the second quarter of 2017, we reallocated $10.8 million of the goodwill balance associated with the previous Education and Life Sciences reporting unit to the new Life Sciences reporting unit based on the relative fair values of the Life Sciences reporting unit and the remaining Education reporting unit. The estimated fair values were determined using a combination of the income approach and the market approach, utilizing the guideline company method, with a fifty-fifty weighting.</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conjunction with the goodwill reallocation, we performed a goodwill impairment test for the goodwill balances within our Education reporting unit and Life Sciences reporting unit as of June 1, 2017. Based on the results of the goodwill impairment test, we determined that the fair values of our Education reporting unit and Life Sciences reporting unit exceeded their carrying values. As such, we concluded that there was no indication of goodwill impairment for either reporting unit at that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Annual Goodwill Impairment Test</w:t>
      </w:r>
    </w:p>
    <w:p>
      <w:pPr>
        <w:spacing w:after="0" w:line="17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Pursuant to our policy, we performed our annual goodwill impairment test as of November 30, 2017 for our six reporting units with goodwill balances: Healthcare, Education, Business Advisory, Enterprise Solutions and Analytics, Strategy and Innovation, and Life Sciences. We elected to bypass the qualitative assessment and proceeded directly to the quantitative goodwill impairment test.</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each reporting unit, we reviewed goodwill for impairment by comparing the fair value of the reporting unit to its carrying value, including goodwill. In estimating the fair value of each reporting unit, we relied on a combination of the income approach and the market approach, utilizing the guideline company method, with a fifty-fifty weighting. Based on the results of the goodwill impairment test, we determined that the fair value of the Healthcare, Education, Business Advisory, Strategy and Innovation, and Life Sciences reporting units exceeded its carrying value by 40%, 120%, 115%, 33%, and 14%, respectively. As such, we concluded that there was no indication of goodwill impairment for these five reporting units. However, the results of the quantitative impairment test indicated that the fair value of the Enterprise Solutions and Analytics reporting unit did not exceed its carrying value. Based on the estimated fair value of the Enterprise Solutions and Analytics reporting unit, we recorded a $45.0 million non-cash pretax charge to reduce the carrying value of this reporting unit's goodwill to zero.</w:t>
      </w:r>
    </w:p>
    <w:p>
      <w:pPr>
        <w:spacing w:after="0" w:line="1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Enterprise Solutions and Analytics reporting unit was established with the acquisition of Blue Stone International, LLC in 2013. Since that time, we completed five additional business acquisitions within the reporting unit, most recently the acquisitions of the U.S. assets and international assets of ADI Strategies in May 2016 and April 2017, respectively.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 Therefore, the initial accounting for an acquisition results in its fair value equaling its carrying value. As we have previously disclosed in prior quarters, due to this reporting unit’s relatively low headroom, in the event that the financial performance of the reporting unit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did not meet our expectations during 2017, we could be required to take a non-cash impairment charge as a result of any goodwill impairment test. During the first three quarters of 2017, the performance of Enterprise Solutions and Analytics continued to reasonably meet our expectations. However, both revenues and operating margin during the fourth quarter of 2017 fell short of our expectations resulting in a reduction in workforce within the reporting unit during that quarter. Further, in connection with our annual budget process for 2018, which coincided with our annual goodwill impairment test during the fourth quarter of 2017, we determined that the reporting unit's expected future revenue growth rates and operating margin would be lower than previously anticipated for this reporting unit. As a result, our goodwill impairment test indicated that the fair value of the Enterprise Solutions and Analytics reporting unit no longer exceeded its carrying value, and we recorded a $45.0 million non-cash pretax charge to write off the entire carrying value of this reporting unit's goodwill.</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goodwill impairment test performed on the Enterprise Solutions and Analytics reporting unit, we performed an impairment test on the long-lived assets allocated to the asset groups within the Enterprise Solutions and Analytics reporting unit. Based on the impairment test performed, we concluded that the long-lived assets allocated to the asset groups within the Enterprise Solutions and Analytics reporting unit were not impaired as of November 30, 2017.</w:t>
      </w:r>
    </w:p>
    <w:p>
      <w:pPr>
        <w:spacing w:after="0" w:line="13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Further, we evaluated whether any events have occurred or any circumstances have changed since November 30, 2017 that would indicate any additional goodwill may have become impaired since our annual impairment test. Based on our evaluation as of December 31, 2017, which included the impact of the 2017 Tax Reform on our deferred tax balances and forecasted tax rates, we determined that no indications of impairment have arisen since our annual goodwill impairment test.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2017 and 2016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740"/>
              <w:spacing w:after="0"/>
              <w:rPr>
                <w:sz w:val="20"/>
                <w:szCs w:val="20"/>
                <w:color w:val="auto"/>
              </w:rPr>
            </w:pPr>
            <w:r>
              <w:rPr>
                <w:rFonts w:ascii="Arial" w:cs="Arial" w:eastAsia="Arial" w:hAnsi="Arial"/>
                <w:sz w:val="18"/>
                <w:szCs w:val="18"/>
                <w:b w:val="1"/>
                <w:bCs w:val="1"/>
                <w:color w:val="auto"/>
              </w:rPr>
              <w:t>As of December 31,</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9"/>
              </w:rPr>
              <w:t>2017</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Accumulated</w:t>
            </w:r>
          </w:p>
        </w:tc>
      </w:tr>
      <w:tr>
        <w:trPr>
          <w:trHeight w:val="234"/>
        </w:trPr>
        <w:tc>
          <w:tcPr>
            <w:tcW w:w="334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Years</w:t>
            </w:r>
          </w:p>
        </w:tc>
        <w:tc>
          <w:tcPr>
            <w:tcW w:w="2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106,195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 to 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11,652</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to 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2,667</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2,062</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In-process technology</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Indefinite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178,888</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 In connection with the acquisition of MyRounding, we acquired in-process technology which was accounted for as an indefinite-lived intangible asset until the development of the technology was complete, which occurred in the first quarter of 2017. Upon completion, we reclassified the technology to definite-lived technology and software, and began amortizing the asset over a five-year useful life on a straight-line basis.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Intangible assets amortization expense was $35.0 million, $33.1 million, and $28.7 million for the years ended December 31, 2017, 2016, and 2015, respectively. The table below sets forth the estimated annual amortization expense for each of the five succeeding years for the intangible assets recorded as of December 31,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ind w:right="71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20"/>
                <w:szCs w:val="20"/>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Amortization 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23,936</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17,279</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12,116</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8,070</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892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r>
      <w:tr>
        <w:trPr>
          <w:trHeight w:val="27"/>
        </w:trPr>
        <w:tc>
          <w:tcPr>
            <w:tcW w:w="8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Depreciation expense for property and equipment was $13.3 million, $12.5 million, and $12.3 million for the years ended December 31, 2017, 2016, and 2015, respectively. Property and equipment, net at December 31, 2017 and 2016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438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related equipment, and software</w:t>
            </w:r>
          </w:p>
        </w:tc>
        <w:tc>
          <w:tcPr>
            <w:tcW w:w="42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48,607</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38,502</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12,545</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Aircraft</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construction</w:t>
            </w:r>
          </w:p>
        </w:tc>
        <w:tc>
          <w:tcPr>
            <w:tcW w:w="39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r>
      <w:tr>
        <w:trPr>
          <w:trHeight w:val="237"/>
        </w:trPr>
        <w:tc>
          <w:tcPr>
            <w:tcW w:w="438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9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115,685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99,948</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9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(67,514)</w:t>
            </w:r>
          </w:p>
        </w:tc>
      </w:tr>
      <w:tr>
        <w:trPr>
          <w:trHeight w:val="237"/>
        </w:trPr>
        <w:tc>
          <w:tcPr>
            <w:tcW w:w="438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39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45,541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32,434</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380" w:type="dxa"/>
            <w:vAlign w:val="bottom"/>
          </w:tcPr>
          <w:p>
            <w:pPr>
              <w:spacing w:after="0"/>
              <w:rPr>
                <w:sz w:val="24"/>
                <w:szCs w:val="24"/>
                <w:color w:val="auto"/>
              </w:rPr>
            </w:pPr>
          </w:p>
        </w:tc>
        <w:tc>
          <w:tcPr>
            <w:tcW w:w="4280" w:type="dxa"/>
            <w:vAlign w:val="bottom"/>
            <w:gridSpan w:val="2"/>
          </w:tcPr>
          <w:p>
            <w:pPr>
              <w:jc w:val="right"/>
              <w:ind w:right="2670"/>
              <w:spacing w:after="0"/>
              <w:rPr>
                <w:sz w:val="20"/>
                <w:szCs w:val="20"/>
                <w:color w:val="auto"/>
              </w:rPr>
            </w:pPr>
            <w:r>
              <w:rPr>
                <w:rFonts w:ascii="Arial" w:cs="Arial" w:eastAsia="Arial" w:hAnsi="Arial"/>
                <w:sz w:val="18"/>
                <w:szCs w:val="18"/>
                <w:color w:val="auto"/>
              </w:rPr>
              <w:t>F-24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amounts of our debt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233,140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105,000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68,000</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 due 2024</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343,008</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292,065</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Current maturities of debt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342,507</w:t>
            </w:r>
          </w:p>
        </w:tc>
        <w:tc>
          <w:tcPr>
            <w:tcW w:w="120" w:type="dxa"/>
            <w:vAlign w:val="bottom"/>
          </w:tcPr>
          <w:p>
            <w:pPr>
              <w:spacing w:after="0"/>
              <w:rPr>
                <w:sz w:val="20"/>
                <w:szCs w:val="20"/>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292,065</w:t>
            </w: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8"/>
        <w:spacing w:after="0" w:line="465"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current maturities of debt are included as a component of accrued expenses and other current liabilities on our consolidated balance sheets. Below is a summary of the scheduled remaining principal payments of our debt as of December 31,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Principal Payments of</w:t>
            </w:r>
          </w:p>
        </w:tc>
      </w:tr>
      <w:tr>
        <w:trPr>
          <w:trHeight w:val="234"/>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250,515</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2,221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124"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left="820" w:right="200" w:hanging="812"/>
        <w:spacing w:after="0" w:line="259"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820" w:right="80" w:hanging="812"/>
        <w:spacing w:after="0" w:line="279"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820" w:hanging="812"/>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December 31, 2017, the remaining life of the Convertible Notes is 1.8 years.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the Convertible Notes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additional paid-in capital on the consolidated balance sheet.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7,141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11,446</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Convertible Notes and, combined with the warrants, effectively raise the price at which economic dilution would occur from the initial conversion price of approximately $79.89 to approximately $97.12 per share. For purposes of the computation of diluted earnings per share in accordance with GAAP, dilution will occur when the average share price of our common stock for a given period exceeds the conversion price of the Convertible Notes, which initially is equal to approximately $79.89 per share. The convertible note hedge transactions and warrant transactions are discussed separately below.</w:t>
      </w:r>
    </w:p>
    <w:p>
      <w:pPr>
        <w:spacing w:after="0" w:line="100" w:lineRule="exact"/>
        <w:rPr>
          <w:sz w:val="20"/>
          <w:szCs w:val="20"/>
          <w:color w:val="auto"/>
        </w:rPr>
      </w:pPr>
    </w:p>
    <w:p>
      <w:pPr>
        <w:ind w:left="820" w:right="20" w:hanging="812"/>
        <w:spacing w:after="0" w:line="25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sheets.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820" w:right="20" w:hanging="812"/>
        <w:spacing w:after="0" w:line="255"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deferred income taxes, net on the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$500 million five-year senior secured revolving credit facility, subject to the terms of a Second Amended and Restated Credit Agreement dated as of March 31, 2015, as amended to date (as amended and modified the "Amended Credit Facility"),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3.25 to 1.00 to 3.75 to 1.00, depending on the measurement period, and</w:t>
      </w:r>
    </w:p>
    <w:p>
      <w:pPr>
        <w:ind w:right="260" w:firstLine="8"/>
        <w:spacing w:after="0" w:line="253"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among other items, share-based compensation costs, non-cash goodwill impairment charges, non-cash restructuring charges, and pro forma historical EBITDA for businesses acquired. At December 31, 2017, we were in compliance with these financial covenants with a Consolidated Leverage Ratio of 3.02 to 1.00 and a Consolidated Interest Coverage Ratio of 12.43 to 1.00.</w:t>
      </w:r>
    </w:p>
    <w:p>
      <w:pPr>
        <w:spacing w:after="0" w:line="13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Borrowings outstanding under the Amended Credit Agreement at December 31, 2017 totaled $105.0 million. These borrowings carried a weighted average interest rate of 3.7%, including the impact of the interest rate swap described in Note 11 “Derivative Instruments and Hedging Activity" that was in effect at December 31, 2017. Borrowings outstanding under the Amended Credit Agreement at December 31, 2016 were $68.0 million and carried a weighted average interest rate of 2.5%, including the impact of the interest rate swap that was in effect at December 31, 2016. The borrowing capacity under the revolving credit facility is reduced by any outstanding borrowings under the revolving credit facility and outstanding letters of credit. At December 31, 2017, we had outstanding letters of credit totaling $1.9 million, which are primarily used as security deposits for our office facilities. As of December 31, 2017, the unused borrowing capacity under the revolving credit facility was $393.1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due 2024</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December 31, 2017, the outstanding principal amount of the promissory note was $4.9 million. As of December 31, 2017, the aircraft had a carrying amount of $6.5 million.</w:t>
      </w:r>
    </w:p>
    <w:p>
      <w:pPr>
        <w:spacing w:after="0" w:line="120" w:lineRule="exact"/>
        <w:rPr>
          <w:sz w:val="20"/>
          <w:szCs w:val="20"/>
          <w:color w:val="auto"/>
        </w:rPr>
      </w:pPr>
    </w:p>
    <w:p>
      <w:pPr>
        <w:ind w:right="9860" w:firstLine="8"/>
        <w:spacing w:after="0" w:line="495" w:lineRule="auto"/>
        <w:tabs>
          <w:tab w:leader="none" w:pos="18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Preferred Stock</w:t>
      </w:r>
    </w:p>
    <w:p>
      <w:pPr>
        <w:spacing w:after="0" w:line="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2017 and 2016, no such preferred stock has been approved or issued.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61,895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59,052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22,136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21,439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earnings (loss) per basic share: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earnings (loss) per diluted share: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As of December 31,</w:t>
            </w:r>
          </w:p>
        </w:tc>
        <w:tc>
          <w:tcPr>
            <w:tcW w:w="90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Outstanding common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1060" w:type="dxa"/>
            <w:vAlign w:val="bottom"/>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3,129</w:t>
            </w: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See Note 7 “Financing Arrangements” for further information on the convertible senior notes and warrants related to the issuance of convertible notes.</w:t>
      </w:r>
    </w:p>
    <w:p>
      <w:pPr>
        <w:spacing w:after="0" w:line="18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currently have a share repurchase program permitting us to repurchase up to $125 million of our common stock through October 31, 2018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under this program in 2017. In 2016, we repurchased and retired 982,192 shares for $55.3 million, and in 2015, we repurchased and retired 583,880 shares for $34.6 million. As of December 31, 2017, $35.1 million remains available for share repurchases.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2017, we incurred $6.2 million of pretax restructuring expense. This expense primarily consisted of the following charges:</w:t>
      </w:r>
    </w:p>
    <w:p>
      <w:pPr>
        <w:spacing w:after="0" w:line="17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 xml:space="preserve">Severance - </w:t>
      </w:r>
      <w:r>
        <w:rPr>
          <w:rFonts w:ascii="Arial" w:cs="Arial" w:eastAsia="Arial" w:hAnsi="Arial"/>
          <w:sz w:val="18"/>
          <w:szCs w:val="18"/>
          <w:color w:val="auto"/>
        </w:rPr>
        <w:t>We incurred $3.7 million of severance expense as a result of workforce reductions to better align resources with market demand. Of the $3.7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$2.1 million related to our Healthcare segment, $1.1 million related to our Business Advisory segment, and $0.4 million related to our corporate operations.</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Office exit costs </w:t>
      </w:r>
      <w:r>
        <w:rPr>
          <w:rFonts w:ascii="Arial" w:cs="Arial" w:eastAsia="Arial" w:hAnsi="Arial"/>
          <w:sz w:val="18"/>
          <w:szCs w:val="18"/>
          <w:color w:val="auto"/>
        </w:rPr>
        <w:t>- We incurred $2.4 million of office exit costs primarily related to the accrual of remaining lease obligations, net of estimated sublease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due to relocating our San Francisco office to a smaller space and consolidating our Chicago and New York offices, and accelerated depreciation on leasehold improvements for our San Francisco office.</w:t>
      </w:r>
    </w:p>
    <w:p>
      <w:pPr>
        <w:spacing w:after="0" w:line="12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Of the $6.2 million pretax restructuring charge, $2.1 million was related to our Healthcare segment, $1.1 million was related to our Business Advisory segment, and $2.9 million was related to our corporate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2016, we incurred $9.6 million of pretax restructuring expense. This expense consisted of the following charges:</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We incurred $7.3 million of severance expense as a result of workforce reductions, of which $6.4 million was related to our Healthcare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Advisory segments to better align our resources with market demand and $0.9 million was related to our corporate infrastructure as a result of our Huron Legal divestiture.</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Office exit costs </w:t>
      </w:r>
      <w:r>
        <w:rPr>
          <w:rFonts w:ascii="Arial" w:cs="Arial" w:eastAsia="Arial" w:hAnsi="Arial"/>
          <w:sz w:val="18"/>
          <w:szCs w:val="18"/>
          <w:color w:val="auto"/>
        </w:rPr>
        <w:t>- We incurred $1.5 million of office exit costs primarily related to our Washington, D.C. space that we vacated in the fourth quarter of 2014.</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third quarter of 2016, we entered into a sublease agreement and adjusted our Washington, D.C. lease accrual to reflect the terms specified in the sublease agreement.</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also incurred $0.8 million of restructuring expense related to the wind down of our foreign consulting operations based in the Middle East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exit costs.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$9.6 million pretax restructuring charge, $5.8 million was related to our Healthcare segment, $3.2 million was related to our corporate operations, and $0.6 million was related to our Business Advisory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2015, we incurred $3.3 million of pretax restructuring expense. This expense primarily consisted of the following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Severance - </w:t>
      </w:r>
      <w:r>
        <w:rPr>
          <w:rFonts w:ascii="Arial" w:cs="Arial" w:eastAsia="Arial" w:hAnsi="Arial"/>
          <w:sz w:val="17"/>
          <w:szCs w:val="17"/>
          <w:color w:val="auto"/>
        </w:rPr>
        <w:t>We incurred $2.8 million of severance expense as a result of workforce reductions to better align our resources with market demand.</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Office exit costs - </w:t>
      </w:r>
      <w:r>
        <w:rPr>
          <w:rFonts w:ascii="Arial" w:cs="Arial" w:eastAsia="Arial" w:hAnsi="Arial"/>
          <w:sz w:val="18"/>
          <w:szCs w:val="18"/>
          <w:color w:val="auto"/>
        </w:rPr>
        <w:t>We incurred $0.5 million of office exit costs primarily related to updated assumptions for the lease accrual of the Washington, D.C. space</w:t>
      </w:r>
      <w:r>
        <w:rPr>
          <w:rFonts w:ascii="Arial" w:cs="Arial" w:eastAsia="Arial" w:hAnsi="Arial"/>
          <w:sz w:val="18"/>
          <w:szCs w:val="18"/>
          <w:i w:val="1"/>
          <w:iCs w:val="1"/>
          <w:color w:val="auto"/>
        </w:rPr>
        <w:t xml:space="preserve"> </w:t>
      </w:r>
      <w:r>
        <w:rPr>
          <w:rFonts w:ascii="Arial" w:cs="Arial" w:eastAsia="Arial" w:hAnsi="Arial"/>
          <w:sz w:val="18"/>
          <w:szCs w:val="18"/>
          <w:color w:val="auto"/>
        </w:rPr>
        <w:t>vacated in the fourth quarter of 2014.</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the $3.3 million pretax restructuring expense, $1.2 million was related to our Healthcare segment, $1.1 million was related to our All Other segment as we wound down our public sector consulting practice and our foreign consulting operations based in the Middle East, and $1.0 million was related to our corporate operations.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125"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years ended December 31, 2017 and 2016.</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Office Space</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 Costs</w:t>
            </w:r>
          </w:p>
        </w:tc>
        <w:tc>
          <w:tcPr>
            <w:tcW w:w="2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Reductions</w:t>
            </w:r>
          </w:p>
        </w:tc>
        <w:tc>
          <w:tcPr>
            <w:tcW w:w="34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8,702</w:t>
            </w:r>
          </w:p>
        </w:tc>
      </w:tr>
      <w:tr>
        <w:trPr>
          <w:trHeight w:val="270"/>
        </w:trPr>
        <w:tc>
          <w:tcPr>
            <w:tcW w:w="4060" w:type="dxa"/>
            <w:vAlign w:val="bottom"/>
          </w:tcPr>
          <w:p>
            <w:pPr>
              <w:ind w:left="26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9,082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9,724</w:t>
            </w:r>
          </w:p>
        </w:tc>
      </w:tr>
      <w:tr>
        <w:trPr>
          <w:trHeight w:val="25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70"/>
        </w:trPr>
        <w:tc>
          <w:tcPr>
            <w:tcW w:w="4060" w:type="dxa"/>
            <w:vAlign w:val="bottom"/>
          </w:tcPr>
          <w:p>
            <w:pPr>
              <w:ind w:left="26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1,693</w:t>
            </w: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Non-cash items</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10,979</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6,395</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(10,466)</w:t>
            </w:r>
          </w:p>
        </w:tc>
      </w:tr>
      <w:tr>
        <w:trPr>
          <w:trHeight w:val="27"/>
        </w:trPr>
        <w:tc>
          <w:tcPr>
            <w:tcW w:w="4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Non-cash items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820" w:right="780" w:hanging="488"/>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and adjustments for the years ended December 31, 2017 and 2016 include a gain of $1.0 million and a charge of $2.0 million, respectively, related to updated lease assumptions for vacated offices spaces directly related to discontinued operations. Refer to Note 3 "Discontinued Operations" for additional information on our discontinued operations.</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December 31, 2017, our restructuring charge liability related to office space reductions of $4.2 million represented the present value of remaining lease payments, net of estimated sublease income, primarily for our vacated office spaces in Washington, D.C., Houston, Chicago, and San Francisco. This restructuring charge liability is included as a component of accrued expenses and other current liabilities and deferred compensation and other liabilities. All of the $1.3 million restructuring charge liability related to employee costs at December 31, 2017 is expected to be paid in 2018. The restructuring charge liability related to employee costs is included as a component of accrued payroll and related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Activity</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April 4, 2013, we entered into a forward amortizing interest rate swap agreement effective March 31, 2014 which ended August 31, 2017. We entered into this derivative instrument to hedge against the interest rate risks of our variable-rate borrowings. The swap had an initial notional amount of $60.0 million and amortized quarterly until April 2016. In April 2016, the notional amount of this interest rate swap increased to $86.0 million and continued to amortize quarterly until it expired in August 2017. Under the terms of the interest rate swap agreement, we received from the counterparty interest on the notional amount based on one-month LIBOR and we paid to the counterparty a fixed rate of 0.985%.</w:t>
      </w:r>
    </w:p>
    <w:p>
      <w:pPr>
        <w:spacing w:after="0" w:line="1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continue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The ineffective portion of the change in fair value of the derivative instruments is recognized in interest expense. Our interest rate swap agreement was effective during the year ended December 31, 2017. As of December 31, 2017, it was anticipated that less than $0.1 million of the accumulated other comprehensive income, net of tax, currently recorded on our consolidated balance sheet will be reclassified into earnings within the next 12 months.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sets forth additional information relating to our interest rate swaps designated as cash flow hedging instruments as of December 31, 2017 and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41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Fair Value (Derivative Asset and Liability)</w:t>
            </w:r>
          </w:p>
        </w:tc>
        <w:tc>
          <w:tcPr>
            <w:tcW w:w="50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70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w w:val="95"/>
              </w:rPr>
              <w:t>As of December 31,</w:t>
            </w:r>
          </w:p>
        </w:tc>
        <w:tc>
          <w:tcPr>
            <w:tcW w:w="5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780" w:type="dxa"/>
            <w:vAlign w:val="bottom"/>
          </w:tcPr>
          <w:p>
            <w:pPr>
              <w:jc w:val="right"/>
              <w:ind w:right="157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54</w:t>
            </w:r>
          </w:p>
        </w:tc>
      </w:tr>
    </w:tbl>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13 “Other Comprehensive Income (Loss)” for additional information on our derivative instrument.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197"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ind w:right="16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December 31, 2017 and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Promissory note</w:t>
            </w:r>
          </w:p>
        </w:tc>
        <w:tc>
          <w:tcPr>
            <w:tcW w:w="12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1,078</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debt investment</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Deferred compensation assets</w:t>
            </w:r>
          </w:p>
        </w:tc>
        <w:tc>
          <w:tcPr>
            <w:tcW w:w="12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17,786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17,786</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59,301</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 for business acquisitions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22,828</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Promissory note</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Convertible debt investment</w:t>
            </w:r>
          </w:p>
        </w:tc>
        <w:tc>
          <w:tcPr>
            <w:tcW w:w="12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34,675</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16,408</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53,408</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 for business acquisitions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8,881</w:t>
            </w:r>
          </w:p>
        </w:tc>
      </w:tr>
      <w:tr>
        <w:trPr>
          <w:trHeight w:val="27"/>
        </w:trPr>
        <w:tc>
          <w:tcPr>
            <w:tcW w:w="4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values of our interest rate swaps were derived using estimates to settle the interest rate swap agreements, which are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present value of expected future cash flows on each leg of the swaps utilizing market-based inputs and discount rates reflecting the risks involved.</w:t>
      </w:r>
    </w:p>
    <w:p>
      <w:pPr>
        <w:spacing w:after="0" w:line="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Promissory note</w:t>
      </w:r>
      <w:r>
        <w:rPr>
          <w:rFonts w:ascii="Arial" w:cs="Arial" w:eastAsia="Arial" w:hAnsi="Arial"/>
          <w:sz w:val="17"/>
          <w:szCs w:val="17"/>
          <w:color w:val="auto"/>
        </w:rPr>
        <w:t>: As part of the consideration received for the sale of our Accounting Advisory practice on December 30, 2011, we received a $3.5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promissory note payable over four years. During the fourth quarter of 2017, we amended and restated the note which established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scheduled annual principal payments, increased the interest rate, reduced the outstanding principal amount by $0.5 million, and extended the maturity date to September 30, 2020. Additionally, at the closing of this amended promissory note, we received a $1.0 million principal payment. As a result of the amendment, we recorded a $0.3 million fair value remeasurement loss on the promissory note which is recorded in other income (expense), net in the consolidated statement of operations. The scheduled principal payments will be paid to us annually until the maturity date of September 30, 2020, at which time the remaining principal balance and any accrued interest is due. The fair value of the note is based on the net present value of the projected cash flows using a discount rate of 10%, which accounts for the risks associated with the amended note. This fair value measurement is based on significant inputs not observable in the market and thus represent Level 3 inputs. As of December 31, 2017, $0.5 million is recorded in prepaid expenses and other current assets and represents the present value of the payments expected to be received in the next 12 months, and the remaining $0.6 million is recorded in other non-current assets. As of December 31, 2017, there was $1.0 million principal amount outstanding under the promissory note.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promissory note for the years ended December 31, 2017 and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Promissory Note</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50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2,325</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Principal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1,078</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years ended December 31, 2017 and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5,229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 and a select group</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consolidated balance sheet. Realized and unrealized gains (losses) from the deferred compensation assets are recorded to other income (expense), net in our consolidated statements of operations.</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Contingent consideration for business acquisitions: </w:t>
      </w:r>
      <w:r>
        <w:rPr>
          <w:rFonts w:ascii="Arial" w:cs="Arial" w:eastAsia="Arial" w:hAnsi="Arial"/>
          <w:sz w:val="17"/>
          <w:szCs w:val="17"/>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Refer to Note 4 “Acquisitions” for information on the acquisitions completed in 2017, 2016, and 2015.</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years ended December 31, 2017 and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8,754</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60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8,827</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(2,938)</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due 2024</w:t>
      </w:r>
    </w:p>
    <w:p>
      <w:pPr>
        <w:spacing w:after="0" w:line="17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ind w:left="66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Pr>
          <w:p>
            <w:pPr>
              <w:spacing w:after="0"/>
              <w:rPr>
                <w:sz w:val="20"/>
                <w:szCs w:val="20"/>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233,140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232,578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245,018</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differences between the $250 million principal amount of the Convertible Notes and the carrying amounts shown above represent the unamortized debt discount and issuance costs. As of December 31, 2017 and 2016, the carrying value of the equity component of $39.3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million was unchanged from the date of issuance. Refer to Note 7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quarters ended December 31, 2017 and 2016.</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the closing price of our common stock of $40.45 on December 31, 2017, the if-converted value of the Convertible Notes was less than the principal amount.</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Income (Loss)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sets forth the components of accumulated other comprehensive income (loss), net of tax for the years ended December 31, 2017, 2016, and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Available-for-</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Sale</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Cash Flow</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200" w:type="dxa"/>
            <w:vAlign w:val="bottom"/>
          </w:tcPr>
          <w:p>
            <w:pPr>
              <w:spacing w:after="0"/>
              <w:rPr>
                <w:sz w:val="22"/>
                <w:szCs w:val="2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 xml:space="preserve">Hedges </w:t>
            </w:r>
            <w:r>
              <w:rPr>
                <w:rFonts w:ascii="Arial" w:cs="Arial" w:eastAsia="Arial" w:hAnsi="Arial"/>
                <w:sz w:val="21"/>
                <w:szCs w:val="21"/>
                <w:b w:val="1"/>
                <w:bCs w:val="1"/>
                <w:color w:val="auto"/>
                <w:w w:val="84"/>
                <w:vertAlign w:val="superscript"/>
              </w:rPr>
              <w:t>(1)</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2014</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Reclassification adjustment into earnings, net of tax of $0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on investments, net of tax of $(2,709)</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4,435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 of $327</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into earnings, net of tax of $(320)</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loss on investments, net of tax of $59</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 of $122</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into earnings, net of tax of $(161)</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2016</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on investments: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$(998)</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w:t>
            </w:r>
          </w:p>
        </w:tc>
      </w:tr>
      <w:tr>
        <w:trPr>
          <w:trHeight w:val="270"/>
        </w:trPr>
        <w:tc>
          <w:tcPr>
            <w:tcW w:w="5620" w:type="dxa"/>
            <w:vAlign w:val="bottom"/>
          </w:tcPr>
          <w:p>
            <w:pPr>
              <w:ind w:left="380"/>
              <w:spacing w:after="0"/>
              <w:rPr>
                <w:sz w:val="20"/>
                <w:szCs w:val="20"/>
                <w:color w:val="auto"/>
              </w:rPr>
            </w:pPr>
            <w:r>
              <w:rPr>
                <w:rFonts w:ascii="Arial" w:cs="Arial" w:eastAsia="Arial" w:hAnsi="Arial"/>
                <w:sz w:val="18"/>
                <w:szCs w:val="18"/>
                <w:color w:val="auto"/>
              </w:rPr>
              <w:t xml:space="preserve">Reclassification adjustment into retained earnings </w:t>
            </w:r>
            <w:r>
              <w:rPr>
                <w:rFonts w:ascii="Arial" w:cs="Arial" w:eastAsia="Arial" w:hAnsi="Arial"/>
                <w:sz w:val="21"/>
                <w:szCs w:val="21"/>
                <w:color w:val="auto"/>
                <w:vertAlign w:val="superscript"/>
              </w:rPr>
              <w:t>(3)</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 of $(106)</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into earnings, net of tax of $(46)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70"/>
        </w:trPr>
        <w:tc>
          <w:tcPr>
            <w:tcW w:w="5620" w:type="dxa"/>
            <w:vAlign w:val="bottom"/>
          </w:tcPr>
          <w:p>
            <w:pPr>
              <w:ind w:left="380"/>
              <w:spacing w:after="0"/>
              <w:rPr>
                <w:sz w:val="20"/>
                <w:szCs w:val="20"/>
                <w:color w:val="auto"/>
              </w:rPr>
            </w:pPr>
            <w:r>
              <w:rPr>
                <w:rFonts w:ascii="Arial" w:cs="Arial" w:eastAsia="Arial" w:hAnsi="Arial"/>
                <w:sz w:val="18"/>
                <w:szCs w:val="18"/>
                <w:color w:val="auto"/>
              </w:rPr>
              <w:t xml:space="preserve">Reclassification adjustment into retained earnings </w:t>
            </w:r>
            <w:r>
              <w:rPr>
                <w:rFonts w:ascii="Arial" w:cs="Arial" w:eastAsia="Arial" w:hAnsi="Arial"/>
                <w:sz w:val="21"/>
                <w:szCs w:val="21"/>
                <w:color w:val="auto"/>
                <w:vertAlign w:val="superscript"/>
              </w:rPr>
              <w:t>(3)</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8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before tax amounts reclassified from accumulated other comprehensive income (loss) related to our cash flow hedges are recorded to interest expense, net of interest income.</w:t>
      </w:r>
    </w:p>
    <w:p>
      <w:pPr>
        <w:spacing w:after="0" w:line="116"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the divestiture of Huron Legal, which included the sale of certain wholly-owned foreign subsidiaries, we reclassified $2.2 million of accumulated translation losses to net income from discontinued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left="660" w:right="120" w:hanging="652"/>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Upon adoption of ASU 2018-02, </w:t>
      </w:r>
      <w:r>
        <w:rPr>
          <w:rFonts w:ascii="Arial" w:cs="Arial" w:eastAsia="Arial" w:hAnsi="Arial"/>
          <w:sz w:val="18"/>
          <w:szCs w:val="18"/>
          <w:i w:val="1"/>
          <w:iCs w:val="1"/>
          <w:color w:val="auto"/>
        </w:rPr>
        <w:t>Income Statement - Reporting Comprehensive Income (Topic 220):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Accumulated Other Comprehensive Income, </w:t>
      </w:r>
      <w:r>
        <w:rPr>
          <w:rFonts w:ascii="Arial" w:cs="Arial" w:eastAsia="Arial" w:hAnsi="Arial"/>
          <w:sz w:val="18"/>
          <w:szCs w:val="18"/>
          <w:color w:val="auto"/>
        </w:rPr>
        <w:t>we reclassified $0.5 million of stranded tax effects, which resulted from the enactment of the 2017 Tax</w:t>
      </w:r>
      <w:r>
        <w:rPr>
          <w:rFonts w:ascii="Arial" w:cs="Arial" w:eastAsia="Arial" w:hAnsi="Arial"/>
          <w:sz w:val="18"/>
          <w:szCs w:val="18"/>
          <w:i w:val="1"/>
          <w:iCs w:val="1"/>
          <w:color w:val="auto"/>
        </w:rPr>
        <w:t xml:space="preserve"> </w:t>
      </w:r>
      <w:r>
        <w:rPr>
          <w:rFonts w:ascii="Arial" w:cs="Arial" w:eastAsia="Arial" w:hAnsi="Arial"/>
          <w:sz w:val="18"/>
          <w:szCs w:val="18"/>
          <w:color w:val="auto"/>
        </w:rPr>
        <w:t>Reform, from accumulated other comprehensive income to retained earnings. Refer to Note 2 "Summary of Significant Accounting Policies" for additional information on the adoption of ASU 2018-02.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and Deferred Compensation Plans</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sponsor a qualified defined contribution 401(k) plan covering substantially all of our employees. Under the plan, employees are entitled to make pretax contributions and/or Roth post-tax contributions up to the annual maximums established by the Internal Revenue Service. We match an amount equal to the employees’ contributions up to 6% of the employees’ salaries. Our matching contributions, including those related to our discontinued operations, for the years ended December 31, 2017, 2016, and 2015 were $20.0 million, $19.4 million, and $17.6 million, respectively.</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2017 and 2016 was $17.7 million and $16.4 million, respectively. This deferred compensation liability is funded by the Plan assets.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Incentive Plans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2012, Huron adopted the 2012 Omnibus Incentive Plan (the “2012 Plan”), in order to increase the number of shares of common stock available as equity compensation to employees, non-employee directors, and independent contractors, and to make certain updates to reflect changes in market practices. The 2012 Plan replaced, on a prospective basis, our 2004 Omnibus Stock Plan (the "2004 Plan") such that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The 2012 Plan permits the grant of stock options, stock appreciation rights, restricted stock, performance shares and other share-based or cash-based awards valued in whole or in part by reference to, or otherwise based on, our common stock. The 2012 Plan was amended on May 2, 2014 to increase the number of shares authorized for issuance by 850,000 shares. On May 5, 2017, an amendment and restatement of the 2012 Plan was approved by shareholders to increase the number of shares authorized for issuance by 804,000 shares. As of December 31, 2017, approximately 1.3 million shares remain available for issuance under the 2012 Plan.</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1, 2015, we adopted the Stock Ownership Participation Program (the “SOPP”), which is available to Huron employees below the managing director level who do not receive equity-based awards as part of their normal compensation plan. Under the SOPP, eligible employees may elect to use after-tax payroll deductions, or cash contributions,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a requirement that the purchased shares be held for a specified holding period. The initial number of shares available for issuance under the SOPP was 300,000. Prior to adopting the SOPP, the matching share grants and the employee purchased shares under the stock ownership participation program were governed by the 2012 Plan. As of December 31, 2017, approximately 0.1 million shares remain available for issuance under the SOPP.</w:t>
      </w:r>
    </w:p>
    <w:p>
      <w:pPr>
        <w:spacing w:after="0" w:line="11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It has been our practice to issue shares of common stock upon exercise of stock options and granting of restricted stock from authorized but unissued shares, with the exception of the SOPP under which shares are issued from treasury stock. Certain grants of restricted stock under the 2012 Plan may be issued from treasury stock at the direction of the Compensation Committee.</w:t>
      </w:r>
    </w:p>
    <w:p>
      <w:pPr>
        <w:spacing w:after="0" w:line="1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Compensation Committee of the board of directors has the responsibility of interpreting the 2012 Plan and SOPP and determining all of the terms and conditions of awards made under the plans, including when the awards will become exercisable or otherwise vest. In 2013, the Compensation Committee amended certain share-based awards outstanding under our 2012 Plan and our 2004 Plan to provide for a retirement eligibility provision. Under this provision, eligible employees who have reached 62 years of age and have completed seven years of employment with Huron will continue vesting in their share-based awards after retirement, subject to certain conditions. This retirement eligibility provision will also apply to future awards granted to eligible employees under the 2012 Plan.</w:t>
      </w:r>
    </w:p>
    <w:p>
      <w:pPr>
        <w:spacing w:after="0" w:line="1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share-based compensation cost recognized for the years ended December 31, 2017, 2016, and 2015 was $14.8 million, $16.6 million, and $19.2 million, respectively, with related income tax benefits of $5.8 million, $6.4 million, and $7.6 million, respectively. As of</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December 31, 2017, there was $17.6 million of total unrecognized compensation cost related to nonvested share-based awards. This cost is expected to be recognized over a weighted average period of 2.2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grant date fair values of our restricted stock awards are measured based on the fair value of our common stock at grant date and amortized into expense over the service period. Subject to acceleration under certain conditions, the majority of our restricted stock vests annually over four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restricted stock activity for the year ended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32"/>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64"/>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 Ownership</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2012 Omnibus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Participation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Incentive Plan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Program</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dollars)</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Nonvested restricted stock at December 31, 2016</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Nonvested restricted stock at December 31, 2017</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aggregate fair value of restricted stock that vested during the years ended December 31, 2017, 2016, and 2015 was $11.1 million, $14.9 million, and $23.9 million, respectively. The weighted average grant date fair value per share of restricted stock granted during 2016 and 2015 was $56.28 and $66.21,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2017, 2016, and 2015, the Company granted performance-based share awards to our named executive officers and certain managing directors. The total number of shares earned by recipients of these awards is contingent upon meeting practice specific and Company-wide performance goals. Following the performance period, the awards are subject to the completion of a service period, which is generally an additional one to three years. The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 including the performance period.</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summarizes the performance-based stock activity for the year ended December 31, 2017. All nonvested performance-based stock outstanding at December 31, 2016 and 2017 was granted under the 2012 Omnibus Incentive Plan.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7640" w:type="dxa"/>
            <w:vAlign w:val="bottom"/>
          </w:tcPr>
          <w:p>
            <w:pPr>
              <w:spacing w:after="0"/>
              <w:rPr>
                <w:sz w:val="18"/>
                <w:szCs w:val="18"/>
                <w:color w:val="auto"/>
              </w:rPr>
            </w:pPr>
          </w:p>
        </w:tc>
        <w:tc>
          <w:tcPr>
            <w:tcW w:w="136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Number of</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7640" w:type="dxa"/>
            <w:vAlign w:val="bottom"/>
          </w:tcPr>
          <w:p>
            <w:pPr>
              <w:spacing w:after="0"/>
              <w:rPr>
                <w:sz w:val="20"/>
                <w:szCs w:val="20"/>
                <w:color w:val="auto"/>
              </w:rPr>
            </w:pPr>
          </w:p>
        </w:tc>
        <w:tc>
          <w:tcPr>
            <w:tcW w:w="1360" w:type="dxa"/>
            <w:vAlign w:val="bottom"/>
          </w:tcPr>
          <w:p>
            <w:pPr>
              <w:jc w:val="center"/>
              <w:ind w:left="370"/>
              <w:spacing w:after="0"/>
              <w:rPr>
                <w:sz w:val="20"/>
                <w:szCs w:val="20"/>
                <w:color w:val="auto"/>
              </w:rPr>
            </w:pPr>
            <w:r>
              <w:rPr>
                <w:rFonts w:ascii="Arial" w:cs="Arial" w:eastAsia="Arial" w:hAnsi="Arial"/>
                <w:sz w:val="18"/>
                <w:szCs w:val="18"/>
                <w:b w:val="1"/>
                <w:bCs w:val="1"/>
                <w:color w:val="auto"/>
                <w:w w:val="83"/>
              </w:rPr>
              <w:t>Shares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(in dollars)</w:t>
            </w:r>
          </w:p>
        </w:tc>
      </w:tr>
      <w:tr>
        <w:trPr>
          <w:trHeight w:val="27"/>
        </w:trPr>
        <w:tc>
          <w:tcPr>
            <w:tcW w:w="76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performance-based stock at December 31, 2016</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58.47</w:t>
            </w:r>
          </w:p>
        </w:tc>
      </w:tr>
      <w:tr>
        <w:trPr>
          <w:trHeight w:val="270"/>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1"/>
                <w:szCs w:val="21"/>
                <w:color w:val="auto"/>
                <w:vertAlign w:val="superscript"/>
              </w:rPr>
              <w:t>(1)</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42.75</w:t>
            </w: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61.66</w:t>
            </w:r>
          </w:p>
        </w:tc>
      </w:tr>
      <w:tr>
        <w:trPr>
          <w:trHeight w:val="270"/>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(129)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54.85</w:t>
            </w:r>
          </w:p>
        </w:tc>
      </w:tr>
      <w:tr>
        <w:trPr>
          <w:trHeight w:val="264"/>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Nonvested performance-based stock at December 31, 2017 </w:t>
            </w:r>
            <w:r>
              <w:rPr>
                <w:rFonts w:ascii="Arial" w:cs="Arial" w:eastAsia="Arial" w:hAnsi="Arial"/>
                <w:sz w:val="21"/>
                <w:szCs w:val="21"/>
                <w:color w:val="auto"/>
                <w:vertAlign w:val="superscript"/>
              </w:rPr>
              <w:t>(3)</w:t>
            </w:r>
          </w:p>
        </w:tc>
        <w:tc>
          <w:tcPr>
            <w:tcW w:w="1360" w:type="dxa"/>
            <w:vAlign w:val="bottom"/>
            <w:tcBorders>
              <w:top w:val="single" w:sz="8" w:color="auto"/>
              <w:bottom w:val="single" w:sz="8" w:color="auto"/>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40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44.45</w:t>
            </w:r>
          </w:p>
        </w:tc>
      </w:tr>
      <w:tr>
        <w:trPr>
          <w:trHeight w:val="20"/>
        </w:trPr>
        <w:tc>
          <w:tcPr>
            <w:tcW w:w="7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48" w:lineRule="exact"/>
        <w:rPr>
          <w:sz w:val="20"/>
          <w:szCs w:val="20"/>
          <w:color w:val="auto"/>
        </w:rPr>
      </w:pPr>
    </w:p>
    <w:p>
      <w:pPr>
        <w:ind w:left="820" w:right="280" w:hanging="81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granted in 2017 are presented at the stated target, which represents the base number of shares that could be earned. Actual shares earned may be below or, for certain grants, above the target based on the achievement of specific financial goals.</w:t>
      </w:r>
    </w:p>
    <w:p>
      <w:pPr>
        <w:spacing w:after="0" w:line="116" w:lineRule="exact"/>
        <w:rPr>
          <w:rFonts w:ascii="Arial" w:cs="Arial" w:eastAsia="Arial" w:hAnsi="Arial"/>
          <w:sz w:val="18"/>
          <w:szCs w:val="18"/>
          <w:color w:val="auto"/>
        </w:rPr>
      </w:pPr>
    </w:p>
    <w:p>
      <w:pPr>
        <w:ind w:left="820" w:right="820" w:hanging="81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Forfeited shares include shares forfeited as a result of not meeting the performance criteria of the award as well as shares forfeited upon termination.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jc w:val="both"/>
        <w:ind w:left="820" w:right="400" w:hanging="812"/>
        <w:spacing w:after="0" w:line="312"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Of the 353,000 nonvested performance-based shares outstanding as of December 31, 2017, approximately 316,000 shares were unearned and subject to achievement of specific financial goals. Once earned, the awards will be subject to time-based vesting according to the terms of the award. Based on 2017 financial results, approximately 235,000 of the 316,000 unearned shares will be forfeited in the first quarter of 2018.</w:t>
      </w:r>
    </w:p>
    <w:p>
      <w:pPr>
        <w:spacing w:after="0" w:line="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2017, 2016, and 2015 was $3.6 million, $3.0 million, and $6.5 million, respectively. The weighted average grant date fair value per share of performance-based stock granted during 2016 and 2015 was $55.52 and $66.63,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Prior to 2014, the Company granted stock option awards to certain named executive officers. No stock option awards were granted in 2017, 2016, or 2015. The exercise prices of stock options are equal to the fair value of a share of common stock on the date of grant. Subject to acceleration under certain conditions, our stock options vest annually over four years. All stock options have a 10-year contractual term.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w w:val="97"/>
              </w:rPr>
              <w:t>Stock option activity for the year ended December 31, 2017 was as follows: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Number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Options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 dollars)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millions)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Outstanding at December 31, 2017 </w:t>
            </w:r>
            <w:r>
              <w:rPr>
                <w:rFonts w:ascii="Arial" w:cs="Arial" w:eastAsia="Arial" w:hAnsi="Arial"/>
                <w:sz w:val="21"/>
                <w:szCs w:val="21"/>
                <w:color w:val="auto"/>
                <w:vertAlign w:val="superscript"/>
              </w:rPr>
              <w:t>(1)</w:t>
            </w:r>
          </w:p>
        </w:tc>
        <w:tc>
          <w:tcPr>
            <w:tcW w:w="11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2017</w:t>
            </w: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194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820" w:right="160" w:hanging="812"/>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the 194,000 outstanding options, approximately 157,000 were granted under the 2004 Omnibus Stock Plan, and the remaining 37,000 options were granted under the 2012 Omnibus Incentive Plan.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No options were exercised in 2017. The aggregate intrinsic value of options exercised during 2016 was $0.1 million. No options were exercised in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7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December 22, 2017, the President of the United States signed into law the Tax Cuts and Jobs Act (“2017 Tax Reform”), a tax reform bill which, among other items, reduces the current corporate federal income tax rate from 35% to 21% and moves from a worldwide tax system to a territorial system. The rate reduction is effective January 1, 2018. As a result of the enactment of the legislation in 2017, we have estimated the remeasurement of our net deferred taxes based on the new lower tax rate, as well as provided for additional one-time income tax expense estimates primarily related to the transition tax on accumulated foreign earnings and elimination of foreign tax credits for dividends that are subject to the 100 percent exemption in our consolidated financial statements as of and for the year ended December 31, 2017. Our provisional analysis resulted in $8.8 million of additional income tax expense for the year ended December 31, 2017. Of the $8.8 million, $7.9 million related to the remeasurement of our deferred tax balances at the lower federal income tax rate; $0.6 million related to the transition tax on accumulated foreign earnings, net of applicable foreign tax credits; and $0.3 million related to withholding tax on outside basis differences due to our change in assertion for permanent reinvestment. The impacts on our financial statements as a result of 2017 Tax Reform are considered provisional and are based on the information that is currently available. These provisional results may be subject to future adjustments as additional analysis is anticipated based on technical corrections and regulatory interpretations to come. We expect to finalize the analysis as soon as practicable, but, in accordance with Staff Accounting Bulletin (“SAB”) No. 118, which was issued as a result of 2017 Tax Reform, not later than one year from the enactment date. Any changes to our provisional analysis will be included as an adjustment to tax expense or benefit in the period the amounts are determined.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for continuing operations for the years ended December 31, 2017, 2016, and 2015 consists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15,726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14,134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for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21,670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The components of income from continuing operations before taxes were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30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85,164</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Foreign</w:t>
            </w:r>
          </w:p>
        </w:tc>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27"/>
        </w:trPr>
        <w:tc>
          <w:tcPr>
            <w:tcW w:w="30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83,565</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060" w:type="dxa"/>
            <w:vAlign w:val="bottom"/>
          </w:tcPr>
          <w:p>
            <w:pPr>
              <w:spacing w:after="0"/>
              <w:rPr>
                <w:sz w:val="24"/>
                <w:szCs w:val="24"/>
                <w:color w:val="auto"/>
              </w:rPr>
            </w:pPr>
          </w:p>
        </w:tc>
        <w:tc>
          <w:tcPr>
            <w:tcW w:w="3700" w:type="dxa"/>
            <w:vAlign w:val="bottom"/>
            <w:gridSpan w:val="2"/>
          </w:tcPr>
          <w:p>
            <w:pPr>
              <w:jc w:val="right"/>
              <w:ind w:right="860"/>
              <w:spacing w:after="0"/>
              <w:rPr>
                <w:sz w:val="20"/>
                <w:szCs w:val="20"/>
                <w:color w:val="auto"/>
              </w:rPr>
            </w:pPr>
            <w:r>
              <w:rPr>
                <w:rFonts w:ascii="Arial" w:cs="Arial" w:eastAsia="Arial" w:hAnsi="Arial"/>
                <w:sz w:val="18"/>
                <w:szCs w:val="18"/>
                <w:color w:val="auto"/>
              </w:rPr>
              <w:t>F-40</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our effective tax rate for continuing operations is as follows:</w:t>
      </w:r>
    </w:p>
    <w:p>
      <w:pPr>
        <w:spacing w:after="0" w:line="329"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34290</wp:posOffset>
            </wp:positionV>
            <wp:extent cx="3302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ind w:left="6840"/>
              <w:spacing w:after="0"/>
              <w:rPr>
                <w:sz w:val="20"/>
                <w:szCs w:val="20"/>
                <w:color w:val="auto"/>
              </w:rPr>
            </w:pPr>
            <w:r>
              <w:rPr>
                <w:rFonts w:ascii="Arial" w:cs="Arial" w:eastAsia="Arial" w:hAnsi="Arial"/>
                <w:sz w:val="18"/>
                <w:szCs w:val="18"/>
                <w:b w:val="1"/>
                <w:bCs w:val="1"/>
                <w:color w:val="auto"/>
                <w:w w:val="89"/>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6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of pretax income from continuing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At U.S. statutory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benefit</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Goodwill impairment charges</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3"/>
              </w:rPr>
              <w:t>(10.2)</w:t>
            </w:r>
          </w:p>
        </w:tc>
        <w:tc>
          <w:tcPr>
            <w:tcW w:w="10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federal rate change</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Transition tax on accumulated foreign earnings, net of credits</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Meals and entertainment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Foreign source income</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7"/>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 credits / Section 199 Deduction</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70"/>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 xml:space="preserve">Net tax benefit related to “check-the-box” election </w:t>
            </w:r>
            <w:r>
              <w:rPr>
                <w:rFonts w:ascii="Arial" w:cs="Arial" w:eastAsia="Arial" w:hAnsi="Arial"/>
                <w:sz w:val="21"/>
                <w:szCs w:val="21"/>
                <w:color w:val="auto"/>
                <w:vertAlign w:val="superscript"/>
              </w:rPr>
              <w:t>(1)</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(14.7)</w:t>
            </w:r>
          </w:p>
        </w:tc>
      </w:tr>
      <w:tr>
        <w:trPr>
          <w:trHeight w:val="27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r>
      <w:tr>
        <w:trPr>
          <w:trHeight w:val="237"/>
        </w:trPr>
        <w:tc>
          <w:tcPr>
            <w:tcW w:w="6200" w:type="dxa"/>
            <w:vAlign w:val="bottom"/>
          </w:tcPr>
          <w:p>
            <w:pPr>
              <w:ind w:left="720"/>
              <w:spacing w:after="0"/>
              <w:rPr>
                <w:sz w:val="20"/>
                <w:szCs w:val="20"/>
                <w:color w:val="auto"/>
              </w:rPr>
            </w:pPr>
            <w:r>
              <w:rPr>
                <w:rFonts w:ascii="Arial" w:cs="Arial" w:eastAsia="Arial" w:hAnsi="Arial"/>
                <w:sz w:val="18"/>
                <w:szCs w:val="18"/>
                <w:color w:val="auto"/>
              </w:rPr>
              <w:t>Effective income tax rate for continuing operations</w:t>
            </w: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25.9 %</w:t>
            </w:r>
          </w:p>
        </w:tc>
      </w:tr>
      <w:tr>
        <w:trPr>
          <w:trHeight w:val="27"/>
        </w:trPr>
        <w:tc>
          <w:tcPr>
            <w:tcW w:w="6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820" w:hanging="812"/>
        <w:spacing w:after="0" w:line="255"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fourth quarter of 2015, we made a tax election to classify two of our wholly-owned foreign subsidiaries as disregarded entities for U.S. federal income tax purposes (commonly referred to as a “check-the-box” election). As a result of this election, we realized an income tax benefit of $13.0 million, of which $0.7 million is unrecognized, resulting in a net recognized tax benefit of $12.3 million. Due to the expiration of statute of limitations, in the third quarter of 2017, we recognized a $2.7 million tax benefit, including the reversal of accrued interest and penalties, related to a previously unrecognized tax benefit from our "check-the-box" election made in 2014 to treat one of our wholly-owned foreign subsidiaries as a disregarded entity for U.S federal income tax purposes.</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effective tax rate for discontinued operations in 2017 was 60.0%, based on tax expense of $0.6 million and pretax income from discontinued operations of $1.0 million, and was higher than the statutory tax rate primarily due to the settlement of foreign tax audits. The effective tax rate for discontinued operations in 2016 was (33.4)%, based on tax benefits of $0.9 million and a pretax loss from discontinued operations of $2.8 million, and was lower than the statutory tax rate primarily due to an increase in the valuation allowance for foreign tax credits. The effective tax rate for discontinued operations in 2015 was 169.0%, based on tax expense of $1.8 million and a pretax loss from discontinued operations of $1.1 million, and was higher than the statutory tax rate primarily due to the tax expense recognized from the sale of the Huron Legal segment. Refer to Note 3 "Discontinued Operations" for further detail on the sale of the Huron Legal segment.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liabilities for continuing operations at December 31, 2017 and 2016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10,151</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other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10,004</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Intangibles and goodwill</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lease incentives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4,666</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Convertible note hedge transactions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12,197</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recognition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1,983</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Restructuring charge liability</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2,230</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Tax credits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1,804</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1,934</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25,408</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45,061</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Valuation allowance</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Net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24,161</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44,435</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Intangibles and goodwill</w:t>
            </w:r>
          </w:p>
        </w:tc>
        <w:tc>
          <w:tcPr>
            <w:tcW w:w="11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(60,411)</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Convertible note discount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(11,586)</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Convertible debt investment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(2,600)</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(8,506)</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(80,068)</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 (liability) for continuing operations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of December 31, 2017 and 2016, we had valuation allowances of $1.2 million and $0.6 million, respectively, primarily due to uncertainties relating to the ability to utilize deferred tax assets recorded for foreign losses. The increase in valuation allowances in 2017 primarily related to increases of net operating losses in jurisdictions where the net operating loss credits cannot be benefited and valuation allowances recorded on certain tax credits.</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federal and state tax credit carry-forwards of $1.9 million which expire in 2022 and 2019, respectively. We have no federal net operating losses or state net operating loss carry-forwards as of December 31, 2017.</w:t>
      </w:r>
    </w:p>
    <w:p>
      <w:pPr>
        <w:spacing w:after="0" w:line="11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Unrecognized Tax Benefits</w:t>
            </w:r>
          </w:p>
        </w:tc>
      </w:tr>
      <w:tr>
        <w:trPr>
          <w:trHeight w:val="27"/>
        </w:trPr>
        <w:tc>
          <w:tcPr>
            <w:tcW w:w="50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34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w w:val="99"/>
              </w:rPr>
              <w:t>Additions based on tax positions related to the current year</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tcPr>
          <w:p>
            <w:pPr>
              <w:jc w:val="right"/>
              <w:ind w:right="10"/>
              <w:spacing w:after="0"/>
              <w:rPr>
                <w:sz w:val="20"/>
                <w:szCs w:val="20"/>
                <w:color w:val="auto"/>
              </w:rPr>
            </w:pPr>
            <w:r>
              <w:rPr>
                <w:rFonts w:ascii="Arial" w:cs="Arial" w:eastAsia="Arial" w:hAnsi="Arial"/>
                <w:sz w:val="18"/>
                <w:szCs w:val="18"/>
                <w:color w:val="auto"/>
              </w:rPr>
              <w:t>735</w:t>
            </w:r>
          </w:p>
        </w:tc>
      </w:tr>
      <w:tr>
        <w:trPr>
          <w:trHeight w:val="27"/>
        </w:trPr>
        <w:tc>
          <w:tcPr>
            <w:tcW w:w="50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3,223</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w w:val="99"/>
              </w:rPr>
              <w:t>Additions based on tax positions related to the current year</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50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Decrease due to lapse of statute of limitations</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7"/>
        </w:trPr>
        <w:tc>
          <w:tcPr>
            <w:tcW w:w="5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based on tax positions related to the prior year</w:t>
            </w:r>
          </w:p>
        </w:tc>
        <w:tc>
          <w:tcPr>
            <w:tcW w:w="30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30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r>
      <w:tr>
        <w:trPr>
          <w:trHeight w:val="27"/>
        </w:trPr>
        <w:tc>
          <w:tcPr>
            <w:tcW w:w="5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440"/>
        </w:trPr>
        <w:tc>
          <w:tcPr>
            <w:tcW w:w="5080" w:type="dxa"/>
            <w:vAlign w:val="bottom"/>
          </w:tcPr>
          <w:p>
            <w:pPr>
              <w:spacing w:after="0"/>
              <w:rPr>
                <w:sz w:val="24"/>
                <w:szCs w:val="24"/>
                <w:color w:val="auto"/>
              </w:rPr>
            </w:pPr>
          </w:p>
        </w:tc>
        <w:tc>
          <w:tcPr>
            <w:tcW w:w="3400" w:type="dxa"/>
            <w:vAlign w:val="bottom"/>
            <w:gridSpan w:val="2"/>
          </w:tcPr>
          <w:p>
            <w:pPr>
              <w:jc w:val="right"/>
              <w:ind w:right="2490"/>
              <w:spacing w:after="0"/>
              <w:rPr>
                <w:sz w:val="20"/>
                <w:szCs w:val="20"/>
                <w:color w:val="auto"/>
              </w:rPr>
            </w:pPr>
            <w:r>
              <w:rPr>
                <w:rFonts w:ascii="Arial" w:cs="Arial" w:eastAsia="Arial" w:hAnsi="Arial"/>
                <w:sz w:val="18"/>
                <w:szCs w:val="18"/>
                <w:color w:val="auto"/>
              </w:rPr>
              <w:t>F-42</w:t>
            </w:r>
          </w:p>
        </w:tc>
        <w:tc>
          <w:tcPr>
            <w:tcW w:w="2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2017, we had $0.8 million of unrecognized tax benefits which would affect the effective tax rate of continuing operations if recognized.</w:t>
      </w:r>
    </w:p>
    <w:p>
      <w:pPr>
        <w:spacing w:after="0" w:line="1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2017 and 2016, we had $0.1 million and $0.3 million accrued for the potential payment of interest and penalties. Accrued interest and penalties are recorded as a component of provision for income taxes on our consolidated statement of earnings.</w:t>
      </w:r>
    </w:p>
    <w:p>
      <w:pPr>
        <w:spacing w:after="0" w:line="11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file income tax returns with federal, state, local and foreign jurisdictions. Tax years 2013 through 2016 are subject to future examinations by federal tax authorities. Tax years 2010 through 2016 are subject to future examinations by state and local tax authorities. Currently, the Company is not under audit by any tax authority. Our foreign income tax filings are subject to future examinations by the local foreign tax authorities for tax years 2010 through 2016.</w:t>
      </w:r>
    </w:p>
    <w:p>
      <w:pPr>
        <w:spacing w:after="0" w:line="89" w:lineRule="exact"/>
        <w:rPr>
          <w:sz w:val="20"/>
          <w:szCs w:val="20"/>
          <w:color w:val="auto"/>
        </w:rPr>
      </w:pPr>
    </w:p>
    <w:p>
      <w:pPr>
        <w:ind w:right="7620" w:firstLine="8"/>
        <w:spacing w:after="0" w:line="440" w:lineRule="auto"/>
        <w:tabs>
          <w:tab w:leader="none" w:pos="27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lease office space under non-cancelable operating lease arrangements expiring on various dates through 2028, with various renewal options. Our principal executive offices located in Chicago, Illinois are under a lease expiring in September 2024. We have a five-year renewal option that will allow us to continue to occupy this office space until September 2029. Office facilities under operating leases include fixed or minimum payments plus, in some cases, scheduled base rent increases over the term of the lease. Certain leases require monthly payments of real estate taxes, insurance and other operating expenses applicable to the property. Some of the leases contain provisions whereby the future rental payments may be adjusted for increases in operating expenses above the specified amount. Rent expense, including operating costs and taxes, for the years ended December 31, 2017, 2016, and 2015 was $14.3 million, $11.5 million, and $12.3 million, respectively. Future minimum rental commitments under non-cancelable leases and sublease income as of December 31, 2017,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30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Sublease</w:t>
            </w:r>
          </w:p>
        </w:tc>
      </w:t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Obligations</w:t>
            </w:r>
          </w:p>
        </w:tc>
        <w:tc>
          <w:tcPr>
            <w:tcW w:w="30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37,804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Guarantees in the form of letters of credit totaling $1.9 million and $4.8 million were outstanding at December 31, 2017 and 2016, respectively, primarily to support certain office lease obligations.</w:t>
      </w:r>
    </w:p>
    <w:p>
      <w:pPr>
        <w:spacing w:after="0" w:line="116" w:lineRule="exact"/>
        <w:rPr>
          <w:sz w:val="20"/>
          <w:szCs w:val="20"/>
          <w:color w:val="auto"/>
        </w:rPr>
      </w:pPr>
    </w:p>
    <w:p>
      <w:pPr>
        <w:ind w:left="60" w:right="10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2017 and 2016, the total estimated fair value of our contingent consideration liabilities was $22.8 million and $8.8 million, respectively.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Business Advisory.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second quarter of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While our consolidated results have not been impacted, we have reclassified our historical segment information for consistent presentation.</w:t>
      </w:r>
    </w:p>
    <w:p>
      <w:pPr>
        <w:spacing w:after="0" w:line="12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color w:val="auto"/>
        </w:rPr>
      </w:pPr>
    </w:p>
    <w:p>
      <w:pPr>
        <w:ind w:left="660" w:right="40"/>
        <w:spacing w:after="0" w:line="257" w:lineRule="auto"/>
        <w:rPr>
          <w:rFonts w:ascii="Arial" w:cs="Arial" w:eastAsia="Arial" w:hAnsi="Arial"/>
          <w:sz w:val="18"/>
          <w:szCs w:val="18"/>
          <w:color w:val="auto"/>
        </w:rPr>
      </w:pPr>
      <w:r>
        <w:rPr>
          <w:rFonts w:ascii="Arial" w:cs="Arial" w:eastAsia="Arial" w:hAnsi="Arial"/>
          <w:sz w:val="18"/>
          <w:szCs w:val="18"/>
          <w:color w:val="auto"/>
        </w:rPr>
        <w:t>Our Healthcare segment has a depth of expertise in strategy and innovation,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34" w:lineRule="exact"/>
        <w:rPr>
          <w:rFonts w:ascii="Arial" w:cs="Arial" w:eastAsia="Arial" w:hAnsi="Arial"/>
          <w:sz w:val="18"/>
          <w:szCs w:val="18"/>
          <w:color w:val="auto"/>
        </w:rPr>
      </w:pPr>
    </w:p>
    <w:p>
      <w:pPr>
        <w:ind w:left="660" w:right="40"/>
        <w:spacing w:after="0" w:line="297" w:lineRule="auto"/>
        <w:rPr>
          <w:rFonts w:ascii="Arial" w:cs="Arial" w:eastAsia="Arial" w:hAnsi="Arial"/>
          <w:sz w:val="18"/>
          <w:szCs w:val="18"/>
          <w:color w:val="auto"/>
        </w:rPr>
      </w:pPr>
      <w:r>
        <w:rPr>
          <w:rFonts w:ascii="Arial" w:cs="Arial" w:eastAsia="Arial" w:hAnsi="Arial"/>
          <w:sz w:val="16"/>
          <w:szCs w:val="16"/>
          <w:color w:val="auto"/>
        </w:rPr>
        <w:t>We help organizations transform and innovate the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patient experience.</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right="40"/>
        <w:spacing w:after="0" w:line="254" w:lineRule="auto"/>
        <w:rPr>
          <w:rFonts w:ascii="Arial" w:cs="Arial" w:eastAsia="Arial" w:hAnsi="Arial"/>
          <w:sz w:val="18"/>
          <w:szCs w:val="18"/>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215" w:lineRule="exact"/>
        <w:rPr>
          <w:rFonts w:ascii="Arial" w:cs="Arial" w:eastAsia="Arial" w:hAnsi="Arial"/>
          <w:sz w:val="18"/>
          <w:szCs w:val="18"/>
          <w:color w:val="auto"/>
        </w:rPr>
      </w:pPr>
    </w:p>
    <w:p>
      <w:pPr>
        <w:ind w:left="660"/>
        <w:spacing w:after="0" w:line="289" w:lineRule="auto"/>
        <w:rPr>
          <w:rFonts w:ascii="Arial" w:cs="Arial" w:eastAsia="Arial" w:hAnsi="Arial"/>
          <w:sz w:val="18"/>
          <w:szCs w:val="18"/>
          <w:color w:val="auto"/>
        </w:rPr>
      </w:pPr>
      <w:r>
        <w:rPr>
          <w:rFonts w:ascii="Arial" w:cs="Arial" w:eastAsia="Arial" w:hAnsi="Arial"/>
          <w:sz w:val="16"/>
          <w:szCs w:val="16"/>
          <w:color w:val="auto"/>
        </w:rPr>
        <w:t>Our Business Advisory segment provides services to large and middle market,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1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include costs for corporate office support, office facility costs, costs relating to accounting and finance, human resources, legal, marketing, information technology, and company-wide business development functions, as well as costs related to overall corporate management.</w:t>
      </w:r>
    </w:p>
    <w:p>
      <w:pPr>
        <w:spacing w:after="0" w:line="9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tables below set forth information about our operating segments for the years ended December 31, 2017, 2016, and 2015, along with the items necessary to reconcile the segment information to the totals reported in the accompanying consolidated financial statements. We do not present financial information by geographic area because our international operations are immaterial.</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356,909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424,912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446,887</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118,761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147,903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169,560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167,908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149,817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134,009</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40,318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32,246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207,753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151,543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116,892</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31,233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All Other: </w:t>
            </w:r>
            <w:r>
              <w:rPr>
                <w:rFonts w:ascii="Arial" w:cs="Arial" w:eastAsia="Arial" w:hAnsi="Arial"/>
                <w:sz w:val="21"/>
                <w:szCs w:val="21"/>
                <w:b w:val="1"/>
                <w:bCs w:val="1"/>
                <w:color w:val="auto"/>
                <w:vertAlign w:val="superscript"/>
              </w:rPr>
              <w:t>(1)</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1,222</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360" w:type="dxa"/>
            <w:vAlign w:val="bottom"/>
          </w:tcPr>
          <w:p>
            <w:pPr>
              <w:spacing w:after="0"/>
              <w:rPr>
                <w:sz w:val="21"/>
                <w:szCs w:val="21"/>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N/M</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732,570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726,272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699,010</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75,175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71,712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70,013</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807,745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797,984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769,023</w:t>
            </w:r>
          </w:p>
        </w:tc>
      </w:tr>
      <w:tr>
        <w:trPr>
          <w:trHeight w:val="67"/>
        </w:trPr>
        <w:tc>
          <w:tcPr>
            <w:tcW w:w="6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6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205,679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215,595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231,321</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120,718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111,852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112,164</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losses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(9,476)</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38,213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31,499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25,135</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253,093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15,048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19,933</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83,565</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0" w:hanging="652"/>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2015, we wound down the businesses within our All Other operating segment, which consisted of our public sector consulting practice and our foreign consulting operations based in the Middle East. We did not generate any revenues from our All Other segment during 2016 and 2017.</w:t>
      </w:r>
    </w:p>
    <w:p>
      <w:pPr>
        <w:spacing w:after="0" w:line="15" w:lineRule="exact"/>
        <w:rPr>
          <w:rFonts w:ascii="Arial" w:cs="Arial" w:eastAsia="Arial" w:hAnsi="Arial"/>
          <w:sz w:val="16"/>
          <w:szCs w:val="16"/>
          <w:color w:val="auto"/>
        </w:rPr>
      </w:pPr>
    </w:p>
    <w:p>
      <w:pPr>
        <w:ind w:left="660" w:right="740" w:hanging="652"/>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87"/>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Segment Assets: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70,097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84,088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33,094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28,192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29,609</w:t>
            </w:r>
          </w:p>
        </w:tc>
      </w:tr>
      <w:tr>
        <w:trPr>
          <w:trHeight w:val="270"/>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877,247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1,007,696</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1,017,654</w:t>
            </w:r>
          </w:p>
        </w:tc>
      </w:tr>
      <w:tr>
        <w:trPr>
          <w:trHeight w:val="269"/>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1,036,928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1,153,215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1,159,543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14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Unallocated assets includes goodwill and intangible assets and our convertible debt investment, as management does not evaluate these items at the segment level when assessing segment performance or allocating resources. Refer to Note 5 “Goodwill and Intangible Assets" and Note 12 "Fair Value of Financial Instruments" for further information on these assets.</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2017, 2016, and 2015, substantially all of our revenues and long-lived assets were attributed to or located in the United States.</w:t>
      </w:r>
    </w:p>
    <w:p>
      <w:pPr>
        <w:spacing w:after="0" w:line="1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At December 31, 2017 and 2016, no single client accounted for greater than 10% of our combined receivables and unbilled services balances. During the years ended December 31, 2017, 2016, and 2015, no single client generated greater than 10% of our consolidated revenues.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Valuation and Qualifying Accounts</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sets forth the changes in the carrying amount of our allowances for doubtful accounts and unbilled services and valuation allowance for deferred tax assets for the years ended December 31, 2017, 2016, and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Beginning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Ending</w:t>
            </w:r>
          </w:p>
        </w:tc>
      </w:tr>
      <w:tr>
        <w:trPr>
          <w:trHeight w:val="261"/>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21"/>
                <w:szCs w:val="21"/>
                <w:b w:val="1"/>
                <w:bCs w:val="1"/>
                <w:color w:val="auto"/>
                <w:vertAlign w:val="superscript"/>
              </w:rPr>
              <w:t>(1)</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balance</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16,886</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48,901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44,528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21,259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21,259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1,247</w:t>
            </w:r>
          </w:p>
        </w:tc>
      </w:tr>
    </w:tbl>
    <w:p>
      <w:pPr>
        <w:spacing w:after="0" w:line="175" w:lineRule="exact"/>
        <w:rPr>
          <w:sz w:val="20"/>
          <w:szCs w:val="20"/>
          <w:color w:val="auto"/>
        </w:rPr>
      </w:pPr>
    </w:p>
    <w:p>
      <w:pPr>
        <w:ind w:left="820" w:right="180" w:hanging="812"/>
        <w:spacing w:after="0" w:line="259"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receivables, the provision is charged to operating expenses. Additions also include allowances acquired in business acquisitions, which were not material in any period presented.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20. Selected Quarterly Financial Data (Unaudited)</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4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2017</w:t>
            </w:r>
          </w:p>
        </w:tc>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17"/>
                <w:szCs w:val="17"/>
                <w:color w:val="auto"/>
              </w:rPr>
            </w:pPr>
          </w:p>
        </w:tc>
        <w:tc>
          <w:tcPr>
            <w:tcW w:w="11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Sep. 30</w:t>
            </w:r>
          </w:p>
        </w:tc>
        <w:tc>
          <w:tcPr>
            <w:tcW w:w="24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185,927</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19,313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205,240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70,203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64,981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71,540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(27,128)</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(29,310)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(29,612)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per diluted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used in calculating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21,505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21,515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21,474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21,515</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2016</w:t>
            </w:r>
          </w:p>
        </w:tc>
        <w:tc>
          <w:tcPr>
            <w:tcW w:w="4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17"/>
                <w:szCs w:val="17"/>
                <w:color w:val="auto"/>
              </w:rPr>
            </w:pPr>
          </w:p>
        </w:tc>
        <w:tc>
          <w:tcPr>
            <w:tcW w:w="11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Sep. 30</w:t>
            </w:r>
          </w:p>
        </w:tc>
        <w:tc>
          <w:tcPr>
            <w:tcW w:w="24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468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178,124</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17,076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195,200</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60,090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8,409</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4,187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4,154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diluted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Weighted average shares used in calculating earnings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21,076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21,083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21,473</w:t>
            </w:r>
          </w:p>
        </w:tc>
      </w:tr>
      <w:tr>
        <w:trPr>
          <w:trHeight w:val="459"/>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F-47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(as of December 31, 2017)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Name</w:t>
            </w: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7"/>
        </w:trPr>
        <w:tc>
          <w:tcPr>
            <w:tcW w:w="45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Consulting Group Holdings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Huron Consulting Services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Huron Consulting South East Asia PTE. LTD.</w:t>
            </w:r>
          </w:p>
        </w:tc>
        <w:tc>
          <w:tcPr>
            <w:tcW w:w="4620" w:type="dxa"/>
            <w:vAlign w:val="bottom"/>
          </w:tcPr>
          <w:p>
            <w:pPr>
              <w:jc w:val="center"/>
              <w:spacing w:after="0"/>
              <w:rPr>
                <w:sz w:val="20"/>
                <w:szCs w:val="20"/>
                <w:color w:val="auto"/>
              </w:rPr>
            </w:pPr>
            <w:r>
              <w:rPr>
                <w:rFonts w:ascii="Arial" w:cs="Arial" w:eastAsia="Arial" w:hAnsi="Arial"/>
                <w:sz w:val="18"/>
                <w:szCs w:val="18"/>
                <w:color w:val="auto"/>
                <w:w w:val="90"/>
              </w:rPr>
              <w:t>Singapore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Huron Solutions FZ-LLC</w:t>
            </w:r>
          </w:p>
        </w:tc>
        <w:tc>
          <w:tcPr>
            <w:tcW w:w="4620" w:type="dxa"/>
            <w:vAlign w:val="bottom"/>
          </w:tcPr>
          <w:p>
            <w:pPr>
              <w:jc w:val="center"/>
              <w:spacing w:after="0"/>
              <w:rPr>
                <w:sz w:val="20"/>
                <w:szCs w:val="20"/>
                <w:color w:val="auto"/>
              </w:rPr>
            </w:pPr>
            <w:r>
              <w:rPr>
                <w:rFonts w:ascii="Arial" w:cs="Arial" w:eastAsia="Arial" w:hAnsi="Arial"/>
                <w:sz w:val="18"/>
                <w:szCs w:val="18"/>
                <w:color w:val="auto"/>
                <w:w w:val="93"/>
              </w:rPr>
              <w:t>United Arab Emirates—Dubai</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Consulting Saudi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1"/>
              </w:rPr>
              <w:t>Saudi Arabia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Saudi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1"/>
              </w:rPr>
              <w:t>Saudi Arabia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Huron Management Services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Huron Demand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Conseillers Huron Canada Limitée</w:t>
            </w:r>
          </w:p>
        </w:tc>
        <w:tc>
          <w:tcPr>
            <w:tcW w:w="462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Huron Technologies Inc.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Transaction Advisory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Studer Holdings, Inc.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The Studer Group,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Eurasia India Private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Pope Woodhead and Associates</w:t>
            </w:r>
          </w:p>
        </w:tc>
        <w:tc>
          <w:tcPr>
            <w:tcW w:w="4620" w:type="dxa"/>
            <w:vAlign w:val="bottom"/>
          </w:tcPr>
          <w:p>
            <w:pPr>
              <w:jc w:val="center"/>
              <w:spacing w:after="0"/>
              <w:rPr>
                <w:sz w:val="20"/>
                <w:szCs w:val="20"/>
                <w:color w:val="auto"/>
              </w:rPr>
            </w:pPr>
            <w:r>
              <w:rPr>
                <w:rFonts w:ascii="Arial" w:cs="Arial" w:eastAsia="Arial" w:hAnsi="Arial"/>
                <w:sz w:val="18"/>
                <w:szCs w:val="18"/>
                <w:color w:val="auto"/>
                <w:w w:val="88"/>
              </w:rPr>
              <w:t>England and Wales</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Innosight Holdings,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Innosight International,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Innosight Consulting Asia Pacific PTE. LTD.</w:t>
            </w:r>
          </w:p>
        </w:tc>
        <w:tc>
          <w:tcPr>
            <w:tcW w:w="4620" w:type="dxa"/>
            <w:vAlign w:val="bottom"/>
          </w:tcPr>
          <w:p>
            <w:pPr>
              <w:jc w:val="center"/>
              <w:spacing w:after="0"/>
              <w:rPr>
                <w:sz w:val="20"/>
                <w:szCs w:val="20"/>
                <w:color w:val="auto"/>
              </w:rPr>
            </w:pPr>
            <w:r>
              <w:rPr>
                <w:rFonts w:ascii="Arial" w:cs="Arial" w:eastAsia="Arial" w:hAnsi="Arial"/>
                <w:sz w:val="18"/>
                <w:szCs w:val="18"/>
                <w:color w:val="auto"/>
                <w:w w:val="90"/>
              </w:rPr>
              <w:t>Singapore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Innosight Consulting SARL</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Innosight Consulting,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Huron Aviation One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6"/>
              </w:rPr>
              <w:t>Huron Aviation Two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520"/>
          </w:cols>
          <w:pgMar w:left="11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333-119697, 333-137107, 333-166542, 333-181445, 333-196397, 333-204353, and 333-218108) of Huron Consulting Group Inc. of our report dated February 28, 2018 relating to the financial statements and the effectiveness of internal control over financial reporting, which appears in this Form 10-K.</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30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30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In connection with the Annual Report of Huron Consulting Group Inc. (the “Company”) on Form 10-K for the year ended December 31, 2017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30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In connection with the Annual Report of Huron Consulting Group Inc. (the “Company”) on Form 10-K for the year ended December 31, 2017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30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lowerRoman"/>
      <w:start w:val="2"/>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lowerRoman"/>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2"/>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lowerRoman"/>
      <w:start w:val="2"/>
    </w:lvl>
  </w:abstractNum>
  <w:abstractNum w:abstractNumId="30">
    <w:nsid w:val="5E884ADC"/>
    <w:multiLevelType w:val="hybridMultilevel"/>
    <w:lvl w:ilvl="0">
      <w:lvlJc w:val="left"/>
      <w:lvlText w:val="%1."/>
      <w:numFmt w:val="decimal"/>
      <w:start w:val="8"/>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3"/>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7"/>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49" Type="http://schemas.openxmlformats.org/officeDocument/2006/relationships/image" Target="media/image5.png"/><Relationship Id="rId50" Type="http://schemas.openxmlformats.org/officeDocument/2006/relationships/image" Target="media/image6.png"/><Relationship Id="rId51" Type="http://schemas.openxmlformats.org/officeDocument/2006/relationships/image" Target="media/image7.png"/><Relationship Id="rId52" Type="http://schemas.openxmlformats.org/officeDocument/2006/relationships/image" Target="media/image8.png"/><Relationship Id="rId53" Type="http://schemas.openxmlformats.org/officeDocument/2006/relationships/image" Target="media/image9.png"/><Relationship Id="rId54" Type="http://schemas.openxmlformats.org/officeDocument/2006/relationships/image" Target="media/image10.png"/><Relationship Id="rId55" Type="http://schemas.openxmlformats.org/officeDocument/2006/relationships/image" Target="media/image11.png"/><Relationship Id="rId56" Type="http://schemas.openxmlformats.org/officeDocument/2006/relationships/image" Target="media/image12.png"/><Relationship Id="rId57" Type="http://schemas.openxmlformats.org/officeDocument/2006/relationships/image" Target="media/image13.png"/><Relationship Id="rId58" Type="http://schemas.openxmlformats.org/officeDocument/2006/relationships/image" Target="media/image14.png"/><Relationship Id="rId59" Type="http://schemas.openxmlformats.org/officeDocument/2006/relationships/image" Target="media/image15.png"/><Relationship Id="rId60" Type="http://schemas.openxmlformats.org/officeDocument/2006/relationships/image" Target="media/image16.png"/><Relationship Id="rId12" Type="http://schemas.openxmlformats.org/officeDocument/2006/relationships/hyperlink" Target="http://www.sec.gov/Archives/edgar/data/1289848/000128984816000022/exhibit21-purchaseagreement.htm" TargetMode="External"/><Relationship Id="rId13" Type="http://schemas.openxmlformats.org/officeDocument/2006/relationships/hyperlink" Target="http://www.sec.gov/Archives/edgar/data/1289848/000119312505031189/dex31.htm" TargetMode="External"/><Relationship Id="rId14" Type="http://schemas.openxmlformats.org/officeDocument/2006/relationships/hyperlink" Target="http://www.sec.gov/Archives/edgar/data/1289848/000128984815000017/hurn10262015exh31.htm" TargetMode="External"/><Relationship Id="rId15" Type="http://schemas.openxmlformats.org/officeDocument/2006/relationships/hyperlink" Target="http://www.sec.gov/Archives/edgar/data/1289848/000119312504139238/dex41.htm" TargetMode="External"/><Relationship Id="rId16" Type="http://schemas.openxmlformats.org/officeDocument/2006/relationships/hyperlink" Target="http://www.sec.gov/Archives/edgar/data/1289848/000119312514342969/d789205dex41.htm" TargetMode="External"/><Relationship Id="rId17" Type="http://schemas.openxmlformats.org/officeDocument/2006/relationships/hyperlink" Target="http://www.sec.gov/Archives/edgar/data/1289848/000094018004000001/dex101.htm" TargetMode="External"/><Relationship Id="rId18" Type="http://schemas.openxmlformats.org/officeDocument/2006/relationships/hyperlink" Target="http://www.sec.gov/Archives/edgar/data/1289848/000095012310044504/c57982exv10w1.htm" TargetMode="External"/><Relationship Id="rId19" Type="http://schemas.openxmlformats.org/officeDocument/2006/relationships/hyperlink" Target="http://www.sec.gov/Archives/edgar/data/1289848/000119312509036340/dex1012.htm" TargetMode="External"/><Relationship Id="rId20" Type="http://schemas.openxmlformats.org/officeDocument/2006/relationships/hyperlink" Target="http://www.sec.gov/Archives/edgar/data/1289848/000128984817000003/exh101sma-kelly.htm" TargetMode="External"/><Relationship Id="rId21" Type="http://schemas.openxmlformats.org/officeDocument/2006/relationships/hyperlink" Target="http://www.sec.gov/Archives/edgar/data/1289848/000128984817000003/exh102sma-roth.htm" TargetMode="External"/><Relationship Id="rId22" Type="http://schemas.openxmlformats.org/officeDocument/2006/relationships/hyperlink" Target="http://www.sec.gov/Archives/edgar/data/1289848/000128984817000003/exh103sma-hussey.htm" TargetMode="External"/><Relationship Id="rId23" Type="http://schemas.openxmlformats.org/officeDocument/2006/relationships/hyperlink" Target="http://www.sec.gov/Archives/edgar/data/1289848/000128984817000003/exh104sma-ratekin.htm" TargetMode="External"/><Relationship Id="rId24" Type="http://schemas.openxmlformats.org/officeDocument/2006/relationships/hyperlink" Target="http://www.sec.gov/Archives/edgar/data/1289848/000119312513069461/d444342dex1017.htm" TargetMode="External"/><Relationship Id="rId25" Type="http://schemas.openxmlformats.org/officeDocument/2006/relationships/hyperlink" Target="http://www.sec.gov/Archives/edgar/data/1289848/000119312513069461/d444342dex1018.htm" TargetMode="External"/><Relationship Id="rId26" Type="http://schemas.openxmlformats.org/officeDocument/2006/relationships/hyperlink" Target="http://www.sec.gov/Archives/edgar/data/1289848/000119312513069461/d444342dex1019.htm" TargetMode="External"/><Relationship Id="rId27" Type="http://schemas.openxmlformats.org/officeDocument/2006/relationships/hyperlink" Target="http://www.sec.gov/Archives/edgar/data/1289848/000119312513003657/d461972dex101.htm" TargetMode="External"/><Relationship Id="rId28" Type="http://schemas.openxmlformats.org/officeDocument/2006/relationships/hyperlink" Target="http://www.sec.gov/Archives/edgar/data/1289848/000119312513069461/d444342dex1020.htm" TargetMode="External"/><Relationship Id="rId29" Type="http://schemas.openxmlformats.org/officeDocument/2006/relationships/hyperlink" Target="http://www.sec.gov/Archives/edgar/data/1289848/000119312514333933/d783249dex101.htm" TargetMode="External"/><Relationship Id="rId30" Type="http://schemas.openxmlformats.org/officeDocument/2006/relationships/hyperlink" Target="http://www.sec.gov/Archives/edgar/data/1289848/000119312514333933/d783249dex102.htm" TargetMode="External"/><Relationship Id="rId31" Type="http://schemas.openxmlformats.org/officeDocument/2006/relationships/hyperlink" Target="http://www.sec.gov/Archives/edgar/data/1289848/000119312514333933/d783249dex103.htm" TargetMode="External"/><Relationship Id="rId32" Type="http://schemas.openxmlformats.org/officeDocument/2006/relationships/hyperlink" Target="http://www.sec.gov/Archives/edgar/data/1289848/000119312514333933/d783249dex104.htm" TargetMode="External"/><Relationship Id="rId33" Type="http://schemas.openxmlformats.org/officeDocument/2006/relationships/hyperlink" Target="http://www.sec.gov/Archives/edgar/data/1289848/000119312514333933/d783249dex105.htm" TargetMode="External"/><Relationship Id="rId34" Type="http://schemas.openxmlformats.org/officeDocument/2006/relationships/hyperlink" Target="http://www.sec.gov/Archives/edgar/data/1289848/000119312514342969/d789205dex101.htm" TargetMode="External"/><Relationship Id="rId35" Type="http://schemas.openxmlformats.org/officeDocument/2006/relationships/hyperlink" Target="http://www.sec.gov/Archives/edgar/data/1289848/000119312514342969/d789205dex102.htm" TargetMode="External"/><Relationship Id="rId36" Type="http://schemas.openxmlformats.org/officeDocument/2006/relationships/hyperlink" Target="http://www.sec.gov/Archives/edgar/data/1289848/000119312514342969/d789205dex103.htm" TargetMode="External"/><Relationship Id="rId37" Type="http://schemas.openxmlformats.org/officeDocument/2006/relationships/hyperlink" Target="http://www.sec.gov/Archives/edgar/data/1289848/000119312514342969/d789205dex104.htm" TargetMode="External"/><Relationship Id="rId38" Type="http://schemas.openxmlformats.org/officeDocument/2006/relationships/hyperlink" Target="http://www.sec.gov/Archives/edgar/data/1289848/000119312515060049/d836724dex1031.htm" TargetMode="External"/><Relationship Id="rId39" Type="http://schemas.openxmlformats.org/officeDocument/2006/relationships/hyperlink" Target="http://www.sec.gov/Archives/edgar/data/1289848/000119312515060049/d836724dex1032.htm" TargetMode="External"/><Relationship Id="rId40" Type="http://schemas.openxmlformats.org/officeDocument/2006/relationships/hyperlink" Target="http://www.sec.gov/Archives/edgar/data/1289848/000119312515060049/d836724dex1033.htm" TargetMode="External"/><Relationship Id="rId41" Type="http://schemas.openxmlformats.org/officeDocument/2006/relationships/hyperlink" Target="http://www.sec.gov/Archives/edgar/data/1289848/000119312515060049/d836724dex1034.htm" TargetMode="External"/><Relationship Id="rId42" Type="http://schemas.openxmlformats.org/officeDocument/2006/relationships/hyperlink" Target="http://www.sec.gov/Archives/edgar/data/1289848/000119312515117552/d901811dex101.htm" TargetMode="External"/><Relationship Id="rId43" Type="http://schemas.openxmlformats.org/officeDocument/2006/relationships/hyperlink" Target="http://www.sec.gov/Archives/edgar/data/1289848/000119312515117552/d901811dex102.htm" TargetMode="External"/><Relationship Id="rId44" Type="http://schemas.openxmlformats.org/officeDocument/2006/relationships/hyperlink" Target="http://www.sec.gov/Archives/edgar/data/1289848/000119312515117552/d901811dex103.htm" TargetMode="External"/><Relationship Id="rId45" Type="http://schemas.openxmlformats.org/officeDocument/2006/relationships/hyperlink" Target="http://www.sec.gov/Archives/edgar/data/1289848/000119312515099800/d889462ddef14a.htm#tx889462_34" TargetMode="External"/><Relationship Id="rId46" Type="http://schemas.openxmlformats.org/officeDocument/2006/relationships/hyperlink" Target="http://www.sec.gov/Archives/edgar/data/1289848/000119312517097192/d341022ddef14a.htm" TargetMode="External"/><Relationship Id="rId47" Type="http://schemas.openxmlformats.org/officeDocument/2006/relationships/hyperlink" Target="http://www.sec.gov/Archives/edgar/data/1289848/000128984817000017/a8-kcreditagreementamendme.htm" TargetMode="External"/><Relationship Id="rId48" Type="http://schemas.openxmlformats.org/officeDocument/2006/relationships/hyperlink" Target="http://www.sec.gov/Archives/edgar/data/1289848/000128984817000051/exhibit101-amendmentno2to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2019-12-29T00:43:33Z</dcterms:created>
  <dcterms:modified xsi:type="dcterms:W3CDTF">2019-12-29T00:43:33Z</dcterms:modified>
</cp:coreProperties>
</file>