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Arial Narrow;sans-serif" w:hAnsi="Arial Narrow;sans-serif"/>
          <w:b w:val="false"/>
          <w:color w:val="000000"/>
          <w:sz w:val="24"/>
        </w:rPr>
      </w:pPr>
      <w:r>
        <w:rPr>
          <w:rFonts w:ascii="Arial Narrow;sans-serif" w:hAnsi="Arial Narrow;sans-serif"/>
          <w:b w:val="false"/>
          <w:color w:val="000000"/>
          <w:sz w:val="24"/>
        </w:rPr>
        <w:t>UNITED STATES SECURITIES AND EXCHANGE COMMISSION</w:t>
      </w:r>
    </w:p>
    <w:p>
      <w:pPr>
        <w:pStyle w:val="TextBody"/>
        <w:bidi w:val="0"/>
        <w:spacing w:lineRule="auto" w:line="288" w:before="0" w:after="40"/>
        <w:jc w:val="center"/>
        <w:rPr>
          <w:rFonts w:ascii="Arial Narrow;sans-serif" w:hAnsi="Arial Narrow;sans-serif"/>
          <w:b w:val="false"/>
          <w:color w:val="000000"/>
          <w:sz w:val="24"/>
        </w:rPr>
      </w:pPr>
      <w:r>
        <w:rPr>
          <w:rFonts w:ascii="Arial Narrow;sans-serif" w:hAnsi="Arial Narrow;sans-serif"/>
          <w:b w:val="false"/>
          <w:color w:val="000000"/>
          <w:sz w:val="24"/>
        </w:rPr>
        <w:t>Washington, D.C. 20549</w:t>
      </w:r>
    </w:p>
    <w:p>
      <w:pPr>
        <w:pStyle w:val="TextBody"/>
        <w:bidi w:val="0"/>
        <w:spacing w:lineRule="auto" w:line="288" w:before="0" w:after="40"/>
        <w:jc w:val="center"/>
        <w:rPr/>
      </w:pPr>
      <w:r>
        <w:rPr>
          <w:rFonts w:ascii="Arial Narrow;sans-serif" w:hAnsi="Arial Narrow;sans-serif"/>
          <w:b w:val="false"/>
          <w:color w:val="000000"/>
          <w:sz w:val="28"/>
        </w:rPr>
        <w:t>FORM 10-K</w:t>
      </w:r>
      <w:r>
        <w:rPr>
          <w:color w:val="000000"/>
        </w:rPr>
        <w:t> </w:t>
      </w:r>
    </w:p>
    <w:p>
      <w:pPr>
        <w:pStyle w:val="TextBody"/>
        <w:bidi w:val="0"/>
        <w:spacing w:lineRule="auto" w:line="288" w:before="0" w:after="40"/>
        <w:jc w:val="left"/>
        <w:rPr>
          <w:color w:val="000000"/>
        </w:rPr>
      </w:pPr>
      <w:r>
        <w:rPr>
          <w:color w:val="000000"/>
        </w:rPr>
        <w:t>    </w:t>
      </w:r>
      <w:r>
        <w:rPr>
          <w:rFonts w:ascii="Arial Narrow;sans-serif" w:hAnsi="Arial Narrow;sans-serif"/>
          <w:b w:val="false"/>
          <w:color w:val="000000"/>
          <w:sz w:val="20"/>
        </w:rPr>
        <w:t>(Mark One)</w:t>
      </w:r>
    </w:p>
    <w:tbl>
      <w:tblPr>
        <w:tblW w:w="9536" w:type="dxa"/>
        <w:jc w:val="center"/>
        <w:tblInd w:w="0" w:type="dxa"/>
        <w:tblLayout w:type="fixed"/>
        <w:tblCellMar>
          <w:top w:w="28" w:type="dxa"/>
          <w:left w:w="28" w:type="dxa"/>
          <w:bottom w:w="28" w:type="dxa"/>
          <w:right w:w="28" w:type="dxa"/>
        </w:tblCellMar>
      </w:tblPr>
      <w:tblGrid>
        <w:gridCol w:w="124"/>
        <w:gridCol w:w="109"/>
        <w:gridCol w:w="109"/>
        <w:gridCol w:w="2693"/>
        <w:gridCol w:w="2693"/>
        <w:gridCol w:w="3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ANNUAL REPORT PURSUANT TO SECTION 13 OR 15(d) OF THE SECURITIES EXCHANGE ACT OF 1934</w:t>
            </w:r>
          </w:p>
        </w:tc>
      </w:tr>
    </w:tbl>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 xml:space="preserve">For the fiscal year ended December 31, 2023 </w:t>
      </w:r>
    </w:p>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OR</w:t>
      </w:r>
    </w:p>
    <w:tbl>
      <w:tblPr>
        <w:tblW w:w="9911" w:type="dxa"/>
        <w:jc w:val="center"/>
        <w:tblInd w:w="0" w:type="dxa"/>
        <w:tblLayout w:type="fixed"/>
        <w:tblCellMar>
          <w:top w:w="28" w:type="dxa"/>
          <w:left w:w="28" w:type="dxa"/>
          <w:bottom w:w="28" w:type="dxa"/>
          <w:right w:w="28" w:type="dxa"/>
        </w:tblCellMar>
      </w:tblPr>
      <w:tblGrid>
        <w:gridCol w:w="124"/>
        <w:gridCol w:w="109"/>
        <w:gridCol w:w="109"/>
        <w:gridCol w:w="2797"/>
        <w:gridCol w:w="2797"/>
        <w:gridCol w:w="39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TRANSITION REPORT PURSUANT TO SECTION 13 OR 15(d) OF THE SECURITIES EXCHANGE ACT OF 1934</w:t>
            </w:r>
          </w:p>
        </w:tc>
      </w:tr>
    </w:tbl>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For the transition period from ____ to ____</w:t>
      </w:r>
    </w:p>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 xml:space="preserve">Commission file number: 000-50976 </w:t>
      </w:r>
    </w:p>
    <w:p>
      <w:pPr>
        <w:pStyle w:val="TextBody"/>
        <w:bidi w:val="0"/>
        <w:spacing w:lineRule="auto" w:line="288" w:before="0" w:after="40"/>
        <w:jc w:val="center"/>
        <w:rPr/>
      </w:pPr>
      <w:r>
        <w:rPr>
          <w:rFonts w:ascii="Arial Narrow;sans-serif" w:hAnsi="Arial Narrow;sans-serif"/>
          <w:b w:val="false"/>
          <w:color w:val="000000"/>
          <w:sz w:val="24"/>
        </w:rPr>
        <w:t>H</w:t>
      </w:r>
      <w:r>
        <w:rPr>
          <w:rFonts w:ascii="Arial Narrow;sans-serif" w:hAnsi="Arial Narrow;sans-serif"/>
          <w:b w:val="false"/>
          <w:color w:val="000000"/>
          <w:sz w:val="20"/>
        </w:rPr>
        <w:t>URON</w:t>
      </w:r>
      <w:r>
        <w:rPr>
          <w:color w:val="000000"/>
        </w:rPr>
        <w:t xml:space="preserve"> </w:t>
      </w:r>
      <w:r>
        <w:rPr>
          <w:rFonts w:ascii="Arial Narrow;sans-serif" w:hAnsi="Arial Narrow;sans-serif"/>
          <w:b w:val="false"/>
          <w:color w:val="000000"/>
          <w:sz w:val="24"/>
        </w:rPr>
        <w:t>C</w:t>
      </w:r>
      <w:r>
        <w:rPr>
          <w:rFonts w:ascii="Arial Narrow;sans-serif" w:hAnsi="Arial Narrow;sans-serif"/>
          <w:b w:val="false"/>
          <w:color w:val="000000"/>
          <w:sz w:val="20"/>
        </w:rPr>
        <w:t xml:space="preserve">ONSULTING </w:t>
      </w:r>
      <w:r>
        <w:rPr>
          <w:rFonts w:ascii="Arial Narrow;sans-serif" w:hAnsi="Arial Narrow;sans-serif"/>
          <w:b w:val="false"/>
          <w:color w:val="000000"/>
          <w:sz w:val="24"/>
        </w:rPr>
        <w:t>G</w:t>
      </w:r>
      <w:r>
        <w:rPr>
          <w:rFonts w:ascii="Arial Narrow;sans-serif" w:hAnsi="Arial Narrow;sans-serif"/>
          <w:b w:val="false"/>
          <w:color w:val="000000"/>
          <w:sz w:val="20"/>
        </w:rPr>
        <w:t>ROUP</w:t>
      </w:r>
      <w:r>
        <w:rPr>
          <w:color w:val="000000"/>
        </w:rPr>
        <w:t xml:space="preserve"> </w:t>
      </w:r>
      <w:r>
        <w:rPr>
          <w:rFonts w:ascii="Arial Narrow;sans-serif" w:hAnsi="Arial Narrow;sans-serif"/>
          <w:b w:val="false"/>
          <w:color w:val="000000"/>
          <w:sz w:val="24"/>
        </w:rPr>
        <w:t>I</w:t>
      </w:r>
      <w:r>
        <w:rPr>
          <w:rFonts w:ascii="Arial Narrow;sans-serif" w:hAnsi="Arial Narrow;sans-serif"/>
          <w:b w:val="false"/>
          <w:color w:val="000000"/>
          <w:sz w:val="20"/>
        </w:rPr>
        <w:t xml:space="preserve">NC. </w:t>
      </w:r>
    </w:p>
    <w:p>
      <w:pPr>
        <w:pStyle w:val="TextBody"/>
        <w:bidi w:val="0"/>
        <w:spacing w:lineRule="auto" w:line="288" w:before="0" w:after="40"/>
        <w:jc w:val="center"/>
        <w:rPr>
          <w:rFonts w:ascii="Arial Narrow;sans-serif" w:hAnsi="Arial Narrow;sans-serif"/>
          <w:b w:val="false"/>
          <w:color w:val="000000"/>
          <w:sz w:val="18"/>
        </w:rPr>
      </w:pPr>
      <w:r>
        <w:rPr>
          <w:rFonts w:ascii="Arial Narrow;sans-serif" w:hAnsi="Arial Narrow;sans-serif"/>
          <w:b w:val="false"/>
          <w:color w:val="000000"/>
          <w:sz w:val="18"/>
        </w:rPr>
        <w:t>(Exact name of registrant as specified in its charter)</w:t>
      </w:r>
    </w:p>
    <w:tbl>
      <w:tblPr>
        <w:tblW w:w="3777" w:type="dxa"/>
        <w:jc w:val="center"/>
        <w:tblInd w:w="0" w:type="dxa"/>
        <w:tblLayout w:type="fixed"/>
        <w:tblCellMar>
          <w:top w:w="28" w:type="dxa"/>
          <w:left w:w="28" w:type="dxa"/>
          <w:bottom w:w="28" w:type="dxa"/>
          <w:right w:w="28" w:type="dxa"/>
        </w:tblCellMar>
      </w:tblPr>
      <w:tblGrid>
        <w:gridCol w:w="696"/>
        <w:gridCol w:w="610"/>
        <w:gridCol w:w="614"/>
        <w:gridCol w:w="109"/>
        <w:gridCol w:w="109"/>
        <w:gridCol w:w="109"/>
        <w:gridCol w:w="447"/>
        <w:gridCol w:w="447"/>
        <w:gridCol w:w="636"/>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01-0666114</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w:t>
              <w:br/>
              <w:t>Identification Number)</w:t>
            </w:r>
          </w:p>
        </w:tc>
      </w:tr>
    </w:tbl>
    <w:p>
      <w:pPr>
        <w:pStyle w:val="TextBody"/>
        <w:bidi w:val="0"/>
        <w:spacing w:lineRule="auto" w:line="288" w:before="0" w:after="0"/>
        <w:jc w:val="center"/>
        <w:rPr>
          <w:rFonts w:ascii="Arial Narrow;sans-serif" w:hAnsi="Arial Narrow;sans-serif"/>
          <w:b w:val="false"/>
          <w:color w:val="000000"/>
          <w:sz w:val="24"/>
        </w:rPr>
      </w:pPr>
      <w:r>
        <w:rPr>
          <w:rFonts w:ascii="Arial Narrow;sans-serif" w:hAnsi="Arial Narrow;sans-serif"/>
          <w:b w:val="false"/>
          <w:color w:val="000000"/>
          <w:sz w:val="24"/>
        </w:rPr>
        <w:t xml:space="preserve">550 West Van Buren Street </w:t>
      </w:r>
    </w:p>
    <w:p>
      <w:pPr>
        <w:pStyle w:val="TextBody"/>
        <w:bidi w:val="0"/>
        <w:spacing w:lineRule="auto" w:line="288" w:before="0" w:after="0"/>
        <w:jc w:val="center"/>
        <w:rPr>
          <w:rFonts w:ascii="Arial Narrow;sans-serif" w:hAnsi="Arial Narrow;sans-serif"/>
          <w:b w:val="false"/>
          <w:color w:val="000000"/>
          <w:sz w:val="24"/>
        </w:rPr>
      </w:pPr>
      <w:r>
        <w:rPr>
          <w:rFonts w:ascii="Arial Narrow;sans-serif" w:hAnsi="Arial Narrow;sans-serif"/>
          <w:b w:val="false"/>
          <w:color w:val="000000"/>
          <w:sz w:val="24"/>
        </w:rPr>
        <w:t xml:space="preserve">Chicago, Illinois </w:t>
      </w:r>
    </w:p>
    <w:p>
      <w:pPr>
        <w:pStyle w:val="TextBody"/>
        <w:bidi w:val="0"/>
        <w:spacing w:lineRule="auto" w:line="288" w:before="0" w:after="40"/>
        <w:jc w:val="center"/>
        <w:rPr>
          <w:rFonts w:ascii="Arial Narrow;sans-serif" w:hAnsi="Arial Narrow;sans-serif"/>
          <w:b w:val="false"/>
          <w:color w:val="000000"/>
          <w:sz w:val="24"/>
        </w:rPr>
      </w:pPr>
      <w:r>
        <w:rPr>
          <w:rFonts w:ascii="Arial Narrow;sans-serif" w:hAnsi="Arial Narrow;sans-serif"/>
          <w:b w:val="false"/>
          <w:color w:val="000000"/>
          <w:sz w:val="24"/>
        </w:rPr>
        <w:t>60607</w:t>
      </w:r>
    </w:p>
    <w:p>
      <w:pPr>
        <w:pStyle w:val="TextBody"/>
        <w:bidi w:val="0"/>
        <w:spacing w:lineRule="auto" w:line="288" w:before="0" w:after="40"/>
        <w:jc w:val="center"/>
        <w:rPr>
          <w:rFonts w:ascii="Arial Narrow;sans-serif" w:hAnsi="Arial Narrow;sans-serif"/>
          <w:b w:val="false"/>
          <w:color w:val="000000"/>
          <w:sz w:val="18"/>
        </w:rPr>
      </w:pPr>
      <w:r>
        <w:rPr>
          <w:rFonts w:ascii="Arial Narrow;sans-serif" w:hAnsi="Arial Narrow;sans-serif"/>
          <w:b w:val="false"/>
          <w:color w:val="000000"/>
          <w:sz w:val="18"/>
        </w:rPr>
        <w:t>(Address of principal executive offices and zip code)</w:t>
      </w:r>
    </w:p>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 xml:space="preserve">(312) 583-8700 </w:t>
      </w:r>
    </w:p>
    <w:p>
      <w:pPr>
        <w:pStyle w:val="TextBody"/>
        <w:bidi w:val="0"/>
        <w:spacing w:lineRule="auto" w:line="288" w:before="0" w:after="40"/>
        <w:jc w:val="center"/>
        <w:rPr>
          <w:rFonts w:ascii="Arial Narrow;sans-serif" w:hAnsi="Arial Narrow;sans-serif"/>
          <w:b w:val="false"/>
          <w:color w:val="000000"/>
          <w:sz w:val="18"/>
        </w:rPr>
      </w:pPr>
      <w:r>
        <w:rPr>
          <w:rFonts w:ascii="Arial Narrow;sans-serif" w:hAnsi="Arial Narrow;sans-serif"/>
          <w:b w:val="false"/>
          <w:color w:val="000000"/>
          <w:sz w:val="18"/>
        </w:rPr>
        <w:t>(Registrant’s telephone number, including area code) </w:t>
      </w:r>
    </w:p>
    <w:p>
      <w:pPr>
        <w:pStyle w:val="TextBody"/>
        <w:bidi w:val="0"/>
        <w:spacing w:lineRule="auto" w:line="288" w:before="0" w:after="160"/>
        <w:jc w:val="center"/>
        <w:rPr>
          <w:rFonts w:ascii="Arial Narrow;sans-serif" w:hAnsi="Arial Narrow;sans-serif"/>
          <w:b w:val="false"/>
          <w:color w:val="000000"/>
          <w:sz w:val="20"/>
        </w:rPr>
      </w:pPr>
      <w:r>
        <w:rPr>
          <w:rFonts w:ascii="Arial Narrow;sans-serif" w:hAnsi="Arial Narrow;sans-serif"/>
          <w:b w:val="false"/>
          <w:color w:val="000000"/>
          <w:sz w:val="20"/>
        </w:rPr>
        <w:t>Securities registered pursuant to Section 12(b) of the Act:</w:t>
      </w:r>
    </w:p>
    <w:tbl>
      <w:tblPr>
        <w:tblW w:w="8782" w:type="dxa"/>
        <w:jc w:val="center"/>
        <w:tblInd w:w="0" w:type="dxa"/>
        <w:tblLayout w:type="fixed"/>
        <w:tblCellMar>
          <w:top w:w="28" w:type="dxa"/>
          <w:left w:w="28" w:type="dxa"/>
          <w:bottom w:w="28" w:type="dxa"/>
          <w:right w:w="28" w:type="dxa"/>
        </w:tblCellMar>
      </w:tblPr>
      <w:tblGrid>
        <w:gridCol w:w="1138"/>
        <w:gridCol w:w="999"/>
        <w:gridCol w:w="1012"/>
        <w:gridCol w:w="109"/>
        <w:gridCol w:w="109"/>
        <w:gridCol w:w="109"/>
        <w:gridCol w:w="449"/>
        <w:gridCol w:w="449"/>
        <w:gridCol w:w="451"/>
        <w:gridCol w:w="109"/>
        <w:gridCol w:w="109"/>
        <w:gridCol w:w="109"/>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 of each exchange on which registered</w:t>
            </w:r>
          </w:p>
        </w:tc>
      </w:tr>
      <w:tr>
        <w:trPr/>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NASDAQ Global Select Market</w:t>
            </w:r>
          </w:p>
        </w:tc>
      </w:tr>
    </w:tbl>
    <w:p>
      <w:pPr>
        <w:pStyle w:val="TextBody"/>
        <w:bidi w:val="0"/>
        <w:spacing w:lineRule="auto" w:line="288" w:before="0" w:after="160"/>
        <w:jc w:val="center"/>
        <w:rPr>
          <w:rFonts w:ascii="Arial Narrow;sans-serif" w:hAnsi="Arial Narrow;sans-serif"/>
          <w:b/>
          <w:color w:val="000000"/>
          <w:sz w:val="20"/>
        </w:rPr>
      </w:pPr>
      <w:r>
        <w:rPr>
          <w:rFonts w:ascii="Arial Narrow;sans-serif" w:hAnsi="Arial Narrow;sans-serif"/>
          <w:b/>
          <w:color w:val="000000"/>
          <w:sz w:val="20"/>
        </w:rPr>
        <w:t>Securities registered pursuant to Section 12(g) of the Act: None </w:t>
      </w:r>
    </w:p>
    <w:p>
      <w:pPr>
        <w:pStyle w:val="TextBody"/>
        <w:bidi w:val="0"/>
        <w:spacing w:lineRule="auto" w:line="288" w:before="180" w:after="40"/>
        <w:jc w:val="left"/>
        <w:rPr/>
      </w:pPr>
      <w:r>
        <w:rPr>
          <w:rFonts w:ascii="Arial Narrow;sans-serif" w:hAnsi="Arial Narrow;sans-serif"/>
          <w:b w:val="false"/>
          <w:color w:val="000000"/>
          <w:sz w:val="19"/>
        </w:rPr>
        <w:t>Indicate by check mark if the registrant is a well-known seasoned issuer, as defined in Rule 405 of the Securities Act. Yes</w:t>
      </w:r>
      <w:r>
        <w:rPr>
          <w:color w:val="000000"/>
        </w:rPr>
        <w:t>  </w:t>
      </w:r>
      <w:r>
        <w:rPr>
          <w:rFonts w:ascii="Wingdings;sans-serif" w:hAnsi="Wingdings;sans-serif"/>
          <w:b w:val="false"/>
          <w:color w:val="000000"/>
          <w:sz w:val="19"/>
        </w:rPr>
        <w:t>x</w:t>
      </w:r>
      <w:r>
        <w:rPr>
          <w:color w:val="000000"/>
        </w:rPr>
        <w:t>    </w:t>
      </w:r>
      <w:r>
        <w:rPr>
          <w:rFonts w:ascii="Arial Narrow;sans-serif" w:hAnsi="Arial Narrow;sans-serif"/>
          <w:b w:val="false"/>
          <w:color w:val="000000"/>
          <w:sz w:val="19"/>
        </w:rPr>
        <w:t>No </w:t>
      </w:r>
      <w:r>
        <w:rPr>
          <w:color w:val="000000"/>
        </w:rPr>
        <w:t> </w:t>
      </w:r>
      <w:r>
        <w:rPr>
          <w:rFonts w:ascii="Wingdings;sans-serif" w:hAnsi="Wingdings;sans-serif"/>
          <w:b w:val="false"/>
          <w:color w:val="000000"/>
          <w:sz w:val="19"/>
        </w:rPr>
        <w:t>o</w:t>
      </w:r>
    </w:p>
    <w:p>
      <w:pPr>
        <w:pStyle w:val="TextBody"/>
        <w:bidi w:val="0"/>
        <w:spacing w:lineRule="auto" w:line="288" w:before="180" w:after="40"/>
        <w:jc w:val="left"/>
        <w:rPr/>
      </w:pPr>
      <w:r>
        <w:rPr>
          <w:rFonts w:ascii="Arial Narrow;sans-serif" w:hAnsi="Arial Narrow;sans-serif"/>
          <w:b w:val="false"/>
          <w:color w:val="000000"/>
          <w:sz w:val="19"/>
        </w:rPr>
        <w:t>Indicate by check mark if the registrant is not required to file reports pursuant to Section 13 or Section 15(d) of the Act. Yes</w:t>
      </w:r>
      <w:r>
        <w:rPr>
          <w:color w:val="000000"/>
        </w:rPr>
        <w:t>  </w:t>
      </w:r>
      <w:r>
        <w:rPr>
          <w:rFonts w:ascii="Wingdings;sans-serif" w:hAnsi="Wingdings;sans-serif"/>
          <w:b w:val="false"/>
          <w:color w:val="000000"/>
          <w:sz w:val="19"/>
        </w:rPr>
        <w:t>o</w:t>
      </w:r>
      <w:r>
        <w:rPr>
          <w:color w:val="000000"/>
        </w:rPr>
        <w:t>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x</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w:t>
      </w:r>
      <w:r>
        <w:rPr>
          <w:rFonts w:ascii="Wingdings;sans-serif" w:hAnsi="Wingdings;sans-serif"/>
          <w:b w:val="false"/>
          <w:color w:val="000000"/>
          <w:sz w:val="19"/>
        </w:rPr>
        <w:t>x</w:t>
      </w:r>
      <w:r>
        <w:rPr>
          <w:color w:val="000000"/>
        </w:rPr>
        <w:t>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o</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Wingdings;sans-serif" w:hAnsi="Wingdings;sans-serif"/>
          <w:b w:val="false"/>
          <w:color w:val="000000"/>
          <w:sz w:val="19"/>
        </w:rPr>
        <w:t>x</w:t>
      </w:r>
      <w:r>
        <w:rPr>
          <w:color w:val="000000"/>
        </w:rPr>
        <w:t>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o</w:t>
      </w:r>
    </w:p>
    <w:p>
      <w:pPr>
        <w:pStyle w:val="TextBody"/>
        <w:bidi w:val="0"/>
        <w:spacing w:lineRule="auto" w:line="288" w:before="180" w:after="283"/>
        <w:jc w:val="left"/>
        <w:rPr>
          <w:rFonts w:ascii="Arial Narrow;sans-serif" w:hAnsi="Arial Narrow;sans-serif"/>
          <w:b w:val="false"/>
          <w:color w:val="000000"/>
          <w:sz w:val="19"/>
        </w:rPr>
      </w:pPr>
      <w:r>
        <w:rPr>
          <w:rFonts w:ascii="Arial Narrow;sans-serif" w:hAnsi="Arial Narrow;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center"/>
        <w:tblInd w:w="0" w:type="dxa"/>
        <w:tblLayout w:type="fixed"/>
        <w:tblCellMar>
          <w:top w:w="28" w:type="dxa"/>
          <w:left w:w="28" w:type="dxa"/>
          <w:bottom w:w="28" w:type="dxa"/>
          <w:right w:w="28" w:type="dxa"/>
        </w:tblCellMar>
      </w:tblPr>
      <w:tblGrid>
        <w:gridCol w:w="646"/>
        <w:gridCol w:w="568"/>
        <w:gridCol w:w="570"/>
        <w:gridCol w:w="109"/>
        <w:gridCol w:w="109"/>
        <w:gridCol w:w="109"/>
        <w:gridCol w:w="434"/>
        <w:gridCol w:w="434"/>
        <w:gridCol w:w="436"/>
        <w:gridCol w:w="109"/>
        <w:gridCol w:w="109"/>
        <w:gridCol w:w="109"/>
        <w:gridCol w:w="549"/>
        <w:gridCol w:w="549"/>
        <w:gridCol w:w="551"/>
        <w:gridCol w:w="109"/>
        <w:gridCol w:w="109"/>
        <w:gridCol w:w="109"/>
        <w:gridCol w:w="480"/>
        <w:gridCol w:w="480"/>
        <w:gridCol w:w="481"/>
        <w:gridCol w:w="109"/>
        <w:gridCol w:w="109"/>
        <w:gridCol w:w="109"/>
        <w:gridCol w:w="699"/>
        <w:gridCol w:w="699"/>
        <w:gridCol w:w="702"/>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Smaller Reporting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80" w:after="283"/>
        <w:jc w:val="left"/>
        <w:rPr/>
      </w:pPr>
      <w:r>
        <w:rPr>
          <w:rFonts w:ascii="Arial Narrow;sans-serif" w:hAnsi="Arial Narrow;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9"/>
        </w:rPr>
        <w:t>o</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report. </w:t>
      </w:r>
      <w:r>
        <w:rPr>
          <w:rFonts w:ascii="Wingdings;sans-serif" w:hAnsi="Wingdings;sans-serif"/>
          <w:b w:val="false"/>
          <w:color w:val="000000"/>
          <w:sz w:val="19"/>
        </w:rPr>
        <w:t>x</w:t>
      </w:r>
      <w:r>
        <w:rPr>
          <w:color w:val="000000"/>
        </w:rPr>
        <w:t> </w:t>
      </w:r>
    </w:p>
    <w:p>
      <w:pPr>
        <w:pStyle w:val="TextBody"/>
        <w:bidi w:val="0"/>
        <w:spacing w:lineRule="auto" w:line="288" w:before="180" w:after="283"/>
        <w:jc w:val="left"/>
        <w:rPr/>
      </w:pPr>
      <w:r>
        <w:rPr>
          <w:rFonts w:ascii="Arial Narrow;sans-serif" w:hAnsi="Arial Narrow;sans-serif"/>
          <w:b w:val="false"/>
          <w:color w:val="000000"/>
          <w:sz w:val="19"/>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80" w:after="283"/>
        <w:jc w:val="left"/>
        <w:rPr/>
      </w:pPr>
      <w:r>
        <w:rPr>
          <w:rFonts w:ascii="Arial Narrow;sans-serif" w:hAnsi="Arial Narrow;sans-serif"/>
          <w:b w:val="false"/>
          <w:color w:val="000000"/>
          <w:sz w:val="1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is a shell company (as defined in Rule 12b-2 of the Act). Yes</w:t>
      </w:r>
      <w:r>
        <w:rPr>
          <w:color w:val="000000"/>
        </w:rPr>
        <w:t>  ☐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x</w:t>
      </w:r>
    </w:p>
    <w:p>
      <w:pPr>
        <w:pStyle w:val="TextBody"/>
        <w:bidi w:val="0"/>
        <w:spacing w:lineRule="auto" w:line="288" w:before="180" w:after="40"/>
        <w:jc w:val="left"/>
        <w:rPr>
          <w:rFonts w:ascii="Arial Narrow;sans-serif" w:hAnsi="Arial Narrow;sans-serif"/>
          <w:b w:val="false"/>
          <w:color w:val="000000"/>
          <w:sz w:val="19"/>
        </w:rPr>
      </w:pPr>
      <w:r>
        <w:rPr>
          <w:rFonts w:ascii="Arial Narrow;sans-serif" w:hAnsi="Arial Narrow;sans-serif"/>
          <w:b w:val="false"/>
          <w:color w:val="000000"/>
          <w:sz w:val="19"/>
        </w:rPr>
        <w:t>The aggregate market value of the registrant’s common stock held by non-affiliates as of June 30, 2023 (the last business day of the registrant’s most recently completed second fiscal quarter) was approximately $1,575,000,000.</w:t>
      </w:r>
    </w:p>
    <w:p>
      <w:pPr>
        <w:pStyle w:val="TextBody"/>
        <w:bidi w:val="0"/>
        <w:spacing w:lineRule="auto" w:line="288" w:before="180" w:after="283"/>
        <w:jc w:val="left"/>
        <w:rPr>
          <w:rFonts w:ascii="Arial Narrow;sans-serif" w:hAnsi="Arial Narrow;sans-serif"/>
          <w:b w:val="false"/>
          <w:color w:val="000000"/>
          <w:sz w:val="19"/>
        </w:rPr>
      </w:pPr>
      <w:r>
        <w:rPr>
          <w:rFonts w:ascii="Arial Narrow;sans-serif" w:hAnsi="Arial Narrow;sans-serif"/>
          <w:b w:val="false"/>
          <w:color w:val="000000"/>
          <w:sz w:val="19"/>
        </w:rPr>
        <w:t>As of February 20, 2024, 18,197,061 shares of the registrant’s common stock, par value $0.01 per share, were outstanding.</w:t>
      </w:r>
    </w:p>
    <w:p>
      <w:pPr>
        <w:pStyle w:val="TextBody"/>
        <w:bidi w:val="0"/>
        <w:spacing w:lineRule="auto" w:line="288" w:before="180" w:after="283"/>
        <w:jc w:val="center"/>
        <w:rPr>
          <w:rFonts w:ascii="Arial Narrow;sans-serif" w:hAnsi="Arial Narrow;sans-serif"/>
          <w:b w:val="false"/>
          <w:color w:val="000000"/>
          <w:sz w:val="19"/>
        </w:rPr>
      </w:pPr>
      <w:r>
        <w:rPr>
          <w:rFonts w:ascii="Arial Narrow;sans-serif" w:hAnsi="Arial Narrow;sans-serif"/>
          <w:b w:val="false"/>
          <w:color w:val="000000"/>
          <w:sz w:val="19"/>
        </w:rPr>
        <w:t>Documents Incorporated By Reference</w:t>
      </w:r>
    </w:p>
    <w:p>
      <w:pPr>
        <w:pStyle w:val="TextBody"/>
        <w:bidi w:val="0"/>
        <w:spacing w:lineRule="auto" w:line="288" w:before="180" w:after="283"/>
        <w:jc w:val="left"/>
        <w:rPr>
          <w:rFonts w:ascii="Arial Narrow;sans-serif" w:hAnsi="Arial Narrow;sans-serif"/>
          <w:b w:val="false"/>
          <w:color w:val="000000"/>
          <w:sz w:val="19"/>
        </w:rPr>
      </w:pPr>
      <w:r>
        <w:rPr>
          <w:rFonts w:ascii="Arial Narrow;sans-serif" w:hAnsi="Arial Narrow;sans-serif"/>
          <w:b w:val="false"/>
          <w:color w:val="000000"/>
          <w:sz w:val="19"/>
        </w:rPr>
        <w:t>Portions of the registrant’s definitive Proxy Statement to be filed with Securities and Exchange Commission within 120 days after the end of its fiscal year are incorporated by reference into Part III.</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HURON CONSULTING GROUP INC.</w:t>
      </w:r>
    </w:p>
    <w:p>
      <w:pPr>
        <w:pStyle w:val="TextBody"/>
        <w:bidi w:val="0"/>
        <w:spacing w:lineRule="auto" w:line="288" w:before="180" w:after="283"/>
        <w:jc w:val="center"/>
        <w:rPr>
          <w:rFonts w:ascii="Arial Narrow;sans-serif" w:hAnsi="Arial Narrow;sans-serif"/>
          <w:b w:val="false"/>
          <w:color w:val="000000"/>
          <w:sz w:val="22"/>
        </w:rPr>
      </w:pPr>
      <w:r>
        <w:rPr>
          <w:rFonts w:ascii="Arial Narrow;sans-serif" w:hAnsi="Arial Narrow;sans-serif"/>
          <w:b w:val="false"/>
          <w:color w:val="000000"/>
          <w:sz w:val="22"/>
        </w:rPr>
        <w:t>ANNUAL REPORT ON FORM 10-K</w:t>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 xml:space="preserve">FOR FISCAL YEAR ENDED DECEMBER 31, 2023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 Narrow;sans-serif" w:hAnsi="Arial Narrow;sans-serif"/>
          <w:b w:val="false"/>
          <w:color w:val="000000"/>
          <w:sz w:val="22"/>
        </w:rPr>
      </w:pPr>
      <w:r>
        <w:rPr>
          <w:rFonts w:ascii="Arial Narrow;sans-serif" w:hAnsi="Arial Narrow;sans-serif"/>
          <w:b w:val="false"/>
          <w:color w:val="000000"/>
          <w:sz w:val="22"/>
        </w:rPr>
        <w:t xml:space="preserve">TABLE OF CONTENTS </w:t>
      </w:r>
    </w:p>
    <w:p>
      <w:pPr>
        <w:pStyle w:val="TextBody"/>
        <w:bidi w:val="0"/>
        <w:spacing w:lineRule="auto" w:line="288" w:before="0" w:after="0"/>
        <w:jc w:val="left"/>
        <w:rPr>
          <w:color w:val="000000"/>
        </w:rPr>
      </w:pPr>
      <w:r>
        <w:rPr>
          <w:color w:val="000000"/>
        </w:rPr>
        <w:t> </w:t>
      </w:r>
    </w:p>
    <w:tbl>
      <w:tblPr>
        <w:tblW w:w="9272" w:type="dxa"/>
        <w:jc w:val="left"/>
        <w:tblInd w:w="0" w:type="dxa"/>
        <w:tblLayout w:type="fixed"/>
        <w:tblCellMar>
          <w:top w:w="28" w:type="dxa"/>
          <w:left w:w="28" w:type="dxa"/>
          <w:bottom w:w="28" w:type="dxa"/>
          <w:right w:w="28" w:type="dxa"/>
        </w:tblCellMar>
      </w:tblPr>
      <w:tblGrid>
        <w:gridCol w:w="266"/>
        <w:gridCol w:w="232"/>
        <w:gridCol w:w="238"/>
        <w:gridCol w:w="2664"/>
        <w:gridCol w:w="2664"/>
        <w:gridCol w:w="2682"/>
        <w:gridCol w:w="154"/>
        <w:gridCol w:w="154"/>
        <w:gridCol w:w="218"/>
      </w:tblGrid>
      <w:tr>
        <w:trPr/>
        <w:tc>
          <w:tcPr>
            <w:tcW w:w="2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Page</w:t>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3">
              <w:r>
                <w:rPr>
                  <w:rStyle w:val="InternetLink"/>
                  <w:rFonts w:ascii="Arial Narrow;sans-serif" w:hAnsi="Arial Narrow;sans-serif"/>
                  <w:b w:val="false"/>
                  <w:color w:val="0000FF"/>
                  <w:sz w:val="20"/>
                  <w:u w:val="single"/>
                </w:rPr>
                <w:t>PART I</w:t>
              </w:r>
            </w:hyperlink>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6">
              <w:r>
                <w:rPr>
                  <w:rStyle w:val="InternetLink"/>
                  <w:rFonts w:ascii="Arial Narrow;sans-serif" w:hAnsi="Arial Narrow;sans-serif"/>
                  <w:b w:val="false"/>
                  <w:color w:val="0000FF"/>
                  <w:sz w:val="20"/>
                  <w:u w:val="single"/>
                </w:rPr>
                <w:t>Business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6">
              <w:r>
                <w:rPr>
                  <w:rStyle w:val="InternetLink"/>
                  <w:rFonts w:ascii="Arial Narrow;sans-serif" w:hAnsi="Arial Narrow;sans-serif"/>
                  <w:b w:val="false"/>
                  <w:strike w:val="false"/>
                  <w:dstrike w:val="false"/>
                  <w:color w:val="000000"/>
                  <w:sz w:val="20"/>
                  <w:u w:val="none"/>
                  <w:effect w:val="none"/>
                </w:rPr>
                <w:t>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43">
              <w:r>
                <w:rPr>
                  <w:rStyle w:val="InternetLink"/>
                  <w:rFonts w:ascii="Arial Narrow;sans-serif" w:hAnsi="Arial Narrow;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43">
              <w:r>
                <w:rPr>
                  <w:rStyle w:val="InternetLink"/>
                  <w:rFonts w:ascii="Arial Narrow;sans-serif" w:hAnsi="Arial Narrow;sans-serif"/>
                  <w:b w:val="false"/>
                  <w:strike w:val="false"/>
                  <w:dstrike w:val="false"/>
                  <w:color w:val="000000"/>
                  <w:sz w:val="20"/>
                  <w:u w:val="none"/>
                  <w:effect w:val="none"/>
                </w:rPr>
                <w:t>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1B.</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46">
              <w:r>
                <w:rPr>
                  <w:rStyle w:val="InternetLink"/>
                  <w:rFonts w:ascii="Arial Narrow;sans-serif" w:hAnsi="Arial Narrow;sans-serif"/>
                  <w:b w:val="false"/>
                  <w:color w:val="0000FF"/>
                  <w:sz w:val="20"/>
                  <w:u w:val="single"/>
                </w:rPr>
                <w:t>Unresolved Staff Comments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46">
              <w:r>
                <w:rPr>
                  <w:rStyle w:val="InternetLink"/>
                  <w:rFonts w:ascii="Arial Narrow;sans-serif" w:hAnsi="Arial Narrow;sans-serif"/>
                  <w:b w:val="false"/>
                  <w:strike w:val="false"/>
                  <w:dstrike w:val="false"/>
                  <w:color w:val="000000"/>
                  <w:sz w:val="20"/>
                  <w:u w:val="none"/>
                  <w:effect w:val="none"/>
                </w:rPr>
                <w:t>18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1C.</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943">
              <w:r>
                <w:rPr>
                  <w:rStyle w:val="InternetLink"/>
                  <w:rFonts w:ascii="Arial Narrow;sans-serif" w:hAnsi="Arial Narrow;sans-serif"/>
                  <w:b w:val="false"/>
                  <w:color w:val="0000FF"/>
                  <w:sz w:val="20"/>
                  <w:u w:val="single"/>
                </w:rPr>
                <w:t>Cybersecurity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943">
              <w:r>
                <w:rPr>
                  <w:rStyle w:val="InternetLink"/>
                  <w:rFonts w:ascii="Arial Narrow;sans-serif" w:hAnsi="Arial Narrow;sans-serif"/>
                  <w:b w:val="false"/>
                  <w:strike w:val="false"/>
                  <w:dstrike w:val="false"/>
                  <w:color w:val="000000"/>
                  <w:sz w:val="20"/>
                  <w:u w:val="none"/>
                  <w:effect w:val="none"/>
                </w:rPr>
                <w:t>18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49">
              <w:r>
                <w:rPr>
                  <w:rStyle w:val="InternetLink"/>
                  <w:rFonts w:ascii="Arial Narrow;sans-serif" w:hAnsi="Arial Narrow;sans-serif"/>
                  <w:b w:val="false"/>
                  <w:color w:val="0000FF"/>
                  <w:sz w:val="20"/>
                  <w:u w:val="single"/>
                </w:rPr>
                <w:t>Properties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49">
              <w:r>
                <w:rPr>
                  <w:rStyle w:val="InternetLink"/>
                  <w:rFonts w:ascii="Arial Narrow;sans-serif" w:hAnsi="Arial Narrow;sans-serif"/>
                  <w:b w:val="false"/>
                  <w:strike w:val="false"/>
                  <w:dstrike w:val="false"/>
                  <w:color w:val="000000"/>
                  <w:sz w:val="20"/>
                  <w:u w:val="none"/>
                  <w:effect w:val="none"/>
                </w:rPr>
                <w:t>19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52">
              <w:r>
                <w:rPr>
                  <w:rStyle w:val="InternetLink"/>
                  <w:rFonts w:ascii="Arial Narrow;sans-serif" w:hAnsi="Arial Narrow;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55">
              <w:r>
                <w:rPr>
                  <w:rStyle w:val="InternetLink"/>
                  <w:rFonts w:ascii="Arial Narrow;sans-serif" w:hAnsi="Arial Narrow;sans-serif"/>
                  <w:b w:val="false"/>
                  <w:strike w:val="false"/>
                  <w:dstrike w:val="false"/>
                  <w:color w:val="000000"/>
                  <w:sz w:val="20"/>
                  <w:u w:val="none"/>
                  <w:effect w:val="none"/>
                </w:rPr>
                <w:t>19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55">
              <w:r>
                <w:rPr>
                  <w:rStyle w:val="InternetLink"/>
                  <w:rFonts w:ascii="Arial Narrow;sans-serif" w:hAnsi="Arial Narrow;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55">
              <w:r>
                <w:rPr>
                  <w:rStyle w:val="InternetLink"/>
                  <w:rFonts w:ascii="Arial Narrow;sans-serif" w:hAnsi="Arial Narrow;sans-serif"/>
                  <w:b w:val="false"/>
                  <w:strike w:val="false"/>
                  <w:dstrike w:val="false"/>
                  <w:color w:val="000000"/>
                  <w:sz w:val="20"/>
                  <w:u w:val="none"/>
                  <w:effect w:val="none"/>
                </w:rPr>
                <w:t>19</w:t>
              </w:r>
            </w:hyperlink>
          </w:p>
        </w:tc>
      </w:tr>
      <w:tr>
        <w:trPr/>
        <w:tc>
          <w:tcPr>
            <w:tcW w:w="8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58">
              <w:r>
                <w:rPr>
                  <w:rStyle w:val="InternetLink"/>
                  <w:rFonts w:ascii="Arial Narrow;sans-serif" w:hAnsi="Arial Narrow;sans-serif"/>
                  <w:b w:val="false"/>
                  <w:color w:val="0000FF"/>
                  <w:sz w:val="20"/>
                  <w:u w:val="single"/>
                </w:rPr>
                <w:t>PART II</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61">
              <w:r>
                <w:rPr>
                  <w:rStyle w:val="InternetLink"/>
                  <w:rFonts w:ascii="Arial Narrow;sans-serif" w:hAnsi="Arial Narrow;sans-serif"/>
                  <w:b w:val="false"/>
                  <w:color w:val="0000FF"/>
                  <w:sz w:val="20"/>
                  <w:u w:val="single"/>
                </w:rPr>
                <w:t>Market for Registrant’s Common Equity, Related Stockholder Matters and Issuer Purchases of Equity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61">
              <w:r>
                <w:rPr>
                  <w:rStyle w:val="InternetLink"/>
                  <w:rFonts w:ascii="Arial Narrow;sans-serif" w:hAnsi="Arial Narrow;sans-serif"/>
                  <w:b w:val="false"/>
                  <w:strike w:val="false"/>
                  <w:dstrike w:val="false"/>
                  <w:color w:val="000000"/>
                  <w:sz w:val="20"/>
                  <w:u w:val="none"/>
                  <w:effect w:val="none"/>
                </w:rPr>
                <w:t>19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64">
              <w:r>
                <w:rPr>
                  <w:rStyle w:val="InternetLink"/>
                  <w:rFonts w:ascii="Arial Narrow;sans-serif" w:hAnsi="Arial Narrow;sans-serif"/>
                  <w:b w:val="false"/>
                  <w:color w:val="0000FF"/>
                  <w:sz w:val="20"/>
                  <w:u w:val="single"/>
                </w:rPr>
                <w:t>[Reserved]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64">
              <w:r>
                <w:rPr>
                  <w:rStyle w:val="InternetLink"/>
                  <w:rFonts w:ascii="Arial Narrow;sans-serif" w:hAnsi="Arial Narrow;sans-serif"/>
                  <w:b w:val="false"/>
                  <w:strike w:val="false"/>
                  <w:dstrike w:val="false"/>
                  <w:color w:val="000000"/>
                  <w:sz w:val="20"/>
                  <w:u w:val="none"/>
                  <w:effect w:val="none"/>
                </w:rPr>
                <w:t>20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7.</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67">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67">
              <w:r>
                <w:rPr>
                  <w:rStyle w:val="InternetLink"/>
                  <w:rFonts w:ascii="Arial Narrow;sans-serif" w:hAnsi="Arial Narrow;sans-serif"/>
                  <w:b w:val="false"/>
                  <w:strike w:val="false"/>
                  <w:dstrike w:val="false"/>
                  <w:color w:val="000000"/>
                  <w:sz w:val="20"/>
                  <w:u w:val="none"/>
                  <w:effect w:val="none"/>
                </w:rPr>
                <w:t>21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7A.</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03">
              <w:r>
                <w:rPr>
                  <w:rStyle w:val="InternetLink"/>
                  <w:rFonts w:ascii="Arial Narrow;sans-serif" w:hAnsi="Arial Narrow;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03">
              <w:r>
                <w:rPr>
                  <w:rStyle w:val="InternetLink"/>
                  <w:rFonts w:ascii="Arial Narrow;sans-serif" w:hAnsi="Arial Narrow;sans-serif"/>
                  <w:b w:val="false"/>
                  <w:strike w:val="false"/>
                  <w:dstrike w:val="false"/>
                  <w:color w:val="000000"/>
                  <w:sz w:val="20"/>
                  <w:u w:val="none"/>
                  <w:effect w:val="none"/>
                </w:rPr>
                <w:t>38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8.</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06">
              <w:r>
                <w:rPr>
                  <w:rStyle w:val="InternetLink"/>
                  <w:rFonts w:ascii="Arial Narrow;sans-serif" w:hAnsi="Arial Narrow;sans-serif"/>
                  <w:b w:val="false"/>
                  <w:color w:val="0000FF"/>
                  <w:sz w:val="20"/>
                  <w:u w:val="single"/>
                </w:rPr>
                <w:t>Financial Statements and Supplementary Data</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06">
              <w:r>
                <w:rPr>
                  <w:rStyle w:val="InternetLink"/>
                  <w:rFonts w:ascii="Arial Narrow;sans-serif" w:hAnsi="Arial Narrow;sans-serif"/>
                  <w:b w:val="false"/>
                  <w:strike w:val="false"/>
                  <w:dstrike w:val="false"/>
                  <w:color w:val="000000"/>
                  <w:sz w:val="20"/>
                  <w:u w:val="none"/>
                  <w:effect w:val="none"/>
                </w:rPr>
                <w:t>39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09">
              <w:r>
                <w:rPr>
                  <w:rStyle w:val="InternetLink"/>
                  <w:rFonts w:ascii="Arial Narrow;sans-serif" w:hAnsi="Arial Narrow;sans-serif"/>
                  <w:b w:val="false"/>
                  <w:color w:val="0000FF"/>
                  <w:sz w:val="20"/>
                  <w:u w:val="single"/>
                </w:rPr>
                <w:t>Changes in and Disagreements with Accountants on Accounting and Financial Disclosure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09">
              <w:r>
                <w:rPr>
                  <w:rStyle w:val="InternetLink"/>
                  <w:rFonts w:ascii="Arial Narrow;sans-serif" w:hAnsi="Arial Narrow;sans-serif"/>
                  <w:b w:val="false"/>
                  <w:strike w:val="false"/>
                  <w:dstrike w:val="false"/>
                  <w:color w:val="000000"/>
                  <w:sz w:val="20"/>
                  <w:u w:val="none"/>
                  <w:effect w:val="none"/>
                </w:rPr>
                <w:t>39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9A.</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12">
              <w:r>
                <w:rPr>
                  <w:rStyle w:val="InternetLink"/>
                  <w:rFonts w:ascii="Arial Narrow;sans-serif" w:hAnsi="Arial Narrow;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12">
              <w:r>
                <w:rPr>
                  <w:rStyle w:val="InternetLink"/>
                  <w:rFonts w:ascii="Arial Narrow;sans-serif" w:hAnsi="Arial Narrow;sans-serif"/>
                  <w:b w:val="false"/>
                  <w:strike w:val="false"/>
                  <w:dstrike w:val="false"/>
                  <w:color w:val="000000"/>
                  <w:sz w:val="20"/>
                  <w:u w:val="none"/>
                  <w:effect w:val="none"/>
                </w:rPr>
                <w:t>39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9B.</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15">
              <w:r>
                <w:rPr>
                  <w:rStyle w:val="InternetLink"/>
                  <w:rFonts w:ascii="Arial Narrow;sans-serif" w:hAnsi="Arial Narrow;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15">
              <w:r>
                <w:rPr>
                  <w:rStyle w:val="InternetLink"/>
                  <w:rFonts w:ascii="Arial Narrow;sans-serif" w:hAnsi="Arial Narrow;sans-serif"/>
                  <w:b w:val="false"/>
                  <w:strike w:val="false"/>
                  <w:dstrike w:val="false"/>
                  <w:color w:val="000000"/>
                  <w:sz w:val="20"/>
                  <w:u w:val="none"/>
                  <w:effect w:val="none"/>
                </w:rPr>
                <w:t>40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9C.</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18">
              <w:r>
                <w:rPr>
                  <w:rStyle w:val="InternetLink"/>
                  <w:rFonts w:ascii="Arial Narrow;sans-serif" w:hAnsi="Arial Narrow;sans-serif"/>
                  <w:b w:val="false"/>
                  <w:color w:val="0000FF"/>
                  <w:sz w:val="20"/>
                  <w:u w:val="single"/>
                </w:rPr>
                <w:t>Disclosure Regarding Foreign Jurisdictions that Prevent Inspections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18">
              <w:r>
                <w:rPr>
                  <w:rStyle w:val="InternetLink"/>
                  <w:rFonts w:ascii="Arial Narrow;sans-serif" w:hAnsi="Arial Narrow;sans-serif"/>
                  <w:b w:val="false"/>
                  <w:strike w:val="false"/>
                  <w:dstrike w:val="false"/>
                  <w:color w:val="000000"/>
                  <w:sz w:val="20"/>
                  <w:u w:val="none"/>
                  <w:effect w:val="none"/>
                </w:rPr>
                <w:t>40</w:t>
              </w:r>
            </w:hyperlink>
          </w:p>
        </w:tc>
      </w:tr>
      <w:tr>
        <w:trPr/>
        <w:tc>
          <w:tcPr>
            <w:tcW w:w="8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21">
              <w:r>
                <w:rPr>
                  <w:rStyle w:val="InternetLink"/>
                  <w:rFonts w:ascii="Arial Narrow;sans-serif" w:hAnsi="Arial Narrow;sans-serif"/>
                  <w:b w:val="false"/>
                  <w:color w:val="0000FF"/>
                  <w:sz w:val="20"/>
                  <w:u w:val="single"/>
                </w:rPr>
                <w:t>PART III</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10.</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24">
              <w:r>
                <w:rPr>
                  <w:rStyle w:val="InternetLink"/>
                  <w:rFonts w:ascii="Arial Narrow;sans-serif" w:hAnsi="Arial Narrow;sans-serif"/>
                  <w:b w:val="false"/>
                  <w:color w:val="0000FF"/>
                  <w:sz w:val="20"/>
                  <w:u w:val="single"/>
                </w:rPr>
                <w:t>Directors, Executive Officers and Corporate Governance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24">
              <w:r>
                <w:rPr>
                  <w:rStyle w:val="InternetLink"/>
                  <w:rFonts w:ascii="Arial Narrow;sans-serif" w:hAnsi="Arial Narrow;sans-serif"/>
                  <w:b w:val="false"/>
                  <w:strike w:val="false"/>
                  <w:dstrike w:val="false"/>
                  <w:color w:val="000000"/>
                  <w:sz w:val="20"/>
                  <w:u w:val="none"/>
                  <w:effect w:val="none"/>
                </w:rPr>
                <w:t>40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11.</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27">
              <w:r>
                <w:rPr>
                  <w:rStyle w:val="InternetLink"/>
                  <w:rFonts w:ascii="Arial Narrow;sans-serif" w:hAnsi="Arial Narrow;sans-serif"/>
                  <w:b w:val="false"/>
                  <w:color w:val="0000FF"/>
                  <w:sz w:val="20"/>
                  <w:u w:val="single"/>
                </w:rPr>
                <w:t>Executive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27">
              <w:r>
                <w:rPr>
                  <w:rStyle w:val="InternetLink"/>
                  <w:rFonts w:ascii="Arial Narrow;sans-serif" w:hAnsi="Arial Narrow;sans-serif"/>
                  <w:b w:val="false"/>
                  <w:strike w:val="false"/>
                  <w:dstrike w:val="false"/>
                  <w:color w:val="000000"/>
                  <w:sz w:val="20"/>
                  <w:u w:val="none"/>
                  <w:effect w:val="none"/>
                </w:rPr>
                <w:t>40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12.</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30">
              <w:r>
                <w:rPr>
                  <w:rStyle w:val="InternetLink"/>
                  <w:rFonts w:ascii="Arial Narrow;sans-serif" w:hAnsi="Arial Narrow;sans-serif"/>
                  <w:b w:val="false"/>
                  <w:color w:val="0000FF"/>
                  <w:sz w:val="20"/>
                  <w:u w:val="single"/>
                </w:rPr>
                <w:t>Security Ownership of Certain Beneficial Owners and Management and Related Stockholder Matters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30">
              <w:r>
                <w:rPr>
                  <w:rStyle w:val="InternetLink"/>
                  <w:rFonts w:ascii="Arial Narrow;sans-serif" w:hAnsi="Arial Narrow;sans-serif"/>
                  <w:b w:val="false"/>
                  <w:strike w:val="false"/>
                  <w:dstrike w:val="false"/>
                  <w:color w:val="000000"/>
                  <w:sz w:val="20"/>
                  <w:u w:val="none"/>
                  <w:effect w:val="none"/>
                </w:rPr>
                <w:t>41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13.</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33">
              <w:r>
                <w:rPr>
                  <w:rStyle w:val="InternetLink"/>
                  <w:rFonts w:ascii="Arial Narrow;sans-serif" w:hAnsi="Arial Narrow;sans-serif"/>
                  <w:b w:val="false"/>
                  <w:color w:val="0000FF"/>
                  <w:sz w:val="20"/>
                  <w:u w:val="single"/>
                </w:rPr>
                <w:t>Certain Relationships and Related Transactions, and Director Independence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33">
              <w:r>
                <w:rPr>
                  <w:rStyle w:val="InternetLink"/>
                  <w:rFonts w:ascii="Arial Narrow;sans-serif" w:hAnsi="Arial Narrow;sans-serif"/>
                  <w:b w:val="false"/>
                  <w:strike w:val="false"/>
                  <w:dstrike w:val="false"/>
                  <w:color w:val="000000"/>
                  <w:sz w:val="20"/>
                  <w:u w:val="none"/>
                  <w:effect w:val="none"/>
                </w:rPr>
                <w:t>41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14.</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36">
              <w:r>
                <w:rPr>
                  <w:rStyle w:val="InternetLink"/>
                  <w:rFonts w:ascii="Arial Narrow;sans-serif" w:hAnsi="Arial Narrow;sans-serif"/>
                  <w:b w:val="false"/>
                  <w:color w:val="0000FF"/>
                  <w:sz w:val="20"/>
                  <w:u w:val="single"/>
                </w:rPr>
                <w:t>Principal Accounting Fees and Services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36">
              <w:r>
                <w:rPr>
                  <w:rStyle w:val="InternetLink"/>
                  <w:rFonts w:ascii="Arial Narrow;sans-serif" w:hAnsi="Arial Narrow;sans-serif"/>
                  <w:b w:val="false"/>
                  <w:strike w:val="false"/>
                  <w:dstrike w:val="false"/>
                  <w:color w:val="000000"/>
                  <w:sz w:val="20"/>
                  <w:u w:val="none"/>
                  <w:effect w:val="none"/>
                </w:rPr>
                <w:t>41</w:t>
              </w:r>
            </w:hyperlink>
          </w:p>
        </w:tc>
      </w:tr>
      <w:tr>
        <w:trPr/>
        <w:tc>
          <w:tcPr>
            <w:tcW w:w="8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39">
              <w:r>
                <w:rPr>
                  <w:rStyle w:val="InternetLink"/>
                  <w:rFonts w:ascii="Arial Narrow;sans-serif" w:hAnsi="Arial Narrow;sans-serif"/>
                  <w:b w:val="false"/>
                  <w:color w:val="0000FF"/>
                  <w:sz w:val="20"/>
                  <w:u w:val="single"/>
                </w:rPr>
                <w:t>PART IV</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15.</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42">
              <w:r>
                <w:rPr>
                  <w:rStyle w:val="InternetLink"/>
                  <w:rFonts w:ascii="Arial Narrow;sans-serif" w:hAnsi="Arial Narrow;sans-serif"/>
                  <w:b w:val="false"/>
                  <w:color w:val="0000FF"/>
                  <w:sz w:val="20"/>
                  <w:u w:val="single"/>
                </w:rPr>
                <w:t>Exhibits and Financial Statement Schedules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42">
              <w:r>
                <w:rPr>
                  <w:rStyle w:val="InternetLink"/>
                  <w:rFonts w:ascii="Arial Narrow;sans-serif" w:hAnsi="Arial Narrow;sans-serif"/>
                  <w:b w:val="false"/>
                  <w:strike w:val="false"/>
                  <w:dstrike w:val="false"/>
                  <w:color w:val="000000"/>
                  <w:sz w:val="20"/>
                  <w:u w:val="none"/>
                  <w:effect w:val="none"/>
                </w:rPr>
                <w:t>42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16.</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45">
              <w:r>
                <w:rPr>
                  <w:rStyle w:val="InternetLink"/>
                  <w:rFonts w:ascii="Arial Narrow;sans-serif" w:hAnsi="Arial Narrow;sans-serif"/>
                  <w:b w:val="false"/>
                  <w:color w:val="0000FF"/>
                  <w:sz w:val="20"/>
                  <w:u w:val="single"/>
                </w:rPr>
                <w:t>Form 10-K Summary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45">
              <w:r>
                <w:rPr>
                  <w:rStyle w:val="InternetLink"/>
                  <w:rFonts w:ascii="Arial Narrow;sans-serif" w:hAnsi="Arial Narrow;sans-serif"/>
                  <w:b w:val="false"/>
                  <w:strike w:val="false"/>
                  <w:dstrike w:val="false"/>
                  <w:color w:val="000000"/>
                  <w:sz w:val="20"/>
                  <w:u w:val="none"/>
                  <w:effect w:val="none"/>
                </w:rPr>
                <w:t>44</w:t>
              </w:r>
            </w:hyperlink>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48">
              <w:r>
                <w:rPr>
                  <w:rStyle w:val="InternetLink"/>
                  <w:rFonts w:ascii="Arial Narrow;sans-serif" w:hAnsi="Arial Narrow;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f4deb943854f978ddded841685322d_148">
              <w:r>
                <w:rPr>
                  <w:rStyle w:val="InternetLink"/>
                  <w:rFonts w:ascii="Arial Narrow;sans-serif" w:hAnsi="Arial Narrow;sans-serif"/>
                  <w:b w:val="false"/>
                  <w:strike w:val="false"/>
                  <w:dstrike w:val="false"/>
                  <w:color w:val="000000"/>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ind w:left="0" w:right="0" w:firstLine="900"/>
        <w:jc w:val="center"/>
        <w:rPr>
          <w:rFonts w:ascii="Arial Narrow;sans-serif" w:hAnsi="Arial Narrow;sans-serif"/>
          <w:b/>
          <w:color w:val="000000"/>
          <w:sz w:val="20"/>
        </w:rPr>
      </w:pPr>
      <w:r>
        <w:rPr>
          <w:rFonts w:ascii="Arial Narrow;sans-serif" w:hAnsi="Arial Narrow;sans-serif"/>
          <w:b/>
          <w:color w:val="000000"/>
          <w:sz w:val="20"/>
        </w:rPr>
        <w:t>FORWARD-LOOKING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this Annual Report on Form 10-K, unless the context otherwise requires, the terms “Huron,” “Company,” “we,” “us” and “our” refer to Huron Consulting Group Inc. and its subsidiaries.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Statements in this Annual Report on Form 10-K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pPr>
      <w:r>
        <w:rPr>
          <w:rFonts w:ascii="Arial Narrow;sans-serif" w:hAnsi="Arial Narrow;sans-serif"/>
          <w:b/>
          <w:color w:val="000000"/>
          <w:sz w:val="20"/>
        </w:rPr>
        <w:t>PART I</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11" w:type="dxa"/>
        <w:jc w:val="left"/>
        <w:tblInd w:w="0" w:type="dxa"/>
        <w:tblLayout w:type="fixed"/>
        <w:tblCellMar>
          <w:top w:w="28" w:type="dxa"/>
          <w:left w:w="28" w:type="dxa"/>
          <w:bottom w:w="28" w:type="dxa"/>
          <w:right w:w="28" w:type="dxa"/>
        </w:tblCellMar>
      </w:tblPr>
      <w:tblGrid>
        <w:gridCol w:w="250"/>
        <w:gridCol w:w="219"/>
        <w:gridCol w:w="221"/>
        <w:gridCol w:w="299"/>
        <w:gridCol w:w="299"/>
        <w:gridCol w:w="423"/>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BUSINESS.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Huron is a global professional services firm that partners with clients to develop growth strategies, optimize operations and accelerate digital transformation, including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headquartered in Chicago, Illinois, with additional locations in the United States and abroad in Canada, India, Singapore and Switzerland.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combination of our deep industry expertise and breadth of our offerings is the foundation of our growth strategy and why our clients choose Huron as their trusted advisor. Key focus areas of our growth strategy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Accelerating Growth in Healthcare and Education: </w:t>
      </w:r>
      <w:r>
        <w:rPr>
          <w:rFonts w:ascii="Arial Narrow;sans-serif" w:hAnsi="Arial Narrow;sans-serif"/>
          <w:b w:val="false"/>
          <w:color w:val="000000"/>
          <w:sz w:val="20"/>
        </w:rPr>
        <w:t>Huron has leading market positions in healthcare and education, providing comprehensive offerings to the largest health systems, academic medical centers, colleges and universities, and research institutes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Growing Presence in Commercial Industries: </w:t>
      </w:r>
      <w:r>
        <w:rPr>
          <w:rFonts w:ascii="Arial Narrow;sans-serif" w:hAnsi="Arial Narrow;sans-serif"/>
          <w:b w:val="false"/>
          <w:color w:val="000000"/>
          <w:sz w:val="20"/>
        </w:rPr>
        <w:t>Huron’s commercial industry focus has increased the diversification of the Company’s portfolio and end markets while expanding the range of capabilities it can deliver to clients, providing new avenues for growth and an important balance to its healthcare and education focus.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Rapidly Growing Global Digital Capability:</w:t>
      </w:r>
      <w:r>
        <w:rPr>
          <w:color w:val="000000"/>
        </w:rPr>
        <w:t xml:space="preserve"> </w:t>
      </w:r>
      <w:r>
        <w:rPr>
          <w:rFonts w:ascii="Arial Narrow;sans-serif" w:hAnsi="Arial Narrow;sans-serif"/>
          <w:b w:val="false"/>
          <w:color w:val="000000"/>
          <w:sz w:val="20"/>
        </w:rPr>
        <w:t>Huron’s ability to provide a broad portfolio of digital offerings that support the strategic and operational needs of its clients is at the foundation of the Company’s strategy. Huron will continue to advance its integrated digital platform to support its strong growth trajectory.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Solid Foundation for Margin Expansion: </w:t>
      </w:r>
      <w:r>
        <w:rPr>
          <w:rFonts w:ascii="Arial Narrow;sans-serif" w:hAnsi="Arial Narrow;sans-serif"/>
          <w:b w:val="false"/>
          <w:color w:val="000000"/>
          <w:sz w:val="20"/>
        </w:rPr>
        <w:t>The Company is well-positioned to achieve consistent margin expansion as well as strong annual adjusted diluted earnings per share growth. We are committed to operating income margin expansion by growing the areas of the business that provide the most attractive returns, improving the operational efficiency of our delivery for clients, and scaling our selling, general, and administrative expenses as we grow.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Strong Balance Sheet and Cash Flows: </w:t>
      </w:r>
      <w:r>
        <w:rPr>
          <w:rFonts w:ascii="Arial Narrow;sans-serif" w:hAnsi="Arial Narrow;sans-serif"/>
          <w:b w:val="false"/>
          <w:color w:val="000000"/>
          <w:sz w:val="20"/>
        </w:rPr>
        <w:t>Strong free cash flows have and will continue to be a hallmark of Huron’s financial strength and business model. The Company is committed to deploying capital in a strategic and balanced way, including returning capital to shareholders and executing strategic, tuck-in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Healthcare, Education, and Commercial, which align our business by industry. The Commercial segment includes all industries outside of healthcare and education, including, but not limited to, financial services and energy and utilities.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Industries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 ended December 31, 2023, we derived 49%, 32% and 19% of our consolidated revenues from our Healthcare, Education and Commercial operating segments, respectively.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cost and care delivery transformation; digital offerings, spanning technology and analytic-related services, including enterprise health record (“EHR”), enterprise resource planning (“ERP”) and enterprise performance management (“EPM”), customer relationship management (“CRM”), data management and technology managed services, and a portfolio of software products; organizational transformation; revenue cycle managed services and outsourcing; financial and capital advisory consulting; and strategy and innovation consulting.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best serve our clients, we continue to diversify our portfolio of offerings. For example, we have broadened our capabilities beyond our leading profit and loss-focused offerings (e.g., revenue cycle, cost transformation) into offerings dedicated to optimizing our clients' financial positions through financial advisory and transaction-related services; transforming care delivery models through virtual health, health equity and social determinants of health models; and evolving organizations by supporting change management and developing the next generation of leaders by applying our best practices (e.g., revenue cycle leadership).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and other education-related organizations. Our education and research-focused services and products include our digital offerings, spanning technology and analytic-related services, including student information systems, ERP and EPM, CRM, data management and technology managed services and our Huron Research Suite product suite (the leading software suite designed to facilitate and improve research administration service delivery and compliance); our research-focused consulting and managed services; and our strategy and operations consulting services, which span finance and accounting and operations to organization and talent strategy and student and academic strategy. We continue to broaden our offerings into new areas. Most recently, we expanded our research managed services, advancement, campus health and well-being, and athletics offerings.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financial advisory (special situation advisory and corporate finance advisory) services, and strategy and innovation consulting services.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Within each of our operating segments, we provide our offerings under two principal capabilities: i) Consulting and Managed Services and ii) Digital.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Consulting and Managed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managed services and outsourcing at our healthcare and education and research-focused clients, where our projects are often coupled with our digital services and product offerings and management consulting services to sustain improved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Digital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 We have invested organically and inorganically to expand our Digital offerings, which now span beyond traditional ERP implementations into a broader set of administrative systems, industry-specific systems of record and systems of engagement that act as the “digital front door” to an organization. We also have grown our data, analytics and automation offerings to deliver a unified and actionable technology ecosystem for our clients.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expanded our ecosystem to work with more than 25 technology partners. We are a Leading Modern Oracle Network Partner; a Summit-level consulting partner with Salesforce.com and a Premium Partner with Salesforce.org; a Workday Services, Preferred Channel, Extend, and Application Management Services Partner; an Amazon Web Services consulting partner; an Informatica Platinum Partner; an SAP Concur implementation partner; and a Boomi Elite Partner.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2023 Best in KLAS® report; and Huron Intelligence™ Analytic Suite in Healthcare, a predictive analytics suite to improve care delivery while lowering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CLIENTS AND INDUSTRIES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provide services to both financially sound organizations and organizations in transition across industries, including healthcare, education, financial services, energy and utilities, industrials and manufacturing, public sector and other commercial industries. Our clients span hospitals, health systems and academic medical centers; colleges, universities and research institutes; banks, asset managers, insurance companies and private equity firms; oil and gas and utilities companies; manufacturing organizations; and the federal government. In 2023, we served nearly 2,000 clients and our 10 largest clients accounted for approximately 19% of our consolidated revenues.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HUMAN CAPITAL RESOURCES AND MANAGEMENT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people are at the center of Huron’s strategy, and we are committed to providing a workplace where our talented and diverse team can thrive both personally and professionally. Success hinges on our ability to attract, engage, develop, reward, and retain highly skilled professionals. The cornerstone of our human capital strategy lies in both our mission-driven approach and an enduring belief that great leaders and engaged coaches cultivate a work environment where team members feel valued, create deep connections, and see their future with Huron. Our unwavering focus extends across every aspect of the employee journey, from the recruitment phase to post-employment or retirement. We strive to craft a personalized experience for our employees, empowering them to have a meaningful impact on our clients, communities, and each other.</w:t>
      </w:r>
    </w:p>
    <w:p>
      <w:pPr>
        <w:pStyle w:val="TextBody"/>
        <w:bidi w:val="0"/>
        <w:spacing w:lineRule="auto" w:line="288" w:before="180" w:after="283"/>
        <w:jc w:val="left"/>
        <w:rPr/>
      </w:pPr>
      <w:r>
        <w:rPr>
          <w:rFonts w:ascii="Arial Narrow;sans-serif" w:hAnsi="Arial Narrow;sans-serif"/>
          <w:b w:val="false"/>
          <w:color w:val="000000"/>
          <w:sz w:val="20"/>
        </w:rPr>
        <w:t>This commitment has consistently earned Huron external recognition, including being named a “Best Place to Work”</w:t>
      </w:r>
      <w:r>
        <w:rPr>
          <w:color w:val="3051F2"/>
        </w:rPr>
        <w:t xml:space="preserve"> </w:t>
      </w:r>
      <w:r>
        <w:rPr>
          <w:rFonts w:ascii="Arial Narrow;sans-serif" w:hAnsi="Arial Narrow;sans-serif"/>
          <w:b w:val="false"/>
          <w:color w:val="000000"/>
          <w:sz w:val="20"/>
        </w:rPr>
        <w:t>by Glassdoor in January 2024; being named a Best Firm to Work For by Consulting magazine in 2023 for the 13th consecutive year; a decade of perfect scores on the Human Rights Campaign (HRC) Foundation Corporate Equality Index (CEI); and receiving two companywide awards from Consulting magazine for diversity, equity and inclusion and retaining female talent in 2023. In addition to external recognitions, we monitor human capital-related internal metrics. Our leading measure is our quarterly employee engagement score. In addition, we regularly review voluntary turnover across a number of key variables including business unit, individual performance, geography, and demographics in order to assess the effectiveness of our employee development and total rewards programs.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 information on our people and programs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i/>
          <w:color w:val="000000"/>
          <w:sz w:val="20"/>
        </w:rPr>
        <w:t>Our People:</w:t>
      </w:r>
      <w:r>
        <w:rPr>
          <w:color w:val="000000"/>
        </w:rPr>
        <w:t xml:space="preserve"> </w:t>
      </w:r>
      <w:r>
        <w:rPr>
          <w:rFonts w:ascii="Arial Narrow;sans-serif" w:hAnsi="Arial Narrow;sans-serif"/>
          <w:b w:val="false"/>
          <w:color w:val="000000"/>
          <w:sz w:val="20"/>
        </w:rPr>
        <w:t xml:space="preserve">As of December 31, 2023, our workforce was comprised of approximately 6,480 full-time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Our nearly 240 managing directors and principals actively play a pivotal role in serving our clients, acting as strategic business advisors, coaches, and industry experts and collaborating with organizations and their leaders to tackle complex business challenges. Managing directors and principals lead our revenue-generating sales and client service efforts, innovation and the development of our intellectual capital, foster the growth of our people, and act as stewards of our organizational culture. Together, our managing directors and principals contribute significantly to our market reputation, addressing clients' challenges and ensuring the highest quality delivery of our engagements. In addition to the responsibilities listed above, our managing directors' primary focus is on propelling our business growth by selling our portfolio of offerings to generate revenue streams from both new and existing clients.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Senior directors, directors, and managers are primarily focused on managing day-to-day client relationships and our engagement teams while overseeing the delivery and quality of our work as well as developing our people and nurturing our collaborative culture.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Associates and analysts focus on ensuring client commitments are met by gathering and organizing data, conducting detailed analyses, crafting materials that synthesize information to support our recommendations, and implement financial, operational, and technology and analytic solutions to execute on the recommendations we provide to clients.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Our functional professionals, who are led by our executives and corporate vice presidents, comprise Huron’s enterprise functional teams, including corporate development, facilities, finance and accounting, human resources, information technology, legal, and marketing. These professionals offer strategic guidance and execute on initiatives on behalf of the enterprise to support our client-facing objectives and the achievement of our growth strategy.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our full-time employees, we engage temporary workers on an as-needed basis, primarily seeking specialized skills and/or experience to augment our capacity for delivering client engagements or internal initiatives.</w:t>
      </w:r>
    </w:p>
    <w:p>
      <w:pPr>
        <w:pStyle w:val="TextBody"/>
        <w:bidi w:val="0"/>
        <w:spacing w:lineRule="auto" w:line="288" w:before="180" w:after="283"/>
        <w:jc w:val="left"/>
        <w:rPr/>
      </w:pPr>
      <w:r>
        <w:rPr>
          <w:rFonts w:ascii="Arial Narrow;sans-serif" w:hAnsi="Arial Narrow;sans-serif"/>
          <w:b/>
          <w:i/>
          <w:color w:val="000000"/>
          <w:sz w:val="20"/>
        </w:rPr>
        <w:t>Development:</w:t>
      </w:r>
      <w:r>
        <w:rPr>
          <w:color w:val="000000"/>
        </w:rPr>
        <w:t xml:space="preserve"> </w:t>
      </w:r>
      <w:r>
        <w:rPr>
          <w:rFonts w:ascii="Arial Narrow;sans-serif" w:hAnsi="Arial Narrow;sans-serif"/>
          <w:b w:val="false"/>
          <w:color w:val="000000"/>
          <w:sz w:val="20"/>
        </w:rPr>
        <w:t>We know the ability to advance one’s career, growing both personally and professionally, is critical to employee retention and engagement. To facilitate this advancement, we offer a diverse array of learning and development opportunities and experiences that can be tailored to personal needs and applied to individual context. We are committed to creating learning pathways that reflect the unique needs of our diverse population, engage them in a future at Huron, and enhance our culture of belonging. We continue to: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Facilitate an interactive two-day orientation curriculum for newly hired employees to ensure a smooth induction into the organization.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Offer just-in-time, personal coaching and training opportunities that inform and prepare leaders and coaches to excel in moments that matter for our employees.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Strive to develop world class leaders, guided by our values and leadership principles, by delivering programs and opportunities, such as our Senior Director Cohort, Milestone schools and Sponsorship program, that achieve this goal by focusing on key leadership behaviors.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Provide access to a variety of learning opportunities that are offered through multiple modalities to further develop employees’ skills, including technical knowledge, EQ capabilities, team dynamics, and a proficiency in coaching and developing others.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Encourage employees to enhance their professional capabilities through external learning opportunities that certify and validate industry, functional and technical skills.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Match employees with internal onboarding stewards, performance coaches, mentors, and, in some cases, sponsors to facilitate their growth and expand their network of support.</w:t>
      </w:r>
    </w:p>
    <w:p>
      <w:pPr>
        <w:pStyle w:val="TextBody"/>
        <w:bidi w:val="0"/>
        <w:spacing w:lineRule="auto" w:line="288" w:before="180" w:after="283"/>
        <w:jc w:val="left"/>
        <w:rPr/>
      </w:pPr>
      <w:r>
        <w:rPr>
          <w:rFonts w:ascii="Arial Narrow;sans-serif" w:hAnsi="Arial Narrow;sans-serif"/>
          <w:b/>
          <w:i/>
          <w:color w:val="000000"/>
          <w:sz w:val="20"/>
        </w:rPr>
        <w:t>Total Rewards:</w:t>
      </w:r>
      <w:r>
        <w:rPr>
          <w:color w:val="000000"/>
        </w:rPr>
        <w:t xml:space="preserve"> </w:t>
      </w:r>
      <w:r>
        <w:rPr>
          <w:rFonts w:ascii="Arial Narrow;sans-serif" w:hAnsi="Arial Narrow;sans-serif"/>
          <w:b w:val="false"/>
          <w:color w:val="000000"/>
          <w:sz w:val="20"/>
        </w:rPr>
        <w:t>Our market-competitive total rewards package is a core element of our employee value proposition to attract, motivate, and retain top talent. Our philosophy is designed to pay for performance, rewarding and retaining our highest performing employees and paying competitively versus peer companies. To accomplish this, we offer employees a competitive base salary, short- and long-term variable pay incentives, and market-competitive and equitable benefits.</w:t>
      </w:r>
    </w:p>
    <w:p>
      <w:pPr>
        <w:pStyle w:val="TextBody"/>
        <w:bidi w:val="0"/>
        <w:spacing w:lineRule="auto" w:line="288" w:before="180" w:after="283"/>
        <w:jc w:val="left"/>
        <w:rPr/>
      </w:pPr>
      <w:r>
        <w:rPr>
          <w:rFonts w:ascii="Arial Narrow;sans-serif" w:hAnsi="Arial Narrow;sans-serif"/>
          <w:b/>
          <w:i/>
          <w:color w:val="000000"/>
          <w:sz w:val="20"/>
        </w:rPr>
        <w:t xml:space="preserve">Engagement: </w:t>
      </w:r>
      <w:r>
        <w:rPr>
          <w:rFonts w:ascii="Arial Narrow;sans-serif" w:hAnsi="Arial Narrow;sans-serif"/>
          <w:b w:val="false"/>
          <w:color w:val="000000"/>
          <w:sz w:val="20"/>
        </w:rPr>
        <w:t>We gauge our employee engagement success through various metrics, including: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Employee engagement and pulse scores, which was 81 in 2023 and surpassed the Glint Employee Engagement global benchmark of 76;</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Coach quality score, which was 83.5 in 2023 and above the Glint Coach Quality global benchmark of 81;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Volunteer hours in our communities, which was nearly 12,000 hours in 2023.</w:t>
      </w:r>
    </w:p>
    <w:p>
      <w:pPr>
        <w:pStyle w:val="TextBody"/>
        <w:bidi w:val="0"/>
        <w:spacing w:lineRule="auto" w:line="288" w:before="180" w:after="283"/>
        <w:jc w:val="left"/>
        <w:rPr/>
      </w:pPr>
      <w:r>
        <w:rPr>
          <w:rFonts w:ascii="Arial Narrow;sans-serif" w:hAnsi="Arial Narrow;sans-serif"/>
          <w:b/>
          <w:i/>
          <w:color w:val="000000"/>
          <w:sz w:val="20"/>
        </w:rPr>
        <w:t xml:space="preserve">Diversity, Equity and Inclusion: </w:t>
      </w:r>
      <w:r>
        <w:rPr>
          <w:rFonts w:ascii="Arial Narrow;sans-serif" w:hAnsi="Arial Narrow;sans-serif"/>
          <w:b w:val="false"/>
          <w:color w:val="000000"/>
          <w:sz w:val="20"/>
        </w:rPr>
        <w:t>Huron strives to reflect the rich diversity of the clients we serve and the communities in which we live. Our commitment to inclusion has been embedded in the organization since our founding and is fostered in our day-to-day work environment. In 2020, we renewed our commitment to holding ourselves accountable by developing a five-year diversity, equity, and inclusion action plan to help build a more equitable society. Through our achievements and actions in 2023, we continued to cultivate an inclusive culture, advance diverse representation across all levels of the organization, expand our community outreach and support, and remain committed to our pay equity strategy with on-going analysis and studies. In 2023, we: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Deepened the relationships of our senior leadership team by designating them as executive sponsors for each of our nine employee resource groups (iMatter teams) to focus on connection, awareness, advice, action, advocacy, and amplification of these communities.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Created Dinner and Dialogue series for our C-Suite to engage with, and learn directly from, small groups from our diverse communities represented by our iMatter teams as a way to enhance our Heritage month activities.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Hosted Women in Leadership summits in North America and India.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Revamped our sponsorship program, a key talent accelerator program, offering dedicated leadership coaching and C-suite exposure with sponsorship program participants focused on development and personal interests.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Launched the Women in India and Women of Color subcommunities to create spaces that specifically address the unique experiences and perspectives of women from diverse backgrounds.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learn more about how we continue to execute and expand on our diversity, equity, and inclusion action plan, please refer to our annual Corporate Social Responsibility report, which is available on our investor relations website located at ir.huronconsultinggroup.com.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CORPORATE SOCIAL RESPONSIBILITY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 mission-driven company, we recognize it is our collective responsibility to actively contribute to a sustainable and brighter future, benefiting our clients, employees, communities, and shareholders. We continue to publish an annual report highlighting the actions we have taken globally to strengthen our clients, our communities, our people and the environment. Our Corporate Social Responsibility report reflects our efforts in support of the United Nations Sustainable Development Goals (“SDGs”), particularly the five goals that are integrally aligned with our values-driven culture and the work we do for our clients: good health and well-being, quality education, gender equality, decent work and economic growth, and climate action. We have and will continue to pursue these goals through our Huron Helping Hands program, employee resource groups, sustainability efforts, and corporate partnerships. As an addendum to our Corporate Social Responsibility report, we publish a Sustainability Accounting Standards Board (“SASB”) index in line with SASB’s Professional &amp; Commercial Services standards. Our SASB index provides further quantitative and qualitative information regarding our data security programs, practices and policies, workforce diversity and engagement metrics, and our approach to promoting professional integrity and ethical behavior among our workforce, commensurate with best practices for professional services organizations.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additional information on Huron’s commitment to a more sustainable future, refer to our annual Corporate Social Responsibility report, which includes our SASB index, and is available on our investor relations website located at ir.huronconsultinggroup.com.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BUSINESS DEVELOPMENT AND MARKETING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development and marketing activities are aimed at cultivating relationships, generating leads, and building a strong brand reputation with offices of the C-suite and senior level influencers and decision makers of organizations within our core industries. We believe excellent service delivery to clients is critical to building and maintaining relationships and sustaining and strengthening our brand reputation, and we emphasize the importance of high-quality client service to all of our employees.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Currently, we generate new business opportunities through the combination of relationships our managing directors and principals have with individuals working at our prospective clients and with our technology partners and marketing activities. We also view market-based collaboration between our employees as a key component in building our business. Often, the client relationship of an employee in one area of our business leads to opportunities in another area, enhancing the opportunity to increase wallet share at a specific client. All of our managing directors and principals understand their roles in ongoing relationship and business development, which is reinforced through our compensation and incentive programs. We actively seek to identify new business opportunities and frequently receive referrals and repeat business from past and current clients. In addition, to complement the business development efforts of our managing directors, we have dedicated business development professionals who are focused exclusively on developing client relationships and generating new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COMPETITION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professional services industry is extremely competitive, highly fragmented, and constantly evolving. The industry includes a large number of participants with a variety of skills and industry expertise, including other strategy, business operations, technology, and financial advisory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We compete with a large number of service and technology providers in all of our segments. Our competitors vary, depending on the particular industry and expertise area, and we expect to continue to face competition from new market entrants.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the principal competitive factors in our market include reputation, the ability to attract and retain top talent, the capacity to manage engagements effectively to drive high value to clients, and the ability to deliver measurable and sustainable results. There is also competition on price, although to a lesser extent due to the criticality of the issues that many of our services and products address. Some competitors have a greater geographic footprint, including a broader international presence, and more resources than we do, but we believe our reputation, industry and capability expertise, and ability to deliver high-value, quality service and measurable results to our clients across a balanced portfolio of offerings and to attract and retain employees with broad capabilities and deep industry expertise enable us to compete favorably in the professional services marketplace.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AVAILABLE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file annual, quarterly and current reports, proxy statements, and other information with the Securities and Exchange Commission (the “SEC”). These filings are available on the SEC’s website at http://www.sec.gov.</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website is located at www.huronconsultinggroup.com, and our investor relations website is located at ir.huronconsultinggroup.com. We make our annual reports on Form 10-K, quarterly reports on Form 10-Q, current reports on Form 8-K, and any amendments to those reports filed or furnished pursuant to Section 13(a) or 15(d) of the Securities Exchange Act of 1934 available through our website, free of charge, as soon as reasonably practicable after we electronically file such material with, or furnish it to, the SEC.</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provide information about our business and financial performance, including our corporate profile, on the Investor Relations page of our website. Additionally, we webcast our earnings calls and certain events we participate in with members of the investment community on the Investor Relations page of our website. Further corporate governance information, including our code of ethics, code of business conduct, corporate governance guidelines, and board committee charters, is also available on the Investor Relations page of our website. The content of our websites is not incorporated by reference into this Annual Report on Form 10-K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6" w:type="dxa"/>
        <w:jc w:val="left"/>
        <w:tblInd w:w="0" w:type="dxa"/>
        <w:tblLayout w:type="fixed"/>
        <w:tblCellMar>
          <w:top w:w="28" w:type="dxa"/>
          <w:left w:w="28" w:type="dxa"/>
          <w:bottom w:w="28" w:type="dxa"/>
          <w:right w:w="28" w:type="dxa"/>
        </w:tblCellMar>
      </w:tblPr>
      <w:tblGrid>
        <w:gridCol w:w="294"/>
        <w:gridCol w:w="258"/>
        <w:gridCol w:w="259"/>
        <w:gridCol w:w="417"/>
        <w:gridCol w:w="417"/>
        <w:gridCol w:w="5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1A.</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Human Capital Resources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An inability to retain our senior management team and other managing directors would be detrimental to the success of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revenues and market our business. Further, our senior management’s and other managing directors’ personal reputations and relationships with our clients are a critical element in obtaining and maintaining client engagements. Members of our senior management team and our other managing directors could choose to leave or join one of our competitors and some of our clients could choose to use the services of that competitor instead of our services. If one or more members of our senior management team or our other managing directors leave and we cannot replace them with a suitable candidate quickly, or if legal restrictions on non-competition agreements are put into place, we could experience difficulty in securing and successfully completing engagements, managing our business properly and executing on our growth strategy, which could harm our business prospects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we are unable to hire and retain talented people in an industry where there is great competition for talent, it could have a serious negative effect on our prospects and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greater compensation and benefits or more attractive lifestyle choices, career paths, or geographic locations than we can offer.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we are unable to manage the organizational challenges associated with our continued growth, we might be unable to achieve our business objectives.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we continue to grow and evolve, it might become increasingly difficult to maintain effective standards across a large enterprise and effectively institutionalize our knowledge or to effectively change the strategy, operations or culture of our Company in a timely manner. It might also become more difficult to maintain our culture; effectively manage and monitor our people and operations; effectively communicate our core values, policies and procedures, strategies and goals; and motivate, engage and retain our people, particularly given the distribution of our employees across the U.S. and internationally, the rate of new hires, the breadth of skills and expertise across all of our solutions, and the fact that essentially all of our employees have the option to work remotely. The size and scope of our operations increase the possibility that we will have employees who expose us to unacceptable business risks, despite our efforts to train them and maintain internal controls to prevent such instances. For example, employee misconduct could involve the improper use of sensitive or confidential information entrusted to us, or obtained inappropriately, or the failure to comply with legislation or regulations regarding the protection of sensitive or confidential information, including personal data and proprietary information. Furthermore, the inappropriate use of social networking sites or artificial intelligence (“AI”) by our employees could result in breaches of confidentiality, unauthorized disclosure of nonpublic company information or damage to our reputation. If we do not continue to develop and implement the right processes and tools to manage our enterprise and instill our culture and core values into all of our employees, our ability to compete successfully and achieve our business objectives could be impaired. In addition, effective January 1, 2022, we made, and continue to make, changes to our operating model, including how we are organized as the needs and size of our business change, and if we do not successfully implement the changes, our business and results of operation may be negatively impacted.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Business Operations, Growth and Development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We may incur costs to support our business and the inability to effectively build a support structure for the business could have an adverse impact on our growth and profitability.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grown significantly since we commenced operations and have increased the number of our full-time professionals from 249 in 2002 to approximately 6,480 as of December 31, 2023. Additionally, our considerable growth has placed demands on our management and our internal systems, procedures,and controls and will continue to do so in the future. To successfully manage growth, we must periodically adjust and strengthen our operating, financial, accounting, and other systems, procedures, and controls, which may increase our total costs and may adversely affect our operating income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international operations could result in additional risks.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operate both domestically and internationally, including in Canada, Europe, Asia and the Middle East. Although historically our international operations have been limited, we intend to continue to expand internationally. Such expansion may result in additional risks or increase the acuity of risks that are not present domestically and which could adversely affect our business or our results of operations,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compliance with additional U.S. regulations and those of other nations applicable to international operations;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cultural and language differences;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employment laws, including immigration laws affecting the mobility of employees, and rules and related social and cultural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losses related to start-up costs, lack of revenue, higher costs due to low utilization, and delays in purchase decisions by prospective clients;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currency fluctuations between the U.S. dollar and foreign currencies;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potentially adverse tax consequences and limitations on our ability to utilize losses generated in our foreign operations;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different regulatory requirements and other barriers to conducting business;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different or less stable political and economic environments;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greater personal security risks for employees traveling to or located in unstable locations;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health emergencies or pandemics, including COVID-19;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civil disturbances or other catastrophic events.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Further, conducting business abroad subjects us to increased regulatory compliance and oversight. For example, we are subject to laws prohibiting certain payments to governmental officials, such as the Foreign Corrupt Practices Act, which increases the risk from our international operations relative to our competitors who do not operate outside the United States. A failure to comply with applicable regulations could result in regulatory enforcement actions as well as substantial civil and criminal penalties assessed against us and our employees.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expanding into new geographic areas and expanding current service offerings is challenging and may require integrating new employees into our company culture as well as assessing the demand in the applicable market. If we cannot manage the risks associated with new employees, new service offerings or new locations effectively, we are unlikely to be successful in these efforts, which could harm our ability to sustain profitability and our business prospects.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The Company has significant operations in India, which presents additional risks.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significant operations in India, including nearly 2,100 employees, which could subject the Company to country-specific risks or exacerbate certain other risks. For example, from time to time, India has experienced instances of civil unrest, terrorism and hostilities among neighboring countries. Terrorist attacks, military activity, rioting, or civil or political unrest in the future could influence the Indian economy and our operations by disrupting operations and communications and making travel within India more difficult and less desirable. Further, India has experienced natural disasters such as earthquakes, tsunamis, floods, landslides and drought in the past few years. The extent and severity of these natural disasters determines their impact on the Indian economy. Our operations and employees in India may be adversely affected by these or other social and political uncertainties or change, military activity, health-related risks, acts of terrorism or natural disasters. Additionally, as the overall population of India is large, and the cities in which we operate are dense, the impact of any such occurrences could have a disproportionate adverse effect on our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Additionally, the challenges presented by India’s complex business environment and heightened risk for potential corruption may increase our risk of violating applicable anti-corruption and anti-bribery laws. We face the risk that our employees or any third parties we engage to do work on our behalf may take action determined to be in violation of anti-corruption laws in any jurisdiction in which we conduct business, including the Foreign Corrupt Practices Act, India’s Prevention of Money Laundering Act, 2002 and Indian Penal Code. If we violate applicable anti-corruption laws or our internal policies designed to ensure ethical business practices, we could face financial penalties and/or reputational harm that would negatively impact our financial condition and results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Additionally, since 1991, successive Indian governments have generally pursued policies of economic liberalization and financial sector reforms, including by significantly relaxing restrictions on the private sector. Nevertheless, the role of the Indian central and state governments in the Indian economy as producers, consumers and regulators has remained significant and there is no assurance that such liberalization policies will continue. A significant change in India’s policy of economic liberalization and deregulation or any social or political uncertainties could adversely affect business and economic conditions in India generally and our business and employees in particular.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Lastly, unfavorable fluctuations in the currency exchange rate between the U.S. dollar and Indian rupee could have a material adverse effect on our results of operations. As we continue to grow our operations in India, more of our expenses will be incurred in the Indian rupee. An increase in the value of the Indian rupee against the U.S. dollar, in which our revenue is primarily recorded, could increase costs for delivery of services and decrease the profitability of our engagements that utilize our employees in India.</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Additional hiring, departures, and business acquisitions and dispositions, as well as other organizational changes, could disrupt our operations, increase our costs or otherwise harm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 the diversion of management’s time, attention, and resources from managing and marketing our Company; the potential assumption of liabilities of an acquired business; the inability to attain the expected synergies with an acquired business; and the perception of inequalities if different groups of employees are eligible for different benefits and incentives or are subject to different policies and programs.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and shutting down certain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Additionally, effective January 1, 2022, we modified our operating model to report under three industries, which are our reportable segments. The new operating model was designed to strengthen Huron's go-to-market strategy and support our growth. The full implementation across all areas of our business to effect this change may take place over several years. If we do not successfully implement and continue to refine this change to our operating model, our business and results of operation may be negatively impacted.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healthcare and education industries are areas of significant focus for our business, and factors that adversely affect the financial condition of these industries could consequently affect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derive a significant portion of our revenue from clients in the healthcare and education industries. As a result, our financial condition and results of operations could be adversely affected by conditions affecting these industries, both generally and those specific to the types of clients we serve in these industries, including hospitals and health systems, academic medical centers, and higher education institutions. The healthcare and education industries are highly regulated and are subject to changing political, legislative, regulatory, and other influences. Uncertainty in any of these areas could cause our clients to delay or postpone decisions to use our services. Existing and new federal and state laws and regulations affecting the healthcare and education industries could create unexpected liabilities for us, could cause us or our clients to incur additional costs, and could restrict our or our clients’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Additionally, regulatory and legislative changes in these industries could reduce the demand for our services, decreasing our competitive position or potentially rendering certain of our service offerings obsolete, change client buying patterns or decision making or require us to make unplanned modifications to our service offerings, which could require additional time and investment. If we fail to accurately anticipate the application of the laws and regulations affecting our clients and the industries they serve, if anticipated changes in regulation or regulatory uncertainty impact client buying patterns, or if such laws and regulations decrease our competitive position or limit the applicability of our service offerings, our results of operations and financial condition could be adversely impacted. Similarly, certain of our healthcare and education clients may experience or anticipate experiencing financial distress or face complex challenges as a result of general economic conditions or operations-specific reasons. Such clients may not have the financial resources or stakeholder support to start new projects or to continue existing projects.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Specifically with respect to healthcare,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and continue to consider further significant reforms. Due to the significant implementation issues arising under these laws and potential new legislation, it is unclear what long-term effects they will have on the healthcare industry and in turn on our business, financial condition, and results of operations. Our failure to accurately anticipate the application of new laws and regulations, or our failure to comply with such laws and regulations, could create liability for us, result in adverse publicity and negatively affect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There are many factors that could affect the purchasing practices, operations, and, ultimately, the operating funds of healthcare and education organizations, such as reimbursement policies for healthcare expenses, student loan policies or regulations, federal and state budgetary considerations, internal stakeholders’ views of engaging third-party consultants, consolidation in either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either industry, such as changes in the way that healthcare organizations are paid for their services (e.g., based on patient outcomes instead of services provided).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compromised by new legislation or interpretation of existing legislation, that client’s financial health could be adversely affected, which could adversely impact demand for our services, our sales, revenue, financial condition, and 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digital offerings are a significant focal point for our business, including a focus on the adaptation and expansion of our services and products in response to ongoing changes in customer demand, and a significant reduction in such demand or an inability to respond to the evolving technological environment could materially affect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financial results depend, in part, on our ability to continue to develop and implement services and solutions that anticipate and respond to rapid and continuing changes in technology to serve the evolving needs of our clients. Examples of areas of significant change include digital and analytic services and products, which are continually evolving. Technological developments may materially affect the cost and use of current technology by our clients and some of these technological developments may reduce and replace some of our historical services and products. This changing technological landscape may cause clients to delay spending under existing contracts and engagements and delay entering into new contracts while they evaluate new technologies. Such spending delays can negatively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Technological developments, which may be rapid, also could shift demand to new services and products. If, as a result of new technologies, our clients demand new services and products, we may be less competitive in these new areas or we may need to make significant investment in our portfolio of software products to meet that demand. Our growth strategy focuses on responding to these types of developments by driving innovation that will enable us to expand our business into new growth areas and enhance our current portfolio of software products. If we do not sufficiently invest in new technology, adapt to industry developments, evolve and expand our business at sufficient speed and scale, or make the right strategic investments, or fail to timely deliver on our product roadmap for our portfolio of software products to respond to these developments and successfully drive innovation, our services and products, our results of operations, and our ability to develop and maintain a competitive advantage and execute on our growth strategy could be adversely affected. Additionally, as we expand our services and products into these new areas, we may be exposed to operational, legal, regulatory, ethical, technological and other risks specific to such new areas, which may negatively affect our reputation and demand for our services and products.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Many of our client contracts are short-term in duration and may be terminated by our clients with little or no notice and without penalty, which may cause our operating results to be unpredictable and may result in unexpected declines in our utilization and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clients typically retain us on an engagement-by-engagement basis, rather than under long-term recurring contracts, and many of our client contracts are 12 months or less in duration. The volume of work performed for any particular client is likely to vary from year to year, and a major client in one fiscal period may not require or may decide not to use our services in any subsequent fiscal period. Moreover, a large portion of our new engagements come from existing clients. Accordingly, the failure to obtain new large engagements or multiple engagements from existing or new clients could have a material adverse effect on the amount of revenues we generate.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a large portion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elect not to approve claims against fees earned by us prior to or after the bankruptcy filing, or subject previously paid amounts to be returned to the bankruptcy estate as preferential payments under the bankruptcy code.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Conflicts of interest could preclude us from accepting engagements thereby causing decreased utilization and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the client's competitors or adversaries.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ability to maintain and attract new business depends upon our reputation, the professional reputation of our revenue-generating employees, and the quality of our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 professional services firm, our ability to secure new engagements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and clients.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consulting services industry is highly competitive and we may not be able to compete effectively.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In addition, because there are relatively low barriers to entry, we expect to continue to face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and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priced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Information Technology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is becoming increasingly dependent on information technology and will require additional investments in order to grow and meet the demands of our clients.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depend on the use of sophisticated technologies and systems. Many of our practices provide services that are increasingly dependent on the use of software applications and systems that we do not own and which could become unavailable. Moreover, our technology platforms will require continuing investments by us in order to expand existing service offerings and develop complementary services. For example, we have subscription-based offerings that require us to incur costs associated with upgrades and maintenance that could impact profit margins associated with those offerings and related services. Our future success depends on our ability to adapt our services and infrastructure while continuing to improve the performance, features, and reliability of our services in response to the evolving demands of the marketplace.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Adverse changes to our relationships with key third-party vendors or the business of our key third-party vendors could unfavorably impact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 portion of our services and solutions depend on technology or software provided by third-party vendors. Some of these third-party vendors refer potential clients to us, and others require that we obtain their permission prior to accessing their software while performing services for our clients. These third-party vendors could terminate their relationship with us without cause and with little or no notice, which could limit our service offerings and harm our financial condition and operating results. In addition, if a third-party vendor’s business changes, is reduced, or fails to adapt to changing market demands, it could adversely affect our business. Moreover, if third-party technology or software that is important to our business does not continue to be available or utilized within the marketplace, or if the services that we provide to clients are no longer relevant in the marketplace, our business may be unfavorably impacted.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We could experience system failures, service interruptions, or security breaches that could negatively impact our business.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Our organization is comprised of employees who work on matters throughout the United States and around the world.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cyberattacks created through AI,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disaster recovery processes, and crisis response plans, and where possible, obtaining insurance against such events, those steps may not be effective and there can be no assurance that any such steps can be effective against all possible risks. We will need to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Issues related to the use of artificial intelligence (“AI”) may result in reputational harm or liability that could adversely impact our business.</w:t>
      </w:r>
    </w:p>
    <w:p>
      <w:pPr>
        <w:pStyle w:val="TextBody"/>
        <w:bidi w:val="0"/>
        <w:spacing w:lineRule="auto" w:line="288" w:before="180" w:after="283"/>
        <w:jc w:val="left"/>
        <w:rPr/>
      </w:pPr>
      <w:r>
        <w:rPr>
          <w:rFonts w:ascii="Arial Narrow;sans-serif" w:hAnsi="Arial Narrow;sans-serif"/>
          <w:b w:val="false"/>
          <w:color w:val="000000"/>
          <w:sz w:val="20"/>
        </w:rPr>
        <w:t xml:space="preserve">As with many innovations, AI presents risks, challenges, and unintended consequences that could affect its adoption, and therefore our business. </w:t>
      </w:r>
      <w:r>
        <w:rPr>
          <w:rFonts w:ascii="Arial Narrow;sans-serif" w:hAnsi="Arial Narrow;sans-serif"/>
          <w:b w:val="false"/>
          <w:color w:val="000000"/>
          <w:sz w:val="20"/>
          <w:shd w:fill="FFFFFF" w:val="clear"/>
        </w:rPr>
        <w:t xml:space="preserve">We may incorporate AI solutions into our information platforms, products and services, and these technologies may become important to our operations over time. </w:t>
      </w:r>
      <w:r>
        <w:rPr>
          <w:rFonts w:ascii="Arial Narrow;sans-serif" w:hAnsi="Arial Narrow;sans-serif"/>
          <w:b w:val="false"/>
          <w:color w:val="000000"/>
          <w:sz w:val="20"/>
        </w:rPr>
        <w:t xml:space="preserve">AI technologies are complex and rapidly evolving and the technologies that we use or develop may ultimately be flawed. Additionally, leveraging AI capabilities to potentially improve our </w:t>
      </w:r>
      <w:r>
        <w:rPr>
          <w:rFonts w:ascii="Arial Narrow;sans-serif" w:hAnsi="Arial Narrow;sans-serif"/>
          <w:b w:val="false"/>
          <w:color w:val="000000"/>
          <w:sz w:val="20"/>
          <w:shd w:fill="FFFFFF" w:val="clear"/>
        </w:rPr>
        <w:t xml:space="preserve">information platforms, products and services </w:t>
      </w:r>
      <w:r>
        <w:rPr>
          <w:rFonts w:ascii="Arial Narrow;sans-serif" w:hAnsi="Arial Narrow;sans-serif"/>
          <w:b w:val="false"/>
          <w:color w:val="000000"/>
          <w:sz w:val="20"/>
        </w:rPr>
        <w:t xml:space="preserve">presents further risks and challenges. If we experience an actual or perceived breach of privacy or security incident because of the use of AI, we may lose valuable sensitive or confidential client or employee data which could damage our reputation. Further, dependence on AI without adequate safeguards to make certain business decisions may introduce additional operational vulnerabilities by impacting our relationships with customers, partners, and third-party vendors, by producing inaccurate outcomes based on flaws in the underlying data, or other unintended results.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Further, incorporating AI gives rise to litigation risk and risk of non-compliance and unknown cost of compliance, as AI is an emerging technology for which the legal and regulatory landscape is not fully developed (including potential liability for breaching intellectual property or privacy rights or laws). While new AI initiatives, laws, and regulations are emerging and evolving, what they ultimately will look like remains uncertain, and our obligation to comply with them could entail significant costs, negatively affect our business, or entirely limit our ability to incorporate certain AI capabilities into our offerings.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While we aim to use and develop AI responsibly and attempt to mitigate ethical and legal issues presented by its use, we may ultimately be unsuccessful in identifying or resolving issues before they arise.</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Legal Matters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reputation could be damaged and we could incur additional liabilities if we fail to protect client and employee data through our own accord or if our information systems are breached.</w:t>
      </w:r>
    </w:p>
    <w:p>
      <w:pPr>
        <w:pStyle w:val="TextBody"/>
        <w:bidi w:val="0"/>
        <w:spacing w:lineRule="auto" w:line="288" w:before="180" w:after="283"/>
        <w:jc w:val="left"/>
        <w:rPr/>
      </w:pPr>
      <w:r>
        <w:rPr>
          <w:rFonts w:ascii="Arial Narrow;sans-serif" w:hAnsi="Arial Narrow;sans-serif"/>
          <w:b w:val="false"/>
          <w:color w:val="000000"/>
          <w:sz w:val="20"/>
        </w:rPr>
        <w:t>We rely on information technology systems to process, transmit, and store electronic information and to communicate among our locations around the world and with our clients, partners, and employees. These locations include India, Canada, Switzerland, Singapore, and the United Kingdom, all of which have their own either recently updated or potential new data protection laws. The breadth and complexity of this infrastructure increases the potential risk of security breaches which could lead to potential unauthorized disclosure of confidential information.</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Union's General Data Protection Regulation (GDPR), which went into effect in 2018. In addition, many states, U.S. federal governmental authorities and non-U.S. jurisdictions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laws and regulations are increasing in complexity and number. If any person, including any of our employees or third-party vendors, negligently disregards or intentionally breaches our established controls or contractual obligations with respect to client or employee data, or otherwise mismanages or misappropriates that data, we could be subject to significant monetary damages, regulatory enforcement actions, fines, and/or criminal prosecution. We maintain certain insurance coverages for cybersecurity incidents through our directors and officers insurance policy, in amounts we believe to be reasonable and at a cost that is included in our general insurance premiums, but the policy limits and the breadth of coverage may be inadequate to cover any particular claim or all claims plus the cost of legal defense.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unauthorized disclosure of sensitive or confidential client or employee data, whether through systems failure, employee negligence, including the misuse of AI, fraud, or misappropriation, could damage our reputation and cause us to lose clients and their related revenue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engagements could result in professional liability, which could be very costly and hurt our reputation.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We also face increased litigation risk as a result of an expanded workforce.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could be materially adversely affected if we incur liability in connection with service offering innovation, including new or expanded service offerings.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grow our business through service offering innovation, including by entering into new or expanded lines of business beyond our core services. To the extent we enter into new or expanded lines of business, we may face new risks and uncertainties, including the possibility these new or expanded lines of business involve greater risks than our core services, that we have insufficient expertise to engage in such activities profitably or without incurring inappropriate amounts of risk, that the required investment of capital and other resources is greater than anticipated, and that we lose existing clients due to the perception that we are no longer focusing on our core business. Entry into new or expanded lines of business may also subject us to new laws and regulations with which we are not familiar and may lead to increased litigation and regulatory risk. For example, our recently launched Huron Managed Services business within the Healthcare industry provides revenue cycle managed services to hospitals and health systems. These services include the coding, preparation, submission and collection of claims for medical service to payors for reimbursement. Such claims are governed by U.S. federal and state laws. U.S. federal law provides civil liability to any persons that knowingly submit, or cause to be submitted, a claim to a payor, including Medicare, Medicaid and private health plans, seeking payment for any services or items that overbills or bills for services or items that have not been provided to the patient. U.S. federal law may also impose criminal penalties for intentionally submitting such false claims. In addition, federal and state law regulates the collection of debt and may impose monetary penalties for violating those regulations. In connection with these laws, we may be subjected to U.S. federal or state government investigations and possible penalties may be imposed upon us, false claims actions may have to be defended and private payors may file claims against us. Any investigation or proceeding related to these laws, even if unwarranted or without merit, may have a material adverse effect on our reputation, business, results of operations and financial condition.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intellectual property rights in our “Huron Consulting Group” name are important, and any inability to use that name could negatively impact our ability to build brand identity.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that establishing, maintaining, and enhancing the “Huron Consulting Group” name and “Huron” brand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Financial Management and Performance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financial results could suffer if we are unable to achieve or maintain adequate utilization and suitable billing rates for our consultants, or if we are slow to respond to the market's return to a predominantly in-person service delivery model.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profitability depends to a large extent on the utilization and billing rates of our professionals. Utilization of our professionals is affected by a number of factors,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number and size of client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timing of the commencement, completion and termination of engagements, which in many cases is unpredictable;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ability to transition our consultants efficiently from completed engagements to new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hiring of additional consultants because there is generally a transition period for new consultants that results in a temporary drop in our utilization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use of independent contractors as a substitute for hiring additional consultants;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unanticipated changes in the scope of client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ability to forecast demand for our services and thereby maintain an appropriate level of consultants;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conditions affecting the industries in which we practice as well as general economic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billing rates of our consultants that we are able to charge are also affected by a number of factors,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clients’ perception of our ability to add value through our services;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market demand for the services we provide;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an increase in the number of engagements in the government sector, which are subject to federal contracting regulations;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introduction of new services by us or our competitors;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competition and the pricing policies of our competitors;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current economic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we are unable to achieve and maintain adequate overall utilization as well as maintain or increase the billing rates for our consultants, our financial results could materially suffer. Prior to the COVID-19 pandemic, most of our consultants performed services at the physical locations of our clients. Starting in 2020, in response to the shut downs that resulted from the proliferation of the COVID-19 pandemic, substantially all of our services were delivered remotely. If we are out of step with a general market return to in-person service delivery, our business could be materially adversely affected.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quarterly and annual results of operations have fluctuated in the past and may continue to fluctuate in the future as a result of certain factors, some of which may be outside of our control.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key element of our strategy is to market our products and services directly to certain large organizations, such as health systems and acute care hospitals and public universities,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may not be able to predict with certainty the period in which revenue will be recognized.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fluctuations in our results of operations may be due to a number of other factors, some of which are not within our control,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timing and volume of client invoices processed and payments received, which may affect the fees payable to us under certain of our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client decisions regarding renewal or termination of their contracts;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amount and timing of costs related to the development or acquisition of technologies or businesses;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unforeseen legal expenses, including litigation and other settlement gains or losses.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Furthermore, we base our annual employee bonus expense, in part,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our quarterly or annual results of operations fall below the expectations of our annual and long-term forecasts, and therefore fall below the expectations of securities analysts or investors, the price of our common stock could decline substantially.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from our performance-based engagements are difficult to predict, and the timing and extent of recovery of our costs is uncertain.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certain engagement agreements under which our fees include a significant performance-based component. Performance-based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To the extent that any revenue is contingent upon the achievement of a performance target, we recognize such revenue using a process that requires us to make significant management judgments, estimates, and assumptions. While we believe that the estimates and assumptions we have used for revenue recognition are reasonable, subsequent changes could have a material impact to our future financial results.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profitability of our fixed-fee engagements with clients may not meet our expectations if we underestimate the cost of these engagements.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expansion in scope of work without a commensurate increase in fees, or unanticipated delays in connection with the performance of fixed-fee engagements, including delays caused by factors outside our control, could make these contracts less profitable or unprofitable, which would have an adverse effect on our profit margin.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performance might not be sufficient for us to meet the full-year financial guidance that we provide publicly.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or suspend such guidance during the year, the market value of our common stock could be adversely affected.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Capital Resources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obligations under our senior secured credit facility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Third Amended and Restated Security Agreement with Bank of America (the “Security Agreement”) and a Third Amended and Restated Pledge Agreement (the “Pledge Agreement”) associated with our Third Amended and Restated Credit Agreement, dated as of November 15, 2022 (as amended to date, the “Current Credit Agreement”). Pursuant to the Security Agreement and to secure our obligations under the Current Credit Agreement, we granted our lenders a first-priority lien, subject to permitted liens, on substantially all of the personal property assets that we and the subsidiary grantors own. Pursuant to the Pledge Agreement, we granted our lenders a security interest in 100% of the voting stock or other equity interests in our domestic subsidiaries and 65% of the voting stock or other equity interests in certain of our foreign subsidiaries. If we default on our obligations under the Current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Current Credit Agreement impose restrictions on our ability to engage in certain activities, such as the incurrence of additional indebtedness, certain investments, certain acquisitions and dispositions, and the payment of dividends.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indebtedness could adversely affect our ability to raise additional capital to fund our operations and obligations, expose us to interest rate risk to the extent of our variable-rate debt, and adversely affect our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December 31, 2023, the senior secured credit facility consists of a $600 million revolving credit facility under which we had outstanding indebtedness of $324.0 million that becomes due and payable in full upon maturity on November 15, 2027. Additionally, in February 2024, we established a $275 million term loan facility under the senior secured credit facility. Our ability to make scheduled payments of the principal, to pay interest, or to refinance our indebtedness, depends on our future performance. If we are unable to generate cash flow from operations sufficient to satisfy our obligations under our current indebtedness and any future indebtedness, we may be required to adopt one or more alternatives, such as reducing or delaying investments or capital expenditures, selling assets, refinancing, or obtaining additional equity capital on terms that may be onerous or dilutive. Our ability to refinance our current indebtedness or future indebtedness will depend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capital markets and our financial condition at such time. We may not be able to engage in any of these activities or engage in these activities on desirable terms, which could result in a default on the current indebtedness or future indebtedness.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our indebtedness, combined with our other financial obligations and contractual commitments, could have other important consequences such as exposing us to the risk of increased interest rates because our borrowings are at variable interest rates; making us more vulnerable to adverse changes in general U.S. and worldwide economic, industry, and competitive conditions and adverse changes in government regulation; or reducing our capacity to obtain additional financing and flexibility in planning for, or reacting to, changes in our business and our industry. Under the Current Credit Agreement, we are obligated to pay interest at either one, three or six month Term SOFR or an alternate base rate, in each case plus an applicable margin. The Current Credit Agreement replaced LIBOR with SOFR as the benchmark rate. SOFR is a relatively new reference rate, has a very limited history and is based on short-term repurchase agreements backed by Treasury securities. Changes in SOFR can be volatile and difficult to predict, and there is no assurance that SOFR will perform similarly to the way LIBOR, our previous benchmark rate, would have performed at any time. Any of these factors could materially and adversely affect our business, financial condition, and results of operations.</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Asset Impairment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total assets reflect a substantial amount of goodwill and other intangible assets. At December 31, 2023, goodwill and other intangible assets totaled $643.8 million, or 51%, of our total assets. Goodwill results from our business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 Intangible assets other than goodwill represent purchased assets that lack physical substance but can be distinguished from goodwill. Our intangible assets primarily consist of customer relationships, trade names, technology and software and non-competition agreements, all of which were acquired through business acquisitions. We evaluate our intangible assets for impairment whenever events or changes in circumstances indicate that the carrying amount of the assets may not be recoverable. During 2023, 2022 and 2021, we did not record any impairment charges on our goodwill or other intangible assets.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goodwill impairment charge is recognized and also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goodwill impairment charges.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We may incur impairment charges with respect to our convertible debt investment in Shorelight or our preferred stock investment in a hospital-at-home company.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Since 2014, we have invested $40.9 million, in the form of 1.69% convertible debt, in Shorelight Holdings, LLC (“Shorelight”), the parent company of Shorelight Education. Our investment is carried at its fair value of $68.0 million as of December 31, 2023, with unrealized holding gains and losses reported in other comprehensive income. As of December 31, 2023, our investment in Shorelight is in an unrealized gain position. If the investment were to be in an unrealized loss position due to significant credit deterioration of Shorelight, we would recognize an allowance to decrease the carrying value of the investment to the fair value, which may be reversed in the event that the credit of Shorelight improves. As of December 31, 2023, we have not recognized any credit allowance on our investment. In the future, if there are adverse developments in Shorelight's business that may be the result of events within or outside of Shorelight's control, we may incur impairment charges with respect to our convertible debt investment, which could materially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2019, we invested $5.0 million, in the form of preferred stock, in a hospital-at-home company. Our investment is carried at its fair value of $7.4 million as of December 31, 2023, with unrealized holding gains and losses reported in our results of operations when an observable price change for preferred stock issued by the company with similar rights and preferences to our preferred stock investment occurs. In the fourth quarter of 2023, we recognized a non-cash impairment loss of $26.3 million on our investment, based on the valuation established in a new round of financing expected to close in early 2024. While our investment in the company remains in a net unrealized gain position as of December 31, 2023, if there is further deterioration in the earnings performance, credit rating, or business prospects of the company, or a significant adverse change in the regulatory, economic, or technological environment of the company, we would evaluate our investment for additional impairment. If during such evaluation it was determined that the fair value of our investment was below its carrying value, we would recognize an impairment for such difference, which could materially impact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General Risk Factors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Expanding our service offerings may involve additional risks and may not be profitable.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choose to develop new service offerings or eliminate service offerings because of market opportunities or client demands. Developing new service offerings involves inherent risks,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inability to estimate demand for the new service offerings;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competition from more established market participants;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exposure to new legal and operational risks;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 lack of market understanding;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unanticipated expenses to recruit and hire qualified consultants and to market our new service offerings;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unanticipated challenges with service delivery.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capital markets, legal or regulatory requirements, and general economic or other factors beyond our control could reduce demand for our services, in which case our revenues and profitability could decline.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number of factors outside of our control affect demand for our services. These include: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fluctuations in U.S. and global economies;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U.S. or global financial markets and the availability, costs, and terms of credit;</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changes in laws and regulations;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political unrest, war, terrorism, geopolitical uncertainties, trade policies and sanctions, including the ongoing repercussions of the conflicts between Russia and Ukraine and Israel and Hamas;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other economic factors and general business conditions, including inflation, rising interest rates, and the negative impact from the COVID-19 pandemic and its downstream impacts.</w:t>
      </w:r>
    </w:p>
    <w:p>
      <w:pPr>
        <w:pStyle w:val="TextBody"/>
        <w:bidi w:val="0"/>
        <w:spacing w:lineRule="auto" w:line="288" w:before="180" w:after="283"/>
        <w:jc w:val="left"/>
        <w:rPr/>
      </w:pPr>
      <w:r>
        <w:rPr>
          <w:rFonts w:ascii="Arial Narrow;sans-serif" w:hAnsi="Arial Narrow;sans-serif"/>
          <w:b w:val="false"/>
          <w:color w:val="000000"/>
          <w:sz w:val="20"/>
        </w:rPr>
        <w:t>For example, some portion of the services we provide may be considered by our clients to be more discretionary in nature, as the demand for the services may be impacted by economic slowdowns.</w:t>
      </w:r>
      <w:r>
        <w:rPr>
          <w:color w:val="000000"/>
        </w:rPr>
        <w:t xml:space="preserve"> </w:t>
      </w:r>
      <w:r>
        <w:rPr>
          <w:rFonts w:ascii="Arial Narrow;sans-serif" w:hAnsi="Arial Narrow;sans-serif"/>
          <w:b w:val="false"/>
          <w:color w:val="000000"/>
          <w:sz w:val="20"/>
        </w:rPr>
        <w:t>We are not able to predict the positive or negative effects that future events or changes to the U.S. or global economy, financial markets, or regulatory and business environment could have on our operations.</w:t>
      </w:r>
      <w:r>
        <w:rPr>
          <w:color w:val="000000"/>
        </w:rPr>
        <w:t xml:space="preserve"> </w:t>
      </w:r>
      <w:r>
        <w:rPr>
          <w:rFonts w:ascii="Arial Narrow;sans-serif" w:hAnsi="Arial Narrow;sans-serif"/>
          <w:b w:val="false"/>
          <w:color w:val="000000"/>
          <w:sz w:val="20"/>
        </w:rPr>
        <w:t>Furthermore, as 2024 is a presidential election year, the magnitude of any such positive or negative effects is even more uncertain.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we are unable to collect our receivables or unbilled services, our results of operations, financial condition, and cash flows could be adversely affected.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depends on our ability to successfully obtain payment from our clients for the amounts owed to us for work performed. We evaluate the financial condition of our clients and usually bill and collect on relatively short cycles. We have established allowances for losses of receivables and unbilled services. We may not accurately assess the credit worthiness of our clients or macroeconomic conditions could result in financial difficulties for our clients, including bankruptcy and insolvency, such that clients may delay payments to us, request modifications to their payment arrangements that could increase our receivables balance, or default on their payment obligations to us. Actual losses on client balances could differ from those that we currently anticipate and as a result we might need to adjust our allowances. Timely collection of clients' contractual payments also depends upon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U.S. tax laws could have a material adverse effect on our business, cash flow, results of operations and financial condition.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subject to income and other taxes in the U.S. at the state and federal level and also in foreign jurisdictions. Changes in applicable U.S. state, federal or foreign tax laws and regulations, or their interpretation and application, could materially affect our tax expense and profitability.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Future changes in tax laws, treaties or regulations, and their interpretation or enforcement, may be unpredictable, particularly as taxing jurisdictions face an increasing number of political, budgetary and other fiscal challenges. Tax rates in the jurisdictions in which we operate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may change as a result of macroeconomic and other factors outside of our control, making it increasingly difficult for multinational corporations like ourselves to operate with certainty about taxation in many jurisdictions. As a result, we could be materially adversely affected by future changes in tax law or policy (or in their interpretation or enforcement) in the jurisdictions where we operate, including the United States, which could have a material adverse effect on our business, cash flow, results of operations, financial condition, as well as our effective income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05" w:type="dxa"/>
        <w:jc w:val="left"/>
        <w:tblInd w:w="0" w:type="dxa"/>
        <w:tblLayout w:type="fixed"/>
        <w:tblCellMar>
          <w:top w:w="28" w:type="dxa"/>
          <w:left w:w="28" w:type="dxa"/>
          <w:bottom w:w="28" w:type="dxa"/>
          <w:right w:w="28" w:type="dxa"/>
        </w:tblCellMar>
      </w:tblPr>
      <w:tblGrid>
        <w:gridCol w:w="294"/>
        <w:gridCol w:w="258"/>
        <w:gridCol w:w="259"/>
        <w:gridCol w:w="846"/>
        <w:gridCol w:w="846"/>
        <w:gridCol w:w="120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1B.</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UNRESOLVED STAFF COMMENTS.</w:t>
            </w:r>
          </w:p>
        </w:tc>
      </w:tr>
    </w:tbl>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02" w:type="dxa"/>
        <w:jc w:val="left"/>
        <w:tblInd w:w="0" w:type="dxa"/>
        <w:tblLayout w:type="fixed"/>
        <w:tblCellMar>
          <w:top w:w="28" w:type="dxa"/>
          <w:left w:w="28" w:type="dxa"/>
          <w:bottom w:w="28" w:type="dxa"/>
          <w:right w:w="28" w:type="dxa"/>
        </w:tblCellMar>
      </w:tblPr>
      <w:tblGrid>
        <w:gridCol w:w="294"/>
        <w:gridCol w:w="258"/>
        <w:gridCol w:w="259"/>
        <w:gridCol w:w="466"/>
        <w:gridCol w:w="466"/>
        <w:gridCol w:w="65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1C.</w:t>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CYBERSECURITY.</w:t>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Cybersecurity Risk Management and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recognize the importance of assessing, identifying, and managing material risks associated with cybersecurity threats, as such term is defined in Item 106(a) of Regulation S-K. These risks include, among other things: operational risks, malicious attacks, improper employee or contractor access, harm to employees or customers and violation of data privacy, intellectual property or security laws. Although, as of the date of this Form 10-K, Huron has not experienced a cybersecurity incident that resulted in a material adverse impact to our business or operations, there can be no guarantee that we will not experience such an incident in the future. Further details about the cybersecurity risks we face are described under Item 1A. “Risk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an enterprise-wide cybersecurity strategy that focuses on implementing risk-based controls, technologies, and other processes. We aim to incorporate industry best practices throughout our cybersecurity program, including the frameworks established by the National Institute of Standards and Technology (“NIST”), the Cybersecurity and Infrastructure Security Agency (“CISA”), and other applicable industry standards. To augment our in-house capabilities, we leverage expertise from professional services firms and/or outside counsel, as needed, to assess our cybersecurity controls, and collaborate on an ever-changing landscape. Our cybersecurity program is verified as conforming with ISO/IEC 27001:2013 and our most recent recertification was in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various mechanisms to preempt, detect and monitor cybersecurity threats, including monitoring unusual network activity, conducting annual security awareness training for employees, deploying phishing test campaigns, maintaining containment and incident response tools, and reviewing, updating and improving our Incident Response Plan annually. We also conduct tabletop exercises to simulate responses to cybersecurity incidents. During these exercises, our team of cybersecurity professionals collaborate with technical and business stakeholders across the organization to further analyze the risk to the company and form detection, mitigation, and remediation improvements. </w:t>
      </w:r>
    </w:p>
    <w:p>
      <w:pPr>
        <w:pStyle w:val="TextBody"/>
        <w:bidi w:val="0"/>
        <w:spacing w:lineRule="auto" w:line="288" w:before="180" w:after="283"/>
        <w:jc w:val="left"/>
        <w:rPr/>
      </w:pPr>
      <w:r>
        <w:rPr>
          <w:rFonts w:ascii="Arial Narrow;sans-serif" w:hAnsi="Arial Narrow;sans-serif"/>
          <w:b w:val="false"/>
          <w:color w:val="000000"/>
          <w:sz w:val="20"/>
        </w:rPr>
        <w:t>Our risk management program also assesses risks associated with third-party service providers.</w:t>
      </w:r>
      <w:r>
        <w:rPr>
          <w:color w:val="000000"/>
          <w:shd w:fill="FFFFFF" w:val="clear"/>
        </w:rPr>
        <w:t xml:space="preserve"> </w:t>
      </w:r>
      <w:r>
        <w:rPr>
          <w:rFonts w:ascii="Arial Narrow;sans-serif" w:hAnsi="Arial Narrow;sans-serif"/>
          <w:b w:val="false"/>
          <w:color w:val="000000"/>
          <w:sz w:val="20"/>
          <w:shd w:fill="FFFFFF" w:val="clear"/>
        </w:rPr>
        <w:t>S</w:t>
      </w:r>
      <w:r>
        <w:rPr>
          <w:rFonts w:ascii="Arial Narrow;sans-serif" w:hAnsi="Arial Narrow;sans-serif"/>
          <w:b w:val="false"/>
          <w:color w:val="000000"/>
          <w:sz w:val="20"/>
        </w:rPr>
        <w:t>uch providers are subject to an onboarding process and may be reevaluated periodically, such as upon detection of an increase in risk profile. We use a variety of inputs in such risk assessments, including information supplied by providers and third parties. In addition, our service providers adhere to mutually agreed upon security requirements, controls and responsibilities.</w:t>
      </w:r>
      <w:r>
        <w:rPr>
          <w:color w:val="000000"/>
          <w:shd w:fill="FFFFFF" w:val="clear"/>
        </w:rPr>
        <w:t xml:space="preserv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Cybersecurity Governance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cybersecurity program is overseen by the leaders of our Information Security functional team, which is led by our Chief Information Officer (“CIO”) who has nearly 30 years of relevant work experience. Prior to joining Huron in 2018, our CIO served in various information security and information technology roles in the professional services industry for several large, public companies and executed large-scale, global implementations of business applications and infrastructure technologies in a way that mitigates cybersecurity risks. Our CIO reports on a quarterly basis to Huron's internal Information Security Management System (“ISMS”) Committee, which has primary responsibility for assessing and managing material cybersecurity risks. The ISMS Committee, which includes members of our executive and senior leadership teams, our CIO and other functional team leaders, reviews, approves and establishes ISMS specific goals and objectives, reviews policy updates and approves the annual IT risk assessment, which identifies impacts, threats and controls related to IT assets utilized across the enterprise.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board of directors, in coordination with the board of director’s Technology and Information Security (“T&amp;IS”) Committee, oversees the governance of the Company’s technology-related risks, including information security, data protection, cybersecurity, vendor, fraud, and business continuity risks, and technology-related strategies. The T&amp;IS Committee receives quarterly updates from the CIO, including existing and new cybersecurity risks, the management and/or mitigation of such risks, material cybersecurity incidents (if any), and status on key cybersecurity initiatives. Our board also actively participates in discussions with management on cybersecurity-related news events and discusses any updates to our cybersecurity risk management and strategy programs on a timely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tbl>
      <w:tblPr>
        <w:tblW w:w="1921" w:type="dxa"/>
        <w:jc w:val="left"/>
        <w:tblInd w:w="0" w:type="dxa"/>
        <w:tblLayout w:type="fixed"/>
        <w:tblCellMar>
          <w:top w:w="28" w:type="dxa"/>
          <w:left w:w="28" w:type="dxa"/>
          <w:bottom w:w="28" w:type="dxa"/>
          <w:right w:w="28" w:type="dxa"/>
        </w:tblCellMar>
      </w:tblPr>
      <w:tblGrid>
        <w:gridCol w:w="250"/>
        <w:gridCol w:w="219"/>
        <w:gridCol w:w="221"/>
        <w:gridCol w:w="360"/>
        <w:gridCol w:w="360"/>
        <w:gridCol w:w="51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PROPERTIES.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do not own any real estate or other physical properties. Our administrative and principal executive offices are located at 550 W. Van Buren Street, Chicago, Illinois 60607. We believe that our office facilities are suitable and adequate for our business as it is presently conducted. See Note 5 “Leases” within the notes to our consolidated financial statements of this Annual Report on Form 10-K for additional information on our office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69" w:type="dxa"/>
        <w:jc w:val="left"/>
        <w:tblInd w:w="0" w:type="dxa"/>
        <w:tblLayout w:type="fixed"/>
        <w:tblCellMar>
          <w:top w:w="28" w:type="dxa"/>
          <w:left w:w="28" w:type="dxa"/>
          <w:bottom w:w="28" w:type="dxa"/>
          <w:right w:w="28" w:type="dxa"/>
        </w:tblCellMar>
      </w:tblPr>
      <w:tblGrid>
        <w:gridCol w:w="250"/>
        <w:gridCol w:w="219"/>
        <w:gridCol w:w="221"/>
        <w:gridCol w:w="579"/>
        <w:gridCol w:w="579"/>
        <w:gridCol w:w="82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LEGAL PROCEEDINGS.</w:t>
            </w:r>
          </w:p>
        </w:tc>
      </w:tr>
    </w:tbl>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Note 18 “Commitments, Contingencies and Guarantees” included within the notes to our consolidated financial statements of this Annual Report on Form 10-K.</w:t>
      </w:r>
    </w:p>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Annual Report on Form 10-K, we are not a party to any litigation or legal proceeding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94" w:type="dxa"/>
        <w:jc w:val="left"/>
        <w:tblInd w:w="0" w:type="dxa"/>
        <w:tblLayout w:type="fixed"/>
        <w:tblCellMar>
          <w:top w:w="28" w:type="dxa"/>
          <w:left w:w="28" w:type="dxa"/>
          <w:bottom w:w="28" w:type="dxa"/>
          <w:right w:w="28" w:type="dxa"/>
        </w:tblCellMar>
      </w:tblPr>
      <w:tblGrid>
        <w:gridCol w:w="250"/>
        <w:gridCol w:w="219"/>
        <w:gridCol w:w="221"/>
        <w:gridCol w:w="733"/>
        <w:gridCol w:w="733"/>
        <w:gridCol w:w="1038"/>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MINE SAFETY DISCLOSURES.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Arial Narrow;sans-serif" w:hAnsi="Arial Narrow;sans-serif"/>
          <w:b/>
          <w:color w:val="000000"/>
          <w:sz w:val="20"/>
        </w:rPr>
      </w:pPr>
      <w:r>
        <w:rPr>
          <w:rFonts w:ascii="Arial Narrow;sans-serif" w:hAnsi="Arial Narrow;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47"/>
        <w:gridCol w:w="216"/>
        <w:gridCol w:w="218"/>
        <w:gridCol w:w="2787"/>
        <w:gridCol w:w="2787"/>
        <w:gridCol w:w="3950"/>
      </w:tblGrid>
      <w:tr>
        <w:trPr/>
        <w:tc>
          <w:tcPr>
            <w:tcW w:w="2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5.</w:t>
            </w:r>
          </w:p>
        </w:tc>
        <w:tc>
          <w:tcPr>
            <w:tcW w:w="9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MARKET FOR REGISTRANT’S COMMON EQUITY, RELATED STOCKHOLDER MATTERS AND ISSUER PURCHASES OF EQUITY SECURITIES.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Market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common stock is traded on the NASDAQ Global Select Market under the symbol “HURN.” As of February 20, 2024, there were 313 registered holders of record of Huron’s common stock. A number of Huron’s stockholders hold their shares in street name; therefore, the Company believes that there are substantially more beneficial owners of its common stock.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Dividends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Securities Authorized for Issuance Under Equity Compensation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appears under Part III—Item 12. “Security Ownership of Certain Beneficial Owners and Management and Related Stockholders Matters.”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Purchases of Equity Securities by the Issuer and Affiliated Purchasers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Stock Ownership Participation Program and 2012 Omnibus Incentive Plan permit the netting of common stock upon vesting of restricted stock awards to satisfy individual tax withholding requirements. During the quarter ended December 31, 2023, we reacquired 4,686 shares of common stock with a weighted average fair market value of $103.71 as a result of such tax withholdings.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November 2020, our board of directors authorized a share repurchase program permitting us to repurchase up to $50 million of our common stock through December 31, 2021. The share repurchase program has been subsequently extended and increased, most recently in the fourth quarter of 2023. The current authorization extends the share repurchase program through December 31, 2024 with a repurchase amount of $400 million, of which $86.2 million remains available as of December 31, 2023.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provides information with respect to purchases we made of our common stock during the year ended December 31, 2023. </w:t>
      </w:r>
    </w:p>
    <w:tbl>
      <w:tblPr>
        <w:tblW w:w="10205" w:type="dxa"/>
        <w:jc w:val="left"/>
        <w:tblInd w:w="0" w:type="dxa"/>
        <w:tblLayout w:type="fixed"/>
        <w:tblCellMar>
          <w:top w:w="28" w:type="dxa"/>
          <w:left w:w="28" w:type="dxa"/>
          <w:bottom w:w="28" w:type="dxa"/>
          <w:right w:w="28" w:type="dxa"/>
        </w:tblCellMar>
      </w:tblPr>
      <w:tblGrid>
        <w:gridCol w:w="852"/>
        <w:gridCol w:w="359"/>
        <w:gridCol w:w="340"/>
        <w:gridCol w:w="109"/>
        <w:gridCol w:w="109"/>
        <w:gridCol w:w="109"/>
        <w:gridCol w:w="504"/>
        <w:gridCol w:w="440"/>
        <w:gridCol w:w="441"/>
        <w:gridCol w:w="109"/>
        <w:gridCol w:w="109"/>
        <w:gridCol w:w="109"/>
        <w:gridCol w:w="252"/>
        <w:gridCol w:w="852"/>
        <w:gridCol w:w="142"/>
        <w:gridCol w:w="109"/>
        <w:gridCol w:w="109"/>
        <w:gridCol w:w="109"/>
        <w:gridCol w:w="781"/>
        <w:gridCol w:w="781"/>
        <w:gridCol w:w="782"/>
        <w:gridCol w:w="109"/>
        <w:gridCol w:w="109"/>
        <w:gridCol w:w="109"/>
        <w:gridCol w:w="330"/>
        <w:gridCol w:w="1774"/>
        <w:gridCol w:w="267"/>
      </w:tblGrid>
      <w:tr>
        <w:trPr/>
        <w:tc>
          <w:tcPr>
            <w:tcW w:w="85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 Narrow;sans-serif" w:hAnsi="Arial Narrow;sans-serif"/>
                <w:b/>
                <w:color w:val="000000"/>
                <w:sz w:val="20"/>
              </w:rPr>
            </w:pPr>
            <w:r>
              <w:rPr>
                <w:rFonts w:ascii="Arial Narrow;sans-serif" w:hAnsi="Arial Narrow;sans-serif"/>
                <w:b/>
                <w:color w:val="000000"/>
                <w:sz w:val="20"/>
              </w:rPr>
              <w:t>Total Number </w:t>
            </w:r>
          </w:p>
          <w:p>
            <w:pPr>
              <w:pStyle w:val="TableContents"/>
              <w:bidi w:val="0"/>
              <w:spacing w:lineRule="auto" w:line="264" w:before="0" w:after="0"/>
              <w:jc w:val="center"/>
              <w:rPr/>
            </w:pPr>
            <w:r>
              <w:rPr>
                <w:rFonts w:ascii="Arial Narrow;sans-serif" w:hAnsi="Arial Narrow;sans-serif"/>
                <w:b/>
                <w:color w:val="000000"/>
                <w:sz w:val="20"/>
              </w:rPr>
              <w:t xml:space="preserve">of Shares Purchased </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 Narrow;sans-serif" w:hAnsi="Arial Narrow;sans-serif"/>
                <w:b/>
                <w:color w:val="000000"/>
                <w:sz w:val="20"/>
              </w:rPr>
            </w:pPr>
            <w:r>
              <w:rPr>
                <w:rFonts w:ascii="Arial Narrow;sans-serif" w:hAnsi="Arial Narrow;sans-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 Narrow;sans-serif" w:hAnsi="Arial Narrow;sans-serif"/>
                <w:b/>
                <w:color w:val="000000"/>
                <w:sz w:val="20"/>
              </w:rPr>
            </w:pPr>
            <w:r>
              <w:rPr>
                <w:rFonts w:ascii="Arial Narrow;sans-serif" w:hAnsi="Arial Narrow;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rial Narrow;sans-serif" w:hAnsi="Arial Narrow;sans-serif"/>
                <w:b/>
                <w:color w:val="000000"/>
                <w:sz w:val="20"/>
              </w:rPr>
              <w:t xml:space="preserve">Dollar Value of Shares that May Yet Be Purchased under the Plans or Programs </w:t>
            </w:r>
            <w:r>
              <w:rPr>
                <w:rFonts w:ascii="Arial Narrow;sans-serif" w:hAnsi="Arial Narrow;sans-serif"/>
                <w:b/>
                <w:color w:val="000000"/>
                <w:sz w:val="13"/>
              </w:rPr>
              <w:t>(2)</w:t>
            </w:r>
          </w:p>
        </w:tc>
      </w:tr>
      <w:tr>
        <w:trPr/>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First quarter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768,314</w:t>
            </w: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69.68</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632,894</w:t>
            </w:r>
            <w:r>
              <w:rPr>
                <w:color w:val="000000"/>
              </w:rPr>
              <w:t>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64,836,694</w:t>
            </w: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Second quarter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196,166</w:t>
            </w: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78.66</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193,648</w:t>
            </w:r>
            <w:r>
              <w:rPr>
                <w:color w:val="000000"/>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49,602,177</w:t>
            </w: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Third quarter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294,108</w:t>
            </w: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98.07</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290,288</w:t>
            </w:r>
            <w:r>
              <w:rPr>
                <w:color w:val="000000"/>
              </w:rPr>
              <w:t>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21,072,842</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October 1, 2023 – October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76,247 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72,081 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113,932,607 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November 1, 2023 – November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94,090 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103.35 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93,570 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104,256,878 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December 1, 2023 –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179,334 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179,334 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86,183,114 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Fourth quarter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349,671</w:t>
            </w: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101.14</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344,985</w:t>
            </w:r>
            <w:r>
              <w:rPr>
                <w:color w:val="000000"/>
              </w:rPr>
              <w:t>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86,183,114</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Full year 2023 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1,608,259</w:t>
            </w:r>
            <w:r>
              <w:rPr>
                <w:color w:val="000000"/>
              </w:rPr>
              <w:t>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82.81</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1,461,815</w:t>
            </w:r>
            <w:r>
              <w:rPr>
                <w:color w:val="000000"/>
              </w:rPr>
              <w:t> </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86,183,114</w:t>
            </w: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number of shares repurchased in the first, second and third quarters of 2023 included 135,420, 2,518, and 3,820 shares, respectively, to satisfy employee tax withholding requirements. Additionally, 4,166 shares in October and 520 shares in November were repurchased to satisfy employee tax withholding requirements. These shares do not reduce the repurchase authority under the Share Repurchase Program.</w:t>
      </w:r>
    </w:p>
    <w:p>
      <w:pPr>
        <w:pStyle w:val="TextBody"/>
        <w:bidi w:val="0"/>
        <w:spacing w:lineRule="auto" w:line="288" w:before="180" w:after="18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(2)As of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4" w:type="dxa"/>
        <w:jc w:val="left"/>
        <w:tblInd w:w="0" w:type="dxa"/>
        <w:tblLayout w:type="fixed"/>
        <w:tblCellMar>
          <w:top w:w="28" w:type="dxa"/>
          <w:left w:w="28" w:type="dxa"/>
          <w:bottom w:w="28" w:type="dxa"/>
          <w:right w:w="28" w:type="dxa"/>
        </w:tblCellMar>
      </w:tblPr>
      <w:tblGrid>
        <w:gridCol w:w="250"/>
        <w:gridCol w:w="219"/>
        <w:gridCol w:w="221"/>
        <w:gridCol w:w="294"/>
        <w:gridCol w:w="294"/>
        <w:gridCol w:w="41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6.</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[Reserved]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tbl>
      <w:tblPr>
        <w:tblW w:w="9315" w:type="dxa"/>
        <w:jc w:val="left"/>
        <w:tblInd w:w="0" w:type="dxa"/>
        <w:tblLayout w:type="fixed"/>
        <w:tblCellMar>
          <w:top w:w="28" w:type="dxa"/>
          <w:left w:w="28" w:type="dxa"/>
          <w:bottom w:w="28" w:type="dxa"/>
          <w:right w:w="28" w:type="dxa"/>
        </w:tblCellMar>
      </w:tblPr>
      <w:tblGrid>
        <w:gridCol w:w="250"/>
        <w:gridCol w:w="219"/>
        <w:gridCol w:w="221"/>
        <w:gridCol w:w="2525"/>
        <w:gridCol w:w="2525"/>
        <w:gridCol w:w="357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7.</w:t>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 OF FINANCIAL CONDITION AND RESULTS OF OPERATIONS.</w:t>
            </w:r>
          </w:p>
        </w:tc>
      </w:tr>
    </w:tbl>
    <w:p>
      <w:pPr>
        <w:pStyle w:val="TextBody"/>
        <w:bidi w:val="0"/>
        <w:spacing w:lineRule="auto" w:line="288" w:before="80" w:after="283"/>
        <w:jc w:val="left"/>
        <w:rPr/>
      </w:pPr>
      <w:r>
        <w:rPr>
          <w:rFonts w:ascii="Arial Narrow;sans-serif" w:hAnsi="Arial Narrow;sans-serif"/>
          <w:b w:val="false"/>
          <w:i/>
          <w:color w:val="000000"/>
          <w:sz w:val="20"/>
        </w:rPr>
        <w:t>Management's Discussion and Analysis of Financial Condition and Results of Operations (</w:t>
      </w:r>
      <w:r>
        <w:rPr>
          <w:color w:val="000000"/>
        </w:rPr>
        <w:t>“</w:t>
      </w:r>
      <w:r>
        <w:rPr>
          <w:rFonts w:ascii="Arial Narrow;sans-serif" w:hAnsi="Arial Narrow;sans-serif"/>
          <w:b w:val="false"/>
          <w:i/>
          <w:color w:val="000000"/>
          <w:sz w:val="20"/>
        </w:rPr>
        <w:t>MD&amp;A</w:t>
      </w:r>
      <w:r>
        <w:rPr>
          <w:color w:val="000000"/>
        </w:rPr>
        <w:t>”</w:t>
      </w:r>
      <w:r>
        <w:rPr>
          <w:rFonts w:ascii="Arial Narrow;sans-serif" w:hAnsi="Arial Narrow;sans-serif"/>
          <w:b w:val="false"/>
          <w:i/>
          <w:color w:val="000000"/>
          <w:sz w:val="20"/>
        </w:rPr>
        <w:t xml:space="preserve">) should be read in conjunction with our Consolidated Financial Statements and related notes appearing under Part II—Item 8. </w:t>
      </w:r>
      <w:r>
        <w:rPr>
          <w:color w:val="000000"/>
        </w:rPr>
        <w:t>“</w:t>
      </w:r>
      <w:r>
        <w:rPr>
          <w:rFonts w:ascii="Arial Narrow;sans-serif" w:hAnsi="Arial Narrow;sans-serif"/>
          <w:b w:val="false"/>
          <w:i/>
          <w:color w:val="000000"/>
          <w:sz w:val="20"/>
        </w:rPr>
        <w:t>Financial Statements and Supplementary Data.</w:t>
      </w:r>
      <w:r>
        <w:rPr>
          <w:color w:val="000000"/>
        </w:rPr>
        <w:t xml:space="preserve">” </w:t>
      </w:r>
      <w:r>
        <w:rPr>
          <w:rFonts w:ascii="Arial Narrow;sans-serif" w:hAnsi="Arial Narrow;sans-serif"/>
          <w:b w:val="false"/>
          <w:i/>
          <w:color w:val="000000"/>
          <w:sz w:val="20"/>
        </w:rPr>
        <w:t xml:space="preserve">The following MD&amp;A contains forward-looking statements and involves numerous risks and uncertainties, including, without limitation, those described under Part I—Item 1A. </w:t>
      </w:r>
      <w:r>
        <w:rPr>
          <w:color w:val="000000"/>
        </w:rPr>
        <w:t>“</w:t>
      </w:r>
      <w:r>
        <w:rPr>
          <w:rFonts w:ascii="Arial Narrow;sans-serif" w:hAnsi="Arial Narrow;sans-serif"/>
          <w:b w:val="false"/>
          <w:i/>
          <w:color w:val="000000"/>
          <w:sz w:val="20"/>
        </w:rPr>
        <w:t>Risk Factors</w:t>
      </w:r>
      <w:r>
        <w:rPr>
          <w:color w:val="000000"/>
        </w:rPr>
        <w:t xml:space="preserve">” </w:t>
      </w:r>
      <w:r>
        <w:rPr>
          <w:rFonts w:ascii="Arial Narrow;sans-serif" w:hAnsi="Arial Narrow;sans-serif"/>
          <w:b w:val="false"/>
          <w:i/>
          <w:color w:val="000000"/>
          <w:sz w:val="20"/>
        </w:rPr>
        <w:t xml:space="preserve">and </w:t>
      </w:r>
      <w:r>
        <w:rPr>
          <w:color w:val="000000"/>
        </w:rPr>
        <w:t>“</w:t>
      </w:r>
      <w:r>
        <w:rPr>
          <w:rFonts w:ascii="Arial Narrow;sans-serif" w:hAnsi="Arial Narrow;sans-serif"/>
          <w:b w:val="false"/>
          <w:i/>
          <w:color w:val="000000"/>
          <w:sz w:val="20"/>
        </w:rPr>
        <w:t>Forward-Looking Statements</w:t>
      </w:r>
      <w:r>
        <w:rPr>
          <w:color w:val="000000"/>
        </w:rPr>
        <w:t xml:space="preserve">” </w:t>
      </w:r>
      <w:r>
        <w:rPr>
          <w:rFonts w:ascii="Arial Narrow;sans-serif" w:hAnsi="Arial Narrow;sans-serif"/>
          <w:b w:val="false"/>
          <w:i/>
          <w:color w:val="000000"/>
          <w:sz w:val="20"/>
        </w:rPr>
        <w:t>of this Annual Report on Form 10-K. Actual results may differ materially from those contained in any forward-looking statements.</w:t>
      </w:r>
    </w:p>
    <w:p>
      <w:pPr>
        <w:pStyle w:val="TextBody"/>
        <w:bidi w:val="0"/>
        <w:spacing w:lineRule="auto" w:line="288" w:before="180" w:after="180"/>
        <w:jc w:val="left"/>
        <w:rPr/>
      </w:pPr>
      <w:r>
        <w:rPr>
          <w:rFonts w:ascii="Arial Narrow;sans-serif" w:hAnsi="Arial Narrow;sans-serif"/>
          <w:b w:val="false"/>
          <w:i/>
          <w:color w:val="000000"/>
          <w:sz w:val="20"/>
        </w:rPr>
        <w:t xml:space="preserve">The following information summarizes our results of operations for 2023, 2022 and 2021; and discusses those results of operations for 2023 compared to 2022. For a discussion of our results of operations for 2022 compared to 2021 refer to Part II—Item 7. </w:t>
      </w:r>
      <w:r>
        <w:rPr>
          <w:color w:val="000000"/>
        </w:rPr>
        <w:t>“</w:t>
      </w:r>
      <w:r>
        <w:rPr>
          <w:rFonts w:ascii="Arial Narrow;sans-serif" w:hAnsi="Arial Narrow;sans-serif"/>
          <w:b w:val="false"/>
          <w:i/>
          <w:color w:val="000000"/>
          <w:sz w:val="20"/>
        </w:rPr>
        <w:t>Management’s Discussion and Analysis of Financial Condition and Results of Operations</w:t>
      </w:r>
      <w:r>
        <w:rPr>
          <w:color w:val="000000"/>
        </w:rPr>
        <w:t xml:space="preserve">” </w:t>
      </w:r>
      <w:r>
        <w:rPr>
          <w:rFonts w:ascii="Arial Narrow;sans-serif" w:hAnsi="Arial Narrow;sans-serif"/>
          <w:b w:val="false"/>
          <w:i/>
          <w:color w:val="000000"/>
          <w:sz w:val="20"/>
        </w:rPr>
        <w:t>of the Annual Report on Form 10-K for the year ended December 31, 2022, which was filed with the United States Securities and Exchange Commission on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develop growth strategies, optimize operations and accelerate digital transformation, including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Healthcare, Education and Commercial. We also provide revenue reporting across two principal capabilities: i) Consulting and Managed Services and ii) Digital. See Part I—Item 1. “Business—Overview—Our Services” and Note 19 “Segment Information” within the notes to our consolidated financial statements for a discussion of our segments and capabilities.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revenues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from providing professional services and software products under the following four types of billing arrangements: fixed-fee (including software license revenue);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Fixed-fee (including software license revenue): In fixed-fee billing arrangements, we agree to a pre-established fee in exchange for a predetermined set of professional services. We set the fees based on our estimates of the costs and timing for completing the engagements. Fixed-fee arrangements also include software licenses for our revenue cycle management software and research administration and compliance software.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Time-and-expense: Under time-and-expense billing arrangements, we invoice our clients based on the number of hours worked by our revenue-generating professionals at agreed upon rates. Time-and-expense arrangements also include speaking engagements, conferences and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Performance-based: 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Software support, maintenance and subscriptions: 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Time-and-expense engagements do not provide us with a high degree of predictability as to performance in future periods. Unexpected changes in the demand for our services can result in significant variations in utilization and revenues and present a challenge to optimal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hiring and staffing. Moreover, our clients typically retain us on an engagement-by-engagement basis, rather than under long-term recurring contracts. The volume of work performed for any particular client can vary widely from period to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and reimbursable expenses. We manage our business on the basis of revenues before reimbursable expenses, which we believe is the most accurate reflection of our services because it eliminates the effect of reimbursable expenses that we bill to our clients at cost.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consist primarily of compensation costs for our support personnel. Also included in selling, general and administrative expenses is third-party professional fees, software licenses and data hosting expenses, rent and other office related expenses, sales and marketing related expenses, recruiting and training expenses, and practice administration and meetings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 include restructuring charges, depreciation expense, amortization expense related to internally developed software costs and amortization of intangible assets acquired in business combinations.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Other operating expenses not allocated at the segment level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also assess our results of operations using the following non-GAAP financial measures: EBITDA, adjusted EBITDA, adjusted EBITDA as a percentage of revenues,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non-GAAP financial measures include adjustments for the following items:</w:t>
      </w:r>
    </w:p>
    <w:p>
      <w:pPr>
        <w:pStyle w:val="TextBody"/>
        <w:bidi w:val="0"/>
        <w:spacing w:lineRule="auto" w:line="288" w:before="180" w:after="283"/>
        <w:jc w:val="left"/>
        <w:rPr/>
      </w:pPr>
      <w:r>
        <w:rPr>
          <w:rFonts w:ascii="Arial Narrow;sans-serif" w:hAnsi="Arial Narrow;sans-serif"/>
          <w:b w:val="false"/>
          <w:i/>
          <w:color w:val="000000"/>
          <w:sz w:val="20"/>
        </w:rPr>
        <w:t>Amortization of intangible assets:</w:t>
      </w:r>
      <w:r>
        <w:rPr>
          <w:color w:val="000000"/>
        </w:rPr>
        <w:t> </w:t>
      </w:r>
      <w:r>
        <w:rPr>
          <w:rFonts w:ascii="Arial Narrow;sans-serif" w:hAnsi="Arial Narrow;sans-serif"/>
          <w:b w:val="false"/>
          <w:color w:val="000000"/>
          <w:sz w:val="20"/>
        </w:rPr>
        <w:t>We exclude the effect of amortization of intangible assets from the calculation of adjusted net income, as it is inconsistent in its amount and frequency and is significantly affected by the timing and size of our acquisitions.</w:t>
      </w:r>
    </w:p>
    <w:p>
      <w:pPr>
        <w:pStyle w:val="TextBody"/>
        <w:bidi w:val="0"/>
        <w:spacing w:lineRule="auto" w:line="288" w:before="180" w:after="283"/>
        <w:jc w:val="left"/>
        <w:rPr/>
      </w:pPr>
      <w:r>
        <w:rPr>
          <w:rFonts w:ascii="Arial Narrow;sans-serif" w:hAnsi="Arial Narrow;sans-serif"/>
          <w:b w:val="false"/>
          <w:i/>
          <w:color w:val="000000"/>
          <w:sz w:val="20"/>
        </w:rPr>
        <w:t>Restructuring charges:</w:t>
      </w:r>
      <w:r>
        <w:rPr>
          <w:color w:val="000000"/>
        </w:rPr>
        <w:t xml:space="preserve"> </w:t>
      </w:r>
      <w:r>
        <w:rPr>
          <w:rFonts w:ascii="Arial Narrow;sans-serif" w:hAnsi="Arial Narrow;sans-serif"/>
          <w:b w:val="false"/>
          <w:color w:val="000000"/>
          <w:sz w:val="20"/>
        </w:rPr>
        <w:t xml:space="preserve">We have incurred charges due to restructuring various parts of our business. These restructuring charges have primarily consisted of costs associated with office space consolidations, including lease impairment charges and accelerated depreciation on lease-related property and equipment, and employee severance charges. In addition, restructuring charges in 2021 include costs related to the sale of the Life Sciences business in the fourth quarter of 2021. We exclude the effect of the restructuring charges from our non-GAAP measures to permit comparability with periods that were not impacted by these items. We do not include normal, recurring, cash operating expenses in our restructuring charges. </w:t>
      </w:r>
    </w:p>
    <w:p>
      <w:pPr>
        <w:pStyle w:val="TextBody"/>
        <w:bidi w:val="0"/>
        <w:spacing w:lineRule="auto" w:line="288" w:before="180" w:after="283"/>
        <w:jc w:val="left"/>
        <w:rPr/>
      </w:pPr>
      <w:r>
        <w:rPr>
          <w:rFonts w:ascii="Arial Narrow;sans-serif" w:hAnsi="Arial Narrow;sans-serif"/>
          <w:b w:val="false"/>
          <w:i/>
          <w:color w:val="000000"/>
          <w:sz w:val="20"/>
        </w:rPr>
        <w:t>Other losses (gains), net:</w:t>
      </w:r>
      <w:r>
        <w:rPr>
          <w:color w:val="000000"/>
        </w:rPr>
        <w:t> </w:t>
      </w:r>
      <w:r>
        <w:rPr>
          <w:rFonts w:ascii="Arial Narrow;sans-serif" w:hAnsi="Arial Narrow;sans-serif"/>
          <w:b w:val="false"/>
          <w:color w:val="000000"/>
          <w:sz w:val="20"/>
        </w:rPr>
        <w:t>We exclude the effects of other losses and gains, which primarily relate to changes in the estimated fair value of our liabilities for contingent consideration related to business acquisitions and litigation settlement losses and gains, to permit comparability with periods that are not impacted by these items.</w:t>
      </w:r>
    </w:p>
    <w:p>
      <w:pPr>
        <w:pStyle w:val="TextBody"/>
        <w:bidi w:val="0"/>
        <w:spacing w:lineRule="auto" w:line="288" w:before="180" w:after="283"/>
        <w:jc w:val="left"/>
        <w:rPr/>
      </w:pPr>
      <w:r>
        <w:rPr>
          <w:rFonts w:ascii="Arial Narrow;sans-serif" w:hAnsi="Arial Narrow;sans-serif"/>
          <w:b w:val="false"/>
          <w:i/>
          <w:color w:val="000000"/>
          <w:sz w:val="20"/>
        </w:rPr>
        <w:t>Transaction-related expenses</w:t>
      </w:r>
      <w:r>
        <w:rPr>
          <w:rFonts w:ascii="Arial Narrow;sans-serif" w:hAnsi="Arial Narrow;sans-serif"/>
          <w:b w:val="false"/>
          <w:color w:val="000000"/>
          <w:sz w:val="20"/>
        </w:rPr>
        <w:t>: To permit comparability with prior periods, we exclude the impact of third-party advisory, legal, and accounting fees incurred related to the evaluation and/or consummation of business acquisitions.</w:t>
      </w:r>
    </w:p>
    <w:p>
      <w:pPr>
        <w:pStyle w:val="TextBody"/>
        <w:bidi w:val="0"/>
        <w:spacing w:lineRule="auto" w:line="288" w:before="180" w:after="283"/>
        <w:jc w:val="left"/>
        <w:rPr/>
      </w:pPr>
      <w:r>
        <w:rPr>
          <w:rFonts w:ascii="Arial Narrow;sans-serif" w:hAnsi="Arial Narrow;sans-serif"/>
          <w:b w:val="false"/>
          <w:i/>
          <w:color w:val="000000"/>
          <w:sz w:val="20"/>
        </w:rPr>
        <w:t>Unrealized losses (gains) on preferred stock investment:</w:t>
      </w:r>
      <w:r>
        <w:rPr>
          <w:color w:val="000000"/>
        </w:rPr>
        <w:t xml:space="preserve"> </w:t>
      </w:r>
      <w:r>
        <w:rPr>
          <w:rFonts w:ascii="Arial Narrow;sans-serif" w:hAnsi="Arial Narrow;sans-serif"/>
          <w:b w:val="false"/>
          <w:color w:val="000000"/>
          <w:sz w:val="20"/>
        </w:rPr>
        <w:t xml:space="preserve">We exclude the effect of unrealized losses and gains related to changes in the fair value of our preferred stock investment in a hospital-at-home company arising from observable price changes or impairment losses. These unrealized losses and gains are included as a component of other income (expense), net. We believe that these unrealized losses and gains are not indicative of the ongoing performance of our business and their exclusion permits comparability with prior periods. </w:t>
      </w:r>
    </w:p>
    <w:p>
      <w:pPr>
        <w:pStyle w:val="TextBody"/>
        <w:bidi w:val="0"/>
        <w:spacing w:lineRule="auto" w:line="288" w:before="180" w:after="283"/>
        <w:jc w:val="left"/>
        <w:rPr/>
      </w:pPr>
      <w:r>
        <w:rPr>
          <w:rFonts w:ascii="Arial Narrow;sans-serif" w:hAnsi="Arial Narrow;sans-serif"/>
          <w:b w:val="false"/>
          <w:i/>
          <w:color w:val="000000"/>
          <w:sz w:val="20"/>
        </w:rPr>
        <w:t xml:space="preserve">Losses (gains) on sales of businesses: </w:t>
      </w:r>
      <w:r>
        <w:rPr>
          <w:rFonts w:ascii="Arial Narrow;sans-serif" w:hAnsi="Arial Narrow;sans-serif"/>
          <w:b w:val="false"/>
          <w:color w:val="000000"/>
          <w:sz w:val="20"/>
        </w:rPr>
        <w:t>We exclude the effect of non-operating losses and gains recognized as a result of sales of businesses as they are infrequent, management believes that these items are not indicative of the ongoing performance of our business, and their exclusion permits comparability with periods that were not impacted by such items. The 2021 gain relates to the sale of our Life Sciences business in the fourth quarter of 2021.</w:t>
      </w:r>
    </w:p>
    <w:p>
      <w:pPr>
        <w:pStyle w:val="TextBody"/>
        <w:bidi w:val="0"/>
        <w:spacing w:lineRule="auto" w:line="288" w:before="180" w:after="283"/>
        <w:jc w:val="left"/>
        <w:rPr/>
      </w:pPr>
      <w:r>
        <w:rPr>
          <w:rFonts w:ascii="Arial Narrow;sans-serif" w:hAnsi="Arial Narrow;sans-serif"/>
          <w:b w:val="false"/>
          <w:i/>
          <w:color w:val="000000"/>
          <w:sz w:val="20"/>
        </w:rPr>
        <w:t>Foreign currency transaction losses (gains), net:</w:t>
      </w:r>
      <w:r>
        <w:rPr>
          <w:color w:val="000000"/>
        </w:rPr>
        <w:t xml:space="preserve"> </w:t>
      </w:r>
      <w:r>
        <w:rPr>
          <w:rFonts w:ascii="Arial Narrow;sans-serif" w:hAnsi="Arial Narrow;sans-serif"/>
          <w:b w:val="false"/>
          <w:color w:val="000000"/>
          <w:sz w:val="20"/>
        </w:rPr>
        <w:t>We exclude the effect of foreign currency transaction losses and gains from the calculation of adjusted EBITDA because the amount of each loss or gain is significantly affected by changes in foreign exchange rates.</w:t>
      </w:r>
    </w:p>
    <w:p>
      <w:pPr>
        <w:pStyle w:val="TextBody"/>
        <w:bidi w:val="0"/>
        <w:spacing w:lineRule="auto" w:line="288" w:before="180" w:after="283"/>
        <w:jc w:val="left"/>
        <w:rPr/>
      </w:pPr>
      <w:r>
        <w:rPr>
          <w:rFonts w:ascii="Arial Narrow;sans-serif" w:hAnsi="Arial Narrow;sans-serif"/>
          <w:b w:val="false"/>
          <w:i/>
          <w:color w:val="000000"/>
          <w:sz w:val="20"/>
        </w:rPr>
        <w:t>Tax effect of adjustments:</w:t>
      </w:r>
      <w:r>
        <w:rPr>
          <w:color w:val="000000"/>
        </w:rPr>
        <w:t xml:space="preserve"> </w:t>
      </w:r>
      <w:r>
        <w:rPr>
          <w:rFonts w:ascii="Arial Narrow;sans-serif" w:hAnsi="Arial Narrow;sans-serif"/>
          <w:b w:val="false"/>
          <w:color w:val="000000"/>
          <w:sz w:val="20"/>
        </w:rPr>
        <w:t>The non-GAAP income tax adjustment reflects the incremental tax impact applicable to the non-GAAP adjustments.</w:t>
      </w:r>
    </w:p>
    <w:p>
      <w:pPr>
        <w:pStyle w:val="TextBody"/>
        <w:bidi w:val="0"/>
        <w:spacing w:lineRule="auto" w:line="288" w:before="180" w:after="283"/>
        <w:jc w:val="left"/>
        <w:rPr/>
      </w:pPr>
      <w:r>
        <w:rPr>
          <w:rFonts w:ascii="Arial Narrow;sans-serif" w:hAnsi="Arial Narrow;sans-serif"/>
          <w:b w:val="false"/>
          <w:i/>
          <w:color w:val="000000"/>
          <w:sz w:val="20"/>
        </w:rPr>
        <w:t>Income tax expense, Interest expense, net of interest income, Depreciation and amortization:</w:t>
      </w:r>
      <w:r>
        <w:rPr>
          <w:color w:val="000000"/>
        </w:rPr>
        <w:t xml:space="preserve"> </w:t>
      </w:r>
      <w:r>
        <w:rPr>
          <w:rFonts w:ascii="Arial Narrow;sans-serif" w:hAnsi="Arial Narrow;sans-serif"/>
          <w:b w:val="false"/>
          <w:color w:val="000000"/>
          <w:sz w:val="20"/>
        </w:rPr>
        <w:t xml:space="preserve">We exclude the effects of income 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Revenue-Generating Professionals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Utilization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Highlights from the year ended December 31, 2023 include: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Total revenues increased 20.3% to $1.36 billion in 2023 from $1.13 billion in 2022.</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Healthcare segment revenues increased 26.0% to $674.0 million in 2023 from $535.0 million in 2022.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Operating margin increased to 9.2% in 2023, compared to 8.8% in 2022.</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Adjusted EBITDA as a percentage of revenues increased 70 basis points to 12.3% from 11.6% in 2022.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Diluted EPS was $3.19 for 2023, compared to $3.64 for 2022. Results for 2023 and 2022 include a non-cash unrealized loss and a non-cash unrealized gain related to our investment in a hospital-at-home company, which had an unfavorable impact of $0.99 and a favorable impact of $0.96 on diluted earnings per share in 2023 and 2022, respectively.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Adjusted diluted EPS increased 43.1% to $4.91 for 2023, compared to $3.43 for 2022.</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Net cash provided by operating activities increased 58.4% to $135.3 million for 2023, compared to $85.4 million for 2022.</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Returned $123.6 million shareholders by repurchasing 1,461,815 shares of our common stock in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$229.6 million, or 20.3%, to $1.36 billion for the year ended December 31, 2023 from $1.13 billion for the year ended December 31, 2022. The increase in revenues reflects continued strength in demand for both our Consulting and Managed Services capability and Digital capability across all segments, which demonstrates our focus on accelerating growth in our healthcare and education industries and growing our presence in commercial industries.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our Consulting and Managed Services capability, revenues for the year ended December 31, 2023 increased 22.6% to $782.0 million, compared to $638.0 million for the year ended December 31, 2022, and reflected strengthened demand in all of our segments. The utilization rate within our Consulting capability increased to 76.6% in 2023, compared to 75.2% in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within our Digital capability increased 17.3% to $580.0 million for the year ended December 31, 2023, compared to $494.5 million for the year ended December 31, 2022, and reflected strengthened demand in all of our segments. The utilization rate within our Digital capability increased to 75.3% in 2023, compared to 71.0% in 2022. </w:t>
      </w:r>
    </w:p>
    <w:p>
      <w:pPr>
        <w:pStyle w:val="TextBody"/>
        <w:bidi w:val="0"/>
        <w:spacing w:lineRule="auto" w:line="288" w:before="180" w:after="283"/>
        <w:jc w:val="left"/>
        <w:rPr/>
      </w:pPr>
      <w:r>
        <w:rPr>
          <w:rFonts w:ascii="Arial Narrow;sans-serif" w:hAnsi="Arial Narrow;sans-serif"/>
          <w:b w:val="false"/>
          <w:color w:val="000000"/>
          <w:sz w:val="20"/>
        </w:rPr>
        <w:t>The total number of revenue-generating professionals increased</w:t>
      </w:r>
      <w:r>
        <w:rPr>
          <w:color w:val="000000"/>
        </w:rPr>
        <w:t xml:space="preserve"> </w:t>
      </w:r>
      <w:r>
        <w:rPr>
          <w:rFonts w:ascii="Arial Narrow;sans-serif" w:hAnsi="Arial Narrow;sans-serif"/>
          <w:b w:val="false"/>
          <w:color w:val="000000"/>
          <w:sz w:val="20"/>
        </w:rPr>
        <w:t>14.2% to 5,519 as of December 31, 2023, compared to 4,832 as of December 31, 2022, as a result of hiring to support the overall increase in demand for our services within all of our segments. We proactively plan and manage the size and composition of our workforce and take actions as needed to address changes in the anticipated demand for our services as employee compensation costs are the most significant portion of our 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margin, which is defined as operating income expressed as a percentage of revenues, increased to 9.2% for the year ended December 31, 2023, compared to 8.8% for the year ended December 31, 2022, driven by strong revenue growth that outpaced increases in operating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income was $62.5 million for the year ended December 31, 2023, compared to $75.6 million for the year ended December 31, 2022. Results for 2023 include a non-cash impairment loss of $19.4 million, net of tax, related to our investment in a hospital-at-home company; and results for 2022 include a non-cash unrealized gain of $19.8 million, net of tax, related to the same investment. Diluted earnings per share was $3.19 for 2023, compared to $3.64 for 2022. The non-cash unrealized loss related to the investment had an unfavorable impact of $0.99 on diluted earnings per share in 2023, and the non-cash unrealized gain had a favorable impact of $0.96 on diluted earnings per share in 2022. See Note 13 “Fair Value of Financial Instruments” within the notes to our consolidated financial statements for additional information on our preferred stock investment and the non-cash unrealized gains and impairment loss recognized to date. As of December 31, 2023, the investment's carrying value was $7.4 million, reflecting a net unrealized gain of $2.4 million since inception.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diluted earnings per share increased 43.1% to $4.91 for 2023 from $3.43 for 2022, driven by an increase in operating income and a reduction in diluted shares outstanding resulting from share repurchases made under our share repurchase plan.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 increased 58.4% to $135.3 million in 2023, compared to $85.4 million in 2022. The increase in net net cash provided by operating activities was primarily related to an increase in cash collections in 2023 compared to the prior year; partially offset by an increase in salaries and related expenses for our revenue-generating professionals, an increase in payments for selling, general and administrative expenses in 2023 compared to the prior year, and an increase in the amount paid for annual performance bonuses in the first quarter of 2023 compared to the first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2023, we deployed $123.6 million of capital to repurchase 1,461,815 shares of our common stock, representing 7.4% of our common stock outstanding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Summary of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for the periods indicated, selected segment and consolidated operating results and other operating data, including non-GAAP measures. The results of operations for acquired businesses have been included in our results of operations since the date of their respective acquisition.</w:t>
      </w:r>
    </w:p>
    <w:tbl>
      <w:tblPr>
        <w:tblW w:w="9600" w:type="dxa"/>
        <w:jc w:val="left"/>
        <w:tblInd w:w="0" w:type="dxa"/>
        <w:tblLayout w:type="fixed"/>
        <w:tblCellMar>
          <w:top w:w="28" w:type="dxa"/>
          <w:left w:w="28" w:type="dxa"/>
          <w:bottom w:w="28" w:type="dxa"/>
          <w:right w:w="28" w:type="dxa"/>
        </w:tblCellMar>
      </w:tblPr>
      <w:tblGrid>
        <w:gridCol w:w="1735"/>
        <w:gridCol w:w="1521"/>
        <w:gridCol w:w="1529"/>
        <w:gridCol w:w="109"/>
        <w:gridCol w:w="109"/>
        <w:gridCol w:w="109"/>
        <w:gridCol w:w="196"/>
        <w:gridCol w:w="871"/>
        <w:gridCol w:w="241"/>
        <w:gridCol w:w="109"/>
        <w:gridCol w:w="109"/>
        <w:gridCol w:w="109"/>
        <w:gridCol w:w="196"/>
        <w:gridCol w:w="871"/>
        <w:gridCol w:w="241"/>
        <w:gridCol w:w="109"/>
        <w:gridCol w:w="109"/>
        <w:gridCol w:w="109"/>
        <w:gridCol w:w="196"/>
        <w:gridCol w:w="736"/>
        <w:gridCol w:w="286"/>
      </w:tblGrid>
      <w:tr>
        <w:trPr/>
        <w:tc>
          <w:tcPr>
            <w:tcW w:w="173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78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478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4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534,999 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444,767 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131,227 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118,324 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359,835 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242,374 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78,924 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237,621 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218,499 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905,640 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and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1,398,755 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1,158,961 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926,958 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326,200 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260,176 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205,018 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127,020 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99,760 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80,036 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62,987 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Diluted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11"/>
        <w:gridCol w:w="1831"/>
        <w:gridCol w:w="1842"/>
        <w:gridCol w:w="109"/>
        <w:gridCol w:w="109"/>
        <w:gridCol w:w="109"/>
        <w:gridCol w:w="196"/>
        <w:gridCol w:w="871"/>
        <w:gridCol w:w="109"/>
        <w:gridCol w:w="109"/>
        <w:gridCol w:w="109"/>
        <w:gridCol w:w="109"/>
        <w:gridCol w:w="196"/>
        <w:gridCol w:w="871"/>
        <w:gridCol w:w="109"/>
        <w:gridCol w:w="109"/>
        <w:gridCol w:w="109"/>
        <w:gridCol w:w="109"/>
        <w:gridCol w:w="196"/>
        <w:gridCol w:w="736"/>
        <w:gridCol w:w="156"/>
      </w:tblGrid>
      <w:tr>
        <w:trPr/>
        <w:tc>
          <w:tcPr>
            <w:tcW w:w="211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84"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5784"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5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Operating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segment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w:t>
            </w:r>
            <w:r>
              <w:rPr>
                <w:rFonts w:ascii="Arial Narrow;sans-serif" w:hAnsi="Arial Narrow;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 by capability: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Consulting and Managed Services </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555,915 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905,640 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capability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Consulting and Managed Services </w:t>
            </w:r>
            <w:r>
              <w:rPr>
                <w:rFonts w:ascii="Arial Narrow;sans-serif" w:hAnsi="Arial Narrow;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1,838</w:t>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1,938</w:t>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3,776</w:t>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Utilization rate by capability </w:t>
            </w:r>
            <w:r>
              <w:rPr>
                <w:rFonts w:ascii="Arial Narrow;sans-serif" w:hAnsi="Arial Narrow;sans-serif"/>
                <w:b/>
                <w:color w:val="000000"/>
                <w:sz w:val="13"/>
              </w:rPr>
              <w:t>(4)</w:t>
            </w: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70.6%</w:t>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72.5%</w:t>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majority of our revenue-generating professionals within our Commercial segment can provide services across all of our industries, including healthcare and education.</w:t>
      </w:r>
    </w:p>
    <w:p>
      <w:pPr>
        <w:pStyle w:val="TextBody"/>
        <w:bidi w:val="0"/>
        <w:spacing w:lineRule="auto" w:line="288" w:before="60" w:after="283"/>
        <w:ind w:left="0" w:right="0" w:hanging="360"/>
        <w:jc w:val="left"/>
        <w:rPr/>
      </w:pPr>
      <w:r>
        <w:rPr>
          <w:rFonts w:ascii="Arial Narrow;sans-serif" w:hAnsi="Arial Narrow;sans-serif"/>
          <w:b w:val="false"/>
          <w:color w:val="000000"/>
          <w:sz w:val="20"/>
          <w:shd w:fill="FFFFFF" w:val="clear"/>
        </w:rPr>
        <w:t>(2)</w:t>
      </w:r>
      <w:r>
        <w:rPr>
          <w:rFonts w:ascii="Arial Narrow;sans-serif" w:hAnsi="Arial Narrow;sans-serif"/>
          <w:b w:val="false"/>
          <w:color w:val="000000"/>
          <w:sz w:val="20"/>
        </w:rPr>
        <w:t xml:space="preserve">Managed Services capability revenues within our Healthcare segment was $70.1 million, $67.6 million and $47.7 million for the years ended 2023, 2022 and 2021, respectively. </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Managed Services capability revenues within our Education segment was $19.5 million, $15.7 million and $9.1 million for the years ended 2023, 2022 and 2021, respectively. </w:t>
      </w:r>
    </w:p>
    <w:p>
      <w:pPr>
        <w:pStyle w:val="TextBody"/>
        <w:bidi w:val="0"/>
        <w:spacing w:lineRule="auto" w:line="288" w:before="60" w:after="283"/>
        <w:ind w:left="0" w:right="0" w:hanging="360"/>
        <w:jc w:val="left"/>
        <w:rPr/>
      </w:pPr>
      <w:r>
        <w:rPr>
          <w:rFonts w:ascii="Arial Narrow;sans-serif" w:hAnsi="Arial Narrow;sans-serif"/>
          <w:b w:val="false"/>
          <w:color w:val="000000"/>
          <w:sz w:val="20"/>
          <w:shd w:fill="FFFFFF" w:val="clear"/>
        </w:rPr>
        <w:t>(3)</w:t>
      </w:r>
      <w:r>
        <w:rPr>
          <w:rFonts w:ascii="Arial Narrow;sans-serif" w:hAnsi="Arial Narrow;sans-serif"/>
          <w:b w:val="false"/>
          <w:color w:val="000000"/>
          <w:sz w:val="20"/>
        </w:rPr>
        <w:t>The number of Managed Services revenue-generating professionals within our Healthcare segment was 924, 715 and 509 as of December 31, 2023, 2022 and 2021,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revenue-generating professionals within our Education segment was 103, 106 and 72 as of December 31, 2023, 2022 and 2021, respectively.</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EBITDA and Adjusted EBITDA</w:t>
      </w:r>
    </w:p>
    <w:tbl>
      <w:tblPr>
        <w:tblW w:w="10205" w:type="dxa"/>
        <w:jc w:val="left"/>
        <w:tblInd w:w="0" w:type="dxa"/>
        <w:tblLayout w:type="fixed"/>
        <w:tblCellMar>
          <w:top w:w="28" w:type="dxa"/>
          <w:left w:w="28" w:type="dxa"/>
          <w:bottom w:w="28" w:type="dxa"/>
          <w:right w:w="28" w:type="dxa"/>
        </w:tblCellMar>
      </w:tblPr>
      <w:tblGrid>
        <w:gridCol w:w="2071"/>
        <w:gridCol w:w="1819"/>
        <w:gridCol w:w="1825"/>
        <w:gridCol w:w="196"/>
        <w:gridCol w:w="871"/>
        <w:gridCol w:w="241"/>
        <w:gridCol w:w="109"/>
        <w:gridCol w:w="109"/>
        <w:gridCol w:w="109"/>
        <w:gridCol w:w="196"/>
        <w:gridCol w:w="871"/>
        <w:gridCol w:w="241"/>
        <w:gridCol w:w="109"/>
        <w:gridCol w:w="109"/>
        <w:gridCol w:w="109"/>
        <w:gridCol w:w="196"/>
        <w:gridCol w:w="736"/>
        <w:gridCol w:w="288"/>
      </w:tblGrid>
      <w:tr>
        <w:trPr/>
        <w:tc>
          <w:tcPr>
            <w:tcW w:w="207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905,640 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75,552 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62,987 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17,049 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Interest expense, net of interest income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26,347 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Earnings before interest, taxes, depreciation and amortization (EBITDA)</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129,140 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114,533 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12,401 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 (gain) on preferred stock investment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business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(31,510)</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losses (gains),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167,341 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130,840 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97,823 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 as a percentage of revenues</w:t>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10.8 </w:t>
            </w:r>
          </w:p>
        </w:tc>
        <w:tc>
          <w:tcPr>
            <w:tcW w:w="2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Adjusted Net Income and Adjusted Diluted Earnings per Share</w:t>
      </w:r>
    </w:p>
    <w:tbl>
      <w:tblPr>
        <w:tblW w:w="7377" w:type="dxa"/>
        <w:jc w:val="left"/>
        <w:tblInd w:w="0" w:type="dxa"/>
        <w:tblLayout w:type="fixed"/>
        <w:tblCellMar>
          <w:top w:w="28" w:type="dxa"/>
          <w:left w:w="28" w:type="dxa"/>
          <w:bottom w:w="28" w:type="dxa"/>
          <w:right w:w="28" w:type="dxa"/>
        </w:tblCellMar>
      </w:tblPr>
      <w:tblGrid>
        <w:gridCol w:w="1383"/>
        <w:gridCol w:w="1219"/>
        <w:gridCol w:w="1223"/>
        <w:gridCol w:w="196"/>
        <w:gridCol w:w="646"/>
        <w:gridCol w:w="109"/>
        <w:gridCol w:w="109"/>
        <w:gridCol w:w="109"/>
        <w:gridCol w:w="109"/>
        <w:gridCol w:w="196"/>
        <w:gridCol w:w="646"/>
        <w:gridCol w:w="109"/>
        <w:gridCol w:w="109"/>
        <w:gridCol w:w="109"/>
        <w:gridCol w:w="109"/>
        <w:gridCol w:w="196"/>
        <w:gridCol w:w="646"/>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Weighted average shares - diluted</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21,809 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Diluted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 (gain) on preferred stock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business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 of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adjustments,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weighted average shares - diluted</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21,809 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diluted earnings per share</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Year Ended December 31, 2023 Compared to Year Ended December 31, 2022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by segment and capability for the years ended December 31, 2023 and 2022 were as follows:</w:t>
      </w:r>
    </w:p>
    <w:tbl>
      <w:tblPr>
        <w:tblW w:w="8002" w:type="dxa"/>
        <w:jc w:val="left"/>
        <w:tblInd w:w="0" w:type="dxa"/>
        <w:tblLayout w:type="fixed"/>
        <w:tblCellMar>
          <w:top w:w="28" w:type="dxa"/>
          <w:left w:w="28" w:type="dxa"/>
          <w:bottom w:w="28" w:type="dxa"/>
          <w:right w:w="28" w:type="dxa"/>
        </w:tblCellMar>
      </w:tblPr>
      <w:tblGrid>
        <w:gridCol w:w="922"/>
        <w:gridCol w:w="812"/>
        <w:gridCol w:w="815"/>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33"/>
        <w:gridCol w:w="233"/>
        <w:gridCol w:w="286"/>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2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$229.6 million, or 20.3%, to $1.36 billion for the year ended December 31, 2023 from $1.13 billion for the year ended December 31, 2022. The overall increase in revenues reflects continued strength in demand for both our Consulting and Managed Services capability and Digital capability across all segments, which demonstrates our focus on accelerating growth in our healthcare and education industries and growing our presence in commercial industries.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revenues increased $139.0 million, or 26.0%, driven by strengthened demand for our performance improvement, financial advisory and strategy and innovation solutions within our Consulting and Managed Services capability, as well as strengthened demand for our technology and analytics services within our Digital capability. Revenues for the year ended December 31, 2023 included $1.1 million of incremental revenues from our acquisitions of Customer Evolution, LLC and Roundtable Analytics, Inc, which were completed in December 2022 and September 2023,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Healthcare segment grew 20.1% to 2,270 as of December 31, 2023, compared to 1,890 as of December 31, 2022.</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revenues increased $69.8 million, or 19.4%, driven by strengthened demand for our technology and analytics services and software products within our Digital capability, as well as strengthened demand for our strategy and operations and research solutions within our Consulting and Managed Services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Education segment grew 13.2% to 1,788 as of December 31, 2023, compared to 1,579 as of December 31, 2022.</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revenues increased $20.8 million, or 8.7%, driven by strengthened demand for our financial advisory solutions within our Consulting and Managed Services capability and our technology and analytics services within our Digital capability, partially offset by a decrease in demand for our strategy and innovation solution within our Consulting and Managed Services capability.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Commercial segment grew 7.2% to 1,461 as of December 31, 2023, compared to 1,363 as of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year ended December 31, 2023 increased $214.2 million, or 20.2%, over the year ended December 31,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were as follows:</w:t>
      </w:r>
    </w:p>
    <w:tbl>
      <w:tblPr>
        <w:tblW w:w="10205" w:type="dxa"/>
        <w:jc w:val="left"/>
        <w:tblInd w:w="0" w:type="dxa"/>
        <w:tblLayout w:type="fixed"/>
        <w:tblCellMar>
          <w:top w:w="28" w:type="dxa"/>
          <w:left w:w="28" w:type="dxa"/>
          <w:bottom w:w="28" w:type="dxa"/>
          <w:right w:w="28" w:type="dxa"/>
        </w:tblCellMar>
      </w:tblPr>
      <w:tblGrid>
        <w:gridCol w:w="1409"/>
        <w:gridCol w:w="1198"/>
        <w:gridCol w:w="1202"/>
        <w:gridCol w:w="109"/>
        <w:gridCol w:w="109"/>
        <w:gridCol w:w="109"/>
        <w:gridCol w:w="196"/>
        <w:gridCol w:w="871"/>
        <w:gridCol w:w="109"/>
        <w:gridCol w:w="109"/>
        <w:gridCol w:w="109"/>
        <w:gridCol w:w="109"/>
        <w:gridCol w:w="161"/>
        <w:gridCol w:w="161"/>
        <w:gridCol w:w="163"/>
        <w:gridCol w:w="109"/>
        <w:gridCol w:w="109"/>
        <w:gridCol w:w="109"/>
        <w:gridCol w:w="196"/>
        <w:gridCol w:w="871"/>
        <w:gridCol w:w="109"/>
        <w:gridCol w:w="109"/>
        <w:gridCol w:w="109"/>
        <w:gridCol w:w="109"/>
        <w:gridCol w:w="161"/>
        <w:gridCol w:w="161"/>
        <w:gridCol w:w="163"/>
        <w:gridCol w:w="109"/>
        <w:gridCol w:w="109"/>
        <w:gridCol w:w="109"/>
        <w:gridCol w:w="258"/>
        <w:gridCol w:w="971"/>
        <w:gridCol w:w="210"/>
      </w:tblGrid>
      <w:tr>
        <w:trPr/>
        <w:tc>
          <w:tcPr>
            <w:tcW w:w="140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8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38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785,881 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156,816 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48,107 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1,273,407 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1,059,201 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214,206 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increased $156.8 million, or 20.0%, to $942.7 million for the year ended December 31, 2023 from $785.9 million for the year ended December 31, 2022. The $156.8 million increase primarily related to a $143.2 million increase in compensation costs for our revenue-generating professionals as we continue to invest in and grow our talented team to meet increased market demand. Specifically, the increase in compensation costs is primarily attributable to a $92.7 million increase in salaries and related expenses driven by increased headcount and annual salary increases that went into effect in the first quarter of 2023, a $42.7 million increase in performance bonus expense, and a $6.9 million increase in share-based compensation expense. Additional increases in direct costs include a $6.2 million increase in technology costs, and a $4.0 million increase in contractor expenses. As a percentage of revenues, direct costs decreased to 69.2% during 2023, compared to 69.4% during 2022. The decrease was primarily due to revenue growth that outpaced the increase in salaries and related expenses for our revenue-generating professionals; largely offset by an increase in performance bonus expense, as a percentage of revenue.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$48.1 million, or 23.0%, to $257.5 million for the year ended December 31, 2023 from $209.4 million for the year ended December 31, 2022. The $48.1 million increase primarily related to a $37.2 million increase in compensation costs for our support personnel driven by a $14.4 million increase in salaries and related expenses, a $12.3 million increase in deferred compensation expense attributable to the change in market value of our deferred compensation liability, a $5.9 million increase in share-based compensation expense, and a $4.8 million increase in performance bonus expense. The increase in deferred compensation expense is offset by an increase in the gain recognized for the change in the market value of investments that are used to fund our deferred compensation liability and recognized in other income (expense), net. Additionally, selling, general and administrative expenses increased $10.8 million for non-payroll costs driven by a $3.3 million increase in promotion and marketing expenses, a $2.8 million increase in practice administration and meetings expenses, a $2.6 million increase in legal expenses, and a $1.6 million increase in software and data hosting expenses. As a percentage of revenues, selling, general and administrative expenses increased to 18.9% during 2023, compared to 18.5% during 2022. This increase was primarily attributable to the increase in deferred compensation expense attributable to the change in market value of our deferred compensation liability, as a percentage of revenues; partially offset by revenue growth that outpaced the increases in total non-payroll costs.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year ended December 31, 2023 were $11.6 million, compared to $9.9 million for the year ended December 31, 2022. During 2023, we exited our office spaces in Hillsboro, Oregon and Lexington, Massachusetts, resulting in non-cash impairment charges of $1.9 million and $3.5 million, respectively, on the related right-of-use operating lease assets and fixed assets. Additionally, restructuring charges incurred in 2023 included $3.0 million of severance-related expenses; $1.8 million for rent and related expenses, net of sublease income, for previously vacated office spaces; $0.9 million related to non-cash lease impairment charges driven by updated sublease assumptions for previously vacated office spaces; and $0.3 million related to the abandonment of a capitalized software development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before="180" w:after="283"/>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$9.9 million of restructuring charges incurred in 2022 included $5.7 million of severance-related expenses; $2.3 million for rent and related expenses, net of sublease income, for previously vacated office spaces; $0.7 million for third-party professional advisory fees related to the modification of our operating model; and $0.6 million for the early termination of a contract.</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decreased $2.5 million, or 9.0%, to $24.9 million for the year ended December 31, 2023, compared to $27.4 million for the year ended December 31, 2022. The $2.5 million decrease in depreciation and amortization expense was primarily attributable to intangible assets acquired in business acquisitions that were fully amortized in prior periods and a decrease in amortization of intangible assets acquired in business acquisitions due to the accelerated basis of amortization in prior periods.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 and Operating Margin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increased $25.6 million to $125.3 million for the year ended December 31, 2023 from $99.8 million for the year ended December 31, 2022. Operating margin, which is defined as operating income expressed as a percentage of revenues, increased to 9.2% for 2023, compared to 8.8% for 2022.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is as follows. See the Segment and Consolidated Operating Results table above for a reconciliation of our total segment operating income to consolidated Huron operating income. </w:t>
      </w:r>
    </w:p>
    <w:tbl>
      <w:tblPr>
        <w:tblW w:w="10205" w:type="dxa"/>
        <w:jc w:val="left"/>
        <w:tblInd w:w="0" w:type="dxa"/>
        <w:tblLayout w:type="fixed"/>
        <w:tblCellMar>
          <w:top w:w="28" w:type="dxa"/>
          <w:left w:w="28" w:type="dxa"/>
          <w:bottom w:w="28" w:type="dxa"/>
          <w:right w:w="28" w:type="dxa"/>
        </w:tblCellMar>
      </w:tblPr>
      <w:tblGrid>
        <w:gridCol w:w="1470"/>
        <w:gridCol w:w="1292"/>
        <w:gridCol w:w="1296"/>
        <w:gridCol w:w="109"/>
        <w:gridCol w:w="109"/>
        <w:gridCol w:w="109"/>
        <w:gridCol w:w="196"/>
        <w:gridCol w:w="736"/>
        <w:gridCol w:w="109"/>
        <w:gridCol w:w="109"/>
        <w:gridCol w:w="109"/>
        <w:gridCol w:w="109"/>
        <w:gridCol w:w="164"/>
        <w:gridCol w:w="164"/>
        <w:gridCol w:w="165"/>
        <w:gridCol w:w="109"/>
        <w:gridCol w:w="109"/>
        <w:gridCol w:w="109"/>
        <w:gridCol w:w="196"/>
        <w:gridCol w:w="736"/>
        <w:gridCol w:w="109"/>
        <w:gridCol w:w="109"/>
        <w:gridCol w:w="109"/>
        <w:gridCol w:w="109"/>
        <w:gridCol w:w="164"/>
        <w:gridCol w:w="164"/>
        <w:gridCol w:w="165"/>
        <w:gridCol w:w="109"/>
        <w:gridCol w:w="109"/>
        <w:gridCol w:w="109"/>
        <w:gridCol w:w="281"/>
        <w:gridCol w:w="934"/>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41,673 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20,174 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66,024 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$41.7 million, or 31.8%, primarily due to the increase in revenues; partially offset by increases in compensation costs for our revenue-generating professionals, contractor expenses, and compensation costs for our support personnel. The increases in compensation costs for our revenue-generating professionals and support personnel were primarily driven by an increase in headcount, annual salary increases that went into effect in the first quarter of 2023, an increase in performance bonus expense, and an increase in share-based compensation expense. Healthcare operating margin increased to 25.7% from 24.5% primarily due to the revenue growth that outpaced the increase in compensation costs for our revenue-generating professionals; partially offset by an increase in contractor expenses, as a percentage of revenues.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operating income increased $20.2 million, or 25.6%, primarily due to the increase in revenues as well as decreases in contractor expenses, restructuring charges, and software and data hosting expenses; partially offset by increases in compensation costs for our revenue-generating professionals, technology expenses, practice administration and meetings expenses, and promotion and marketing expenses. The increases in compensation costs for our revenue-generating professionals were primarily driven by an increase in headcount, annual salary increases that went into effect in the first quarter of 2023, and an increase in performance bonus expense. Education operating margin increased to 23.1% from 21.9% primarily driven by decreases in contractor expenses and restructuring charges; partially offset by increases in compensation costs for our revenue-generating professionals and technology expenses, as percentages of revenue.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operating income increased $4.2 million, or 8.3%, primarily due to the increase in revenues as well as a decrease in contractor expenses; partially offset by increases in compensation costs for our revenue-generating professionals, promotion and marketing expenses, and practice administration and meetings expenses. The increase in compensation costs for our revenue-generating professionals was primarily driven by an increase in performance bonus expense, an increase in headcount, and annual salary increases that went into effect in the first quarter of 2023. Commercial operating margin decreased slightly to 21.0% from 21.1% primarily driven by increases in compensation costs for our revenue-generating professionals and non-payroll selling, general and administrative costs, as percentages of revenues; partially offset by the decrease in contractor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$7.7 million to $19.6 million for the year ended December 31, 2023 from $11.9 million for the year ended December 31, 2022, which was primarily attributable to higher interest rates and higher levels of borrowing under our credit facility in 2023 compared to 2022. See “Liquidity and Capital Resources” below and Note 7 “Financing Arrangements” within the notes to our consolidated financial statements for additional information on our senior secured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 decreased $42.6 million to expense of $21.9 million for the year ended December 31, 2023 from income of $20.7 million for the year ended December 31, 2022. The decrease in other income, net was primarily attributable to changes in the fair value of our preferred stock investment in a hospital-at-home company. In the fourth quarter of 2023, we recognized a non-cash impairment loss of $26.3 million on our preferred stock investment based on the valuation established in a new round of financing expected to close in early 2024. In the first quarter of 2022, we recognized a non-cash unrealized gain of $27.0 million for the same investment, based on the valuation established in a round of financing that closed that quarter. As of December 31, 2023, the investment's carrying value was $7.4 million, reflecting a net unrealized gain of $2.4 million on the investment since inception. See Note 13 “Fair Value of Financial Instruments” within the notes to our consolidated financial statements for additional information on our preferred stock investment. This decrease in other income, net was partially offset by a $12.2 million increase in the gain recognized for the market value of our investments that are used to fund our deferred compensation liability. During 2023 we recognized a $4.8 million gain for the market value of our deferred compensation investments compared to a $7.4 million loss recognized in 2022.</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 ended December 31, 2023, our effective tax rate was 25.5% as we recognized income tax expense of $21.4 million on income of $83.9 million. The effective tax rate of 25.5% was more favorable than the statutory rate, inclusive of state income taxes, of 26.2%, primarily due to a discrete tax benefit for share-based compensation awards that vested during the year and the positive impact of certain federal tax credits. These favorable items were partially offset by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 ended December 31, 2022, our effective tax rate was 30.4% as we recognized income tax expense of $33.0 million on income of $108.6 million. The effective tax rate of 30.4% was less favorable than the statutory rate, inclusive of state income taxes, of 26.7%, primarily due to tax expense related to nondeductible losses on our investments used to fund our deferred compensation liability and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17 “Income Taxes” within the notes to our consolidated financial statements for additional information on our income tax expense.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pPr>
      <w:r>
        <w:rPr>
          <w:rFonts w:ascii="Arial Narrow;sans-serif" w:hAnsi="Arial Narrow;sans-serif"/>
          <w:b w:val="false"/>
          <w:color w:val="000000"/>
          <w:sz w:val="20"/>
        </w:rPr>
        <w:t>Net income decreased $13.1 million to $62.5 million for the year ended December 31, 2023 from $75.6 million for the year ended December 31, 2022. The decrease in net income was primarily attributable to the changes in the fair value of our preferred stock investment in a hospital-at-home company recorded in other income (expense), net; partially offset by the increase in operating income. In 2023, we recognized a non-cash impairment loss of $26.3 million related to our preferred stock investment; and in 2022, we recognized a non-cash unrealized gain of $27.0 million related to the same investment as discussed above.</w:t>
      </w:r>
      <w:r>
        <w:rPr>
          <w:color w:val="000000"/>
        </w:rPr>
        <w:t xml:space="preserve"> </w:t>
      </w:r>
      <w:r>
        <w:rPr>
          <w:rFonts w:ascii="Arial Narrow;sans-serif" w:hAnsi="Arial Narrow;sans-serif"/>
          <w:b w:val="false"/>
          <w:color w:val="000000"/>
          <w:sz w:val="20"/>
        </w:rPr>
        <w:t xml:space="preserve">Diluted earnings per share for the year ended December 31, 2023 decreased to $3.19, compared to $3.64 for the year ended December 31, 2022, driven by the decrease in net income partially offset by a reduction in diluted shares outstanding resulting from share repurchases made under our share repurchase plan. The changes in fair value of our preferred stock investment in a hospital-at-home company had an unfavorable impact on our diluted earnings per share of $0.99 in 2023 and a favorable impact on our diluted earnings per share of $0.96 for 2022 .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EBITDA decreased $19.6 million to $129.1 million for the year ended December 31, 2023 from $148.7 million for the year ended December 31, 2022. The decrease in EBITDA was primarily attributable to the changes in the fair value of our preferred stock investment in the hospital-at-home company, as well as the increase in corporate expenses, excluding the impact of the change in the market value of our deferred compensation liability; largely offset by the increase in segment operating income. In 2023, we recognized a non-cash impairment loss of $26.3 million related to our preferred stock investment; and in 2022, we recognized a non-cash unrealized gain of $27.0 million related to the same investment as discussed above.</w:t>
      </w:r>
    </w:p>
    <w:p>
      <w:pPr>
        <w:pStyle w:val="TextBody"/>
        <w:bidi w:val="0"/>
        <w:spacing w:lineRule="auto" w:line="288" w:before="180" w:after="283"/>
        <w:jc w:val="left"/>
        <w:rPr/>
      </w:pPr>
      <w:r>
        <w:rPr>
          <w:rFonts w:ascii="Arial Narrow;sans-serif" w:hAnsi="Arial Narrow;sans-serif"/>
          <w:b w:val="false"/>
          <w:color w:val="000000"/>
          <w:sz w:val="20"/>
        </w:rPr>
        <w:t>Adjusted EBITDA increased $36.5 million to $167.3 million for the year ended December 31, 2023 from $130.8 million for the year ended December 31,2022. The increase in adjusted EBITDA was primarily attributable to the increase in segment operating income, excluding the impact of segment restructuring charges; partially offset by the increase in corporate expenses, excluding the impacts of the change in the market value of our deferred compensation liability and corporate restructuring charges.</w:t>
      </w:r>
      <w:r>
        <w:rPr>
          <w:color w:val="000000"/>
        </w:rPr>
        <w:t xml:space="preserv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net income increased $25.1 million to $96.2 million for the year ended December 31, 2023, compared to $71.1 million for the year ended December 31, 2022. Adjusted diluted earnings per share increased to $4.91 in 2023, compared to $3.43 in 2022, driven by the increase in adjusted net income and a reduction in diluted shares outstanding resulting from share repurchases made under our share repurchase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LIQUIDITY AND CAPITAL RESOURCES</w:t>
      </w:r>
    </w:p>
    <w:p>
      <w:pPr>
        <w:pStyle w:val="TextBody"/>
        <w:bidi w:val="0"/>
        <w:spacing w:lineRule="auto" w:line="288" w:before="180" w:after="283"/>
        <w:jc w:val="left"/>
        <w:rPr/>
      </w:pPr>
      <w:r>
        <w:rPr>
          <w:rFonts w:ascii="Arial Narrow;sans-serif" w:hAnsi="Arial Narrow;sans-serif"/>
          <w:b w:val="false"/>
          <w:color w:val="000000"/>
          <w:sz w:val="20"/>
        </w:rPr>
        <w:t>Cash and cash equivalents were $12.1 million, $11.8 million, and $20.8 million at December 31, 2023, 2022, and 2021, respectively. As of December 31, 2023, our primary sources of liquidity are cash on hand, cash flows from our U.S. operations, and borrowing capacity available under our credit facility.</w:t>
      </w:r>
      <w:r>
        <w:rPr>
          <w:color w:val="000000"/>
        </w:rPr>
        <w:t> </w:t>
      </w:r>
    </w:p>
    <w:tbl>
      <w:tblPr>
        <w:tblW w:w="7959" w:type="dxa"/>
        <w:jc w:val="left"/>
        <w:tblInd w:w="0" w:type="dxa"/>
        <w:tblLayout w:type="fixed"/>
        <w:tblCellMar>
          <w:top w:w="28" w:type="dxa"/>
          <w:left w:w="28" w:type="dxa"/>
          <w:bottom w:w="28" w:type="dxa"/>
          <w:right w:w="28" w:type="dxa"/>
        </w:tblCellMar>
      </w:tblPr>
      <w:tblGrid>
        <w:gridCol w:w="1416"/>
        <w:gridCol w:w="1248"/>
        <w:gridCol w:w="1251"/>
        <w:gridCol w:w="109"/>
        <w:gridCol w:w="109"/>
        <w:gridCol w:w="109"/>
        <w:gridCol w:w="196"/>
        <w:gridCol w:w="736"/>
        <w:gridCol w:w="109"/>
        <w:gridCol w:w="109"/>
        <w:gridCol w:w="109"/>
        <w:gridCol w:w="109"/>
        <w:gridCol w:w="196"/>
        <w:gridCol w:w="646"/>
        <w:gridCol w:w="109"/>
        <w:gridCol w:w="109"/>
        <w:gridCol w:w="109"/>
        <w:gridCol w:w="109"/>
        <w:gridCol w:w="196"/>
        <w:gridCol w:w="721"/>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9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 increased $49.9 million to $135.3 million in 2023 from $85.4 million in 2022. The increase in net operating cash flows was primarily related to an increase in cash collections in 2023 compared to the prior year; partially offset by an increase in salaries and related expenses for our revenue-generating professionals, an increase in payments for selling, general and administrative expenses in 2023 compared to the prior year, and an increase in the amount paid for annual performance bonuses in the first quarter of 2023 compared to the first quarter of 2022.</w:t>
      </w:r>
    </w:p>
    <w:p>
      <w:pPr>
        <w:pStyle w:val="TextBody"/>
        <w:bidi w:val="0"/>
        <w:spacing w:lineRule="auto" w:line="276" w:before="180" w:after="283"/>
        <w:jc w:val="left"/>
        <w:rPr/>
      </w:pPr>
      <w:r>
        <w:rPr>
          <w:rFonts w:ascii="Arial Narrow;sans-serif" w:hAnsi="Arial Narrow;sans-serif"/>
          <w:b w:val="false"/>
          <w:color w:val="000000"/>
          <w:sz w:val="20"/>
        </w:rPr>
        <w:t>Additionally, for 2023, our unbilled receivables increased partially driven by certain large Healthcare and Education engagements where our services performed and revenue recognized exceeded the amounts billed to clients in accordance with the contractual billing terms. In the future, we may enter into additional client engagements with similar deferred billing terms</w:t>
      </w:r>
      <w:r>
        <w:rPr>
          <w:rFonts w:ascii="Times New Roman;sans-serif" w:hAnsi="Times New Roman;sans-serif"/>
          <w:b w:val="false"/>
          <w:color w:val="000000"/>
          <w:sz w:val="20"/>
        </w:rPr>
        <w: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 preferred stock investment in a hospital-at-home company, and investments in life insurance policies that are used to fund our deferred compensation liability.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$36.7 million for 2023 which primarily consisted of $25.7 million for payments related to internally developed software to advance our Healthcare and Education software products; $9.4 million for purchases of property and equipment, primarily related to purchases of computers and related equipment and leasehold improvements for certain office spaces; $3.1 million for contributions to our life insurance policies; and $1.6 million for the purchase of a business. These uses of cash for investing activities were partially offset by $3.0 million of cash received for distributions from our life insurance policies that are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$20.1 million for 2022. The use of cash in 2022 primarily consisted of $12.5 million for purchases of property and equipment, primarily related to purchases of computers and related equipment and leasehold improvements; $11.8 million for payments related to internally developed software; and $3.4 million for the purchases of businesses. These uses of cash for investing activities were partially offset by $4.8 million of cash received for the sale of our aircraft in the first quarter of 2022 and $3.4 million of cash received for distributions from our life insurance policies that are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estimate that cash utilized for purchases of property and equipment and software development in 2024 will total approximately $35 million to $40 million; primarily consisting of software development costs, leasehold improvements and furniture and fixtures for certain office locations and information technology related equipment to support our corporate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 was $98.3 million in 2023. During 2023, we borrowed $354.0 million primarily to fund our operations, including our annual performance bonus payment in the first quarter of 2023, and made repayments on our borrowings of $320.0 million. Additionally, in 2023, we paid $122.8 million for share repurchases, including $1.1 million related to the settlement of share repurchases that were accrued as of December 31, 2022 and excluding $1.9 million that was accrued as of December 31, 2023. During 2023, we reacquired $10.5 million of common stock as a result of tax withholdings upon vesting of share-based compensation. We also made deferred acquisition payments of $1.5 million to the sellers of certain businesses we acquired. These payments were primarily the result of achieving specified financial performance targets in accordance with the related purchase agreements. These uses of cash for financing activities were partially offset by $2.5 million of cash received from stock option exercises in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 was $74.1 million in 2022. During 2022, we borrowed $314.0 million under our senior secured credit facility primarily to fund our operations, including our annual performance bonus payment in the first quarter of 2022, and made repayments on our borrowings of $256.8 million. The repayments on our borrowings included the repayment of the outstanding principal of our promissory note due 2024 of $2.7 million from the proceeds received for the sale of our aircraft. Additionally, in 2022, we paid $120.4 million for share repurchases, including $0.2 million related to the settlement of share repurchases that were accrued as of December 31, 2021 and excluding $1.1 million that was accrued as of December 31, 2022. During 2022, we reacquired $7.8 million of common stock as a result of tax withholdings upon vesting of share-based compensation. Additionally, we made payments of $2.7 million for debt issuance costs related to the Third Amended and Restated Credit Agreement executed in the fourth quarter of 2022. We also made deferred acquisition payments of $1.9 million to the sellers of certain businesses we acquired. These payments were primarily the result of achieving specified financial performance targets in accordance with the related purchase agreements. These uses of cash for financing activities were partially offset by $1.4 million of cash received from stock option exercises in 2022.</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The share repurchase program has been subsequently extended and increased, most recently in the fourth quarter of 2023. The current authorization extends the share repurchase program through December 31, 2024 with a repurchase amount of $400 million, of which $86.2 million remains available as of December 31, 2023.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December 31, 2023, we had $324.0 million outstanding under our senior secured credit facility, as discussed below.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$600 million five-year senior secured revolving credit facility, subject to the terms of a Third Amended and Restated Credit Agreement dated as of November 15, 2022 and amended by Amendment No. 1 (collectively, the “Amended Credit Agreement”) that becomes due and payable in full upon maturity on November 15, 2027. In February 2024, the Company entered into Amendment No. 2 (the “Second Amendment”) to the Amended Credit Agreement to establish a $275 million term loan as discussed below under “2024 Term Loan.” Prior to the Second Amendment, the Amended Credit Agreement provided the option to increase the revolving credit facility or establish term loan facilities in an aggregate amount up to $250 million, subject to customary conditions and the approval of any lender whose commitment would be increased, resulting in a maximum available principal amount under the Amended Credit Agreement of $850 million. The initial borrowings under the revolving credit facility were used to refinance borrowings outstanding under a prior credit agreement, and future revolving credit facility borrowings under the Amended Credit Agreement may be used for working capital, capital expenditures, share repurchases, permitted acquisitions, and other general corporate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revolving credit facility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1.125% per annum and 1.875% per annum, in the case of Term SOFR borrowings, or between 0.125% per annum and 0.875% per annum, in the case of base rate loans, based upon our Consolidated Leverage Ratio at such time. Fees and interest on borrowings are paid on a monthly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April 2023, the Company and PNC Capital Markets, LLC, as Sustainability Structuring Agent, with the consent of the Required Lenders (as defined in the Amended Credit Agreement), entered into Amendment No. 1 to the Amended Credit Agreement (the “First Amendment”) to incorporate specified key performance indicators with respect to certain environmental, social and governance targets of the Company. Based upon the performance of the Company against those key performance indicators in each Reference Year (as defined in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Amendment),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December 31, 2023 and December 31, 2022, we were in compliance with these financial covenants. Our Consolidated Leverage Ratio as of December 31, 2023 was 1.59 to 1.00, compared to 1.92 to 1.00 as of December 31, 2022. Our Consolidated Interest Coverage Ratio as of December 31, 2023 was 10.85 to 1.00, compared to 14.04 to 1.00 as of December 31,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Borrowings outstanding under the revolving credit facility at December 31, 2023 and 2022 totaled $324.0 million and $290.0 million, respectively. These borrowings carried a weighted average interest rate of 4.2% at December 31, 2023 and 3.8% at December 31, 2022 including the impact of the interest rate swaps described in Note 12 “Derivative Instruments and Hedging Activity" within the notes to the consolidated financial statements. The borrowing capacity under the Amended Credit Agreement is reduced by any outstanding borrowings under the agreement and outstanding letters of credit. At December 31, 2023 and 2022, we had outstanding letters of credit totaling $0.5 million and $0.7 million, respectively, which are used as security deposits for our office facilities. As of December 31, 2023 and 2022, the unused borrowing capacity under the Amended Credit Agreement was $275.5 million and $309.3 million, respectively.</w:t>
      </w:r>
    </w:p>
    <w:p>
      <w:pPr>
        <w:pStyle w:val="TextBody"/>
        <w:bidi w:val="0"/>
        <w:spacing w:lineRule="auto" w:line="288" w:before="180" w:after="283"/>
        <w:jc w:val="left"/>
        <w:rPr/>
      </w:pPr>
      <w:r>
        <w:rPr>
          <w:rFonts w:ascii="Arial Narrow;sans-serif" w:hAnsi="Arial Narrow;sans-serif"/>
          <w:b w:val="false"/>
          <w:i/>
          <w:color w:val="000000"/>
          <w:sz w:val="20"/>
        </w:rPr>
        <w:t>2024 Term Loan</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February 2024, the Company entered into Amendment No.2 to the Amended Credit Agreement (the “Second Amendment”), which established a $275 million term loan facility (the “Term Loan”) under the Amended Credit Agreement (as amended to date, the “Current Credit Agreement”). The Term Loan is subject to scheduled quarterly amortization payments of $3.4 million beginning June 30, 2024 through the maturity date of November 15, 2027, at which time the outstanding principal balance and all accrued interest will be due. Additionally, the Second Amendment provided for the option to increase the revolving credit facility or establish additional term loan facilities in an aggregate amount up to $250 million, subject to customary conditions and the approval of any lender whose commitment would be increased, resulting in a maximum available principal amount under the Current Credit Agreement of $1.13 billion. The proceeds of the Term Loan will be used to reduce borrowings under the company's revolving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on the Term Loan varies based on our Consolidated Leverage Ratio (as defined in the Current Credit Agreement). At our option, the Term Loan will bear interest at one, three or six month Term SOFR plus the applicable margin. The applicable margin will range between 1.625% per annum and 2.375% per annum based upon our Consolidated Leverage Ratio at such time and subject to the adjustments allowed for performance against certain environmental, social and governance targets of the Company as outlined in the First Amendment.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Current Credit Agreement maintains the same prepayment provisions, usual and customary representations and warranties, fee pricing schedule, and affirmative and negative covenants as the Amended Credit Agreement discussed above.</w:t>
      </w:r>
    </w:p>
    <w:p>
      <w:pPr>
        <w:pStyle w:val="TextBody"/>
        <w:bidi w:val="0"/>
        <w:spacing w:lineRule="auto" w:line="288" w:before="180" w:after="283"/>
        <w:jc w:val="left"/>
        <w:rPr/>
      </w:pPr>
      <w:r>
        <w:rPr>
          <w:rFonts w:ascii="Arial Narrow;sans-serif" w:hAnsi="Arial Narrow;sans-serif"/>
          <w:b w:val="false"/>
          <w:color w:val="000000"/>
          <w:sz w:val="20"/>
        </w:rPr>
        <w:t>For further information, see Note</w:t>
      </w:r>
      <w:r>
        <w:rPr>
          <w:color w:val="000000"/>
        </w:rPr>
        <w:t xml:space="preserve"> </w:t>
      </w:r>
      <w:r>
        <w:rPr>
          <w:rFonts w:ascii="Arial Narrow;sans-serif" w:hAnsi="Arial Narrow;sans-serif"/>
          <w:b w:val="false"/>
          <w:color w:val="000000"/>
          <w:sz w:val="20"/>
        </w:rPr>
        <w:t>7 “Financing Arrangements” within the notes to the consolidated financial statements. For a discussion of certain risks and uncertainties related to the Current Credit Agreement, see Part I—Item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Future Financing Needs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financing need is to fund our long-term growth. Our growth strategy is to expand our service offerings, which may require investments in new hires, acquisitions of complementary businesses, possible expansion into other geographic areas, and related capital expenditures.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not a party to any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ACCOUNTING POLICIES AND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revenue is generated under four types of billing arrangements: fixed-fee (including software license revenue); time-and-expense; performance-based; and software support, maintenance and subscriptions. Determining the method and amount of revenue to recognize requires us to make judgments and estimates. Specifically, multiple performance obligation arrangements require us to allocate the total transaction price to each performance obligation based on its relative standalone selling price, for which we rely on our overall pricing objectives, taking into consideration market conditions and other factors. Provisions are recorded for the estimated realization on all engagements, including engagements for which fees are subject to review by the bankruptcy courts. We continually evaluate our estimates of the provisions based on available information and experiences. Additionally, when accounting for fixed-fee and performance-based billing arrangements, we must make additional judgments and estimates as further described below.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fixed-fee billing arrangements for professional services,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 date versus our estimates of the total services to be provided under the engagement. Estimates of total engagement revenues and cost of services are monitored regularly during the term of the engagement. Any increased or unexpected costs or unanticipated delays in connection with the performance of these engagements could make these contracts less profitable or unprofitable.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 date versus our estimates of the total services to be provided under the engagement. Our estimates are monitored throughout the life of each contract and are based on an assessment of our anticipated performance, historical experience, and other information available at the time. While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believe that the estimates and assumptions we use for revenue recognition for performance-based billing arrangements are reasonable, subsequent changes could materially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Note 2 “Summary of Significant Accounting Policies” within the notes to the consolidated financial statements for additional information on our revenue recognition accounting policy.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Allowances for Doubtful Accounts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the provision for doubtful accounts and unbilled services as a reduction in revenue. To the extent we write-off accounts receivable due to a client’s inability to pay, the charge is recognized as a component of selling, general and administrative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Business Combinations</w:t>
      </w:r>
    </w:p>
    <w:p>
      <w:pPr>
        <w:pStyle w:val="TextBody"/>
        <w:bidi w:val="0"/>
        <w:spacing w:lineRule="auto" w:line="288" w:before="180" w:after="283"/>
        <w:jc w:val="left"/>
        <w:rPr/>
      </w:pPr>
      <w:r>
        <w:rPr>
          <w:rFonts w:ascii="Arial Narrow;sans-serif" w:hAnsi="Arial Narrow;sans-serif"/>
          <w:b w:val="false"/>
          <w:color w:val="000000"/>
          <w:sz w:val="20"/>
        </w:rPr>
        <w:t>We use the acquisition method of accounting for business combinations</w:t>
      </w:r>
      <w:r>
        <w:rPr>
          <w:rFonts w:ascii="Arial Narrow;sans-serif" w:hAnsi="Arial Narrow;sans-serif"/>
          <w:b w:val="false"/>
          <w:i/>
          <w:color w:val="000000"/>
          <w:sz w:val="20"/>
        </w:rPr>
        <w:t>.</w:t>
      </w:r>
      <w:r>
        <w:rPr>
          <w:color w:val="000000"/>
        </w:rPr>
        <w:t xml:space="preserve"> </w:t>
      </w:r>
      <w:r>
        <w:rPr>
          <w:rFonts w:ascii="Arial Narrow;sans-serif" w:hAnsi="Arial Narrow;sans-serif"/>
          <w:b w:val="false"/>
          <w:color w:val="000000"/>
          <w:sz w:val="20"/>
        </w:rPr>
        <w:t>The assets acquired and liabilities assumed in a business combination, including identifiable intangible assets, are recorded at their estimated fair values as of the acquisition date, with the exception of contract assets and liabilities which are recognized and measured in accordance with our revenue recognition accounting policy described in Note 2 “Summary of Significant Accounting Policies” within the notes to the consolidated financial statements</w:t>
      </w:r>
      <w:r>
        <w:rPr>
          <w:rFonts w:ascii="Arial Narrow;sans-serif" w:hAnsi="Arial Narrow;sans-serif"/>
          <w:b w:val="false"/>
          <w:i/>
          <w:color w:val="000000"/>
          <w:sz w:val="20"/>
        </w:rPr>
        <w:t xml:space="preserve">. </w:t>
      </w:r>
      <w:r>
        <w:rPr>
          <w:rFonts w:ascii="Arial Narrow;sans-serif" w:hAnsi="Arial Narrow;sans-serif"/>
          <w:b w:val="false"/>
          <w:color w:val="000000"/>
          <w:sz w:val="20"/>
        </w:rPr>
        <w:t>Goodwill is recorded as the excess of the fair value of consideration transferred, including any contingent consideration, over the net value of the assets acquired and liabilities assumed. We base the fair values of identifiable intangible assets on detailed valuations that require management to make significant judgments, estimates, and assumptions, such as the expected future cash flows to be derived from the intangible assets, discount rates that reflect the risk factors associated with future cash flows, and estimates of useful lives.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measure and recognize contingent consideration at fair value as of the acquisition date. We estimate the fair value of contingent consideration based on either a probability-weighted assessment of the specific financial performance targets being achieved or a Monte Carlo simulation model, as appropriate. These fair value measurements require the use of significant judgments, estimates, and assumptions, including financial performance projections and discount rates. The fair value of the contingent consideration is reassessed quarterly based on assumptions used in our latest financial projections and input provided by practice leaders and management, with any change in the fair value estimate recorded in earnings in that period. Increases or decreases in the fair value of contingent consideration liabilities resulting from changes in the estimates or assumptions could materially impact the financial statements.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Note 3 “Acquisitions and Divestiture” within the notes to our consolidated financial statements for additional information on our acquisitions and Note 13 “Fair Value of Financial Instruments” within the notes to our consolidated financial statements for additional information on our contingent consideration liabilities.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Carrying Values of Goodwill and Other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2023, we have three reporting units: Healthcare, Education, and Commercial.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GAAP, we have the option to first assess qualitative factors to determine whether the existence of current events or circumstances would lead to a determination that it is more likely than not that the fair value of one of our reporting units is greater than its carrying value. If we determine it is more likely than not that the fair value of a reporting unit is greater than its carrying value, no further testing is necessary. However, if we conclude otherwise, then we are required to perform a quantitative impairment test by calculating the fair value of the reporting unit and comparing the fair value with the carrying value of the reporting unit. If the fair value of the reporting unit is less than its carrying value, an impairment charge is recorded in an amount equal to that difference with the loss not to exceed the total amount of goodwill allocated to the reporting unit.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determine the fair value of our reporting units using the income approach. For a company such as ours, the income approach will generally provide the most reliable indication of fair value because the value of such companies is dependent on their ability to generate earnings. We utilize a discounted cash flow analysis, which involves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rates, forecasted EBITDA margins, and discount rates. Our forecasts are based on historical experience, current backlog, expected market demand, and other industry information.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is a discussion of the goodwill impairment test performed during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our policy, we performed our annual goodwill impairment test as of November 30, 2023 for our three reporting units: Healthcare, Education, and Commercial. We performed a qualitative assessment over all reporting units to determine if it was more likely than not the respective fair values of these reporting units were less than their carrying amounts, including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our qualitative assessment, we considered the most recent quantitative analysis performed for each reporting unit, which was as of January 1, 2022,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2022 and 2023 compared to the internal financial projections used, as well as specific outlooks for each reporting unit based on our most recent internal financial projections.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for each of our reporting units exceeded their respective carrying amounts. As such, the goodwill for our reporting units was not considered impaired as of November 30, 2023, and a quantitative goodwill impairment analysis was not necessary.</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 </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The carrying value of goodwill for each of our reporting units as of December 31, 2023 is as follows (in thousands):</w:t>
      </w:r>
    </w:p>
    <w:tbl>
      <w:tblPr>
        <w:tblW w:w="2922" w:type="dxa"/>
        <w:jc w:val="left"/>
        <w:tblInd w:w="0" w:type="dxa"/>
        <w:tblLayout w:type="fixed"/>
        <w:tblCellMar>
          <w:top w:w="28" w:type="dxa"/>
          <w:left w:w="28" w:type="dxa"/>
          <w:bottom w:w="28" w:type="dxa"/>
          <w:right w:w="28" w:type="dxa"/>
        </w:tblCellMar>
      </w:tblPr>
      <w:tblGrid>
        <w:gridCol w:w="467"/>
        <w:gridCol w:w="410"/>
        <w:gridCol w:w="412"/>
        <w:gridCol w:w="109"/>
        <w:gridCol w:w="109"/>
        <w:gridCol w:w="109"/>
        <w:gridCol w:w="235"/>
        <w:gridCol w:w="885"/>
        <w:gridCol w:w="18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Reporting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Carrying Value</w:t>
              <w:br/>
              <w:t>of Goodwill</w:t>
            </w:r>
          </w:p>
        </w:tc>
      </w:tr>
      <w:tr>
        <w:trPr/>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454,959 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Education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625,711 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represent purchased assets that lack physical substance but can be distinguished from goodwill. Our intangible assets, net of accumulated amortization, totaled $18.1 million at December 31, 2023 and primarily consist of customer relationships, technology and software, trade names, and non-competition agreements, all of which were acquired through business combinations. We evaluate our intangible assets for impairment whenever events or changes in circumstances indicate that the carrying amount of the assets may not be recoverable. No impairment charges for intangible assets were recorded in 2023.</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 Changes in applicable U.S. state, federal or foreign tax laws and regulations, or their interpretation and application, could materially affect our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management’s opinion, it is more likely than not that some portion or the entire deferred tax asset will not be realized.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 with the taxing authority. The estimate of the potential outcome of any uncertain tax issue is subject to management’s assessment of relevant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facts and circumstances existing at that time. We believe that positions taken on our tax returns are fully supported. However, final determinations of prior year tax positions upon settlement with the taxing authority could be materially different from estimates. The outcome of these final determinations could have a material impact on our provision for taxes, net income, or cash flows in the period in which that determination is made.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2 “Summary of Significant Accounting Policies” within the notes to the consolidated financial statements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SUBSEQUENT EVENT</w:t>
      </w:r>
    </w:p>
    <w:p>
      <w:pPr>
        <w:pStyle w:val="TextBody"/>
        <w:bidi w:val="0"/>
        <w:spacing w:lineRule="auto" w:line="288" w:before="180" w:after="240"/>
        <w:jc w:val="left"/>
        <w:rPr>
          <w:rFonts w:ascii="Arial Narrow;sans-serif" w:hAnsi="Arial Narrow;sans-serif"/>
          <w:b w:val="false"/>
          <w:color w:val="000000"/>
          <w:sz w:val="20"/>
        </w:rPr>
      </w:pPr>
      <w:r>
        <w:rPr>
          <w:rFonts w:ascii="Arial Narrow;sans-serif" w:hAnsi="Arial Narrow;sans-serif"/>
          <w:b w:val="false"/>
          <w:color w:val="000000"/>
          <w:sz w:val="20"/>
        </w:rPr>
        <w:t>On February 11, 2024, we entered into an agreement to acquire Grenzebach Glier and Associates, Inc. (“GG+A”), a philanthropic management consulting firm that helps education institutions and healthcare, arts and other nonprofit organizations build and accelerate the philanthropic programs that support their mission. The transaction is expected to close in March 2024, subject to customary closing conditions. The results of operations of GG+A will be included within our consolidated financial statements and results of operations of our Education segment from the date of acquisition. We do not expect the acquisition of GG+A to be significant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95" w:type="dxa"/>
        <w:jc w:val="left"/>
        <w:tblInd w:w="0" w:type="dxa"/>
        <w:tblLayout w:type="fixed"/>
        <w:tblCellMar>
          <w:top w:w="28" w:type="dxa"/>
          <w:left w:w="28" w:type="dxa"/>
          <w:bottom w:w="28" w:type="dxa"/>
          <w:right w:w="28" w:type="dxa"/>
        </w:tblCellMar>
      </w:tblPr>
      <w:tblGrid>
        <w:gridCol w:w="294"/>
        <w:gridCol w:w="258"/>
        <w:gridCol w:w="259"/>
        <w:gridCol w:w="1752"/>
        <w:gridCol w:w="1752"/>
        <w:gridCol w:w="248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7A.</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QUANTITATIVE AND QUALITATIVE DISCLOSURES ABOUT MARKET RISK.</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interest rates associated with borrowings under our bank credit facility, which have variable interest rates tied to Term SOFR or an alternate base rate, at our option. At December 31, 2023, we had borrowings outstanding under the credit facility totaling $324.0 million that carried a weighted average interest rate of 4.2%, including the impact of the interest rate swaps described below. A hypothetical 100 basis point change in the interest rate would have a $0.7 million effect on our pretax income on an annualized basis, including the effect of the interest rate swaps. At December 31, 2022, we had borrowings outstanding under the credit facility totaling $290.0 million that carried a weighted average interest rate of 3.8%, including the impact of the interest rate swaps described below. A hypothetical 100 basis point change in the interest rate would have had a $0.9 million effect on our pretax income on an annualized basis, including the effect of the 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December 31, 2023 and 2022, the aggregate notional amount of our forward interest rate swap agreements was $250.0 million and $200.0 million, respectively. The outstanding interest rate swap agreements as of December 31, 2023 are scheduled to mature on a staggered basis through February 29, 2028.</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foreign currency exchange rates between the U.S. Dollar (USD) and the Indian Rupee (INR) related to our operations in India. We hedge a portion of our cash flow exposure related to our INR-denominated intercompany expenses by entering into non-deliverable foreign exchange forward contracts. As of December 31, 2023 and 2022, the aggregate notional amounts of these contracts were INR 1,375.7 million, or $16.6 million, and INR 657.9 million, or $8.0 million, respectively, based on the exchange rates in effect as of each period end. The outstanding foreign exchange forward contracts as of December 31, 2023 are scheduled to mature monthly through December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a sensitivity analysis to determine the effects that market foreign currency exchange rate fluctuations may have on the fair value of our foreign currency exchange rate hedge portfolio. The sensitivity of the hedge portfolio is computed based on the market value of future cash flows as affected by changes in exchange rates. This sensitivity analysis represents the hypothetical changes in value of the hedge position and does not reflect the offsetting gain or loss on the underlying exposure. A hypothetical 100 basis point change in the foreign currency exchange rate between the USD and INR would have an immaterial impact on the fair value of our hedge instruments as of December 31, 2023 and 2022.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1.69% convertible debt investment in Shorelight Holdings, LLC, a privately-held company, which we account for as an available-for-sale debt security. As such, the investment is carried at fair value with unrealized holding gains and losses excluded from earnings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reported in other comprehensive income. As of December 31, 2023, the fair value of the investment was $68.0 million, with a total cost basis of $40.9 million. At December 31, 2022, the fair value of the investment was $57.6 million, with a total cost basis of $40.9 million.</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have a preferred stock investment in a privately-held hospital-at-home company, which we account for as an equity security without a readily determinable fair value using the measurement alternative. As such, the investment is carried at cost minus impairment, plus or minus changes resulting from observable price changes in orderly transactions for the identical or similar investment. As of December 31, 2023 and 2022, the carrying value of the investment was $7.4 million and $33.6 million, respectively, with a total cost basis of $5.0 million. In the fourth quarter of 2023, we recognized a non-cash impairment loss of $26.3 million on our preferred stock investment based on the valuation established in a new round of financing expected to close in early 2024. During the first quarter of 2022, we recognized a non-cash unrealized gain of $27.0 million, based on the observable price change of preferred stock issued by the company with similar rights and preferences to our preferred stock investment, a Level 2 input. The non-cash impairment loss and unrealized gain were recorded to other income (expense), net in our consolidated statement of operations.</w:t>
      </w:r>
    </w:p>
    <w:p>
      <w:pPr>
        <w:pStyle w:val="TextBody"/>
        <w:bidi w:val="0"/>
        <w:spacing w:lineRule="auto" w:line="288" w:before="180" w:after="180"/>
        <w:jc w:val="left"/>
        <w:rPr/>
      </w:pPr>
      <w:r>
        <w:rPr>
          <w:rFonts w:ascii="Arial Narrow;sans-serif" w:hAnsi="Arial Narrow;sans-serif"/>
          <w:b w:val="false"/>
          <w:color w:val="000000"/>
          <w:sz w:val="20"/>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12 “Derivative Instruments and Hedging Activity” within the notes to our consolidated financial statements for additional information on our derivative instruments.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54" w:type="dxa"/>
        <w:jc w:val="left"/>
        <w:tblInd w:w="0" w:type="dxa"/>
        <w:tblLayout w:type="fixed"/>
        <w:tblCellMar>
          <w:top w:w="28" w:type="dxa"/>
          <w:left w:w="28" w:type="dxa"/>
          <w:bottom w:w="28" w:type="dxa"/>
          <w:right w:w="28" w:type="dxa"/>
        </w:tblCellMar>
      </w:tblPr>
      <w:tblGrid>
        <w:gridCol w:w="250"/>
        <w:gridCol w:w="219"/>
        <w:gridCol w:w="221"/>
        <w:gridCol w:w="1365"/>
        <w:gridCol w:w="1365"/>
        <w:gridCol w:w="193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8.</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 AND SUPPLEMENTARY DATA.</w:t>
            </w:r>
          </w:p>
        </w:tc>
      </w:tr>
    </w:tbl>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The Company’s Consolidated Financial Statements and supplementary data begin on page F-1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49" w:type="dxa"/>
        <w:jc w:val="left"/>
        <w:tblInd w:w="0" w:type="dxa"/>
        <w:tblLayout w:type="fixed"/>
        <w:tblCellMar>
          <w:top w:w="28" w:type="dxa"/>
          <w:left w:w="28" w:type="dxa"/>
          <w:bottom w:w="28" w:type="dxa"/>
          <w:right w:w="28" w:type="dxa"/>
        </w:tblCellMar>
      </w:tblPr>
      <w:tblGrid>
        <w:gridCol w:w="250"/>
        <w:gridCol w:w="219"/>
        <w:gridCol w:w="221"/>
        <w:gridCol w:w="2564"/>
        <w:gridCol w:w="2564"/>
        <w:gridCol w:w="363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CHANGES IN AND DISAGREEMENTS WITH ACCOUNTANTS ON ACCOUNTING AND FINANCIAL DISCLOSURE.</w:t>
            </w:r>
          </w:p>
        </w:tc>
      </w:tr>
    </w:tbl>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11" w:type="dxa"/>
        <w:jc w:val="left"/>
        <w:tblInd w:w="0" w:type="dxa"/>
        <w:tblLayout w:type="fixed"/>
        <w:tblCellMar>
          <w:top w:w="28" w:type="dxa"/>
          <w:left w:w="28" w:type="dxa"/>
          <w:bottom w:w="28" w:type="dxa"/>
          <w:right w:w="28" w:type="dxa"/>
        </w:tblCellMar>
      </w:tblPr>
      <w:tblGrid>
        <w:gridCol w:w="294"/>
        <w:gridCol w:w="258"/>
        <w:gridCol w:w="259"/>
        <w:gridCol w:w="790"/>
        <w:gridCol w:w="790"/>
        <w:gridCol w:w="112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9A.</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CONTROLS AND PROCEDURES.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2023. Based on this evaluation, our Chief Executive Officer and Chief Financial Officer have concluded that, as of December 31, 2023,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Management’s Report on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(i)Pertain to the maintenance of records that in reasonable detail accurately and fairly reflect the transactions and dispositions of the assets of the Company;</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(ii)Provide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(iii)Provide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color w:val="000000"/>
          <w:sz w:val="20"/>
        </w:rPr>
        <w:t xml:space="preserve">December 31, 2023 using the criteria set forth by the Committee of Sponsoring Organizations of the Treadway Commission (“COSO”) in </w:t>
      </w:r>
      <w:r>
        <w:rPr>
          <w:rFonts w:ascii="Arial Narrow;sans-serif" w:hAnsi="Arial Narrow;sans-serif"/>
          <w:b w:val="false"/>
          <w:i/>
          <w:color w:val="000000"/>
          <w:sz w:val="20"/>
        </w:rPr>
        <w:t>Internal Control – Integrated Framework</w:t>
      </w:r>
      <w:r>
        <w:rPr>
          <w:color w:val="000000"/>
        </w:rPr>
        <w:t xml:space="preserve"> </w:t>
      </w:r>
      <w:r>
        <w:rPr>
          <w:rFonts w:ascii="Arial Narrow;sans-serif" w:hAnsi="Arial Narrow;sans-serif"/>
          <w:b w:val="false"/>
          <w:color w:val="000000"/>
          <w:sz w:val="20"/>
        </w:rPr>
        <w:t>(2013)</w:t>
      </w:r>
      <w:r>
        <w:rPr>
          <w:rFonts w:ascii="Arial Narrow;sans-serif" w:hAnsi="Arial Narrow;sans-serif"/>
          <w:b w:val="false"/>
          <w:i/>
          <w:color w:val="000000"/>
          <w:sz w:val="20"/>
        </w:rPr>
        <w:t>.</w:t>
      </w:r>
      <w:r>
        <w:rPr>
          <w:color w:val="000000"/>
        </w:rPr>
        <w:t xml:space="preserve"> </w:t>
      </w:r>
      <w:r>
        <w:rPr>
          <w:rFonts w:ascii="Arial Narrow;sans-serif" w:hAnsi="Arial Narrow;sans-serif"/>
          <w:b w:val="false"/>
          <w:color w:val="000000"/>
          <w:sz w:val="20"/>
        </w:rPr>
        <w:t xml:space="preserve">As a result of that evaluation, management concluded that our internal control over financial reporting was effective as of December 31,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effectiveness of the Company’s internal control over financial reporting as of December 31, 2023 has been audited by PricewaterhouseCoopers LLP, an independent registered public accounting firm, as stated in their report appearing on page F-2 of this Annual Report on Form 10-K.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There has been no change in our internal control over financial reporting (as such term is defined in Rules 13a-15(f) and 15d-15(f) under the Exchange Act) during the three months ended December 31,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75" w:type="dxa"/>
        <w:jc w:val="left"/>
        <w:tblInd w:w="0" w:type="dxa"/>
        <w:tblLayout w:type="fixed"/>
        <w:tblCellMar>
          <w:top w:w="28" w:type="dxa"/>
          <w:left w:w="28" w:type="dxa"/>
          <w:bottom w:w="28" w:type="dxa"/>
          <w:right w:w="28" w:type="dxa"/>
        </w:tblCellMar>
      </w:tblPr>
      <w:tblGrid>
        <w:gridCol w:w="294"/>
        <w:gridCol w:w="258"/>
        <w:gridCol w:w="259"/>
        <w:gridCol w:w="574"/>
        <w:gridCol w:w="574"/>
        <w:gridCol w:w="8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9B.</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r>
    </w:tbl>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Securities Trading Plans of Directors and Executive Officers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fourth quarter of 2023, none of our executive officers or directors adopted or terminated contracts, instructions or written plans for the sale or purchase of our securities intended to satisfy the affirmative defense condition of Rule 10b5-1(c) trading plan or adopted or terminated a non-Rule 10b5-1(c) trading arrangement (as defined in Item 408(c) of Regulation S-K).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Company previously reported the adoption by Mr. McCartney of a 10b5-1 plan on August 2, 2023 covering 5,400 shares. Such shares include 2,700 shares held by Niamogue Foundation in which Mr. McCartney does not have a pecuniary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35" w:type="dxa"/>
        <w:jc w:val="left"/>
        <w:tblInd w:w="0" w:type="dxa"/>
        <w:tblLayout w:type="fixed"/>
        <w:tblCellMar>
          <w:top w:w="28" w:type="dxa"/>
          <w:left w:w="28" w:type="dxa"/>
          <w:bottom w:w="28" w:type="dxa"/>
          <w:right w:w="28" w:type="dxa"/>
        </w:tblCellMar>
      </w:tblPr>
      <w:tblGrid>
        <w:gridCol w:w="294"/>
        <w:gridCol w:w="258"/>
        <w:gridCol w:w="259"/>
        <w:gridCol w:w="1997"/>
        <w:gridCol w:w="1997"/>
        <w:gridCol w:w="28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9C.</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DISCLOSURE REGARDING FOREIGN JURISDICTIONS THAT PREVENT INSPECTIONS.</w:t>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95" w:type="dxa"/>
        <w:jc w:val="left"/>
        <w:tblInd w:w="0" w:type="dxa"/>
        <w:tblLayout w:type="fixed"/>
        <w:tblCellMar>
          <w:top w:w="28" w:type="dxa"/>
          <w:left w:w="28" w:type="dxa"/>
          <w:bottom w:w="28" w:type="dxa"/>
          <w:right w:w="28" w:type="dxa"/>
        </w:tblCellMar>
      </w:tblPr>
      <w:tblGrid>
        <w:gridCol w:w="282"/>
        <w:gridCol w:w="248"/>
        <w:gridCol w:w="250"/>
        <w:gridCol w:w="1671"/>
        <w:gridCol w:w="1671"/>
        <w:gridCol w:w="2373"/>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10.</w:t>
            </w:r>
          </w:p>
        </w:tc>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DIRECTORS, EXECUTIVE OFFICERS AND CORPORATE GOVERNANCE.</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Directors, Executive Officers, Promoters and Control Persons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portions of our definitive proxy statement for our annual meeting of stockholders to be filed with the SEC pursuant to Regulation 14A by April 29, 2024 (the “Proxy Statement”) under “Nominees to Board of Directors,” “Directors Not Standing For Election” and “Executive Officers.”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Compliance with Section 16(a) of the Exchange Act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“Delinquent Section 16(a) Reports.”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Code of Business Conduct and Ethics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adopted a Code of Business Conduct and Ethics (the “Code”) that is applicable to all of our employees, officers and directors. The Code is available on the Corporate Governance page of our website at ir.huronconsultinggroup.com. If we make any amendments to or grant any waivers from the Code which are required to be disclosed pursuant to the Securities Exchange Act of 1934, we will make such disclosures on our website.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Corporate Governance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“Board Meetings and Committees.”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55" w:type="dxa"/>
        <w:jc w:val="left"/>
        <w:tblInd w:w="0" w:type="dxa"/>
        <w:tblLayout w:type="fixed"/>
        <w:tblCellMar>
          <w:top w:w="28" w:type="dxa"/>
          <w:left w:w="28" w:type="dxa"/>
          <w:bottom w:w="28" w:type="dxa"/>
          <w:right w:w="28" w:type="dxa"/>
        </w:tblCellMar>
      </w:tblPr>
      <w:tblGrid>
        <w:gridCol w:w="282"/>
        <w:gridCol w:w="248"/>
        <w:gridCol w:w="250"/>
        <w:gridCol w:w="725"/>
        <w:gridCol w:w="725"/>
        <w:gridCol w:w="1025"/>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11.</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EXECUTIVE COMPENSATION.</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Executive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“Executive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Compensation Committee Interlocks and Insider Participation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“Compensation Committee Interlocks and Insider Participation.”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Compensation Committee Report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“Compensation Committee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1"/>
        <w:gridCol w:w="247"/>
        <w:gridCol w:w="249"/>
        <w:gridCol w:w="2759"/>
        <w:gridCol w:w="2759"/>
        <w:gridCol w:w="3910"/>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12.</w:t>
            </w:r>
          </w:p>
        </w:tc>
        <w:tc>
          <w:tcPr>
            <w:tcW w:w="9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SECURITY OWNERSHIP OF CERTAIN BENEFICIAL OWNERS AND MANAGEMENT AND RELATED STOCKHOLDER MATTERS.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Securities Authorized for Issuance Under Equity Compensation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information with respect to equity compensation plans approved by shareholders as of December 31, 2023. We do not have equity compensation plans that have not been approved by shareholders.</w:t>
      </w:r>
    </w:p>
    <w:tbl>
      <w:tblPr>
        <w:tblW w:w="10136" w:type="dxa"/>
        <w:jc w:val="left"/>
        <w:tblInd w:w="0" w:type="dxa"/>
        <w:tblLayout w:type="fixed"/>
        <w:tblCellMar>
          <w:top w:w="28" w:type="dxa"/>
          <w:left w:w="28" w:type="dxa"/>
          <w:bottom w:w="28" w:type="dxa"/>
          <w:right w:w="28" w:type="dxa"/>
        </w:tblCellMar>
      </w:tblPr>
      <w:tblGrid>
        <w:gridCol w:w="1511"/>
        <w:gridCol w:w="1335"/>
        <w:gridCol w:w="1338"/>
        <w:gridCol w:w="590"/>
        <w:gridCol w:w="590"/>
        <w:gridCol w:w="591"/>
        <w:gridCol w:w="109"/>
        <w:gridCol w:w="109"/>
        <w:gridCol w:w="109"/>
        <w:gridCol w:w="403"/>
        <w:gridCol w:w="1143"/>
        <w:gridCol w:w="225"/>
        <w:gridCol w:w="109"/>
        <w:gridCol w:w="109"/>
        <w:gridCol w:w="109"/>
        <w:gridCol w:w="514"/>
        <w:gridCol w:w="514"/>
        <w:gridCol w:w="728"/>
      </w:tblGrid>
      <w:tr>
        <w:trPr/>
        <w:tc>
          <w:tcPr>
            <w:tcW w:w="151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Plan Category</w:t>
            </w:r>
          </w:p>
        </w:tc>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Number of Shares</w:t>
              <w:br/>
              <w:t>to be Issued Upon</w:t>
              <w:br/>
              <w:t>Exercise of</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Weighted Average</w:t>
              <w:br/>
              <w:t>Exercise Price of</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Number of Shares</w:t>
            </w:r>
          </w:p>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Remaining Available</w:t>
            </w:r>
          </w:p>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Future Issuance</w:t>
            </w:r>
          </w:p>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(excluding shares in</w:t>
            </w:r>
          </w:p>
          <w:p>
            <w:pPr>
              <w:pStyle w:val="TableContents"/>
              <w:bidi w:val="0"/>
              <w:spacing w:lineRule="auto" w:line="288" w:before="0" w:after="0"/>
              <w:jc w:val="center"/>
              <w:rPr/>
            </w:pPr>
            <w:r>
              <w:rPr>
                <w:rFonts w:ascii="Arial Narrow;sans-serif" w:hAnsi="Arial Narrow;sans-serif"/>
                <w:b/>
                <w:color w:val="000000"/>
                <w:sz w:val="20"/>
              </w:rPr>
              <w:t>1</w:t>
            </w:r>
            <w:r>
              <w:rPr>
                <w:rFonts w:ascii="Arial Narrow;sans-serif" w:hAnsi="Arial Narrow;sans-serif"/>
                <w:b/>
                <w:color w:val="000000"/>
                <w:sz w:val="13"/>
              </w:rPr>
              <w:t>st</w:t>
            </w:r>
            <w:r>
              <w:rPr>
                <w:color w:val="000000"/>
              </w:rPr>
              <w:t xml:space="preserve"> </w:t>
            </w:r>
            <w:r>
              <w:rPr>
                <w:rFonts w:ascii="Arial Narrow;sans-serif" w:hAnsi="Arial Narrow;sans-serif"/>
                <w:b/>
                <w:color w:val="000000"/>
                <w:sz w:val="20"/>
              </w:rPr>
              <w:t>column)</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Equity compensation plans approved by shareholders:</w:t>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2012 Omnibus Incentive Plan </w:t>
            </w:r>
            <w:r>
              <w:rPr>
                <w:rFonts w:ascii="Arial Narrow;sans-serif" w:hAnsi="Arial Narrow;sans-serif"/>
                <w:b w:val="false"/>
                <w:color w:val="000000"/>
                <w:sz w:val="13"/>
              </w:rPr>
              <w:t>(1)</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205,647 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1,124,100 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Stock Ownership Participation Program </w:t>
            </w:r>
            <w:r>
              <w:rPr>
                <w:rFonts w:ascii="Arial Narrow;sans-serif" w:hAnsi="Arial Narrow;sans-serif"/>
                <w:b w:val="false"/>
                <w:color w:val="000000"/>
                <w:sz w:val="13"/>
              </w:rPr>
              <w:t>(2)</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123,887 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Equity compensation plans not approved by shareholders</w:t>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1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205,647 </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1,247,987 </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 xml:space="preserve">(1)Our 2012 Omnibus Incentive Plan was approved by our shareholders at our annual meeting held on May 1, 2012. Subsequent to the initial approval and through December 31, 2023, our shareholders have approved amendments to the 2012 Omnibus Incentive Plan to increase the number of shares authorized for issuance to 5.4 million shares, in the aggregate. </w:t>
      </w:r>
    </w:p>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(2)Our Stock Ownership Participation Program was approved by our shareholders at our annual meeting held on May 1, 2015. Subsequent to the initial approval and through December 31, 2023, our shareholders have approved amendments to the Stock Ownership Participation Program to increase the number of shares authorized for issuance to 0.7 million shares, in the aggregate.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Security Ownership of Certain Beneficial Owners and Management</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“Stock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40" w:type="dxa"/>
        <w:jc w:val="left"/>
        <w:tblInd w:w="0" w:type="dxa"/>
        <w:tblLayout w:type="fixed"/>
        <w:tblCellMar>
          <w:top w:w="28" w:type="dxa"/>
          <w:left w:w="28" w:type="dxa"/>
          <w:bottom w:w="28" w:type="dxa"/>
          <w:right w:w="28" w:type="dxa"/>
        </w:tblCellMar>
      </w:tblPr>
      <w:tblGrid>
        <w:gridCol w:w="282"/>
        <w:gridCol w:w="248"/>
        <w:gridCol w:w="250"/>
        <w:gridCol w:w="2211"/>
        <w:gridCol w:w="2211"/>
        <w:gridCol w:w="3138"/>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CERTAIN RELATIONSHIPS AND RELATED TRANSACTIONS, AND DIRECTOR INDEPENDENCE.</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Certain Relationships and Related Transactions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“Certain Relationships and Related Transactions.”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Director Independence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portions of the Proxy Statement under “Nominees to Board of Directors,” “Directors Not Standing For Election,” and “Board Meetings and Committees.”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40" w:type="dxa"/>
        <w:jc w:val="left"/>
        <w:tblInd w:w="0" w:type="dxa"/>
        <w:tblLayout w:type="fixed"/>
        <w:tblCellMar>
          <w:top w:w="28" w:type="dxa"/>
          <w:left w:w="28" w:type="dxa"/>
          <w:bottom w:w="28" w:type="dxa"/>
          <w:right w:w="28" w:type="dxa"/>
        </w:tblCellMar>
      </w:tblPr>
      <w:tblGrid>
        <w:gridCol w:w="282"/>
        <w:gridCol w:w="248"/>
        <w:gridCol w:w="250"/>
        <w:gridCol w:w="1159"/>
        <w:gridCol w:w="1159"/>
        <w:gridCol w:w="1642"/>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14.</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PRINCIPAL ACCOUNTING FEES AND SERVICES.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“Audit and Non-Audit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Arial Narrow;sans-serif" w:hAnsi="Arial Narrow;sans-serif"/>
          <w:b/>
          <w:color w:val="000000"/>
          <w:sz w:val="20"/>
        </w:rPr>
      </w:pPr>
      <w:r>
        <w:rPr>
          <w:rFonts w:ascii="Arial Narrow;sans-serif" w:hAnsi="Arial Narrow;sans-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tbl>
      <w:tblPr>
        <w:tblW w:w="5174" w:type="dxa"/>
        <w:jc w:val="left"/>
        <w:tblInd w:w="0" w:type="dxa"/>
        <w:tblLayout w:type="fixed"/>
        <w:tblCellMar>
          <w:top w:w="28" w:type="dxa"/>
          <w:left w:w="28" w:type="dxa"/>
          <w:bottom w:w="28" w:type="dxa"/>
          <w:right w:w="28" w:type="dxa"/>
        </w:tblCellMar>
      </w:tblPr>
      <w:tblGrid>
        <w:gridCol w:w="282"/>
        <w:gridCol w:w="248"/>
        <w:gridCol w:w="250"/>
        <w:gridCol w:w="1284"/>
        <w:gridCol w:w="1284"/>
        <w:gridCol w:w="182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15.</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EXHIBITS AND FINANCIAL STATEMENT SCHEDULES.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(a) Documents filed as part of this Annual Report on Form 10-K.</w:t>
      </w:r>
    </w:p>
    <w:p>
      <w:pPr>
        <w:pStyle w:val="TextBody"/>
        <w:bidi w:val="0"/>
        <w:spacing w:lineRule="auto" w:line="288" w:before="180" w:after="283"/>
        <w:ind w:left="0" w:right="0" w:hanging="900"/>
        <w:jc w:val="left"/>
        <w:rPr>
          <w:rFonts w:ascii="Arial Narrow;sans-serif" w:hAnsi="Arial Narrow;sans-serif"/>
          <w:b w:val="false"/>
          <w:color w:val="000000"/>
          <w:sz w:val="20"/>
        </w:rPr>
      </w:pPr>
      <w:r>
        <w:rPr>
          <w:rFonts w:ascii="Arial Narrow;sans-serif" w:hAnsi="Arial Narrow;sans-serif"/>
          <w:b w:val="false"/>
          <w:color w:val="000000"/>
          <w:sz w:val="20"/>
        </w:rPr>
        <w:t>1.Financial Statements—Our independent registered public accounting firm’s report and our Consolidated Financial Statements are listed below and begin on page F-1 of this Form 10-K.</w:t>
      </w:r>
    </w:p>
    <w:p>
      <w:pPr>
        <w:pStyle w:val="TextBody"/>
        <w:bidi w:val="0"/>
        <w:spacing w:lineRule="auto" w:line="288" w:before="100" w:after="283"/>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Report of Independent Registered Public Accounting Firm</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Balance Sheets</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Operations and Other Comprehensive Income (Loss)</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Stockholders’ Equity</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Cash Flows</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Notes to Consolidated Financial Statements</w:t>
      </w:r>
    </w:p>
    <w:p>
      <w:pPr>
        <w:pStyle w:val="TextBody"/>
        <w:bidi w:val="0"/>
        <w:spacing w:lineRule="auto" w:line="288" w:before="180" w:after="283"/>
        <w:ind w:left="0" w:right="0" w:hanging="900"/>
        <w:jc w:val="left"/>
        <w:rPr>
          <w:rFonts w:ascii="Arial Narrow;sans-serif" w:hAnsi="Arial Narrow;sans-serif"/>
          <w:b w:val="false"/>
          <w:color w:val="000000"/>
          <w:sz w:val="20"/>
        </w:rPr>
      </w:pPr>
      <w:r>
        <w:rPr>
          <w:rFonts w:ascii="Arial Narrow;sans-serif" w:hAnsi="Arial Narrow;sans-serif"/>
          <w:b w:val="false"/>
          <w:color w:val="000000"/>
          <w:sz w:val="20"/>
        </w:rPr>
        <w:t>2.Financial Statement Schedules—The financial statement schedules required by this item are included in the Consolidated Financial Statements and accompanying notes.</w:t>
      </w:r>
    </w:p>
    <w:p>
      <w:pPr>
        <w:pStyle w:val="TextBody"/>
        <w:bidi w:val="0"/>
        <w:spacing w:lineRule="auto" w:line="288" w:before="180" w:after="283"/>
        <w:ind w:left="0" w:right="0" w:hanging="900"/>
        <w:jc w:val="left"/>
        <w:rPr>
          <w:rFonts w:ascii="Arial Narrow;sans-serif" w:hAnsi="Arial Narrow;sans-serif"/>
          <w:b w:val="false"/>
          <w:color w:val="000000"/>
          <w:sz w:val="20"/>
        </w:rPr>
      </w:pPr>
      <w:r>
        <w:rPr>
          <w:rFonts w:ascii="Arial Narrow;sans-serif" w:hAnsi="Arial Narrow;sans-serif"/>
          <w:b w:val="false"/>
          <w:color w:val="000000"/>
          <w:sz w:val="20"/>
        </w:rPr>
        <w:t>3.Exhibit Index</w:t>
      </w:r>
    </w:p>
    <w:tbl>
      <w:tblPr>
        <w:tblW w:w="10205" w:type="dxa"/>
        <w:jc w:val="left"/>
        <w:tblInd w:w="0" w:type="dxa"/>
        <w:tblLayout w:type="fixed"/>
        <w:tblCellMar>
          <w:top w:w="28" w:type="dxa"/>
          <w:left w:w="28" w:type="dxa"/>
          <w:bottom w:w="28" w:type="dxa"/>
          <w:right w:w="28" w:type="dxa"/>
        </w:tblCellMar>
      </w:tblPr>
      <w:tblGrid>
        <w:gridCol w:w="266"/>
        <w:gridCol w:w="234"/>
        <w:gridCol w:w="236"/>
        <w:gridCol w:w="1472"/>
        <w:gridCol w:w="1390"/>
        <w:gridCol w:w="1395"/>
        <w:gridCol w:w="260"/>
        <w:gridCol w:w="260"/>
        <w:gridCol w:w="261"/>
        <w:gridCol w:w="305"/>
        <w:gridCol w:w="305"/>
        <w:gridCol w:w="306"/>
        <w:gridCol w:w="388"/>
        <w:gridCol w:w="388"/>
        <w:gridCol w:w="320"/>
        <w:gridCol w:w="249"/>
        <w:gridCol w:w="249"/>
        <w:gridCol w:w="251"/>
        <w:gridCol w:w="220"/>
        <w:gridCol w:w="220"/>
        <w:gridCol w:w="221"/>
        <w:gridCol w:w="294"/>
        <w:gridCol w:w="294"/>
        <w:gridCol w:w="42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25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351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25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w:t>
              <w:br/>
              <w:t>Ending</w:t>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w:t>
            </w:r>
          </w:p>
        </w:tc>
        <w:tc>
          <w:tcPr>
            <w:tcW w:w="4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 Narrow;sans-serif" w:hAnsi="Arial Narrow;sans-serif"/>
                  <w:b w:val="false"/>
                  <w:color w:val="0000FF"/>
                  <w:sz w:val="20"/>
                  <w:u w:val="single"/>
                </w:rPr>
                <w:t>Restated Certificate of Incorporation filed with the Secretary of State of Delaware on July 28, 2023.</w:t>
              </w:r>
            </w:hyperlink>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9/30/2023</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3.1</w:t>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11/2/2023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 Narrow;sans-serif" w:hAnsi="Arial Narrow;sans-serif"/>
                  <w:b w:val="false"/>
                  <w:color w:val="0000FF"/>
                  <w:sz w:val="20"/>
                  <w:u w:val="single"/>
                </w:rPr>
                <w:t>Amended and Restated Bylaws of Huron Consulting Group Inc. (as amended on May 15, 2023).</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5/19/2023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4.1</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 Narrow;sans-serif" w:hAnsi="Arial Narrow;sans-serif"/>
                  <w:b w:val="false"/>
                  <w:color w:val="0000FF"/>
                  <w:sz w:val="20"/>
                  <w:u w:val="single"/>
                </w:rPr>
                <w:t>Specimen Stock Certificate.</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S-1</w:t>
              <w:br/>
              <w:t>(File No. 333-</w:t>
              <w:br/>
              <w:t>115434)</w:t>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10/5/2004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4.2</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 Narrow;sans-serif" w:hAnsi="Arial Narrow;sans-serif"/>
                  <w:b w:val="false"/>
                  <w:color w:val="0000FF"/>
                  <w:sz w:val="20"/>
                  <w:u w:val="single"/>
                </w:rPr>
                <w:t>Description of Securities.</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2/26/2020</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 Narrow;sans-serif" w:hAnsi="Arial Narrow;sans-serif"/>
                  <w:b w:val="false"/>
                  <w:color w:val="0000FF"/>
                  <w:sz w:val="20"/>
                  <w:u w:val="single"/>
                </w:rPr>
                <w:t>Office Lease, dated December 2003, between Union Tower, LLC and Huron Consulting Services LLC (formerly known as Huron Consulting Group LLC).</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S-1</w:t>
              <w:br/>
              <w:t>(File No. 333-</w:t>
              <w:br/>
              <w:t>115434)</w:t>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10/5/2004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 Narrow;sans-serif" w:hAnsi="Arial Narrow;sans-serif"/>
                  <w:b w:val="false"/>
                  <w:color w:val="0000FF"/>
                  <w:sz w:val="20"/>
                  <w:u w:val="single"/>
                </w:rPr>
                <w:t>Huron Consulting Group Inc. Deferred Compensation Plan as Amended and Restated effective January 1, 2009.</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12/31/2008</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10.12</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2/24/2009</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 Narrow;sans-serif" w:hAnsi="Arial Narrow;sans-serif"/>
                  <w:b w:val="false"/>
                  <w:color w:val="0000FF"/>
                  <w:sz w:val="20"/>
                  <w:u w:val="single"/>
                </w:rPr>
                <w:t>Senior Management Agreement by and between Huron Consulting Group Inc. and John D. Kelly.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1/6/2017</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 Narrow;sans-serif" w:hAnsi="Arial Narrow;sans-serif"/>
                  <w:b w:val="false"/>
                  <w:color w:val="0000FF"/>
                  <w:sz w:val="20"/>
                  <w:u w:val="single"/>
                </w:rPr>
                <w:t>First Amendment to Lease by and between Huron Consulting Services LLC and Union Tower, LLC, dated August 23, 2004.</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10.17</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10.5</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 Narrow;sans-serif" w:hAnsi="Arial Narrow;sans-serif"/>
                  <w:b w:val="false"/>
                  <w:color w:val="0000FF"/>
                  <w:sz w:val="20"/>
                  <w:u w:val="single"/>
                </w:rPr>
                <w:t>Second Amendment to Lease by and between Huron Consulting Services LLC and Union Tower, LLC, dated March 14, 2007.</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10.18</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10.6</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 Narrow;sans-serif" w:hAnsi="Arial Narrow;sans-serif"/>
                  <w:b w:val="false"/>
                  <w:color w:val="0000FF"/>
                  <w:sz w:val="20"/>
                  <w:u w:val="single"/>
                </w:rPr>
                <w:t>Third Amendment to Lease by and between Huron Consulting Services LLC and Union Tower, LLC, dated April 2, 2010.</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10.19</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10.7</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 Narrow;sans-serif" w:hAnsi="Arial Narrow;sans-serif"/>
                  <w:b w:val="false"/>
                  <w:color w:val="0000FF"/>
                  <w:sz w:val="20"/>
                  <w:u w:val="single"/>
                </w:rPr>
                <w:t>Fourth Amendment to Lease by and between Huron Consulting Services LLC and Union Tower, LLC, dated December 31, 2012.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10.8</w:t>
            </w:r>
            <w:r>
              <w:rPr>
                <w:color w:val="000000"/>
              </w:rPr>
              <w:t>†</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 Narrow;sans-serif" w:hAnsi="Arial Narrow;sans-serif"/>
                  <w:b w:val="false"/>
                  <w:color w:val="0000FF"/>
                  <w:sz w:val="20"/>
                  <w:u w:val="single"/>
                </w:rPr>
                <w:t>Fifth Amendment to Lease by and between Huron Consulting Services LLC and Union Tower, LLC, dated December 1, 2013.</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2/26/2020</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10.9</w:t>
            </w:r>
          </w:p>
        </w:tc>
        <w:tc>
          <w:tcPr>
            <w:tcW w:w="4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 Narrow;sans-serif" w:hAnsi="Arial Narrow;sans-serif"/>
                  <w:b w:val="false"/>
                  <w:color w:val="0000FF"/>
                  <w:sz w:val="20"/>
                  <w:u w:val="single"/>
                </w:rPr>
                <w:t>Sixth Amendment to Lease by and between Huron Consulting Services LLC and Onni Van Buren Chicago LLC, dated October 3, 2019.</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10/16/2019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34"/>
        <w:gridCol w:w="236"/>
        <w:gridCol w:w="1899"/>
        <w:gridCol w:w="1496"/>
        <w:gridCol w:w="1501"/>
        <w:gridCol w:w="260"/>
        <w:gridCol w:w="260"/>
        <w:gridCol w:w="261"/>
        <w:gridCol w:w="305"/>
        <w:gridCol w:w="305"/>
        <w:gridCol w:w="306"/>
        <w:gridCol w:w="181"/>
        <w:gridCol w:w="181"/>
        <w:gridCol w:w="151"/>
        <w:gridCol w:w="230"/>
        <w:gridCol w:w="230"/>
        <w:gridCol w:w="231"/>
        <w:gridCol w:w="220"/>
        <w:gridCol w:w="220"/>
        <w:gridCol w:w="221"/>
        <w:gridCol w:w="294"/>
        <w:gridCol w:w="294"/>
        <w:gridCol w:w="42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8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28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8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w:t>
              <w:br/>
              <w:t>Ending</w:t>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10.10*</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 Narrow;sans-serif" w:hAnsi="Arial Narrow;sans-serif"/>
                  <w:b w:val="false"/>
                  <w:color w:val="0000FF"/>
                  <w:sz w:val="20"/>
                  <w:u w:val="single"/>
                </w:rPr>
                <w:t>Form of the Huron Consulting Group Inc. 2012 Omnibus Incentive Plan Restricted Stock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10.20</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10.11*</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 Narrow;sans-serif" w:hAnsi="Arial Narrow;sans-serif"/>
                  <w:b w:val="false"/>
                  <w:color w:val="0000FF"/>
                  <w:sz w:val="20"/>
                  <w:u w:val="single"/>
                </w:rPr>
                <w:t>Form of the Huron Consulting Group Inc. 2012 Omnibus Incentive Plan Performance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12/31/2014</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2/24/2015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10.12*</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 Narrow;sans-serif" w:hAnsi="Arial Narrow;sans-serif"/>
                  <w:b w:val="false"/>
                  <w:color w:val="0000FF"/>
                  <w:sz w:val="20"/>
                  <w:u w:val="single"/>
                </w:rPr>
                <w:t>Form of the Huron Consulting Group Inc. 2012 Omnibus Incentive Plan Stock Option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12/31/2014</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10.33</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2/24/2015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10.13*</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 Narrow;sans-serif" w:hAnsi="Arial Narrow;sans-serif"/>
                  <w:b w:val="false"/>
                  <w:color w:val="0000FF"/>
                  <w:sz w:val="20"/>
                  <w:u w:val="single"/>
                </w:rPr>
                <w:t>Form of the Huron Consulting Group Inc. 2012 Omnibus Incentive Plan NEO Performance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12/31/2014</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10.34</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2/24/2015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10.14*</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 Narrow;sans-serif" w:hAnsi="Arial Narrow;sans-serif"/>
                  <w:b w:val="false"/>
                  <w:color w:val="0000FF"/>
                  <w:sz w:val="20"/>
                  <w:u w:val="single"/>
                </w:rPr>
                <w:t>Senior Management Agreement by and between Huron Consulting Group Inc. and Ernest W. Torain, Jr.</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3/31/2020</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4/30/2020</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10.15*</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 Narrow;sans-serif" w:hAnsi="Arial Narrow;sans-serif"/>
                  <w:b w:val="false"/>
                  <w:color w:val="0000FF"/>
                  <w:sz w:val="20"/>
                  <w:u w:val="single"/>
                </w:rPr>
                <w:t>Form of Retention Bonus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4/14/2021</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10.16*</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 Narrow;sans-serif" w:hAnsi="Arial Narrow;sans-serif"/>
                  <w:b w:val="false"/>
                  <w:color w:val="0000FF"/>
                  <w:sz w:val="20"/>
                  <w:u w:val="single"/>
                </w:rPr>
                <w:t>Form of the Huron Consulting Group Inc. 2012 Omnibus Incentive Plan Restricted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9/30/2021</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11/2/2021</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10.17*</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 Narrow;sans-serif" w:hAnsi="Arial Narrow;sans-serif"/>
                  <w:b w:val="false"/>
                  <w:color w:val="0000FF"/>
                  <w:sz w:val="20"/>
                  <w:u w:val="single"/>
                </w:rPr>
                <w:t>Senior Management Agreement by and between Huron Consulting Group Inc. and James R. Dail Jr.</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6/7/2022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10.18</w:t>
            </w:r>
            <w:r>
              <w:rPr>
                <w:color w:val="000000"/>
              </w:rPr>
              <w:t>†</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 Narrow;sans-serif" w:hAnsi="Arial Narrow;sans-serif"/>
                  <w:b w:val="false"/>
                  <w:color w:val="0000FF"/>
                  <w:sz w:val="20"/>
                  <w:u w:val="single"/>
                </w:rPr>
                <w:t>Third Amended and Restated Credit Agreement, dated as of November 15, 2022, among Huron Consulting Group Inc., as Borrower, certain subsidiaries as Guarantors, the Lenders Party, Hereto and Bank of America, N.A., as Administrative Agent and Collateral Agent, JPMorgan Chase Bank, N.A. and PNC Bank, National Association as Co-Syndication Agents, PNC Capital Markets LLC, as Sustainability Structuring Agent, Bank of Montreal, Fifth Third Bank, National Association and TD Bank, N.A., as Co-Documentation Agents, and BofA Securities, Inc., JPMorgan Chase Bank, N.A. and PNC Capital Markets LLC, as Joint Lead Arrangers and Joint Bookrunners.</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10.19</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 Narrow;sans-serif" w:hAnsi="Arial Narrow;sans-serif"/>
                  <w:b w:val="false"/>
                  <w:color w:val="0000FF"/>
                  <w:sz w:val="20"/>
                  <w:u w:val="single"/>
                </w:rPr>
                <w:t>Third Amended and Restated Security Agreement, dated as of November 15, 2022.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10.20</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 Narrow;sans-serif" w:hAnsi="Arial Narrow;sans-serif"/>
                  <w:b w:val="false"/>
                  <w:color w:val="0000FF"/>
                  <w:sz w:val="20"/>
                  <w:u w:val="single"/>
                </w:rPr>
                <w:t>Third Amended and Restated Pledge Agreement, dated as of November 15, 2022.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10.21*</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 Narrow;sans-serif" w:hAnsi="Arial Narrow;sans-serif"/>
                  <w:b w:val="false"/>
                  <w:color w:val="0000FF"/>
                  <w:sz w:val="20"/>
                  <w:u w:val="single"/>
                </w:rPr>
                <w:t>Senior Management Agreement by and between Huron Consulting Group Inc. and C. Mark Hussey.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8-K/A</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12/29/2022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10.22*</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 Narrow;sans-serif" w:hAnsi="Arial Narrow;sans-serif"/>
                  <w:b w:val="false"/>
                  <w:color w:val="0000FF"/>
                  <w:sz w:val="20"/>
                  <w:u w:val="single"/>
                </w:rPr>
                <w:t>Senior Management Agreement by and between Huron Consulting Group Inc. and James H. Roth.</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8-K/A</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12/29/2022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10.23*</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 Narrow;sans-serif" w:hAnsi="Arial Narrow;sans-serif"/>
                  <w:b w:val="false"/>
                  <w:color w:val="0000FF"/>
                  <w:sz w:val="20"/>
                  <w:u w:val="single"/>
                </w:rPr>
                <w:t>Huron Consulting Group Inc. Stock Ownership Participation Program, as amended effective November 23, 2022.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12/31/2022</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10.26</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2/28/2023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10.24</w:t>
            </w:r>
            <w:r>
              <w:rPr>
                <w:color w:val="000000"/>
              </w:rPr>
              <w:t>†</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 Narrow;sans-serif" w:hAnsi="Arial Narrow;sans-serif"/>
                  <w:b w:val="false"/>
                  <w:color w:val="000080"/>
                  <w:sz w:val="20"/>
                  <w:u w:val="single"/>
                </w:rPr>
                <w:t>Amendment No. 1 to the Third Amended and Restated Credit Agreement, dated as of April 28, 2023, by and</w:t>
              </w:r>
            </w:hyperlink>
            <w:hyperlink r:id="rId30">
              <w:r>
                <w:rPr>
                  <w:rStyle w:val="InternetLink"/>
                  <w:rFonts w:ascii="Arial Narrow;sans-serif" w:hAnsi="Arial Narrow;sans-serif"/>
                  <w:b w:val="false"/>
                  <w:color w:val="000080"/>
                  <w:sz w:val="20"/>
                  <w:u w:val="single"/>
                </w:rPr>
                <w:t xml:space="preserve"> </w:t>
              </w:r>
            </w:hyperlink>
            <w:hyperlink r:id="rId31">
              <w:r>
                <w:rPr>
                  <w:rStyle w:val="InternetLink"/>
                  <w:rFonts w:ascii="Arial Narrow;sans-serif" w:hAnsi="Arial Narrow;sans-serif"/>
                  <w:b w:val="false"/>
                  <w:color w:val="000080"/>
                  <w:sz w:val="20"/>
                  <w:u w:val="single"/>
                </w:rPr>
                <w:t>among Huron Consulting Group Inc., as Borrower, and PNC Capital Markets LLC, as Sustainability Structuring</w:t>
              </w:r>
            </w:hyperlink>
          </w:p>
          <w:p>
            <w:pPr>
              <w:pStyle w:val="TableContents"/>
              <w:bidi w:val="0"/>
              <w:spacing w:lineRule="auto" w:line="240" w:before="0" w:after="0"/>
              <w:jc w:val="left"/>
              <w:rPr/>
            </w:pPr>
            <w:hyperlink r:id="rId32">
              <w:r>
                <w:rPr>
                  <w:rStyle w:val="InternetLink"/>
                  <w:rFonts w:ascii="Arial Narrow;sans-serif" w:hAnsi="Arial Narrow;sans-serif"/>
                  <w:b w:val="false"/>
                  <w:color w:val="0000FF"/>
                  <w:sz w:val="20"/>
                  <w:u w:val="single"/>
                </w:rPr>
                <w:t>Agent for and on behalf of the Lenders.</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5/2/2023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10.25*</w:t>
            </w:r>
          </w:p>
        </w:tc>
        <w:tc>
          <w:tcPr>
            <w:tcW w:w="4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1231exhibit1025.htm">
              <w:r>
                <w:rPr>
                  <w:rStyle w:val="InternetLink"/>
                  <w:rFonts w:ascii="Arial Narrow;sans-serif" w:hAnsi="Arial Narrow;sans-serif"/>
                  <w:b w:val="false"/>
                  <w:color w:val="000080"/>
                  <w:sz w:val="20"/>
                  <w:u w:val="single"/>
                </w:rPr>
                <w:t xml:space="preserve">Huron Consulting Group Inc. 2012 Omnibus Incentive Plan, as amended and restated effective </w:t>
              </w:r>
            </w:hyperlink>
            <w:hyperlink w:anchor="hurn20231231exhibit1025.htm">
              <w:r>
                <w:rPr>
                  <w:rStyle w:val="InternetLink"/>
                  <w:rFonts w:ascii="Arial Narrow;sans-serif" w:hAnsi="Arial Narrow;sans-serif"/>
                  <w:b w:val="false"/>
                  <w:color w:val="000080"/>
                  <w:sz w:val="20"/>
                  <w:u w:val="single"/>
                </w:rPr>
                <w:t>December</w:t>
              </w:r>
            </w:hyperlink>
            <w:hyperlink w:anchor="hurn20231231exhibit1025.htm">
              <w:r>
                <w:rPr>
                  <w:rStyle w:val="InternetLink"/>
                  <w:rFonts w:ascii="Arial Narrow;sans-serif" w:hAnsi="Arial Narrow;sans-serif"/>
                  <w:b w:val="false"/>
                  <w:color w:val="000080"/>
                  <w:sz w:val="20"/>
                  <w:u w:val="single"/>
                </w:rPr>
                <w:t xml:space="preserve"> </w:t>
              </w:r>
            </w:hyperlink>
            <w:hyperlink w:anchor="hurn20231231exhibit1025.htm">
              <w:r>
                <w:rPr>
                  <w:rStyle w:val="InternetLink"/>
                  <w:rFonts w:ascii="Arial Narrow;sans-serif" w:hAnsi="Arial Narrow;sans-serif"/>
                  <w:b w:val="false"/>
                  <w:color w:val="000080"/>
                  <w:sz w:val="20"/>
                  <w:u w:val="single"/>
                </w:rPr>
                <w:t>8</w:t>
              </w:r>
            </w:hyperlink>
            <w:hyperlink w:anchor="hurn20231231exhibit1025.htm">
              <w:r>
                <w:rPr>
                  <w:rStyle w:val="InternetLink"/>
                  <w:rFonts w:ascii="Arial Narrow;sans-serif" w:hAnsi="Arial Narrow;sans-serif"/>
                  <w:b w:val="false"/>
                  <w:color w:val="000080"/>
                  <w:sz w:val="20"/>
                  <w:u w:val="single"/>
                </w:rPr>
                <w:t>, 202</w:t>
              </w:r>
            </w:hyperlink>
            <w:hyperlink w:anchor="hurn20231231exhibit1025.htm">
              <w:r>
                <w:rPr>
                  <w:rStyle w:val="InternetLink"/>
                  <w:rFonts w:ascii="Arial Narrow;sans-serif" w:hAnsi="Arial Narrow;sans-serif"/>
                  <w:b w:val="false"/>
                  <w:color w:val="000080"/>
                  <w:sz w:val="20"/>
                  <w:u w:val="single"/>
                </w:rPr>
                <w:t>3</w:t>
              </w:r>
            </w:hyperlink>
            <w:hyperlink w:anchor="hurn20231231exhibit1025.htm">
              <w:r>
                <w:rPr>
                  <w:rStyle w:val="InternetLink"/>
                  <w:rFonts w:ascii="Arial Narrow;sans-serif" w:hAnsi="Arial Narrow;sans-serif"/>
                  <w:b w:val="false"/>
                  <w:color w:val="000080"/>
                  <w:sz w:val="20"/>
                  <w:u w:val="single"/>
                </w:rPr>
                <w:t>.</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8"/>
        <w:gridCol w:w="236"/>
        <w:gridCol w:w="238"/>
        <w:gridCol w:w="2128"/>
        <w:gridCol w:w="1385"/>
        <w:gridCol w:w="1390"/>
        <w:gridCol w:w="260"/>
        <w:gridCol w:w="260"/>
        <w:gridCol w:w="261"/>
        <w:gridCol w:w="305"/>
        <w:gridCol w:w="305"/>
        <w:gridCol w:w="306"/>
        <w:gridCol w:w="181"/>
        <w:gridCol w:w="181"/>
        <w:gridCol w:w="154"/>
        <w:gridCol w:w="225"/>
        <w:gridCol w:w="225"/>
        <w:gridCol w:w="226"/>
        <w:gridCol w:w="220"/>
        <w:gridCol w:w="220"/>
        <w:gridCol w:w="221"/>
        <w:gridCol w:w="294"/>
        <w:gridCol w:w="294"/>
        <w:gridCol w:w="422"/>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7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90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28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90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w:t>
              <w:br/>
              <w:t>Ending</w:t>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10.26</w:t>
            </w:r>
            <w:r>
              <w:rPr>
                <w:color w:val="000000"/>
              </w:rPr>
              <w:t>†</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 Narrow;sans-serif" w:hAnsi="Arial Narrow;sans-serif"/>
                  <w:b w:val="false"/>
                  <w:color w:val="000080"/>
                  <w:sz w:val="20"/>
                  <w:u w:val="single"/>
                </w:rPr>
                <w:t>Amendment No. 2</w:t>
              </w:r>
            </w:hyperlink>
            <w:hyperlink r:id="rId34">
              <w:r>
                <w:rPr>
                  <w:rStyle w:val="InternetLink"/>
                  <w:rFonts w:ascii="Arial Narrow;sans-serif" w:hAnsi="Arial Narrow;sans-serif"/>
                  <w:b w:val="false"/>
                  <w:color w:val="000080"/>
                  <w:sz w:val="20"/>
                  <w:u w:val="single"/>
                </w:rPr>
                <w:t xml:space="preserve"> to</w:t>
              </w:r>
            </w:hyperlink>
            <w:hyperlink r:id="rId35">
              <w:r>
                <w:rPr>
                  <w:rStyle w:val="InternetLink"/>
                  <w:rFonts w:ascii="Arial Narrow;sans-serif" w:hAnsi="Arial Narrow;sans-serif"/>
                  <w:b w:val="false"/>
                  <w:color w:val="000080"/>
                  <w:sz w:val="20"/>
                  <w:u w:val="single"/>
                </w:rPr>
                <w:t xml:space="preserve"> t</w:t>
              </w:r>
            </w:hyperlink>
            <w:hyperlink r:id="rId36">
              <w:r>
                <w:rPr>
                  <w:rStyle w:val="InternetLink"/>
                  <w:rFonts w:ascii="Arial Narrow;sans-serif" w:hAnsi="Arial Narrow;sans-serif"/>
                  <w:b w:val="false"/>
                  <w:color w:val="000080"/>
                  <w:sz w:val="20"/>
                  <w:u w:val="single"/>
                </w:rPr>
                <w:t>he Third Amended and Restated Credit Agreement,</w:t>
              </w:r>
            </w:hyperlink>
            <w:hyperlink r:id="rId37">
              <w:r>
                <w:rPr>
                  <w:rStyle w:val="InternetLink"/>
                  <w:rFonts w:ascii="Arial Narrow;sans-serif" w:hAnsi="Arial Narrow;sans-serif"/>
                  <w:b w:val="false"/>
                  <w:color w:val="000080"/>
                  <w:sz w:val="20"/>
                  <w:u w:val="single"/>
                </w:rPr>
                <w:t xml:space="preserve"> </w:t>
              </w:r>
            </w:hyperlink>
            <w:hyperlink r:id="rId38">
              <w:r>
                <w:rPr>
                  <w:rStyle w:val="InternetLink"/>
                  <w:rFonts w:ascii="Arial Narrow;sans-serif" w:hAnsi="Arial Narrow;sans-serif"/>
                  <w:b w:val="false"/>
                  <w:color w:val="000080"/>
                  <w:sz w:val="20"/>
                  <w:u w:val="single"/>
                </w:rPr>
                <w:t>dated</w:t>
              </w:r>
            </w:hyperlink>
            <w:hyperlink r:id="rId39">
              <w:r>
                <w:rPr>
                  <w:rStyle w:val="InternetLink"/>
                  <w:rFonts w:ascii="Arial Narrow;sans-serif" w:hAnsi="Arial Narrow;sans-serif"/>
                  <w:b w:val="false"/>
                  <w:color w:val="000080"/>
                  <w:sz w:val="20"/>
                  <w:u w:val="single"/>
                </w:rPr>
                <w:t xml:space="preserve"> as of</w:t>
              </w:r>
            </w:hyperlink>
            <w:hyperlink r:id="rId40">
              <w:r>
                <w:rPr>
                  <w:rStyle w:val="InternetLink"/>
                  <w:rFonts w:ascii="Arial Narrow;sans-serif" w:hAnsi="Arial Narrow;sans-serif"/>
                  <w:b w:val="false"/>
                  <w:color w:val="000080"/>
                  <w:sz w:val="20"/>
                  <w:u w:val="single"/>
                </w:rPr>
                <w:t xml:space="preserve"> February 26, 2024, </w:t>
              </w:r>
            </w:hyperlink>
            <w:hyperlink r:id="rId41">
              <w:r>
                <w:rPr>
                  <w:rStyle w:val="InternetLink"/>
                  <w:rFonts w:ascii="Arial Narrow;sans-serif" w:hAnsi="Arial Narrow;sans-serif"/>
                  <w:b w:val="false"/>
                  <w:color w:val="000080"/>
                  <w:sz w:val="20"/>
                  <w:u w:val="single"/>
                </w:rPr>
                <w:t xml:space="preserve">by and among Huron Consulting Group Inc., as Borrower, </w:t>
              </w:r>
            </w:hyperlink>
            <w:hyperlink r:id="rId42">
              <w:r>
                <w:rPr>
                  <w:rStyle w:val="InternetLink"/>
                  <w:rFonts w:ascii="Arial Narrow;sans-serif" w:hAnsi="Arial Narrow;sans-serif"/>
                  <w:b w:val="false"/>
                  <w:color w:val="000080"/>
                  <w:sz w:val="20"/>
                  <w:u w:val="single"/>
                </w:rPr>
                <w:t>the Lenders Party</w:t>
              </w:r>
            </w:hyperlink>
            <w:hyperlink r:id="rId43">
              <w:r>
                <w:rPr>
                  <w:rStyle w:val="InternetLink"/>
                  <w:rFonts w:ascii="Arial Narrow;sans-serif" w:hAnsi="Arial Narrow;sans-serif"/>
                  <w:b w:val="false"/>
                  <w:color w:val="000080"/>
                  <w:sz w:val="20"/>
                  <w:u w:val="single"/>
                </w:rPr>
                <w:t xml:space="preserve"> </w:t>
              </w:r>
            </w:hyperlink>
            <w:hyperlink r:id="rId44">
              <w:r>
                <w:rPr>
                  <w:rStyle w:val="InternetLink"/>
                  <w:rFonts w:ascii="Arial Narrow;sans-serif" w:hAnsi="Arial Narrow;sans-serif"/>
                  <w:b w:val="false"/>
                  <w:color w:val="000080"/>
                  <w:sz w:val="20"/>
                  <w:u w:val="single"/>
                </w:rPr>
                <w:t>There</w:t>
              </w:r>
            </w:hyperlink>
            <w:hyperlink r:id="rId45">
              <w:r>
                <w:rPr>
                  <w:rStyle w:val="InternetLink"/>
                  <w:rFonts w:ascii="Arial Narrow;sans-serif" w:hAnsi="Arial Narrow;sans-serif"/>
                  <w:b w:val="false"/>
                  <w:color w:val="000080"/>
                  <w:sz w:val="20"/>
                  <w:u w:val="single"/>
                </w:rPr>
                <w:t>to</w:t>
              </w:r>
            </w:hyperlink>
            <w:hyperlink r:id="rId46">
              <w:r>
                <w:rPr>
                  <w:rStyle w:val="InternetLink"/>
                  <w:rFonts w:ascii="Arial Narrow;sans-serif" w:hAnsi="Arial Narrow;sans-serif"/>
                  <w:b w:val="false"/>
                  <w:color w:val="000080"/>
                  <w:sz w:val="20"/>
                  <w:u w:val="single"/>
                </w:rPr>
                <w:t xml:space="preserve"> and Bank of America, N.A., as Administrative Agent and Collateral Agent</w:t>
              </w:r>
            </w:hyperlink>
            <w:hyperlink r:id="rId47">
              <w:r>
                <w:rPr>
                  <w:rStyle w:val="InternetLink"/>
                  <w:rFonts w:ascii="Arial Narrow;sans-serif" w:hAnsi="Arial Narrow;sans-serif"/>
                  <w:b w:val="false"/>
                  <w:color w:val="000080"/>
                  <w:sz w:val="20"/>
                  <w:u w:val="single"/>
                </w:rPr>
                <w: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21.1</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1231exhibit211.htm">
              <w:r>
                <w:rPr>
                  <w:rStyle w:val="InternetLink"/>
                  <w:rFonts w:ascii="Arial Narrow;sans-serif" w:hAnsi="Arial Narrow;sans-serif"/>
                  <w:b w:val="false"/>
                  <w:color w:val="0000FF"/>
                  <w:sz w:val="20"/>
                  <w:u w:val="single"/>
                </w:rPr>
                <w:t>List of Subsidiaries of Huron Consulting Group Inc.</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23.1</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1231exhibit231.htm">
              <w:r>
                <w:rPr>
                  <w:rStyle w:val="InternetLink"/>
                  <w:rFonts w:ascii="Arial Narrow;sans-serif" w:hAnsi="Arial Narrow;sans-serif"/>
                  <w:b w:val="false"/>
                  <w:color w:val="0000FF"/>
                  <w:sz w:val="20"/>
                  <w:u w:val="single"/>
                </w:rPr>
                <w:t>Consent of PricewaterhouseCoopers LLP.</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31.1</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1231exhibit311.htm">
              <w:r>
                <w:rPr>
                  <w:rStyle w:val="InternetLink"/>
                  <w:rFonts w:ascii="Arial Narrow;sans-serif" w:hAnsi="Arial Narrow;sans-serif"/>
                  <w:b w:val="false"/>
                  <w:color w:val="0000FF"/>
                  <w:sz w:val="20"/>
                  <w:u w:val="single"/>
                </w:rPr>
                <w:t>Certification of the Chief Executive Officer, pursuant to Rule 13a-14(a)/15d-14(a), as adopted pursuant to Section 302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31.2</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1231exhibit312.htm">
              <w:r>
                <w:rPr>
                  <w:rStyle w:val="InternetLink"/>
                  <w:rFonts w:ascii="Arial Narrow;sans-serif" w:hAnsi="Arial Narrow;sans-serif"/>
                  <w:b w:val="false"/>
                  <w:color w:val="0000FF"/>
                  <w:sz w:val="20"/>
                  <w:u w:val="single"/>
                </w:rPr>
                <w:t>Certification of the Chief Financial Officer, pursuant to Rule 13a-14(a)/15d-14(a), as adopted pursuant to Section 302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32.1</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1231exhibit321.htm">
              <w:r>
                <w:rPr>
                  <w:rStyle w:val="InternetLink"/>
                  <w:rFonts w:ascii="Arial Narrow;sans-serif" w:hAnsi="Arial Narrow;sans-serif"/>
                  <w:b w:val="false"/>
                  <w:color w:val="0000FF"/>
                  <w:sz w:val="20"/>
                  <w:u w:val="single"/>
                </w:rPr>
                <w:t>Certification of the Chief Executive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32.2</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1231exhibit322.htm">
              <w:r>
                <w:rPr>
                  <w:rStyle w:val="InternetLink"/>
                  <w:rFonts w:ascii="Arial Narrow;sans-serif" w:hAnsi="Arial Narrow;sans-serif"/>
                  <w:b w:val="false"/>
                  <w:color w:val="0000FF"/>
                  <w:sz w:val="20"/>
                  <w:u w:val="single"/>
                </w:rPr>
                <w:t>Certification of the Chief Financial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97.1</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31231exhibit971.htm">
              <w:r>
                <w:rPr>
                  <w:rStyle w:val="InternetLink"/>
                  <w:rFonts w:ascii="Arial Narrow;sans-serif" w:hAnsi="Arial Narrow;sans-serif"/>
                  <w:b w:val="false"/>
                  <w:color w:val="0000FF"/>
                  <w:sz w:val="20"/>
                  <w:u w:val="single"/>
                </w:rPr>
                <w:t>Huron Consulting Group Compensation Clawback Policy</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101.INS</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Instance Document - the instance document does not appear in the Interactive Data File because its XBRL tags are embedded within the Inline XBRL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101.SCH</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Schema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101.CAL</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Calculation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101.LAB</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Label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101.PRE</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Presentation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101.DEF</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Definition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4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Cover Page Interactive Data File (formatted as inline XBRL and contained in Exhibit 101)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90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90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90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90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90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742" w:type="dxa"/>
            <w:gridSpan w:val="3"/>
            <w:tcBorders/>
            <w:vAlign w:val="center"/>
          </w:tcPr>
          <w:p>
            <w:pPr>
              <w:pStyle w:val="TableContents"/>
              <w:bidi w:val="0"/>
              <w:spacing w:before="0" w:after="283"/>
              <w:jc w:val="left"/>
              <w:rPr>
                <w:sz w:val="4"/>
                <w:szCs w:val="4"/>
              </w:rPr>
            </w:pPr>
            <w:r>
              <w:rPr>
                <w:sz w:val="4"/>
                <w:szCs w:val="4"/>
              </w:rPr>
            </w:r>
          </w:p>
        </w:tc>
        <w:tc>
          <w:tcPr>
            <w:tcW w:w="4903"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8"/>
        <w:gridCol w:w="287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Indicates the exhibit is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80"/>
              <w:jc w:val="left"/>
              <w:rPr>
                <w:rFonts w:ascii="Arial Narrow;sans-serif" w:hAnsi="Arial Narrow;sans-serif"/>
                <w:b w:val="false"/>
                <w:color w:val="000000"/>
                <w:sz w:val="20"/>
              </w:rPr>
            </w:pPr>
            <w:r>
              <w:rPr>
                <w:rFonts w:ascii="Arial Narrow;sans-serif" w:hAnsi="Arial Narrow;sans-serif"/>
                <w:b w:val="false"/>
                <w:color w:val="000000"/>
                <w:sz w:val="20"/>
              </w:rPr>
              <w:t>Pursuant to Regulation S-K 601(b)(10)(iv), certain exhibits to this Exhibit have been omitted. The Company agrees to furnish supplementally to the Securities and Exchange Commission, upon its request, a copy of any or all omitted exhibits.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00" w:type="dxa"/>
        <w:jc w:val="left"/>
        <w:tblInd w:w="0" w:type="dxa"/>
        <w:tblLayout w:type="fixed"/>
        <w:tblCellMar>
          <w:top w:w="28" w:type="dxa"/>
          <w:left w:w="28" w:type="dxa"/>
          <w:bottom w:w="28" w:type="dxa"/>
          <w:right w:w="28" w:type="dxa"/>
        </w:tblCellMar>
      </w:tblPr>
      <w:tblGrid>
        <w:gridCol w:w="282"/>
        <w:gridCol w:w="248"/>
        <w:gridCol w:w="250"/>
        <w:gridCol w:w="562"/>
        <w:gridCol w:w="562"/>
        <w:gridCol w:w="79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16.</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FORM 10-K SUMMARY</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3513" w:type="dxa"/>
        <w:jc w:val="left"/>
        <w:tblInd w:w="0" w:type="dxa"/>
        <w:tblLayout w:type="fixed"/>
        <w:tblCellMar>
          <w:top w:w="28" w:type="dxa"/>
          <w:left w:w="28" w:type="dxa"/>
          <w:bottom w:w="28" w:type="dxa"/>
          <w:right w:w="28" w:type="dxa"/>
        </w:tblCellMar>
      </w:tblPr>
      <w:tblGrid>
        <w:gridCol w:w="781"/>
        <w:gridCol w:w="687"/>
        <w:gridCol w:w="692"/>
        <w:gridCol w:w="109"/>
        <w:gridCol w:w="109"/>
        <w:gridCol w:w="109"/>
        <w:gridCol w:w="109"/>
        <w:gridCol w:w="109"/>
        <w:gridCol w:w="109"/>
        <w:gridCol w:w="109"/>
        <w:gridCol w:w="109"/>
        <w:gridCol w:w="109"/>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71"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1129"/>
        <w:gridCol w:w="1129"/>
        <w:gridCol w:w="1146"/>
        <w:gridCol w:w="109"/>
        <w:gridCol w:w="109"/>
        <w:gridCol w:w="109"/>
        <w:gridCol w:w="253"/>
        <w:gridCol w:w="253"/>
        <w:gridCol w:w="363"/>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Date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POWER OF ATTORNEY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KNOW ALL PERSONS BY THESE PRESENTS, that each person whose signature appears below constitutes and appoints C. Mark Hussey, John D. Kelly, and Ernest W. Torain, Jr., and each of them, his true and lawful attorneys-in-fact and agents, with full power of substitution and resubstitution, for him and in his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this report has been signed below by the following persons on behalf of the registrant and in the capacities indicated.</w:t>
      </w:r>
    </w:p>
    <w:p>
      <w:pPr>
        <w:pStyle w:val="TextBody"/>
        <w:bidi w:val="0"/>
        <w:spacing w:lineRule="auto" w:line="288" w:before="0" w:after="0"/>
        <w:ind w:left="0" w:right="0" w:firstLine="90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06"/>
        <w:gridCol w:w="786"/>
        <w:gridCol w:w="783"/>
        <w:gridCol w:w="109"/>
        <w:gridCol w:w="109"/>
        <w:gridCol w:w="109"/>
        <w:gridCol w:w="2076"/>
        <w:gridCol w:w="2058"/>
        <w:gridCol w:w="2089"/>
        <w:gridCol w:w="109"/>
        <w:gridCol w:w="109"/>
        <w:gridCol w:w="109"/>
        <w:gridCol w:w="247"/>
        <w:gridCol w:w="247"/>
        <w:gridCol w:w="359"/>
      </w:tblGrid>
      <w:tr>
        <w:trPr/>
        <w:tc>
          <w:tcPr>
            <w:tcW w:w="90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Date</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President, Chief Executive Officer and Director</w:t>
            </w:r>
          </w:p>
          <w:p>
            <w:pPr>
              <w:pStyle w:val="TableContents"/>
              <w:bidi w:val="0"/>
              <w:spacing w:lineRule="auto" w:line="240" w:before="0" w:after="0"/>
              <w:jc w:val="left"/>
              <w:rPr>
                <w:rFonts w:ascii="Arial Narrow;sans-serif" w:hAnsi="Arial Narrow;sans-serif"/>
                <w:b w:val="false"/>
                <w:i/>
                <w:color w:val="000000"/>
                <w:sz w:val="20"/>
              </w:rPr>
            </w:pPr>
            <w:r>
              <w:rPr>
                <w:rFonts w:ascii="Arial Narrow;sans-serif" w:hAnsi="Arial Narrow;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F. MCCARTNEY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Non-Executive Chairman of the Board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F. McCartney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JAMES H.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Vice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James H.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Executive Vice President, Chief Financial Officer and Treasurer </w:t>
            </w:r>
            <w:r>
              <w:rPr>
                <w:rFonts w:ascii="Arial Narrow;sans-serif" w:hAnsi="Arial Narrow;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KYLE D. FEATHERSTONE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Chief Accounting Officer </w:t>
            </w:r>
            <w:r>
              <w:rPr>
                <w:rFonts w:ascii="Arial Narrow;sans-serif" w:hAnsi="Arial Narrow;sans-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Kyle D. Featherstone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JOY T.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Joy T.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H. EUGENE LOCKHART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 Eugene Lockhart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PETER K. MARKELL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Peter K. Markell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HUGH E. SAWYER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Hugh E. Sawyer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EKTA SINGH-BUSHELL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Ekta Singh-Bushell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DEBRA ZUMWALT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Debra Zumwalt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HURON CONSULTING GROUP INC.</w:t>
      </w:r>
    </w:p>
    <w:p>
      <w:pPr>
        <w:pStyle w:val="TextBody"/>
        <w:bidi w:val="0"/>
        <w:spacing w:lineRule="auto" w:line="288" w:before="60" w:after="283"/>
        <w:jc w:val="center"/>
        <w:rPr>
          <w:rFonts w:ascii="Arial Narrow;sans-serif" w:hAnsi="Arial Narrow;sans-serif"/>
          <w:b w:val="false"/>
          <w:color w:val="000000"/>
          <w:sz w:val="24"/>
        </w:rPr>
      </w:pPr>
      <w:r>
        <w:rPr>
          <w:rFonts w:ascii="Arial Narrow;sans-serif" w:hAnsi="Arial Narrow;sans-serif"/>
          <w:b w:val="false"/>
          <w:color w:val="000000"/>
          <w:sz w:val="24"/>
        </w:rPr>
        <w:t>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Arial Narrow;sans-serif" w:hAnsi="Arial Narrow;sans-serif"/>
          <w:b w:val="false"/>
          <w:color w:val="000000"/>
          <w:sz w:val="24"/>
        </w:rPr>
      </w:pPr>
      <w:r>
        <w:rPr>
          <w:rFonts w:ascii="Arial Narrow;sans-serif" w:hAnsi="Arial Narrow;sans-serif"/>
          <w:b w:val="false"/>
          <w:color w:val="000000"/>
          <w:sz w:val="24"/>
        </w:rPr>
        <w:t>INDEX</w:t>
      </w:r>
    </w:p>
    <w:tbl>
      <w:tblPr>
        <w:tblW w:w="9915" w:type="dxa"/>
        <w:jc w:val="left"/>
        <w:tblInd w:w="0" w:type="dxa"/>
        <w:tblLayout w:type="fixed"/>
        <w:tblCellMar>
          <w:top w:w="28" w:type="dxa"/>
          <w:left w:w="28" w:type="dxa"/>
          <w:bottom w:w="28" w:type="dxa"/>
          <w:right w:w="28" w:type="dxa"/>
        </w:tblCellMar>
      </w:tblPr>
      <w:tblGrid>
        <w:gridCol w:w="3402"/>
        <w:gridCol w:w="2988"/>
        <w:gridCol w:w="2999"/>
        <w:gridCol w:w="154"/>
        <w:gridCol w:w="154"/>
        <w:gridCol w:w="218"/>
      </w:tblGrid>
      <w:tr>
        <w:trPr/>
        <w:tc>
          <w:tcPr>
            <w:tcW w:w="3402"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u w:val="single"/>
              </w:rPr>
            </w:pPr>
            <w:r>
              <w:rPr>
                <w:rFonts w:ascii="Arial Narrow;sans-serif" w:hAnsi="Arial Narrow;sans-serif"/>
                <w:b w:val="false"/>
                <w:color w:val="000000"/>
                <w:sz w:val="20"/>
                <w:u w:val="single"/>
              </w:rPr>
              <w:t>Page</w:t>
            </w:r>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57">
              <w:r>
                <w:rPr>
                  <w:rStyle w:val="InternetLink"/>
                  <w:rFonts w:ascii="Arial Narrow;sans-serif" w:hAnsi="Arial Narrow;sans-serif"/>
                  <w:b w:val="false"/>
                  <w:color w:val="0000FF"/>
                  <w:sz w:val="20"/>
                  <w:u w:val="single"/>
                </w:rPr>
                <w:t>Report of Independent Registered Public Accounting Firm</w:t>
              </w:r>
            </w:hyperlink>
            <w:r>
              <w:rPr>
                <w:color w:val="000000"/>
              </w:rPr>
              <w:t xml:space="preserve"> </w:t>
            </w:r>
            <w:r>
              <w:rPr>
                <w:rFonts w:ascii="Arial Narrow;sans-serif" w:hAnsi="Arial Narrow;sans-serif"/>
                <w:b w:val="false"/>
                <w:color w:val="000000"/>
                <w:sz w:val="20"/>
              </w:rPr>
              <w:t>(PCAOB ID 238)</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91f4deb943854f978ddded841685322d_157">
              <w:r>
                <w:rPr>
                  <w:rStyle w:val="InternetLink"/>
                  <w:rFonts w:ascii="Arial Narrow;sans-serif" w:hAnsi="Arial Narrow;sans-serif"/>
                  <w:b w:val="false"/>
                  <w:strike w:val="false"/>
                  <w:dstrike w:val="false"/>
                  <w:color w:val="000000"/>
                  <w:sz w:val="20"/>
                  <w:u w:val="none"/>
                  <w:effect w:val="none"/>
                </w:rPr>
                <w:t>2</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60">
              <w:r>
                <w:rPr>
                  <w:rStyle w:val="InternetLink"/>
                  <w:rFonts w:ascii="Arial Narrow;sans-serif" w:hAnsi="Arial Narrow;sans-serif"/>
                  <w:b w:val="false"/>
                  <w:color w:val="000080"/>
                  <w:sz w:val="20"/>
                  <w:u w:val="single"/>
                </w:rPr>
                <w:t xml:space="preserve">Consolidated Balance Sheets at December 31, </w:t>
              </w:r>
            </w:hyperlink>
            <w:hyperlink w:anchor="i91f4deb943854f978ddded841685322d_160">
              <w:r>
                <w:rPr>
                  <w:rStyle w:val="InternetLink"/>
                  <w:rFonts w:ascii="Arial Narrow;sans-serif" w:hAnsi="Arial Narrow;sans-serif"/>
                  <w:b w:val="false"/>
                  <w:color w:val="000080"/>
                  <w:sz w:val="20"/>
                  <w:u w:val="single"/>
                </w:rPr>
                <w:t>2023</w:t>
              </w:r>
            </w:hyperlink>
            <w:hyperlink w:anchor="i91f4deb943854f978ddded841685322d_160">
              <w:r>
                <w:rPr>
                  <w:rStyle w:val="InternetLink"/>
                  <w:rFonts w:ascii="Arial Narrow;sans-serif" w:hAnsi="Arial Narrow;sans-serif"/>
                  <w:b w:val="false"/>
                  <w:color w:val="000080"/>
                  <w:sz w:val="20"/>
                  <w:u w:val="single"/>
                </w:rPr>
                <w:t xml:space="preserve"> and</w:t>
              </w:r>
            </w:hyperlink>
            <w:hyperlink w:anchor="i91f4deb943854f978ddded841685322d_160">
              <w:r>
                <w:rPr>
                  <w:rStyle w:val="InternetLink"/>
                  <w:rFonts w:ascii="Arial Narrow;sans-serif" w:hAnsi="Arial Narrow;sans-serif"/>
                  <w:b w:val="false"/>
                  <w:color w:val="000080"/>
                  <w:sz w:val="20"/>
                  <w:u w:val="single"/>
                </w:rPr>
                <w:t xml:space="preserve"> 2022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91f4deb943854f978ddded841685322d_160">
              <w:r>
                <w:rPr>
                  <w:rStyle w:val="InternetLink"/>
                  <w:rFonts w:ascii="Arial Narrow;sans-serif" w:hAnsi="Arial Narrow;sans-serif"/>
                  <w:b w:val="false"/>
                  <w:strike w:val="false"/>
                  <w:dstrike w:val="false"/>
                  <w:color w:val="000000"/>
                  <w:sz w:val="20"/>
                  <w:u w:val="none"/>
                  <w:effect w:val="none"/>
                </w:rPr>
                <w:t>4</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63">
              <w:r>
                <w:rPr>
                  <w:rStyle w:val="InternetLink"/>
                  <w:rFonts w:ascii="Arial Narrow;sans-serif" w:hAnsi="Arial Narrow;sans-serif"/>
                  <w:b w:val="false"/>
                  <w:color w:val="0000FF"/>
                  <w:sz w:val="20"/>
                  <w:u w:val="single"/>
                </w:rPr>
                <w:t>Consolidated Statements of Earnings and Other Comprehensive Income for the years ended December 31, 2023, 2022, and 2021</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91f4deb943854f978ddded841685322d_163">
              <w:r>
                <w:rPr>
                  <w:rStyle w:val="InternetLink"/>
                  <w:rFonts w:ascii="Arial Narrow;sans-serif" w:hAnsi="Arial Narrow;sans-serif"/>
                  <w:b w:val="false"/>
                  <w:strike w:val="false"/>
                  <w:dstrike w:val="false"/>
                  <w:color w:val="000000"/>
                  <w:sz w:val="20"/>
                  <w:u w:val="none"/>
                  <w:effect w:val="none"/>
                </w:rPr>
                <w:t>5</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66">
              <w:r>
                <w:rPr>
                  <w:rStyle w:val="InternetLink"/>
                  <w:rFonts w:ascii="Arial Narrow;sans-serif" w:hAnsi="Arial Narrow;sans-serif"/>
                  <w:b w:val="false"/>
                  <w:color w:val="000080"/>
                  <w:sz w:val="20"/>
                  <w:u w:val="single"/>
                </w:rPr>
                <w:t xml:space="preserve">Consolidated Statements of Stockholders’ Equity for the years ended December 31, </w:t>
              </w:r>
            </w:hyperlink>
            <w:hyperlink w:anchor="i91f4deb943854f978ddded841685322d_166">
              <w:r>
                <w:rPr>
                  <w:rStyle w:val="InternetLink"/>
                  <w:rFonts w:ascii="Arial Narrow;sans-serif" w:hAnsi="Arial Narrow;sans-serif"/>
                  <w:b w:val="false"/>
                  <w:color w:val="000080"/>
                  <w:sz w:val="20"/>
                  <w:u w:val="single"/>
                </w:rPr>
                <w:t>202</w:t>
              </w:r>
            </w:hyperlink>
            <w:hyperlink w:anchor="i91f4deb943854f978ddded841685322d_166">
              <w:r>
                <w:rPr>
                  <w:rStyle w:val="InternetLink"/>
                  <w:rFonts w:ascii="Arial Narrow;sans-serif" w:hAnsi="Arial Narrow;sans-serif"/>
                  <w:b w:val="false"/>
                  <w:color w:val="000080"/>
                  <w:sz w:val="20"/>
                  <w:u w:val="single"/>
                </w:rPr>
                <w:t>3</w:t>
              </w:r>
            </w:hyperlink>
            <w:hyperlink w:anchor="i91f4deb943854f978ddded841685322d_166">
              <w:r>
                <w:rPr>
                  <w:rStyle w:val="InternetLink"/>
                  <w:rFonts w:ascii="Arial Narrow;sans-serif" w:hAnsi="Arial Narrow;sans-serif"/>
                  <w:b w:val="false"/>
                  <w:color w:val="000080"/>
                  <w:sz w:val="20"/>
                  <w:u w:val="single"/>
                </w:rPr>
                <w:t>, 202</w:t>
              </w:r>
            </w:hyperlink>
            <w:hyperlink w:anchor="i91f4deb943854f978ddded841685322d_166">
              <w:r>
                <w:rPr>
                  <w:rStyle w:val="InternetLink"/>
                  <w:rFonts w:ascii="Arial Narrow;sans-serif" w:hAnsi="Arial Narrow;sans-serif"/>
                  <w:b w:val="false"/>
                  <w:color w:val="000080"/>
                  <w:sz w:val="20"/>
                  <w:u w:val="single"/>
                </w:rPr>
                <w:t>2</w:t>
              </w:r>
            </w:hyperlink>
            <w:hyperlink w:anchor="i91f4deb943854f978ddded841685322d_166">
              <w:r>
                <w:rPr>
                  <w:rStyle w:val="InternetLink"/>
                  <w:rFonts w:ascii="Arial Narrow;sans-serif" w:hAnsi="Arial Narrow;sans-serif"/>
                  <w:b w:val="false"/>
                  <w:color w:val="000080"/>
                  <w:sz w:val="20"/>
                  <w:u w:val="single"/>
                </w:rPr>
                <w:t>, and 202</w:t>
              </w:r>
            </w:hyperlink>
            <w:hyperlink w:anchor="i91f4deb943854f978ddded841685322d_166">
              <w:r>
                <w:rPr>
                  <w:rStyle w:val="InternetLink"/>
                  <w:rFonts w:ascii="Arial Narrow;sans-serif" w:hAnsi="Arial Narrow;sans-serif"/>
                  <w:b w:val="false"/>
                  <w:color w:val="000080"/>
                  <w:sz w:val="20"/>
                  <w:u w:val="single"/>
                </w:rPr>
                <w:t>1</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91f4deb943854f978ddded841685322d_166">
              <w:r>
                <w:rPr>
                  <w:rStyle w:val="InternetLink"/>
                  <w:rFonts w:ascii="Arial Narrow;sans-serif" w:hAnsi="Arial Narrow;sans-serif"/>
                  <w:b w:val="false"/>
                  <w:strike w:val="false"/>
                  <w:dstrike w:val="false"/>
                  <w:color w:val="000000"/>
                  <w:sz w:val="20"/>
                  <w:u w:val="none"/>
                  <w:effect w:val="none"/>
                </w:rPr>
                <w:t>6</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69">
              <w:r>
                <w:rPr>
                  <w:rStyle w:val="InternetLink"/>
                  <w:rFonts w:ascii="Arial Narrow;sans-serif" w:hAnsi="Arial Narrow;sans-serif"/>
                  <w:b w:val="false"/>
                  <w:color w:val="000080"/>
                  <w:sz w:val="20"/>
                  <w:u w:val="single"/>
                </w:rPr>
                <w:t xml:space="preserve">Consolidated Statements of Cash Flows for the years ended December 31, </w:t>
              </w:r>
            </w:hyperlink>
            <w:hyperlink w:anchor="i91f4deb943854f978ddded841685322d_169">
              <w:r>
                <w:rPr>
                  <w:rStyle w:val="InternetLink"/>
                  <w:rFonts w:ascii="Arial Narrow;sans-serif" w:hAnsi="Arial Narrow;sans-serif"/>
                  <w:b w:val="false"/>
                  <w:color w:val="000080"/>
                  <w:sz w:val="20"/>
                  <w:u w:val="single"/>
                </w:rPr>
                <w:t>202</w:t>
              </w:r>
            </w:hyperlink>
            <w:hyperlink w:anchor="i91f4deb943854f978ddded841685322d_169">
              <w:r>
                <w:rPr>
                  <w:rStyle w:val="InternetLink"/>
                  <w:rFonts w:ascii="Arial Narrow;sans-serif" w:hAnsi="Arial Narrow;sans-serif"/>
                  <w:b w:val="false"/>
                  <w:color w:val="000080"/>
                  <w:sz w:val="20"/>
                  <w:u w:val="single"/>
                </w:rPr>
                <w:t>3</w:t>
              </w:r>
            </w:hyperlink>
            <w:hyperlink w:anchor="i91f4deb943854f978ddded841685322d_169">
              <w:r>
                <w:rPr>
                  <w:rStyle w:val="InternetLink"/>
                  <w:rFonts w:ascii="Arial Narrow;sans-serif" w:hAnsi="Arial Narrow;sans-serif"/>
                  <w:b w:val="false"/>
                  <w:color w:val="000080"/>
                  <w:sz w:val="20"/>
                  <w:u w:val="single"/>
                </w:rPr>
                <w:t>, 202</w:t>
              </w:r>
            </w:hyperlink>
            <w:hyperlink w:anchor="i91f4deb943854f978ddded841685322d_169">
              <w:r>
                <w:rPr>
                  <w:rStyle w:val="InternetLink"/>
                  <w:rFonts w:ascii="Arial Narrow;sans-serif" w:hAnsi="Arial Narrow;sans-serif"/>
                  <w:b w:val="false"/>
                  <w:color w:val="000080"/>
                  <w:sz w:val="20"/>
                  <w:u w:val="single"/>
                </w:rPr>
                <w:t>2</w:t>
              </w:r>
            </w:hyperlink>
            <w:hyperlink w:anchor="i91f4deb943854f978ddded841685322d_169">
              <w:r>
                <w:rPr>
                  <w:rStyle w:val="InternetLink"/>
                  <w:rFonts w:ascii="Arial Narrow;sans-serif" w:hAnsi="Arial Narrow;sans-serif"/>
                  <w:b w:val="false"/>
                  <w:color w:val="000080"/>
                  <w:sz w:val="20"/>
                  <w:u w:val="single"/>
                </w:rPr>
                <w:t>, and 202</w:t>
              </w:r>
            </w:hyperlink>
            <w:hyperlink w:anchor="i91f4deb943854f978ddded841685322d_169">
              <w:r>
                <w:rPr>
                  <w:rStyle w:val="InternetLink"/>
                  <w:rFonts w:ascii="Arial Narrow;sans-serif" w:hAnsi="Arial Narrow;sans-serif"/>
                  <w:b w:val="false"/>
                  <w:color w:val="000080"/>
                  <w:sz w:val="20"/>
                  <w:u w:val="single"/>
                </w:rPr>
                <w:t>1</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91f4deb943854f978ddded841685322d_169">
              <w:r>
                <w:rPr>
                  <w:rStyle w:val="InternetLink"/>
                  <w:rFonts w:ascii="Arial Narrow;sans-serif" w:hAnsi="Arial Narrow;sans-serif"/>
                  <w:b w:val="false"/>
                  <w:strike w:val="false"/>
                  <w:dstrike w:val="false"/>
                  <w:color w:val="000000"/>
                  <w:sz w:val="20"/>
                  <w:u w:val="none"/>
                  <w:effect w:val="none"/>
                </w:rPr>
                <w:t>7</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f4deb943854f978ddded841685322d_172">
              <w:r>
                <w:rPr>
                  <w:rStyle w:val="InternetLink"/>
                  <w:rFonts w:ascii="Arial Narrow;sans-serif" w:hAnsi="Arial Narrow;sans-serif"/>
                  <w:b w:val="false"/>
                  <w:color w:val="0000FF"/>
                  <w:sz w:val="20"/>
                  <w:u w:val="single"/>
                </w:rPr>
                <w:t>Notes to 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91f4deb943854f978ddded841685322d_172">
              <w:r>
                <w:rPr>
                  <w:rStyle w:val="InternetLink"/>
                  <w:rFonts w:ascii="Arial Narrow;sans-serif" w:hAnsi="Arial Narrow;sans-serif"/>
                  <w:b w:val="false"/>
                  <w:strike w:val="false"/>
                  <w:dstrike w:val="false"/>
                  <w:color w:val="000000"/>
                  <w:sz w:val="20"/>
                  <w:u w:val="none"/>
                  <w:effect w:val="non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To the Board of Directors and Stockholders of Huron Consulting Group Inc.</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Opinions on the Financial Statements and Internal Control over Financial Reporting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have audited the accompanying consolidated balance sheets of Huron Consulting Group Inc. and its subsidiaries (the “Company”) as of December 31, 2023 and 2022, and the related consolidated statements of operations and other comprehensive income, of shareholders'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pStyle w:val="TextBody"/>
        <w:bidi w:val="0"/>
        <w:spacing w:lineRule="auto" w:line="288" w:before="180" w:after="283"/>
        <w:jc w:val="both"/>
        <w:rPr>
          <w:rFonts w:ascii="Arial Narrow;sans-serif" w:hAnsi="Arial Narrow;sans-serif"/>
          <w:b/>
          <w:i/>
          <w:color w:val="000000"/>
          <w:sz w:val="20"/>
        </w:rPr>
      </w:pPr>
      <w:r>
        <w:rPr>
          <w:rFonts w:ascii="Arial Narrow;sans-serif" w:hAnsi="Arial Narrow;sans-serif"/>
          <w:b/>
          <w:i/>
          <w:color w:val="000000"/>
          <w:sz w:val="20"/>
        </w:rPr>
        <w:t>Basis for Opinions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80" w:after="283"/>
        <w:jc w:val="both"/>
        <w:rPr>
          <w:rFonts w:ascii="Arial Narrow;sans-serif" w:hAnsi="Arial Narrow;sans-serif"/>
          <w:b/>
          <w:i/>
          <w:color w:val="000000"/>
          <w:sz w:val="20"/>
        </w:rPr>
      </w:pPr>
      <w:r>
        <w:rPr>
          <w:rFonts w:ascii="Arial Narrow;sans-serif" w:hAnsi="Arial Narrow;sans-serif"/>
          <w:b/>
          <w:i/>
          <w:color w:val="000000"/>
          <w:sz w:val="20"/>
        </w:rPr>
        <w:t>Definition and Limitations of Internal Control over Financial Reporting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both"/>
        <w:rPr/>
      </w:pPr>
      <w:r>
        <w:rPr>
          <w:rFonts w:ascii="Arial Narrow;sans-serif" w:hAnsi="Arial Narrow;sans-serif"/>
          <w:b/>
          <w:i/>
          <w:color w:val="000000"/>
          <w:sz w:val="20"/>
        </w:rPr>
        <w:t>Critical Audit Matters</w:t>
      </w:r>
      <w:r>
        <w:rPr>
          <w:color w:val="000000"/>
        </w:rPr>
        <w:t xml:space="preserve">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both"/>
        <w:rPr>
          <w:rFonts w:ascii="Arial Narrow;sans-serif" w:hAnsi="Arial Narrow;sans-serif"/>
          <w:b w:val="false"/>
          <w:i/>
          <w:color w:val="000000"/>
          <w:sz w:val="20"/>
        </w:rPr>
      </w:pPr>
      <w:r>
        <w:rPr>
          <w:rFonts w:ascii="Arial Narrow;sans-serif" w:hAnsi="Arial Narrow;sans-serif"/>
          <w:b w:val="false"/>
          <w:i/>
          <w:color w:val="000000"/>
          <w:sz w:val="20"/>
        </w:rPr>
        <w:t xml:space="preserve">Revenue Recognition - Fixed-Fee and Healthcare Performance-Based Billing Arrangements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As described in Note 2 to the consolidated financial statements, in fixed-fee billing arrangements, which make up a portion of total revenues of $1.36 billion for the year ended December 31, 2023, the Company agrees to a pre-established fee in exchange for a predetermined set of professional services. As disclosed by management, under fixed-fee arrangements, revenues are recognized based upon work completed to date versus management’s estimates of the total services to be provided under the engagement. Additionally, the Company’s Healthcare practice enters into performance-based billing arrangements whereby fees are tied to the attainment of contractually defined objectives, as a result of adopting the Company’s recommendations, which make up a portion of total revenues of $1.36 billion for the year ended December 31, 2023. Under performance-based billing arrangements, revenue is recognized based on an estimate of variable consideration and work completed to date versus the estimates of the total services to be provided under the engagement. Variable consideration is estimated based on a probability-weighted assessment of the fees to be earned, net of a constraint to limit the amount that could be reversed when the uncertainty is resolved.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principal considerations for our determination that performing procedures relating to revenue recognition under fixed-fee and Healthcare performance-based billing arrangements is a critical audit matter are the significant judgments by management when developing the estimates of revenue to be recognized for these billing arrangements, which in turn led to a high degree of auditor judgment, subjectivity and effort in performing procedures and evaluating audit evidence related to management’s significant assumptions related to work completed to date versus management’s estimates of the total services to be provided for fixed-fee and performance-based billing arrangements and the probability of attaining contractually defined objectives in performance-based billing arrangements.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under fixed-fee and performance-based billing arrangements. These procedures also included, among others, testing the accuracy of the total contract amounts and evaluating the reasonableness of management’s assumption of work completed to date versus management’s estimates of the total services to be provided for a sample of engagements by (i) inquiring with the Company’s employees regarding the expected remaining efforts, (ii) evaluating trends in past performance, and (iii) evaluating performance to date. Additionally, for performance based billing arrangements, procedures included, among others, for a sample of engagements (i) evaluating the reasonableness of management’s assumption of the probability of attaining the contractually defined objectives by inquiring with the Company’s employees regarding the expected remaining efforts and the probability weighting of variable consideration to be earned and by evaluating trends in past performance, (ii) evaluating the necessity of applying a constraint, and (iii) evaluating performance to date towards the attainment of contractually defined objectives.</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 PricewaterhouseCoopers LLP</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Chicago, Illinois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February 27, 2024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served as the Company's auditor since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and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00"/>
        <w:gridCol w:w="2243"/>
        <w:gridCol w:w="2284"/>
        <w:gridCol w:w="231"/>
        <w:gridCol w:w="981"/>
        <w:gridCol w:w="139"/>
        <w:gridCol w:w="109"/>
        <w:gridCol w:w="109"/>
        <w:gridCol w:w="109"/>
        <w:gridCol w:w="229"/>
        <w:gridCol w:w="973"/>
        <w:gridCol w:w="198"/>
      </w:tblGrid>
      <w:tr>
        <w:trPr/>
        <w:tc>
          <w:tcPr>
            <w:tcW w:w="2600"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 2022</w:t>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11,834 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Receivables from clients, net of allowances of $17,284 and $10,600, respectively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162,566 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147,852 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Unbilled services, net of allowances of $5,984 and $3,850, respectively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190,869 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141,781 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receivable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26,057 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400,460 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328,484 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investments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75,414 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91,194 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30,304 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non-current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92,336 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73,039 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23,392 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625,711 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624,966 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1,262,142 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1,199,040 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and stockholders’ equity</w:t>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expenses and other current liabilities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27,268 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 and related benefits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225,921 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171,723 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operating lease liabilities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revenues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21,909 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302,575 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245,684 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liabilities:</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compensation and other liabilities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33,614 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324,000 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290,000 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net of current portion</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45,556 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liabilities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426,675 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401,316 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Commitments and contingencies</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Stockholders’ equity</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$0.01 par value; 500,000,000 shares authorized; 21,316,441 and 22,507,159 shares issued, respectively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Treasury stock, at cost, 2,852,296 and 2,711,712 shares, respectively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236,962 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318,706 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415,027 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352,548 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income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equity</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532,892 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552,040 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stockholders’ equity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1,262,142 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1,199,040 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 AND OTHER COMPREHENSIVE INCOME</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per share amounts)</w:t>
      </w:r>
    </w:p>
    <w:p>
      <w:pPr>
        <w:pStyle w:val="TextBody"/>
        <w:bidi w:val="0"/>
        <w:spacing w:lineRule="auto" w:line="288" w:before="0" w:after="0"/>
        <w:jc w:val="left"/>
        <w:rPr>
          <w:color w:val="000000"/>
        </w:rPr>
      </w:pPr>
      <w:r>
        <w:rPr>
          <w:color w:val="000000"/>
        </w:rPr>
        <w:t> </w:t>
      </w:r>
    </w:p>
    <w:tbl>
      <w:tblPr>
        <w:tblW w:w="8351" w:type="dxa"/>
        <w:jc w:val="left"/>
        <w:tblInd w:w="0" w:type="dxa"/>
        <w:tblLayout w:type="fixed"/>
        <w:tblCellMar>
          <w:top w:w="28" w:type="dxa"/>
          <w:left w:w="28" w:type="dxa"/>
          <w:bottom w:w="28" w:type="dxa"/>
          <w:right w:w="28" w:type="dxa"/>
        </w:tblCellMar>
      </w:tblPr>
      <w:tblGrid>
        <w:gridCol w:w="1667"/>
        <w:gridCol w:w="1466"/>
        <w:gridCol w:w="1471"/>
        <w:gridCol w:w="181"/>
        <w:gridCol w:w="766"/>
        <w:gridCol w:w="109"/>
        <w:gridCol w:w="109"/>
        <w:gridCol w:w="109"/>
        <w:gridCol w:w="109"/>
        <w:gridCol w:w="181"/>
        <w:gridCol w:w="766"/>
        <w:gridCol w:w="109"/>
        <w:gridCol w:w="109"/>
        <w:gridCol w:w="109"/>
        <w:gridCol w:w="109"/>
        <w:gridCol w:w="181"/>
        <w:gridCol w:w="64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Year Ended December 31,</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Revenues and reimbursable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1,362,060 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905,640 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Reimbursable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 and reimbursable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926,958 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 costs (exclusive of depreciation and amortization included below)</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Reimbursable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Selling, general and administrative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Restructuring charges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1,273,407 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1,059,201 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Other income (expense), net: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 net of 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income (expense),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Earnings per share:</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per basic share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per diluted share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used in calculating earnings per share: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Comprehensive income: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adjustments, net of tax</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Unrealized gain (loss) on investment,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Unrealized gain (loss) on cash flow hedging instruments, net of tax</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STOCKHOLDERS’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amounts)</w:t>
      </w:r>
    </w:p>
    <w:tbl>
      <w:tblPr>
        <w:tblW w:w="11140" w:type="dxa"/>
        <w:jc w:val="center"/>
        <w:tblInd w:w="0" w:type="dxa"/>
        <w:tblLayout w:type="fixed"/>
        <w:tblCellMar>
          <w:top w:w="28" w:type="dxa"/>
          <w:left w:w="28" w:type="dxa"/>
          <w:bottom w:w="28" w:type="dxa"/>
          <w:right w:w="28" w:type="dxa"/>
        </w:tblCellMar>
      </w:tblPr>
      <w:tblGrid>
        <w:gridCol w:w="579"/>
        <w:gridCol w:w="258"/>
        <w:gridCol w:w="259"/>
        <w:gridCol w:w="420"/>
        <w:gridCol w:w="421"/>
        <w:gridCol w:w="196"/>
        <w:gridCol w:w="109"/>
        <w:gridCol w:w="109"/>
        <w:gridCol w:w="109"/>
        <w:gridCol w:w="181"/>
        <w:gridCol w:w="376"/>
        <w:gridCol w:w="109"/>
        <w:gridCol w:w="109"/>
        <w:gridCol w:w="109"/>
        <w:gridCol w:w="109"/>
        <w:gridCol w:w="383"/>
        <w:gridCol w:w="383"/>
        <w:gridCol w:w="196"/>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49"/>
        <w:gridCol w:w="786"/>
        <w:gridCol w:w="151"/>
        <w:gridCol w:w="109"/>
        <w:gridCol w:w="109"/>
        <w:gridCol w:w="109"/>
        <w:gridCol w:w="202"/>
        <w:gridCol w:w="721"/>
        <w:gridCol w:w="173"/>
      </w:tblGrid>
      <w:tr>
        <w:trPr/>
        <w:tc>
          <w:tcPr>
            <w:tcW w:w="5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Accumulated</w:t>
              <w:br/>
              <w:t>Other</w:t>
              <w:br/>
              <w:t>Comprehensive</w:t>
              <w:br/>
              <w:t>Income</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Stockholders' </w:t>
              <w:br/>
              <w:t>Equity</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2020</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24,560,855 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(2,812,896)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13,061 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551,942 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common stock in connection with:</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475,250 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(197,189)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(1,265,261)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(64,803)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2021</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23,868,918 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(2,908,849)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571,900 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76,831 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common stock in connection with:</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awards, net of cancellations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109,548 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30,991 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(153,846)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(7,795)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(2,037,752)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(121,308)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2022</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22,231,593 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(2,953,147)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18,119 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552,040 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4,708 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67,187 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common stock in connection with:</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awards, net of cancellations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338,173 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of business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(146,390)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(1,461,815)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(123,627)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2023</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21,175,554 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(2,975,321)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415,027 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22,827 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532,892 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w:t>
      </w:r>
    </w:p>
    <w:tbl>
      <w:tblPr>
        <w:tblW w:w="9056" w:type="dxa"/>
        <w:jc w:val="center"/>
        <w:tblInd w:w="0" w:type="dxa"/>
        <w:tblLayout w:type="fixed"/>
        <w:tblCellMar>
          <w:top w:w="28" w:type="dxa"/>
          <w:left w:w="28" w:type="dxa"/>
          <w:bottom w:w="28" w:type="dxa"/>
          <w:right w:w="28" w:type="dxa"/>
        </w:tblCellMar>
      </w:tblPr>
      <w:tblGrid>
        <w:gridCol w:w="2092"/>
        <w:gridCol w:w="1834"/>
        <w:gridCol w:w="1848"/>
        <w:gridCol w:w="181"/>
        <w:gridCol w:w="571"/>
        <w:gridCol w:w="109"/>
        <w:gridCol w:w="109"/>
        <w:gridCol w:w="109"/>
        <w:gridCol w:w="109"/>
        <w:gridCol w:w="181"/>
        <w:gridCol w:w="571"/>
        <w:gridCol w:w="109"/>
        <w:gridCol w:w="109"/>
        <w:gridCol w:w="109"/>
        <w:gridCol w:w="109"/>
        <w:gridCol w:w="181"/>
        <w:gridCol w:w="571"/>
        <w:gridCol w:w="154"/>
      </w:tblGrid>
      <w:tr>
        <w:trPr/>
        <w:tc>
          <w:tcPr>
            <w:tcW w:w="209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Year Ended December 31,</w:t>
            </w:r>
          </w:p>
        </w:tc>
      </w:tr>
      <w:tr>
        <w:trPr/>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Lease-related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Allowances for doubtful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of property and equipment, excluding transaction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Gain on sale of business, excluding transaction costs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contingent consideration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preferred stock investment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 and divestiture: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receivables from clients,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(39,845)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unbilled services,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current income tax receivable / payable,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accounts payable and other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accrued payroll and related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deferred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life insurance policies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Distributions from life insurance policies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businesses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Capitalization of internally developed software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sale of 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Divestiture of business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exercises of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bank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Repayments of bank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for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payments on business acquisition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and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the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disclosure of cash flow information:</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expenditures and capitalized software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issued related to purchases of businesses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accrued related to purchases of businesses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 included in 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Excise tax on net share repurchases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during the year for: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1. Description of Business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develop growth strategies, optimize operations and accelerate digital transformation, including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Healthcare, Education, and Commercial, which align our business by industry. The Commercial segment includes all industries outside of healthcare and education, including, but not limited to, financial services and energy and utilities.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19 “Segment Information” for a discussion of our three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Summary of Significant Accounting Policies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Basis of Presentation and Principles of Consolidation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accompanying consolidated financial statements reflect the financial position at December 31, 2023 and 2022, and the results of operations and cash flows for the years ended December 31, 2023, 2022, and 2021.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consolidated financial statements include the accounts of Huron Consulting Group Inc. and its subsidiaries, all of which are wholly-owned. All intercompany balances and transactions have been eliminated in consolidation.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Use of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under four types of billing arrangements: fixed-fee (including software license revenue);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Fixed-fee (including software license revenue): 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 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Time-and-expense: Under time-and-expense billing arrangements, we invoice our clients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and the portion of our Healthcare managed services contracts that are billed under time-and-expense arrangements. We recognize revenues under time-and-expense arrangements as the related services or publications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Performance-based: 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 date versus our estimates of the total services to be provided under the engagement.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Software support, maintenance and subscriptions: 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Provisions are recorded for the estimated realization adjustments on all engagements, including engagements for which fees are subject to review by the bankruptcy courts.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and reimbursable expenses. Reimbursable expenses are recognized as expenses in the period in which the expense is incurred.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Capitalized Sales Commissions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Sales commissions earned by our sales professionals are considered incremental and recoverable costs of obtaining a contract with a customer. Sales commissions with an expected amortization period greater than one year are deferred and amortized on a straight-line basis over the period of the associated contract. We elected to apply the practical expedient to expense sales commissions as incurred when the expected amortization period is one year or less. Amortization expense is recorded to direct costs. During the years ended December 31, 2023, 2022, and 2021, we amortized $0.2 million, $0.3 million, and $0.4 million, respectively, of capitalized sales commissions. Unamortized sales commissions were $0.4 million as of both December 31, 2023 and 2022.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Allowances for Doubtful Accounts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maintain allowances for doubtful accounts and unbilled services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the provision for doubtful accounts and unbilled services as a reduction in revenue. To the extent we write-off accounts receivable due to a client's inability to pay, the charge is recognized as a component of selling, general and administrative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primarily consist of payroll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as well as technology costs, product and event costs, and commissions. Direct costs exclude amortization of intangible assets and software development costs and reimbursable expenses, both of which are separately presented in our consolidated statements of operations. Direct costs are expensed in the period incurred.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and Cash Equivalents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consider all highly liquid investments, including overnight investments and commercial paper, with original maturities of three months or less to be cash equivalents.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Concentrations of Credit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19 “Segment Information” for concentration of accounts receivable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Long-term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long-term investments consist of our convertible debt investment in Shorelight Holdings, LLC (“Shorelight”) and preferred stock investment in a hospital-at-home company.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classified the convertible debt investment in Shorelight as available-for-sale at the time of purchase and reevaluate such classification as of each balance sheet date. The investment is carried at fair value with unrealized holding gains and losses reported in other comprehensive income. If the investment is in an unrealized loss position due to significant credit deterioration of the investee, we recognize an allowance to decrease the carrying value of the investment to the fair value, which may be reversed in the event that the credit of an issuer improves. In the event there are realized gains and losses or credit allowances recognized, we will record the amount in earnings. We have not realized any gains or losses or recognized any credit allowance on our convertible debt investment as of December 31, 2023. See Note 13 “Fair Value of Financial Instruments” for additional information on our convertible debt investment.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classified the preferred stock investment in the hospital-at-home company as an equity security without a readily determinable value at the time of purchase and reevaluate such classification as of each balance sheet date. We elected to apply the measurement alternative at the time of purchase and will continue to do so until the investment does not qualify to be so measured. Under the measurement alternative, the investment is carried at cost minus impairment, plus or minus changes resulting from observable price changes in orderly transactions for an identical or similar investment in the company. On a quarterly basis, we review the information available to determine whether an orderly and observable transaction for the same or similar equity instrument occurred or if factors indicate that a significant decrease in value has occurred. We remeasure to the fair value of the preferred stock using such identified information with changes in the fair value recorded in our consolidated statement of operations. See Note 13 “Fair Value of Financial Instruments” for additional information on our preferred stock investment, including the cumulative unrealized gains recognized since our initial investment and the impairment loss recognized in 2023.</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Fair Value of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13 “Fair Value of Financial Instruments” for the accounting policies used to measure the fair value of our financial assets and liabilities that are measured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Property and Equipment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is recorded at cost, less accumulated depreciation, and depreciated using the straight-line method over the shorter of the estimated useful life of the asset or the lease term. Software, computers, and related equipment are depreciated over an estimated useful life of two to four years. Furniture and fixtures are depreciated over five years. Leasehold improvements are amortized over the lesser of the estimated useful life of the asset or the initial term of the lease.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determine if an arrangement contains a lease and the classification of such lease at inception. As of December 31, 2023 and 2022, all of our material leases are classified as operating leases; we have not entered into any material finance leases. For all operating leases with an initial term greater than 12 months, we recognize an operating lease right-of-use (“ROU”) asset and operating lease liability. Leases with an initial term of 12 months or less are not recorded on the balance sheet; we recognize lease expense for these leases on a straight-line basis over the lease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our leases do not provide an implicit rate, we use our incremental borrowing rate based on the information available at the lease commencement date and provided by the administrative agent for our senior secured credit facility in determining the present value of lease payments. Operating lease ROU assets exclude lease incentives. We elected the practical expedient to combine lease and nonlease components. Certain lease agreements contain variable lease payments that do not depend on an index or rate. These variable lease payments are not included in the calculation of the operating lease ROU asset and operating lease liability; instead, they are expensed as incurred. Our leases may contain options to extend or terminate the lease, and we include these terms in our calculation of the operating lease ROU asset and operating lease liability when it is reasonably certain that we will exercise the option.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expense is recognized on a straight-line basis over the lease term and recorded within selling, general and administrative expenses on our consolidated statement of operations. In accordance with our accounting policy for impairment of long-lived assets, operating lease ROU assets are reviewed for impairment whenever events or changes in circumstances indicate that the carrying amount of the asset group to which the operating lease ROU asset is assigned may not be recoverable. We evaluate the recoverability of the asset group based on forecasted undiscounted cash flows. See Note 5 “Leases” for additional information on our leases, including the lease impairment charges recorded in 2023 and 2022.</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Software Development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incur internal and external software development costs related to our cloud computing applications and software for internal use. We capitalize these software development costs incurred during the application development stage. Costs related to preliminary project activities and post implementation activities are expensed as incurred. Once the project is substantially complete and ready for its intended use, these costs are amortized on a straight-line basis over the technology's estimated useful life. Acquired technology assets are initially recorded at fair value and amortized on a straight-line basis over the estimated useful life.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Development costs related to software products that will be sold, leased, or otherwise marketed are expensed until technological feasibility has been established. Thereafter, and until the software is available for general release to customers, these software development costs are capitalized and subsequently reported at the lower of unamortized cost or net realizable value. These capitalized development costs are amortized in proportion to current and future revenue for each product with an annual minimum equal to the straight-line amortization over the remaining estimated economic life of the product. We did not capitalize any material development costs for this type of software during 2023 or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classify capitalized software development costs, which primarily relate to cloud computing applications and software for internal use, as other non-current assets on our consolidated balance sheet. As of December 31, 2023, gross capitalized software development costs and related accumulated amortization was $72.3 million and $26.8 million, respectively. As of December 31, 2022, gross capitalized software development costs and related accumulated amortization was $47.7 million and $21.5 million, respectively. During the years ended December 31, 2023, 2022, and 2021, we amortized $6.5 million, $5.9 million, and $5.2 million, respectively, of capitalized software development costs. Additionally, in 2023, we recognized a $0.3 million restructuring charge for the abandonment of a capitalized software development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Implementation Costs Incurred in a Cloud Computing Arrangement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incur costs to implement cloud computing arrangements that are service contracts. We capitalize certain costs associated with the implementation of the cloud computing arrangements, including employee payroll and related benefits and third party consulting costs, incurred during the application development stage of a project. These costs are amortized on a straight-line basis over the term of the hosting service contracts, including renewal periods we are reasonably certain to exercise, and recognized as a component of selling, general and administrative expenses on our consolidated statement of operations. As of December 31, 2023, gross capitalized implementation costs incurred in a cloud computing arrangement and related accumulated amortization was $7.2 million and $2.2 million, respectively. As of December 31, 2022, gross capitalized implementation costs incurred in a cloud computing arrangement and related accumulated amortization was $6.5 million and $1.5 million, respectively. During the years ended December 31, 2023, 2022 and 2021 we recognized amortization of our capitalized implementation costs of $0.7 million, $1.2 million and $0.9 million, respectively. Of the $1.2 million amortization for capitalized implementation costs in 2022, $0.3 million was recognized as a restructuring charge as it related to accelerated amortization of capitalized software implementation costs for a cloud-computing arrangement that is no longer in use. Our capitalized implementation costs primarily relate to the implementation of a new ERP system. In January 2021, we successfully went live with the new ERP system, and we continue to progress with additional functionality and integrations as scheduled. These capitalized costs are included as a component of prepaid expenses and other current assets and other non-current assets on our consolidated balance sheet.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Intangible Assets Other Than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Identifiable intangible assets are amortized over their expected useful lives using a method that reflects the economic benefit expected to be derived from the assets or on a straight-line basis. We evaluate the recoverability of intangible assets periodically by considering events or circumstances that may warrant revised estimates of useful lives or that indicate the asset may be impaired.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Impairment of Long-Lived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Long-lived assets, including property and equipment, right-of-use assets, and intangible assets, are reviewed for impairment whenever events or changes in circumstances indicate that the carrying amount of an asset may not be recoverable. Events relating to recoverability may include significant unfavorable changes in business conditions, recurring losses, or a significant decline in forecasted operating results over an extended period of time. We evaluate the recoverability of long-lived assets based on forecasted undiscounted cash flows. See Note 5 “Leases” and Note 11 “Restructuring Charges” for information on our operating lease ROU asset impairment charges recorded in 2023 and 2022 and fixed asset impairment charges recorded in 2023. No material impairment charges for other long-lived assets were recorded in 2023, 2022, or 2021.</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2023, we have three reporting units: Healthcare, Education, and Commercial.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2023, we performed the annual goodwill impairment test as of November 30, 2023, pursuant to our policy, and determined that no impairment of goodwill existed as of that date. Further, we evaluated whether any events have occurred, or any circumstances have changed since November 30, 2023 that would indicate goodwill may have become impaired since our annual impairment test. Based on our evaluation as of December 31, 2023, we determined that no indications of impairment have arisen since our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2022, we performed two goodwill impairment tests: an interim impairment test for each of our reporting units as of January 1, 2022 in connection with the operating model modification and the annual impairment test for each of our reporting units as of November 30. We did not identify any impairments during our interim or annual impairment tests performed during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2021, we performed the annual goodwill impairment test as of November 30, 2021, pursuant to our policy, and determined that no impairment of goodwill existed as of that date.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4 “Goodwill and Intangible Assets” for additional information on our interim and annual goodwill impairment tests.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Business Combinations</w:t>
      </w:r>
    </w:p>
    <w:p>
      <w:pPr>
        <w:pStyle w:val="TextBody"/>
        <w:bidi w:val="0"/>
        <w:spacing w:lineRule="auto" w:line="288" w:before="180" w:after="283"/>
        <w:jc w:val="left"/>
        <w:rPr/>
      </w:pPr>
      <w:r>
        <w:rPr>
          <w:rFonts w:ascii="Arial Narrow;sans-serif" w:hAnsi="Arial Narrow;sans-serif"/>
          <w:b w:val="false"/>
          <w:color w:val="000000"/>
          <w:sz w:val="20"/>
        </w:rPr>
        <w:t>We use the acquisition method of accounting for business combinations</w:t>
      </w:r>
      <w:r>
        <w:rPr>
          <w:rFonts w:ascii="Arial Narrow;sans-serif" w:hAnsi="Arial Narrow;sans-serif"/>
          <w:b w:val="false"/>
          <w:i/>
          <w:color w:val="000000"/>
          <w:sz w:val="20"/>
        </w:rPr>
        <w:t>.</w:t>
      </w:r>
      <w:r>
        <w:rPr>
          <w:color w:val="000000"/>
        </w:rPr>
        <w:t xml:space="preserve"> </w:t>
      </w:r>
      <w:r>
        <w:rPr>
          <w:rFonts w:ascii="Arial Narrow;sans-serif" w:hAnsi="Arial Narrow;sans-serif"/>
          <w:b w:val="false"/>
          <w:color w:val="000000"/>
          <w:sz w:val="20"/>
        </w:rPr>
        <w:t xml:space="preserve">Each acquired company’s operating results are included in our consolidated financial statements starting on the date of acquisition. The purchase price is equivalent to the fair value of consideration transferred. The contract assets and contract liabilities acquired are recorded at their carrying value under Topic 606: </w:t>
      </w:r>
      <w:r>
        <w:rPr>
          <w:rFonts w:ascii="Arial Narrow;sans-serif" w:hAnsi="Arial Narrow;sans-serif"/>
          <w:b w:val="false"/>
          <w:i/>
          <w:color w:val="000000"/>
          <w:sz w:val="20"/>
        </w:rPr>
        <w:t>Revenue from Contracts with Customers</w:t>
      </w:r>
      <w:r>
        <w:rPr>
          <w:rFonts w:ascii="Arial Narrow;sans-serif" w:hAnsi="Arial Narrow;sans-serif"/>
          <w:b w:val="false"/>
          <w:color w:val="000000"/>
          <w:sz w:val="20"/>
        </w:rPr>
        <w:t>. All other tangible assets and identifiable intangible assets acquired and liabilities assumed are recorded at fair value as of the acquisition date. Goodwill is recognized for the excess of purchase price over the net value of tangible and intangible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3 “Acquisitions and Divestiture” for additional information on our business acquisitions and refer to Note 13 “Fair Value of Financial Instruments” for additional information regarding our contingent acquisition liability balances.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Current tax liabilities and assets are recognized for the estimated taxes payable or refundable, respectively, on the tax returns for the current year. We have elected to recognize the tax expense related to Global Intangible Low-Taxed Income (“GILTI”) as a current period expense when incurred.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 Refer to Note 17 “Income Taxes” for further information regarding incomes taxes.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Share-Based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It is our policy to account for forfeitures as they occur. Refer to Note 16 “Equity Incentive Plan” for further information regarding share-based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Sponsorship and Advertising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Sponsorship and advertising costs are expensed as incurred. Such expenses for the years ended December 31, 2023, 2022, and 2021 totaled $7.3 million, $6.3 million, and $4.3 million, respectively, and are a component of selling, general and administrative expenses on our consolidated statement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Debt Issuance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amortize the costs we incur to obtain debt financing over the contractual life of the related debt using the straight-line method. The amortization expense is included in interest expense, net of interest income in our statement of operations. Unamortized debt issuance costs attributable to our senior secured revolving credit facility are included as a component of other non-current assets.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Assets and liabilities of foreign subsidiaries whose functional currency is not the United States Dollar (USD) are translated into USD using the exchange rates in effect at period end. Revenue and expense items are translated using the average exchange rates for the period. Foreign currency translation adjustments are included in accumulated other comprehensive income, which is a component of stockholders’ equity.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gains and losses are included in other income, net on the consolidated statement of operations. We recognized $0.5 million of foreign currency transaction losses in 2023, $0.7 million of foreign currency transaction gains in 2022, and $0.4 million of foreign currency transaction losses in 2021.</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As of December 31, 2023, our chief operating decision maker manages the business under three operating segments, which are our reportable segments: Healthcare, Education, and Commercial.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68" w:before="180" w:after="283"/>
        <w:jc w:val="left"/>
        <w:rPr>
          <w:rFonts w:ascii="Arial Narrow;sans-serif" w:hAnsi="Arial Narrow;sans-serif"/>
          <w:b/>
          <w:i/>
          <w:color w:val="000000"/>
          <w:sz w:val="20"/>
        </w:rPr>
      </w:pPr>
      <w:r>
        <w:rPr>
          <w:rFonts w:ascii="Arial Narrow;sans-serif" w:hAnsi="Arial Narrow;sans-serif"/>
          <w:b/>
          <w:i/>
          <w:color w:val="000000"/>
          <w:sz w:val="20"/>
        </w:rPr>
        <w:t>Not Yet Adopted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November 27, 2023, the Financial Accounting Standards Board (“FASB”) issued Accounting Standards Update (“ASU”) 2023-07, Segment Reporting (Topic 280): Improvements to Reportable Segment Disclosures, which updates the segment disclosure requirements, primarily through enhanced disclosures about significant segment expenses on an interim and annual basis. ASU 2023-07 will be effective for our annual reporting periods beginning with the fiscal year ending December 31, 2024 and for interim reporting periods beginning in fiscal year 2025, with early adoption permitted, and is required to be applied retrospectively. We are currently evaluating the impact this guidance will have on our disclosures within our consolidated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December 14, 2023, the FASB issued ASU 2023-09, Improvements to Income Tax Disclosures, which updates annual income tax disclosures by requiring disclosure of specific categories in the rate reconciliation, as well as disclosure of income taxes paid disaggregated by jurisdiction. ASU 2023-09 will be effective for our annual reporting periods beginning with the fiscal year ending December 31, 2024, with early adoption permitted, and is required to be applied prospectively with the option of retrospective application. We are currently evaluating the impact this guidance will have on our disclosures within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3. Acquisitions and Divestiture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 xml:space="preserve">Acquisitions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2023</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Roundtable Analytics, Inc.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September 1, 2023, we completed the acquisition of Roundtable Analytics, Inc. (“Roundtable”), a healthcare analytics company. The results of operations of Roundtable are included within our consolidated financial statements and results of operations of our Healthcare segment from the date of the acquisition. The acquisition of Roundtable is not significant to our consolidated financial statements as of and for the year ended December 31, 2023.</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2022</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AIMDATA, LLC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January 18, 2022, we completed the acquisition of AIMDATA, LLC (“AIMDATA”), an advisory and implementation consulting services firm focused on strategy, technology and business transformation. The results of operations of AIMDATA are included within our consolidated financial statements as of the acquisition date and allocated among our three operating industries, which are our reportable segments, based on the engagements delivered by the business.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Customer Evolution, LLC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Effective December 31, 2022, we completed the acquisition of Customer Evolution, LLC (“Customer Evolution”), a healthcare advisory and technology implementation consulting services firm. The results of operations of Customer Evolution are included in our consolidated financial statements and results of operations of our Healthcare segment beginning January 1,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acquisitions of AIMDATA and Customer Evolution are not significant to our consolidated financial statements individually or in the aggregate as of and for the year ended December 31, 2022.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2021</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Unico Solution, Inc.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February 1, 2021, we completed the acquisition of Unico Solution, Inc. (“Unico Solutions”), a data strategy and technology consulting firm focused on helping clients enhance the use of their data to speed business transformation and accelerate cloud adoption. The acquisition expands our cloud-based technology offerings within our Digital capability. The results of operations of Unico Solutions are included in our consolidated financial statements from the date of acquisition. The results of operations were initially recognized within our legacy Business Advisory segment and subsequently allocated among our three operating industries, which are our reportable segments, based on the engagements delivered by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Bad Rabbit, Inc.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October 1, 2021, we completed the acquisition of the research administration software services team of Bad Rabbit, Inc. (“Bad Rabbit”). The results of operations of Bad Rabbit are included in our consolidated financial statements and results of operations of our Education segment from the date of acquisition.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Whiteboard Communications Ltd.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December 1, 2021, we completed the acquisition of Whiteboard Communications Ltd. (“Whiteboard”), a student enrollment advisory firm that helps colleges and universities with recruitment initiatives and financial aid strategies. The results of operations of Whiteboard are included in our consolidated financial statements and results of operations of our Education segment from the date of acquisition.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Perception Health, Inc.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December 31, 2021, we completed the acquisition of Perception Health, Inc. (“Perception Health”), a healthcare predictive analytics company focused on bringing data sources together for improved clinical and business decision-making. The results of operations of Perception Health are included in our consolidated financial statements and results of operations of our Healthcare segment beginning January, 1,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acquisitions of Unico Solutions, Bad Rabbit, Whiteboard and Perception Health are not significant to our consolidated financial statements individually or in the aggregate as of and for the year ended December 31, 2021. The finalized measurement of assets acquired and liabilities assumed in the Whiteboard and Perception Health acquisitions were completed in the first quarter of 2022.</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Divestiture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2021</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Life Sciences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November 1, 2021, we completed the divestiture of our Life Sciences business, a reporting unit within our legacy Business Advisory segment, to a third-party. In connection with the sale, we recorded a $31.5 million pretax gain which is included in other income, net on our consolidated statement of operations. The Life Sciences business was not significant to our consolidated financial statements and did not qualify as a discontinued operation for reporting under GAAP. For the ten months ended October 31, 2021, this business generated $16.7 million of revenues.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4. Goodwill and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amount of goodwill by reportable segment for the years ended December 31, 2023 and 2022. </w:t>
      </w:r>
    </w:p>
    <w:tbl>
      <w:tblPr>
        <w:tblW w:w="10205" w:type="dxa"/>
        <w:jc w:val="left"/>
        <w:tblInd w:w="0" w:type="dxa"/>
        <w:tblLayout w:type="fixed"/>
        <w:tblCellMar>
          <w:top w:w="28" w:type="dxa"/>
          <w:left w:w="28" w:type="dxa"/>
          <w:bottom w:w="28" w:type="dxa"/>
          <w:right w:w="28" w:type="dxa"/>
        </w:tblCellMar>
      </w:tblPr>
      <w:tblGrid>
        <w:gridCol w:w="1614"/>
        <w:gridCol w:w="1418"/>
        <w:gridCol w:w="1422"/>
        <w:gridCol w:w="109"/>
        <w:gridCol w:w="109"/>
        <w:gridCol w:w="109"/>
        <w:gridCol w:w="196"/>
        <w:gridCol w:w="736"/>
        <w:gridCol w:w="109"/>
        <w:gridCol w:w="109"/>
        <w:gridCol w:w="109"/>
        <w:gridCol w:w="109"/>
        <w:gridCol w:w="196"/>
        <w:gridCol w:w="736"/>
        <w:gridCol w:w="109"/>
        <w:gridCol w:w="109"/>
        <w:gridCol w:w="109"/>
        <w:gridCol w:w="109"/>
        <w:gridCol w:w="212"/>
        <w:gridCol w:w="804"/>
        <w:gridCol w:w="119"/>
        <w:gridCol w:w="109"/>
        <w:gridCol w:w="109"/>
        <w:gridCol w:w="109"/>
        <w:gridCol w:w="196"/>
        <w:gridCol w:w="871"/>
        <w:gridCol w:w="159"/>
      </w:tblGrid>
      <w:tr>
        <w:trPr/>
        <w:tc>
          <w:tcPr>
            <w:tcW w:w="16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Commercial</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1,076,771 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(247,811)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64,439 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620,879 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Goodwill reallocation, net </w:t>
            </w:r>
            <w:r>
              <w:rPr>
                <w:rFonts w:ascii="Arial Narrow;sans-serif" w:hAnsi="Arial Narrow;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(16,640)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Goodwill recorded in connection with business combinations </w:t>
            </w:r>
            <w:r>
              <w:rPr>
                <w:rFonts w:ascii="Arial Narrow;sans-serif" w:hAnsi="Arial Narrow;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1,080,858 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624,966 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Goodwill recorded in connection with business combinations </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1,081,603 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625,711 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    The balances shown as of December 31, 2021 within the Commercial segment related to our Business Advisory segment prior to the modification of our operating model. Effective January 1, 2022, we reallocated a portion of the goodwill, net of accumulated impairment losses within our Business Advisory segment to our Healthcare and Education segments. The remaining goodwill, net of accumulated impairment losses was allocated to our new Commercial segment. See below for additional information on the modification of our operating model in 2022.</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 See Note 3 “Acquisitions and Divestiture” for additional information on business combinations completed in 2023, 2022 and 2021.</w:t>
      </w:r>
    </w:p>
    <w:p>
      <w:pPr>
        <w:pStyle w:val="TextBody"/>
        <w:bidi w:val="0"/>
        <w:spacing w:lineRule="auto" w:line="288" w:before="180" w:after="283"/>
        <w:ind w:left="0" w:right="0" w:hanging="360"/>
        <w:jc w:val="left"/>
        <w:rPr>
          <w:rFonts w:ascii="Arial Narrow;sans-serif" w:hAnsi="Arial Narrow;sans-serif"/>
          <w:b/>
          <w:i/>
          <w:color w:val="000000"/>
          <w:sz w:val="20"/>
        </w:rPr>
      </w:pPr>
      <w:r>
        <w:rPr>
          <w:rFonts w:ascii="Arial Narrow;sans-serif" w:hAnsi="Arial Narrow;sans-serif"/>
          <w:b/>
          <w:i/>
          <w:color w:val="000000"/>
          <w:sz w:val="20"/>
        </w:rPr>
        <w:t>2023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our policy, we performed our annual goodwill impairment test as of November 30, 2023 for our three reporting units: Healthcare, Education, and Commercial. We performed a qualitative assessment over all reporting units to determine if it was more likely than not the respective fair values of these reporting units were less than their carrying amounts, including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our qualitative assessment, we considered the most recent quantitative analysis performed for each reporting unit, which was as of January 1, 2022,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2022 and 2023 compared to the internal financial projections used, as well as specific outlooks for each reporting unit based on our most recent internal financial projections.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for each of our reporting units exceeded their respective carrying amounts. As such, the goodwill for our reporting units was not considered impaired as of November 30, 2023, and a quantitative goodwill impairment analysis was not necessary.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Further, we evaluated whether any events have occurred or any circumstances have changed since November 30, 2023 that would indicate goodwill may have become impaired since our annual impairment test. Based on our evaluation as of December 31, 2023, we determined that no indications of impairment have arisen since our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ind w:left="0" w:right="0" w:hanging="360"/>
        <w:jc w:val="left"/>
        <w:rPr>
          <w:rFonts w:ascii="Arial Narrow;sans-serif" w:hAnsi="Arial Narrow;sans-serif"/>
          <w:b/>
          <w:i/>
          <w:color w:val="000000"/>
          <w:sz w:val="20"/>
        </w:rPr>
      </w:pPr>
      <w:r>
        <w:rPr>
          <w:rFonts w:ascii="Arial Narrow;sans-serif" w:hAnsi="Arial Narrow;sans-serif"/>
          <w:b/>
          <w:i/>
          <w:color w:val="000000"/>
          <w:sz w:val="20"/>
        </w:rPr>
        <w:t xml:space="preserve">First Quarter 2022 Goodwill Reallocation and Goodwill Impairment Test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Effective January 1, 2022, we modified our operating model to expand and more deeply integrate our industry expertise with our digital, strategic and financial advisory capabilities. 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three reportable segments of Healthcare, Education and Commercial are also our reporting units for goodwill impairment testing purposes. As a result of the reorganization, we reallocated the goodwill balances of our historical reporting units to our new reporting units based on the relative estimated fair values of each component of the historical reporting units to be allocated to the new reporting units. Additionally, we performed a goodwill impairment test on the goodwill balances of each of our reporting units as of January 1, 2022 by comparing the fair value of the reporting unit to its carrying value, including the reallocated goodwill. Based on the results of the goodwill impairment test, we determined the fair values of the Healthcare, Education, and Commercial reporting units exceeded their carrying values by 37%, 199%, and 105%, respectively. As such, we concluded that there was no indication of goodwill impairment for all three reporting units as of January 1,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relied on the income approach to estimate the fair value of the reporting units for both the goodwill reallocation and the goodwill impairment test. The income approach utilized a discounted cash flow analysis, which involved estimating the expected after-tax cash flows that will be generated by each business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as of December 31, 2023 and 2022 consisted of the following: </w:t>
      </w:r>
    </w:p>
    <w:tbl>
      <w:tblPr>
        <w:tblW w:w="8688" w:type="dxa"/>
        <w:jc w:val="left"/>
        <w:tblInd w:w="0" w:type="dxa"/>
        <w:tblLayout w:type="fixed"/>
        <w:tblCellMar>
          <w:top w:w="28" w:type="dxa"/>
          <w:left w:w="28" w:type="dxa"/>
          <w:bottom w:w="28" w:type="dxa"/>
          <w:right w:w="28" w:type="dxa"/>
        </w:tblCellMar>
      </w:tblPr>
      <w:tblGrid>
        <w:gridCol w:w="793"/>
        <w:gridCol w:w="696"/>
        <w:gridCol w:w="701"/>
        <w:gridCol w:w="320"/>
        <w:gridCol w:w="320"/>
        <w:gridCol w:w="321"/>
        <w:gridCol w:w="109"/>
        <w:gridCol w:w="109"/>
        <w:gridCol w:w="109"/>
        <w:gridCol w:w="196"/>
        <w:gridCol w:w="646"/>
        <w:gridCol w:w="109"/>
        <w:gridCol w:w="109"/>
        <w:gridCol w:w="109"/>
        <w:gridCol w:w="109"/>
        <w:gridCol w:w="235"/>
        <w:gridCol w:w="775"/>
        <w:gridCol w:w="131"/>
        <w:gridCol w:w="109"/>
        <w:gridCol w:w="109"/>
        <w:gridCol w:w="109"/>
        <w:gridCol w:w="196"/>
        <w:gridCol w:w="646"/>
        <w:gridCol w:w="109"/>
        <w:gridCol w:w="109"/>
        <w:gridCol w:w="109"/>
        <w:gridCol w:w="109"/>
        <w:gridCol w:w="233"/>
        <w:gridCol w:w="769"/>
        <w:gridCol w:w="18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relationships</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5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48,928 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57,219 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Technology and software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7,975 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names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5,907 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Non-competition agreements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65,512 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71,441 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amortization expense was $8.2 million, $11.2 million, and $9.3 million for the years ended December 31, 2023, 2022, and 2021, respectively. The table below sets forth the estimated annual amortization expense for each of the five succeeding years for the intangible assets recorded as of December 31, 2023.</w:t>
      </w:r>
    </w:p>
    <w:tbl>
      <w:tblPr>
        <w:tblW w:w="4376"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405"/>
        <w:gridCol w:w="1150"/>
        <w:gridCol w:w="319"/>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Estimated </w:t>
              <w:br/>
              <w:t>Amortization Expense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5,554 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Actual future amortization expense could differ from these estimated amounts as a result of future acquisitions, dispositions,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5. Leases</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We lease office space, data centers and certain equipment under operating leases expiring on various dates through 2030, with various renewal options that can extend the lease terms by one to ten years. Our operating leases include fixed payments plus, in some cases, scheduled base rent increases over the term of the lease. Certain leases require variable payments of real estate taxes, insurance and operating expenses. We exclude these variable payments from the measurements of our lease liabilities and expense them as incurred. We elected the practical expedient to combine lease and nonlease components. No lease agreements contain any residual value guarantees or material restrictive covenants. As of December 31, 2023, we have not entered into any material finance leases. We sublease certain office spaces to third parties resulting from restructuring activities in certain locations. </w:t>
      </w:r>
    </w:p>
    <w:p>
      <w:pPr>
        <w:pStyle w:val="TextBody"/>
        <w:bidi w:val="0"/>
        <w:spacing w:lineRule="auto" w:line="288" w:before="180" w:after="160"/>
        <w:jc w:val="left"/>
        <w:rPr>
          <w:rFonts w:ascii="Arial Narrow;sans-serif" w:hAnsi="Arial Narrow;sans-serif"/>
          <w:b/>
          <w:i/>
          <w:color w:val="000000"/>
          <w:sz w:val="20"/>
        </w:rPr>
      </w:pPr>
      <w:r>
        <w:rPr>
          <w:rFonts w:ascii="Arial Narrow;sans-serif" w:hAnsi="Arial Narrow;sans-serif"/>
          <w:b/>
          <w:i/>
          <w:color w:val="000000"/>
          <w:sz w:val="20"/>
        </w:rPr>
        <w:t>Lease Impairment Charges</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(“ROU”) assets are reviewed for impairment whenever events or changes in circumstances indicate that the carrying amount of the asset group to which the operating lease ROU asset is assigned may not be recoverable. First, we test the asset group for recoverability by comparing the undiscounted cash flows of the asset group, which include expected future lease and nonlease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 and discount rate.</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years ended December 31, 2023 and 2022, we recognized non-cash lease-related impairment charges of $6.3 million and $0.2 million, respectively. No lease-related impairment charges were recognized during 2021. </w:t>
      </w:r>
    </w:p>
    <w:p>
      <w:pPr>
        <w:pStyle w:val="TextBody"/>
        <w:bidi w:val="0"/>
        <w:spacing w:lineRule="auto" w:line="288" w:before="180" w:after="160"/>
        <w:jc w:val="left"/>
        <w:rPr>
          <w:rFonts w:ascii="Arial Narrow;sans-serif" w:hAnsi="Arial Narrow;sans-serif"/>
          <w:b w:val="false"/>
          <w:i/>
          <w:color w:val="000000"/>
          <w:sz w:val="20"/>
        </w:rPr>
      </w:pPr>
      <w:r>
        <w:rPr>
          <w:rFonts w:ascii="Arial Narrow;sans-serif" w:hAnsi="Arial Narrow;sans-serif"/>
          <w:b w:val="false"/>
          <w:i/>
          <w:color w:val="000000"/>
          <w:sz w:val="20"/>
        </w:rPr>
        <w:t>2023</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2023, we exited our office spaces in Hillsboro, Oregon and Lexington, Massachusetts, resulting in non-cash impairment charges of $5.4 million, of which $4.0 million was allocated to the operating lease ROU assets and $1.4 million was allocated to the related fixed assets based on their relative carrying amounts. Additionally, in 2023, we recognized $0.9 million of lease-related impairment charges driven by updated sublease assumptions for our previously vacated office spaces in Hillsboro, Oregon; New York, New York; and Lake Oswego, Oregon. Of the $0.9 million, $0.5 million was allocated to the fixed assets related to the office spaces and $0.4 million was allocated to the operating lease ROU assets based on their relative carrying amounts. </w:t>
      </w:r>
    </w:p>
    <w:p>
      <w:pPr>
        <w:pStyle w:val="TextBody"/>
        <w:bidi w:val="0"/>
        <w:spacing w:lineRule="auto" w:line="288" w:before="180" w:after="160"/>
        <w:jc w:val="left"/>
        <w:rPr>
          <w:rFonts w:ascii="Arial Narrow;sans-serif" w:hAnsi="Arial Narrow;sans-serif"/>
          <w:b w:val="false"/>
          <w:i/>
          <w:color w:val="000000"/>
          <w:sz w:val="20"/>
        </w:rPr>
      </w:pPr>
      <w:r>
        <w:rPr>
          <w:rFonts w:ascii="Arial Narrow;sans-serif" w:hAnsi="Arial Narrow;sans-serif"/>
          <w:b w:val="false"/>
          <w:i/>
          <w:color w:val="000000"/>
          <w:sz w:val="20"/>
        </w:rPr>
        <w:t>2022</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The $0.2 million lease-related impairment charge recognized in 2022 resulted from updated sublease assumptions for our previously vacated office space in New York City, New York and was allocated to the operating lease ROU asset.</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See Note 11 “Restructuring Charges” for additional information on our restructuring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Additional information on our operating leases as of December 31, 2023 and 2022 follows.</w:t>
      </w:r>
    </w:p>
    <w:tbl>
      <w:tblPr>
        <w:tblW w:w="6051" w:type="dxa"/>
        <w:jc w:val="left"/>
        <w:tblInd w:w="0" w:type="dxa"/>
        <w:tblLayout w:type="fixed"/>
        <w:tblCellMar>
          <w:top w:w="28" w:type="dxa"/>
          <w:left w:w="28" w:type="dxa"/>
          <w:bottom w:w="28" w:type="dxa"/>
          <w:right w:w="28" w:type="dxa"/>
        </w:tblCellMar>
      </w:tblPr>
      <w:tblGrid>
        <w:gridCol w:w="1249"/>
        <w:gridCol w:w="1098"/>
        <w:gridCol w:w="1103"/>
        <w:gridCol w:w="109"/>
        <w:gridCol w:w="109"/>
        <w:gridCol w:w="109"/>
        <w:gridCol w:w="196"/>
        <w:gridCol w:w="646"/>
        <w:gridCol w:w="109"/>
        <w:gridCol w:w="109"/>
        <w:gridCol w:w="109"/>
        <w:gridCol w:w="109"/>
        <w:gridCol w:w="196"/>
        <w:gridCol w:w="64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453" w:type="dxa"/>
        <w:jc w:val="center"/>
        <w:tblInd w:w="0" w:type="dxa"/>
        <w:tblLayout w:type="fixed"/>
        <w:tblCellMar>
          <w:top w:w="28" w:type="dxa"/>
          <w:left w:w="28" w:type="dxa"/>
          <w:bottom w:w="28" w:type="dxa"/>
          <w:right w:w="28" w:type="dxa"/>
        </w:tblCellMar>
      </w:tblPr>
      <w:tblGrid>
        <w:gridCol w:w="569"/>
        <w:gridCol w:w="500"/>
        <w:gridCol w:w="505"/>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Short-term leases </w:t>
            </w:r>
            <w:r>
              <w:rPr>
                <w:rFonts w:ascii="Arial Narrow;sans-serif" w:hAnsi="Arial Narrow;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Variable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Net lease cost </w:t>
            </w:r>
            <w:r>
              <w:rPr>
                <w:rFonts w:ascii="Arial Narrow;sans-serif" w:hAnsi="Arial Narrow;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(1)Includes variable lease costs related to short-term leases.</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(2)Net lease cost includes $1.8 million, $2.0 million and $2.6 million for the years ended December 31, 2023, 2022 and 2021, respectively, recorded as restructuring charges as they relate to vacated office spaces. See Note 11 “Restructuring Charges” for additional information on our vacated office spaces.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summarizes the remaining expected lease payments under our operating leases as of December 31, 2023.</w:t>
      </w:r>
    </w:p>
    <w:tbl>
      <w:tblPr>
        <w:tblW w:w="4616" w:type="dxa"/>
        <w:jc w:val="left"/>
        <w:tblInd w:w="0" w:type="dxa"/>
        <w:tblLayout w:type="fixed"/>
        <w:tblCellMar>
          <w:top w:w="28" w:type="dxa"/>
          <w:left w:w="28" w:type="dxa"/>
          <w:bottom w:w="28" w:type="dxa"/>
          <w:right w:w="28" w:type="dxa"/>
        </w:tblCellMar>
      </w:tblPr>
      <w:tblGrid>
        <w:gridCol w:w="1120"/>
        <w:gridCol w:w="983"/>
        <w:gridCol w:w="987"/>
        <w:gridCol w:w="109"/>
        <w:gridCol w:w="109"/>
        <w:gridCol w:w="109"/>
        <w:gridCol w:w="236"/>
        <w:gridCol w:w="778"/>
        <w:gridCol w:w="185"/>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Future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2023</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12,939 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54,882 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Present value of operating lease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49,882 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46"/>
        <w:gridCol w:w="1887"/>
        <w:gridCol w:w="1896"/>
        <w:gridCol w:w="109"/>
        <w:gridCol w:w="109"/>
        <w:gridCol w:w="109"/>
        <w:gridCol w:w="196"/>
        <w:gridCol w:w="646"/>
        <w:gridCol w:w="241"/>
        <w:gridCol w:w="109"/>
        <w:gridCol w:w="109"/>
        <w:gridCol w:w="109"/>
        <w:gridCol w:w="196"/>
        <w:gridCol w:w="646"/>
        <w:gridCol w:w="241"/>
        <w:gridCol w:w="109"/>
        <w:gridCol w:w="109"/>
        <w:gridCol w:w="109"/>
        <w:gridCol w:w="196"/>
        <w:gridCol w:w="646"/>
        <w:gridCol w:w="287"/>
      </w:tblGrid>
      <w:tr>
        <w:trPr/>
        <w:tc>
          <w:tcPr>
            <w:tcW w:w="2146"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5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5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paid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12,573 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arising from obtaining 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remaining lease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 years</w:t>
            </w:r>
          </w:p>
        </w:tc>
      </w:tr>
      <w:tr>
        <w:trPr/>
        <w:tc>
          <w:tcPr>
            <w:tcW w:w="5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6. Property and Equipment, Net</w:t>
      </w:r>
    </w:p>
    <w:p>
      <w:pPr>
        <w:pStyle w:val="TextBody"/>
        <w:bidi w:val="0"/>
        <w:spacing w:lineRule="auto" w:line="288" w:before="180" w:after="283"/>
        <w:jc w:val="left"/>
        <w:rPr/>
      </w:pPr>
      <w:r>
        <w:rPr>
          <w:rFonts w:ascii="Arial Narrow;sans-serif" w:hAnsi="Arial Narrow;sans-serif"/>
          <w:b w:val="false"/>
          <w:color w:val="000000"/>
          <w:sz w:val="20"/>
        </w:rPr>
        <w:t>Depreciation expense for property and equipment was $10.2 million, $10.3 million, and $11.0 million for the years ended December 31, 2023, 2022 and 2021, respectively. Additionally, during the years ended December 31, 2023 and 2021, we recognized less than $0.1 million and $0.4 million, respectively, of accelerated depreciation expense for fixed assets related to vacated office spaces. There was no accelerated depreciation expense for fixed assets related to vacated office spaces during 2022. This accelerated depreciation expense is included as a component of restructuring charges. See Note 11</w:t>
      </w:r>
      <w:r>
        <w:rPr>
          <w:color w:val="000000"/>
        </w:rPr>
        <w:t xml:space="preserve"> “</w:t>
      </w:r>
      <w:r>
        <w:rPr>
          <w:rFonts w:ascii="Arial Narrow;sans-serif" w:hAnsi="Arial Narrow;sans-serif"/>
          <w:b w:val="false"/>
          <w:color w:val="000000"/>
          <w:sz w:val="20"/>
        </w:rPr>
        <w:t>Restructuring Charges” for additional information on our restructuring charges incurred in 2023, 2022 and 2021. Property and equipment, net at December 31, 2023 and 2022 consisted of the following:</w:t>
      </w:r>
      <w:r>
        <w:rPr>
          <w:color w:val="000000"/>
        </w:rPr>
        <w:t> </w:t>
      </w:r>
    </w:p>
    <w:tbl>
      <w:tblPr>
        <w:tblW w:w="5588" w:type="dxa"/>
        <w:jc w:val="left"/>
        <w:tblInd w:w="0" w:type="dxa"/>
        <w:tblLayout w:type="fixed"/>
        <w:tblCellMar>
          <w:top w:w="28" w:type="dxa"/>
          <w:left w:w="28" w:type="dxa"/>
          <w:bottom w:w="28" w:type="dxa"/>
          <w:right w:w="28" w:type="dxa"/>
        </w:tblCellMar>
      </w:tblPr>
      <w:tblGrid>
        <w:gridCol w:w="1200"/>
        <w:gridCol w:w="1055"/>
        <w:gridCol w:w="1059"/>
        <w:gridCol w:w="196"/>
        <w:gridCol w:w="646"/>
        <w:gridCol w:w="109"/>
        <w:gridCol w:w="109"/>
        <w:gridCol w:w="109"/>
        <w:gridCol w:w="109"/>
        <w:gridCol w:w="196"/>
        <w:gridCol w:w="646"/>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Computers, related equipment, and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Assets under 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 Narrow;sans-serif" w:hAnsi="Arial Narrow;sans-serif"/>
          <w:b/>
          <w:color w:val="000000"/>
          <w:sz w:val="20"/>
        </w:rPr>
      </w:pPr>
      <w:r>
        <w:rPr>
          <w:rFonts w:ascii="Arial Narrow;sans-serif" w:hAnsi="Arial Narrow;sans-serif"/>
          <w:b/>
          <w:color w:val="000000"/>
          <w:sz w:val="20"/>
        </w:rPr>
        <w:t>7. 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$600 million five-year senior secured revolving credit facility, subject to the terms of a Third Amended and Restated Credit Agreement dated as of November 15, 2022 and amended by Amendment No. 1 (collectively, the “Amended Credit Agreement”) that becomes due and payable in full upon maturity on November 15, 2027. In February 2024, the Company entered into Amendment No. 2 (the “Second Amendment”) to the Amended Credit Agreement to establish a $275 million term loan as discussed below under “2024 Term Loan.” Prior to the Second Amendment, the Amended Credit Agreement provided the option to increase the revolving credit facility or establish term loan facilities in an aggregate amount up to $250 million, subject to customary conditions and the approval of any lender whose commitment would be increased, resulting in a maximum available principal amount under the Amended Credit Agreement of $850 million. The initial borrowings under the revolving credit facility were used to refinance borrowings outstanding under a prior credit agreement, and future revolving credit facility borrowings under the Amended Credit Agreement may be used for working capital, capital expenditures, share repurchases, permitted acquisitions, and other general corporate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revolving credit facility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1.125% per annum and 1.875% per annum, in the case of Term SOFR borrowings, or between 0.125% per annum and 0.875% per annum, in the case of base rate loans, based upon our Consolidated Leverage Ratio at such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April 2023, the Company and PNC Capital Markets, LLC, as Sustainability Structuring Agent, with the consent of the Required Lenders (as defined in the Amended Credit Agreement), entered into Amendment No. 1 to the Amended Credit Agreement (the “First Amendment”) to incorporate specified key performance indicators with respect to certain environmental, social and governance targets of the Company. Based upon the performance of the Company against those key performance indicators in each Reference Year (as defined in the First Amendment),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loans and obligations under the Amended Credit Agreement are secured pursuant to a Third Amended and Restated Security Agreement (the “Security Agreement”) and a Third Amended and Restated Pledge Agreement (the “Pledge Agreement”) with Bank of America, N.A. as collateral agent, pursuant to which the Company and the subsidiary guarantors grant Bank of America, N.A., for the ratable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December 31, 2023, we were in compliance with these financial covenants with a Consolidated Leverage Ratio of 1.59 to 1.00 and a Consolidated Interest Coverage Ratio of 10.85 to 1.00.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Borrowings outstanding under the revolving credit facility at December 31, 2023 totaled $324.0 million and are classified as long-term debt in our consolidated balance sheet. These borrowings carried a weighted average interest rate of 4.2%, including the effect of the interest rate swaps described in Note 12 “Derivative Instruments and Hedging Activity.” Borrowings outstanding under the revolving credit facility at December 31, 2022 were $290.0 million and carried a weighted average interest rate of 3.8%, including the effect of the interest rate swaps in effect at that time. The borrowing capacity under the Amended Credit Agreement is reduced by any outstanding borrowings under the agreement and outstanding letters of credit. At December 31, 2023, we had outstanding letters of credit totaling $0.5 million, which are used as security deposits for our office facilities. As of December 31, 2023, the unused borrowing capacity under the Amended Credit Agreement was $275.5 million.</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 xml:space="preserve">2024 Term Loan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February 2024, the Company entered into Amendment No.2 to the Amended Credit Agreement (the “Second Amendment”), which established a $275 million term loan facility (the “Term Loan”) under the Amended Credit Agreement (as amended to date, the “Current Credit Agreement”). The Term Loan is subject to scheduled quarterly amortization payments of $3.4 million beginning June 30, 2024 through the maturity date of November 15, 2027, at which time the outstanding principal balance and all accrued interest will be due. Additionally, the Second Amendment provided for the option to increase the revolving credit facility or establish additional term loan facilities in an aggregate amount up to $250 million, subject to customary conditions and the approval of any lender whose commitment would be increased, resulting in a maximum available principal amount under the Current Credit Agreement of $1.13 billion. The proceeds of the Term Loan will be used to reduce borrowings under the Company's revolving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on the Term Loan varies based on our Consolidated Leverage Ratio (as defined in the Current Credit Agreement). At our option, the Term Loan will bear interest at one, three or six month Term SOFR plus the applicable margin. The applicable margin will range between 1.625% per annum and 2.375% per annum based upon our Consolidated Leverage Ratio at such time and subject to the adjustments allowed for performance against certain environmental, social and governance targets of the Company as outlined in the First Amendment.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Current Credit Agreement maintains the same prepayment provisions, usual and customary representations and warranties, fee pricing schedule, and affirmative and negative covenants as the Amended Credit Agreement discussed above; and is secured pursuant to the Security Agreement and the Pledge Agreement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8. Capital Structure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Preferred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2023 and 2022, no such preferred stock has been approved or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9.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years ended December 31, 2023, 2022 and 2021 we recognized revenues of $1.36 billion, $1.13 billion, and $905.6 million, respectively. Of the $1.36 billion recognized in 2023, we recognized revenues of $10.9 million from obligations satisfied, or partially satisfied, in prior periods, of which $9.6 million was primarily due to changes in the estimates of our variable consideration under performance-based billing arrangements and $1.3 million was primarily due to the release of allowances on receivables from clients and unbilled services. Of the $1.13 billion recognized in 2022, we recognized revenues of $7.6 million from obligations satisfied, or partially satisfied, in prior periods, of which $5.3 million was primarily due to changes in the estimates of our variable consideration under performance-based billing arrangements and $2.3 million was primarily due to the release of allowances on receivables from clients and unbilled services. Of the $905.6 million recognized in 2021, we recognized revenues of $22.9 million from obligations satisfied, or partially satisfied, in prior periods, of which $14.6 million was primarily due to changes in the estimates of our variable consideration under performance-based billing arrangements and $8.3 million was primarily due to the release of allowances on receivables from clients and unbilled services.</w:t>
      </w:r>
    </w:p>
    <w:p>
      <w:pPr>
        <w:pStyle w:val="TextBody"/>
        <w:bidi w:val="0"/>
        <w:spacing w:lineRule="auto" w:line="288" w:before="180" w:after="12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December 31, 2023, we had $227.8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$227.8 million of performance obligations, we expect to recognize approximately $82.7 million as revenue in 2024, $54.3 million in 2025, and the remaining $90.8 million thereafter. Actual revenue recognition could differ from these amounts as a result of changes in the estimated timing of work to be performed, adjustments to estimated variable consideration in performance-based arrangements, or other factors. </w:t>
      </w:r>
    </w:p>
    <w:p>
      <w:pPr>
        <w:pStyle w:val="TextBody"/>
        <w:bidi w:val="0"/>
        <w:spacing w:lineRule="auto" w:line="288" w:before="120" w:after="120"/>
        <w:jc w:val="left"/>
        <w:rPr>
          <w:rFonts w:ascii="Arial Narrow;sans-serif" w:hAnsi="Arial Narrow;sans-serif"/>
          <w:b/>
          <w:i/>
          <w:color w:val="000000"/>
          <w:sz w:val="20"/>
        </w:rPr>
      </w:pPr>
      <w:r>
        <w:rPr>
          <w:rFonts w:ascii="Arial Narrow;sans-serif" w:hAnsi="Arial Narrow;sans-serif"/>
          <w:b/>
          <w:i/>
          <w:color w:val="000000"/>
          <w:sz w:val="20"/>
        </w:rPr>
        <w:t>Contract Assets and Liabilities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net as of December 31, 2023 and 2022 was $70.1 million and $50.2 million, respectively. The $19.9 million increase primarily reflects timing differences between the completion of our performance obligations and the amounts billed or billable to clients in accordance with their contractual billing terms. </w:t>
      </w:r>
    </w:p>
    <w:p>
      <w:pPr>
        <w:pStyle w:val="TextBody"/>
        <w:bidi w:val="0"/>
        <w:spacing w:lineRule="auto" w:line="288" w:before="180" w:after="283"/>
        <w:jc w:val="left"/>
        <w:rPr/>
      </w:pPr>
      <w:r>
        <w:rPr>
          <w:rFonts w:ascii="Arial Narrow;sans-serif" w:hAnsi="Arial Narrow;sans-serif"/>
          <w:b w:val="false"/>
          <w:color w:val="000000"/>
          <w:sz w:val="20"/>
        </w:rPr>
        <w:t>Client prepayments and retainers are classified as deferred revenues and recognized over future periods in accordance with the applicable engagement agreement and our revenue recognition accounting policy. Our deferred revenues balance as of December 31, 2023</w:t>
      </w:r>
      <w:r>
        <w:rPr>
          <w:color w:val="000000"/>
        </w:rPr>
        <w:t xml:space="preserve"> </w:t>
      </w:r>
      <w:r>
        <w:rPr>
          <w:rFonts w:ascii="Arial Narrow;sans-serif" w:hAnsi="Arial Narrow;sans-serif"/>
          <w:b w:val="false"/>
          <w:color w:val="000000"/>
          <w:sz w:val="20"/>
        </w:rPr>
        <w:t>and 2022 was $22.5 million</w:t>
      </w:r>
      <w:r>
        <w:rPr>
          <w:color w:val="000000"/>
        </w:rPr>
        <w:t xml:space="preserve"> </w:t>
      </w:r>
      <w:r>
        <w:rPr>
          <w:rFonts w:ascii="Arial Narrow;sans-serif" w:hAnsi="Arial Narrow;sans-serif"/>
          <w:b w:val="false"/>
          <w:color w:val="000000"/>
          <w:sz w:val="20"/>
        </w:rPr>
        <w:t>and</w:t>
      </w:r>
      <w:r>
        <w:rPr>
          <w:color w:val="000000"/>
        </w:rPr>
        <w:t xml:space="preserve"> </w:t>
      </w:r>
      <w:r>
        <w:rPr>
          <w:rFonts w:ascii="Arial Narrow;sans-serif" w:hAnsi="Arial Narrow;sans-serif"/>
          <w:b w:val="false"/>
          <w:color w:val="000000"/>
          <w:sz w:val="20"/>
        </w:rPr>
        <w:t>$21.9 million respectively. The $0.6 million increase primarily reflects timing differences between client payments in accordance with their contract terms and the completion of our performance obligations. For the year ended December 31, 2023, $21.3 million of revenues recognized were included in the deferred revenue balance as of December 31, 2022. For the year ended December 31, 2022, $18.5 million of revenues recognized were included in the deferred revenue balance as of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10.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from continuing operations, diluted weighted average common shares outstanding excludes all potential common stock equivalents as their impact on diluted net loss per share would be anti-dilutive.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 under the basic and diluted computations are as follows: </w:t>
      </w:r>
    </w:p>
    <w:tbl>
      <w:tblPr>
        <w:tblW w:w="7661" w:type="dxa"/>
        <w:jc w:val="left"/>
        <w:tblInd w:w="0" w:type="dxa"/>
        <w:tblLayout w:type="fixed"/>
        <w:tblCellMar>
          <w:top w:w="28" w:type="dxa"/>
          <w:left w:w="28" w:type="dxa"/>
          <w:bottom w:w="28" w:type="dxa"/>
          <w:right w:w="28" w:type="dxa"/>
        </w:tblCellMar>
      </w:tblPr>
      <w:tblGrid>
        <w:gridCol w:w="1483"/>
        <w:gridCol w:w="1305"/>
        <w:gridCol w:w="1321"/>
        <w:gridCol w:w="196"/>
        <w:gridCol w:w="646"/>
        <w:gridCol w:w="109"/>
        <w:gridCol w:w="109"/>
        <w:gridCol w:w="109"/>
        <w:gridCol w:w="109"/>
        <w:gridCol w:w="196"/>
        <w:gridCol w:w="646"/>
        <w:gridCol w:w="109"/>
        <w:gridCol w:w="109"/>
        <w:gridCol w:w="109"/>
        <w:gridCol w:w="109"/>
        <w:gridCol w:w="196"/>
        <w:gridCol w:w="64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stock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outstanding—diluted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basic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diluted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anti-dilutive securities excluded from the computation of the weighted average common stock equivalents presented above at December 31, 2023, 2022 and 2021 was 0.1 million, 0.2 million and 0.1 million, respectively, and related to unvested restricted stock and outstanding common stock options.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November 2020, our board of directors authorized a share repurchase program permitting us to repurchase up to $50 million of our common stock through December 31, 2021. The share repurchase program has been subsequently extended and increased, most recently in the fourth quarter of 2023. The current authorization extends the share repurchase program through December 31, 2024 with a repurchase amount of $400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2023, we repurchased and retired 1,461,815 shares for $123.6 million, including 10,000 shares for $1.0 million which settled in the first quarter of 2024. Additionally, during 2023, we settled the repurchase of 15,200 shares for $1.1 million that were accrued as of December 31, 2022 and accrued $0.9 million of excise taxes on the net share repurchases in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2022, we repurchased and retired 2,037,752 shares for $121.3 million, including the 15,200 shares for $1.1 million which settled in the first quarter of 2023. Additionally, during 2022, we settled the repurchase of 3,820 shares for $0.2 million that were accrued as of December 31, 2021. During 2021, we repurchased and retired 1,265,261 shares for $64.8 million, including 3,820 shares for $0.2 million which settled in the first quarter of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December 31, 2023, $86.2 million remained available for share repurchases under our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11. Restructuring Charges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2023, we incurred $11.6 million of total restructuring charges, which consisted of the following: </w:t>
      </w:r>
    </w:p>
    <w:p>
      <w:pPr>
        <w:pStyle w:val="TextBody"/>
        <w:bidi w:val="0"/>
        <w:spacing w:lineRule="auto" w:line="288" w:before="180" w:after="283"/>
        <w:jc w:val="left"/>
        <w:rPr/>
      </w:pPr>
      <w:r>
        <w:rPr>
          <w:rFonts w:ascii="Arial Narrow;sans-serif" w:hAnsi="Arial Narrow;sans-serif"/>
          <w:b w:val="false"/>
          <w:i/>
          <w:color w:val="000000"/>
          <w:sz w:val="20"/>
        </w:rPr>
        <w:t xml:space="preserve">Employee costs </w:t>
      </w:r>
      <w:r>
        <w:rPr>
          <w:rFonts w:ascii="Arial Narrow;sans-serif" w:hAnsi="Arial Narrow;sans-serif"/>
          <w:b w:val="false"/>
          <w:color w:val="000000"/>
          <w:sz w:val="20"/>
        </w:rPr>
        <w:t>- We incurred $3.0 million of severance-related restructuring expense as a result of strategic workforce adjustments to better align our resources with market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pPr>
      <w:r>
        <w:rPr>
          <w:rFonts w:ascii="Arial Narrow;sans-serif" w:hAnsi="Arial Narrow;sans-serif"/>
          <w:b w:val="false"/>
          <w:i/>
          <w:color w:val="000000"/>
          <w:sz w:val="20"/>
        </w:rPr>
        <w:t>Office space reductions</w:t>
      </w:r>
      <w:r>
        <w:rPr>
          <w:color w:val="000000"/>
        </w:rPr>
        <w:t xml:space="preserve"> </w:t>
      </w:r>
      <w:r>
        <w:rPr>
          <w:rFonts w:ascii="Arial Narrow;sans-serif" w:hAnsi="Arial Narrow;sans-serif"/>
          <w:b w:val="false"/>
          <w:color w:val="000000"/>
          <w:sz w:val="20"/>
        </w:rPr>
        <w:t xml:space="preserve">- We incurred $8.1 million of restructuring expense related to office space reductions. During 2023, we exited our office spaces in Hillsboro, Oregon and Lexington, Massachusetts, resulting in non-cash impairment charges of $1.9 million and $3.5 million , respectively, on the related operating lease ROU assets and fixed assets. Additionally, in 2023, we recognized $1.8 million for rent and related expenses, net of sublease income, for previously vacated office spaces and $0.9 million related to non-cash lease impairment charges driven by updated sublease assumptions for previously vacated office spaces. </w:t>
      </w:r>
    </w:p>
    <w:p>
      <w:pPr>
        <w:pStyle w:val="TextBody"/>
        <w:bidi w:val="0"/>
        <w:spacing w:lineRule="auto" w:line="288" w:before="180" w:after="283"/>
        <w:jc w:val="left"/>
        <w:rPr/>
      </w:pPr>
      <w:r>
        <w:rPr>
          <w:rFonts w:ascii="Arial Narrow;sans-serif" w:hAnsi="Arial Narrow;sans-serif"/>
          <w:b w:val="false"/>
          <w:i/>
          <w:color w:val="000000"/>
          <w:sz w:val="20"/>
        </w:rPr>
        <w:t>Other</w:t>
      </w:r>
      <w:r>
        <w:rPr>
          <w:color w:val="000000"/>
        </w:rPr>
        <w:t xml:space="preserve"> </w:t>
      </w:r>
      <w:r>
        <w:rPr>
          <w:rFonts w:ascii="Arial Narrow;sans-serif" w:hAnsi="Arial Narrow;sans-serif"/>
          <w:b w:val="false"/>
          <w:color w:val="000000"/>
          <w:sz w:val="20"/>
        </w:rPr>
        <w:t>- We incurred $0.5 million of other restructuring charges, which primarily related to the abandonment of a capitalized software development project.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Of the total $11.6 million restructuring charge, $8.2 million was recognized in our corporate operations, $2.0 million was recognized in our Commercial segment, $1.3 million was recognized in our Healthcare segment, and $0.1 million was recognized in our Education segment.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2022, we incurred $9.9 million million of total restructuring charges, which consisted of the following:</w:t>
      </w:r>
    </w:p>
    <w:p>
      <w:pPr>
        <w:pStyle w:val="TextBody"/>
        <w:bidi w:val="0"/>
        <w:spacing w:lineRule="auto" w:line="288" w:before="180" w:after="283"/>
        <w:jc w:val="left"/>
        <w:rPr/>
      </w:pPr>
      <w:r>
        <w:rPr>
          <w:rFonts w:ascii="Arial Narrow;sans-serif" w:hAnsi="Arial Narrow;sans-serif"/>
          <w:b w:val="false"/>
          <w:i/>
          <w:color w:val="000000"/>
          <w:sz w:val="20"/>
        </w:rPr>
        <w:t xml:space="preserve">Employee costs </w:t>
      </w:r>
      <w:r>
        <w:rPr>
          <w:rFonts w:ascii="Arial Narrow;sans-serif" w:hAnsi="Arial Narrow;sans-serif"/>
          <w:b w:val="false"/>
          <w:color w:val="000000"/>
          <w:sz w:val="20"/>
        </w:rPr>
        <w:t>- We incurred $5.7 million of severance-related restructuring expense as a result of strategic workforce adjustments to better align our resources with market demand.</w:t>
      </w:r>
    </w:p>
    <w:p>
      <w:pPr>
        <w:pStyle w:val="TextBody"/>
        <w:bidi w:val="0"/>
        <w:spacing w:lineRule="auto" w:line="288" w:before="180" w:after="283"/>
        <w:jc w:val="left"/>
        <w:rPr/>
      </w:pPr>
      <w:r>
        <w:rPr>
          <w:rFonts w:ascii="Arial Narrow;sans-serif" w:hAnsi="Arial Narrow;sans-serif"/>
          <w:b w:val="false"/>
          <w:i/>
          <w:color w:val="000000"/>
          <w:sz w:val="20"/>
        </w:rPr>
        <w:t>Office space reductions</w:t>
      </w:r>
      <w:r>
        <w:rPr>
          <w:color w:val="000000"/>
        </w:rPr>
        <w:t xml:space="preserve"> </w:t>
      </w:r>
      <w:r>
        <w:rPr>
          <w:rFonts w:ascii="Arial Narrow;sans-serif" w:hAnsi="Arial Narrow;sans-serif"/>
          <w:b w:val="false"/>
          <w:color w:val="000000"/>
          <w:sz w:val="20"/>
        </w:rPr>
        <w:t xml:space="preserve">- We incurred $2.5 million of restructuring expense related to office space reductions, of which $2.3 million related to rent and related expenses, net of sublease income, for previously vacated office spaces and $0.2 million related to a non-cash lease impairment charge driven by updated sublease assumptions for a previously vacated office space. </w:t>
      </w:r>
    </w:p>
    <w:p>
      <w:pPr>
        <w:pStyle w:val="TextBody"/>
        <w:bidi w:val="0"/>
        <w:spacing w:lineRule="auto" w:line="288" w:before="180" w:after="283"/>
        <w:jc w:val="left"/>
        <w:rPr/>
      </w:pPr>
      <w:r>
        <w:rPr>
          <w:rFonts w:ascii="Arial Narrow;sans-serif" w:hAnsi="Arial Narrow;sans-serif"/>
          <w:b w:val="false"/>
          <w:i/>
          <w:color w:val="000000"/>
          <w:sz w:val="20"/>
        </w:rPr>
        <w:t>Other</w:t>
      </w:r>
      <w:r>
        <w:rPr>
          <w:color w:val="000000"/>
        </w:rPr>
        <w:t xml:space="preserve"> </w:t>
      </w:r>
      <w:r>
        <w:rPr>
          <w:rFonts w:ascii="Arial Narrow;sans-serif" w:hAnsi="Arial Narrow;sans-serif"/>
          <w:b w:val="false"/>
          <w:color w:val="000000"/>
          <w:sz w:val="20"/>
        </w:rPr>
        <w:t>- We incurred $1.7 million of other restructuring charges, of which $0.7 million related to third-party professional advisory fees related to the modification of our operating model, $0.6 million related to the early termination of a contract, $0.3 million related to the accelerated amortization of capitalized software implementation costs for a cloud-computing arrangement that is no longer in use, and $0.1 million related to the divestiture of our Life Sciences business in the fourth quarter of 2021.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Of the total $9.9 million restructuring charge, $3.9 million was recognized in our Education segment, $3.7 million was recognized in our corporate operations, $1.6 million was recognized in our Commercial segment, and $0.7 million was recognized in our Healthcare segment.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2021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2021, we incurred $12.4 million of total restructuring charges. Of the $12.4 million restructuring charge, $8.5 million related to the divestiture of our Life Sciences business. On November 1, 2021, we completed the sale of the Life Sciences business to a third-party, and recognized a $31.5 million pretax gain which is included within other income (expense), net on our consolidated statement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total restructuring charge of $12.4 million recognized in 2021 consisted of the following:</w:t>
      </w:r>
    </w:p>
    <w:p>
      <w:pPr>
        <w:pStyle w:val="TextBody"/>
        <w:bidi w:val="0"/>
        <w:spacing w:lineRule="auto" w:line="288" w:before="180" w:after="283"/>
        <w:jc w:val="left"/>
        <w:rPr/>
      </w:pPr>
      <w:r>
        <w:rPr>
          <w:rFonts w:ascii="Arial Narrow;sans-serif" w:hAnsi="Arial Narrow;sans-serif"/>
          <w:b w:val="false"/>
          <w:i/>
          <w:color w:val="000000"/>
          <w:sz w:val="20"/>
        </w:rPr>
        <w:t xml:space="preserve">Employee Costs </w:t>
      </w:r>
      <w:r>
        <w:rPr>
          <w:rFonts w:ascii="Arial Narrow;sans-serif" w:hAnsi="Arial Narrow;sans-serif"/>
          <w:b w:val="false"/>
          <w:color w:val="000000"/>
          <w:sz w:val="20"/>
        </w:rPr>
        <w:t>- We incurred $8.1 million of employee-related restructuring expense, of which $6.8 million related to transaction-related employee payments made in connection with the divestiture of our Life Sciences businesses and $1.3 million related to other employee-related expenses.</w:t>
      </w:r>
    </w:p>
    <w:p>
      <w:pPr>
        <w:pStyle w:val="TextBody"/>
        <w:bidi w:val="0"/>
        <w:spacing w:lineRule="auto" w:line="288" w:before="180" w:after="283"/>
        <w:jc w:val="left"/>
        <w:rPr/>
      </w:pPr>
      <w:r>
        <w:rPr>
          <w:rFonts w:ascii="Arial Narrow;sans-serif" w:hAnsi="Arial Narrow;sans-serif"/>
          <w:b w:val="false"/>
          <w:i/>
          <w:color w:val="000000"/>
          <w:sz w:val="20"/>
        </w:rPr>
        <w:t>Office space reductions</w:t>
      </w:r>
      <w:r>
        <w:rPr>
          <w:color w:val="000000"/>
        </w:rPr>
        <w:t xml:space="preserve"> </w:t>
      </w:r>
      <w:r>
        <w:rPr>
          <w:rFonts w:ascii="Arial Narrow;sans-serif" w:hAnsi="Arial Narrow;sans-serif"/>
          <w:b w:val="false"/>
          <w:color w:val="000000"/>
          <w:sz w:val="20"/>
        </w:rPr>
        <w:t xml:space="preserve">- We incurred $3.1 million of restructuring expense related to office space reductions, of which $2.3 million related to rent and related expenses, net of sublease income, and accelerated depreciation on furniture and fixtures for previously vacated office spaces and $0.8 million related to accelerated amortization and depreciation on the operating lease ROU asset and fixed assets related to our London, U.K. office which we vacated in connection with the divestiture of our Life Sciences business. </w:t>
      </w:r>
    </w:p>
    <w:p>
      <w:pPr>
        <w:pStyle w:val="TextBody"/>
        <w:bidi w:val="0"/>
        <w:spacing w:lineRule="auto" w:line="288" w:before="180" w:after="283"/>
        <w:jc w:val="left"/>
        <w:rPr/>
      </w:pPr>
      <w:r>
        <w:rPr>
          <w:rFonts w:ascii="Arial Narrow;sans-serif" w:hAnsi="Arial Narrow;sans-serif"/>
          <w:b w:val="false"/>
          <w:i/>
          <w:color w:val="000000"/>
          <w:sz w:val="20"/>
        </w:rPr>
        <w:t>Other</w:t>
      </w:r>
      <w:r>
        <w:rPr>
          <w:color w:val="000000"/>
        </w:rPr>
        <w:t xml:space="preserve"> </w:t>
      </w:r>
      <w:r>
        <w:rPr>
          <w:rFonts w:ascii="Arial Narrow;sans-serif" w:hAnsi="Arial Narrow;sans-serif"/>
          <w:b w:val="false"/>
          <w:color w:val="000000"/>
          <w:sz w:val="20"/>
        </w:rPr>
        <w:t>- We incurred $1.2 million of other restructuring charges, of which $0.9 million related to third-party legal and professional advisory fees incurred in connection with the divestiture of our Life Sciences business and $0.2 million related to third-party professional advisory fees related to the modification of our operating model.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Of the total $12.4 million restructuring charge, $7.7 million was recognized in the Commercial segment, $4.5 million was recognized in our corporate operations, $0.1 million was recognized in our Healthcare segment, and $0.1 million was recognized in our Education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amount of our restructuring charge liability by restructuring type for the years ended December 31, 2023 and 2022.</w:t>
      </w:r>
    </w:p>
    <w:tbl>
      <w:tblPr>
        <w:tblW w:w="8743" w:type="dxa"/>
        <w:jc w:val="left"/>
        <w:tblInd w:w="0" w:type="dxa"/>
        <w:tblLayout w:type="fixed"/>
        <w:tblCellMar>
          <w:top w:w="28" w:type="dxa"/>
          <w:left w:w="28" w:type="dxa"/>
          <w:bottom w:w="28" w:type="dxa"/>
          <w:right w:w="28" w:type="dxa"/>
        </w:tblCellMar>
      </w:tblPr>
      <w:tblGrid>
        <w:gridCol w:w="971"/>
        <w:gridCol w:w="855"/>
        <w:gridCol w:w="858"/>
        <w:gridCol w:w="313"/>
        <w:gridCol w:w="891"/>
        <w:gridCol w:w="175"/>
        <w:gridCol w:w="109"/>
        <w:gridCol w:w="109"/>
        <w:gridCol w:w="109"/>
        <w:gridCol w:w="565"/>
        <w:gridCol w:w="1173"/>
        <w:gridCol w:w="316"/>
        <w:gridCol w:w="109"/>
        <w:gridCol w:w="109"/>
        <w:gridCol w:w="109"/>
        <w:gridCol w:w="200"/>
        <w:gridCol w:w="430"/>
        <w:gridCol w:w="109"/>
        <w:gridCol w:w="109"/>
        <w:gridCol w:w="109"/>
        <w:gridCol w:w="109"/>
        <w:gridCol w:w="196"/>
        <w:gridCol w:w="55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Office Space Reductions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Balance as of December 31, 2021</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Additions </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Adjustments </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Balance as of December 31, 2022</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Additions </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(5,376)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Adjustments </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Balance as of December 31, 2023</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1,366 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(1)Additions and adjustments exclude non-cash items related to vacated office spaces, such as lease impairment charges and accelerated depreciation on abandoned operating lease ROU assets and fixed assets, which are recorded as restructuring charges on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the $1.4 million restructuring charge liability related to employee costs at December 31, 2023 is expected to be paid in the next 12 months and is included as a component of accrued payroll and related benefits in our consolidated balance sheet. All of the $0.5 million other restructuring charge liability at December 31, 2023, which relates to the early termination of a contract in 2022, is expected to be paid in the next 12 months and is included as a component of accrued expenses and other current liabilities in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12.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normal course of business, we use forward interest rate swaps to manage the interest rate risk associated with our variable-rate borrowings under our senior secured credit facility and we use non-deliverable foreign exchange forward contracts to manage the foreign currency exchange rate risk related to our Indian Rupee-denominated expenses of our operations in India. From time to time, we may enter into additional forward interest rate swaps or non-deliverable foreign exchange forward contracts to further hedge against our interest rate risk and foreign currency exchange rate risk. We do not use derivative instruments for trading or other speculative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designated all of our derivative instruments as cash flow hedges. Therefore, changes in the fair value of the interest rate swaps and foreign exchange forward contracts are recorded to other comprehensive income to the extent effective and reclassified to earnings upon settlement.</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party to forward interest rate swap agreements with aggregate notional amounts of $250.0 million and $200.0 million as of December 31, 2023 and 2022, respectively. Under the terms of the interest rate swap agreements, we receive from the counterparty interest on the notional amount based on one month Term SOFR and we pay to the counterparty a stated, fixed rate. The forward interest rate swap agreements have staggered maturities through February 29, 2028.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December 31, 2023, it was anticipated that $5.2 million of the gains, net of tax, related to interest rate swaps currently recorded in accumulated other comprehensive income will be reclassified into earnings in our consolidated statement of operations within the next 12 months.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Foreign Exchange Forward Contracts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party to non-deliverable foreign exchange forward contracts that are scheduled to mature monthly through December 31, 2024. As of December 31, 2023 and 2022, the aggregate notional amounts of these contracts were INR 1,375.7 million, or $16.6 million, and INR 657.9 million, or $8.0 million, respectively, based on the exchange rates in effect as of each period end.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December 31, 2023, it was anticipated that all of the $0.1 million losses, net of tax, related to foreign exchange forward contracts currently recorded in accumulated other comprehensive income will be reclassified into earnings in our consolidated statement of operations within the next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additional information relating to our derivative instruments as of December 31, 2023 and 2022. </w:t>
      </w:r>
    </w:p>
    <w:tbl>
      <w:tblPr>
        <w:tblW w:w="9834" w:type="dxa"/>
        <w:jc w:val="left"/>
        <w:tblInd w:w="0" w:type="dxa"/>
        <w:tblLayout w:type="fixed"/>
        <w:tblCellMar>
          <w:top w:w="28" w:type="dxa"/>
          <w:left w:w="28" w:type="dxa"/>
          <w:bottom w:w="28" w:type="dxa"/>
          <w:right w:w="28" w:type="dxa"/>
        </w:tblCellMar>
      </w:tblPr>
      <w:tblGrid>
        <w:gridCol w:w="977"/>
        <w:gridCol w:w="860"/>
        <w:gridCol w:w="863"/>
        <w:gridCol w:w="1104"/>
        <w:gridCol w:w="1104"/>
        <w:gridCol w:w="1107"/>
        <w:gridCol w:w="109"/>
        <w:gridCol w:w="109"/>
        <w:gridCol w:w="109"/>
        <w:gridCol w:w="355"/>
        <w:gridCol w:w="1007"/>
        <w:gridCol w:w="198"/>
        <w:gridCol w:w="109"/>
        <w:gridCol w:w="109"/>
        <w:gridCol w:w="109"/>
        <w:gridCol w:w="315"/>
        <w:gridCol w:w="1040"/>
        <w:gridCol w:w="250"/>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Derivative Instrument</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 Narrow;sans-serif" w:hAnsi="Arial Narrow;sans-serif"/>
                <w:b/>
                <w:color w:val="000000"/>
                <w:sz w:val="20"/>
              </w:rPr>
            </w:pPr>
            <w:r>
              <w:rPr>
                <w:rFonts w:ascii="Arial Narrow;sans-serif" w:hAnsi="Arial Narrow;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December 31, 2022</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6,655 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5,131 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Assets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 Refer to Note 14 “Other Comprehensive Income (Loss)” for additional information on our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13. Fair Value of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tbl>
      <w:tblPr>
        <w:tblW w:w="10205"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566"/>
        <w:gridCol w:w="2566"/>
        <w:gridCol w:w="3635"/>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identical assets or liabilities that the reporting entity has the ability to access at the measurement date.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Unobservable inputs for the asset or liability, and include situations in which there is little, if any, market activity for the asset or liability.</w:t>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tables below sets forth our fair value hierarchy for our financial assets and liabilities measured at fair value on a recurring basis as of December 31, 2023 and 2022. </w:t>
      </w:r>
    </w:p>
    <w:tbl>
      <w:tblPr>
        <w:tblW w:w="8325" w:type="dxa"/>
        <w:jc w:val="left"/>
        <w:tblInd w:w="0" w:type="dxa"/>
        <w:tblLayout w:type="fixed"/>
        <w:tblCellMar>
          <w:top w:w="28" w:type="dxa"/>
          <w:left w:w="28" w:type="dxa"/>
          <w:bottom w:w="28" w:type="dxa"/>
          <w:right w:w="28" w:type="dxa"/>
        </w:tblCellMar>
      </w:tblPr>
      <w:tblGrid>
        <w:gridCol w:w="1321"/>
        <w:gridCol w:w="1161"/>
        <w:gridCol w:w="1163"/>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2023</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110,418 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2022</w:t>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The fair values of our interest rate swaps were derived using estimates to settle the interest rate swap agreements, which are based on the net present value of expected future cash flows on each leg of the swaps utilizing market-based inputs and a discount rate reflecting the risks involved. See Note 12 “Derivative Instruments and Hedging Activity” for additional information on our interest rate swaps.</w:t>
      </w:r>
    </w:p>
    <w:p>
      <w:pPr>
        <w:pStyle w:val="TextBody"/>
        <w:bidi w:val="0"/>
        <w:spacing w:lineRule="auto" w:line="288" w:before="180" w:after="283"/>
        <w:jc w:val="left"/>
        <w:rPr/>
      </w:pPr>
      <w:r>
        <w:rPr>
          <w:rFonts w:ascii="Arial Narrow;sans-serif" w:hAnsi="Arial Narrow;sans-serif"/>
          <w:b w:val="false"/>
          <w:i/>
          <w:color w:val="000000"/>
          <w:sz w:val="20"/>
        </w:rPr>
        <w:t>Foreign exchange forward contracts:</w:t>
      </w:r>
      <w:r>
        <w:rPr>
          <w:color w:val="000000"/>
        </w:rPr>
        <w:t xml:space="preserve"> </w:t>
      </w:r>
      <w:r>
        <w:rPr>
          <w:rFonts w:ascii="Arial Narrow;sans-serif" w:hAnsi="Arial Narrow;sans-serif"/>
          <w:b w:val="false"/>
          <w:color w:val="000000"/>
          <w:sz w:val="20"/>
        </w:rPr>
        <w:t>The fair values of our foreign exchange forward contracts were derived using estimates to settle the foreign exchange forward contracts agreements, which are based on the net present value of expected future cash flows on each contract utilizing market-based inputs, including both forward and spot prices, and a discount rate reflecting the risks involved. Refer to Note 12 “Derivative Instruments and Hedging Activity” for additional information on our foreign exchange forward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pPr>
      <w:r>
        <w:rPr>
          <w:rFonts w:ascii="Arial Narrow;sans-serif" w:hAnsi="Arial Narrow;sans-serif"/>
          <w:b w:val="false"/>
          <w:i/>
          <w:color w:val="000000"/>
          <w:sz w:val="20"/>
        </w:rPr>
        <w:t xml:space="preserve">Deferred compensation assets: </w:t>
      </w:r>
      <w:r>
        <w:rPr>
          <w:rFonts w:ascii="Arial Narrow;sans-serif" w:hAnsi="Arial Narrow;sans-serif"/>
          <w:b w:val="false"/>
          <w:color w:val="000000"/>
          <w:sz w:val="20"/>
        </w:rPr>
        <w:t>We have a non-qualified deferred compensation plan (the “Plan”) for the members of our board of directors 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pStyle w:val="TextBody"/>
        <w:bidi w:val="0"/>
        <w:spacing w:lineRule="auto" w:line="288" w:before="180" w:after="283"/>
        <w:jc w:val="left"/>
        <w:rPr/>
      </w:pPr>
      <w:r>
        <w:rPr>
          <w:rFonts w:ascii="Arial Narrow;sans-serif" w:hAnsi="Arial Narrow;sans-serif"/>
          <w:b w:val="false"/>
          <w:i/>
          <w:color w:val="000000"/>
          <w:sz w:val="20"/>
        </w:rPr>
        <w:t xml:space="preserve">Convertible debt investment: </w:t>
      </w:r>
      <w:r>
        <w:rPr>
          <w:rFonts w:ascii="Arial Narrow;sans-serif" w:hAnsi="Arial Narrow;sans-serif"/>
          <w:b w:val="false"/>
          <w:color w:val="000000"/>
          <w:sz w:val="20"/>
        </w:rPr>
        <w:t>Since 2014, we have invested $40.9 million, in the form of 1.69% convertible debt in Shorelight Holdings, LLC (“Shorelight”),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investment is carried at fair value with unrealized holding gains and losses excluded from earnings and reported in other comprehensive income.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2027 for the valuations performed as of December 31, 2023 and 2022; the applicable waterfall distribution at the end of the expected holding period based on the rights and privileges of the various instruments; cash flow projections discounted at the risk-adjusted rate of 24.5% and 24.0% as of December 31, 2023 and 2022, respectively; and the concluded equity volatility of 35.0% and 40.0% as of December 31, 2023 and 2022,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convertible debt investment for the years ended December 31, 2023 and 2022. </w:t>
      </w:r>
    </w:p>
    <w:tbl>
      <w:tblPr>
        <w:tblW w:w="6430" w:type="dxa"/>
        <w:jc w:val="left"/>
        <w:tblInd w:w="0" w:type="dxa"/>
        <w:tblLayout w:type="fixed"/>
        <w:tblCellMar>
          <w:top w:w="28" w:type="dxa"/>
          <w:left w:w="28" w:type="dxa"/>
          <w:bottom w:w="28" w:type="dxa"/>
          <w:right w:w="28" w:type="dxa"/>
        </w:tblCellMar>
      </w:tblPr>
      <w:tblGrid>
        <w:gridCol w:w="1339"/>
        <w:gridCol w:w="1178"/>
        <w:gridCol w:w="1187"/>
        <w:gridCol w:w="109"/>
        <w:gridCol w:w="109"/>
        <w:gridCol w:w="109"/>
        <w:gridCol w:w="470"/>
        <w:gridCol w:w="1556"/>
        <w:gridCol w:w="373"/>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Convertible Debt Investment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65,918 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 of 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(8,355)</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 of 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Contingent consideration for business acquisitions: </w:t>
      </w:r>
      <w:r>
        <w:rPr>
          <w:rFonts w:ascii="Arial Narrow;sans-serif" w:hAnsi="Arial Narrow;sans-serif"/>
          <w:b w:val="false"/>
          <w:color w:val="000000"/>
          <w:sz w:val="20"/>
        </w:rPr>
        <w:t xml:space="preserve">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6.3% as of December 31, 2023 and 5.5% as of December 31, 2022.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contingent consideration for business acquisitions for the years ended December 31, 2023 and 2022. </w:t>
      </w:r>
    </w:p>
    <w:tbl>
      <w:tblPr>
        <w:tblW w:w="7196"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934"/>
        <w:gridCol w:w="2651"/>
        <w:gridCol w:w="73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Contingent Consideration for Business Acquisitions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3,743 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1,185 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(1,379)</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assets and liabilities not recorded at fair value on a recurring basis are as follows: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Preferred Stock Investment</w:t>
      </w:r>
    </w:p>
    <w:p>
      <w:pPr>
        <w:pStyle w:val="TextBody"/>
        <w:bidi w:val="0"/>
        <w:spacing w:lineRule="auto" w:line="288" w:before="180" w:after="283"/>
        <w:jc w:val="left"/>
        <w:rPr/>
      </w:pPr>
      <w:r>
        <w:rPr>
          <w:rFonts w:ascii="Arial Narrow;sans-serif" w:hAnsi="Arial Narrow;sans-serif"/>
          <w:b w:val="false"/>
          <w:color w:val="000000"/>
          <w:sz w:val="20"/>
        </w:rPr>
        <w:t>In the</w:t>
      </w:r>
      <w:r>
        <w:rPr>
          <w:color w:val="000000"/>
        </w:rPr>
        <w:t xml:space="preserve"> </w:t>
      </w:r>
      <w:r>
        <w:rPr>
          <w:rFonts w:ascii="Arial Narrow;sans-serif" w:hAnsi="Arial Narrow;sans-serif"/>
          <w:b w:val="false"/>
          <w:color w:val="000000"/>
          <w:sz w:val="20"/>
        </w:rPr>
        <w:t xml:space="preserve">fourth quarter of 2019, we invested $5.0 million in a hospital-at-home company. The investment was made in the form of preferred stock. To determine the appropriate accounting treatment for our preferred stock investment, we performed a VIE analysis and concluded that the company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the same or similar equity instrument occurred or if factors indicate that a significant decrease in value has occurred. We remeasure to the fair value of the preferred stock using such identified information with changes in the fair value recorded in our consolidated statement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fourth quarter of 2023, we recognized a non-cash impairment loss of $26.3 million on our preferred stock investment based on the valuation established in a new round of financing expected to close in early 2024. During the first quarter of 2022, we recognized a non-cash unrealized gain of $27.0 million, based on the observable price change of preferred stock issued by the company with similar rights and preferences to our preferred stock investment, a Level 2 input. The non-cash impairment loss and unrealized gain were recorded to other income (expense), net in our consolidated statement of operations. There were no observable price changes in 2023 or 2021. Since our initial investment, we have recognized cumulative unrealized gains of $28.6 million and cumulative unrealized losses of $26.3 million. As of December 31, 2023 and 2022, the carrying value of our preferred stock investment was $7.4 million and $33.6 million, respectively.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Cash and Cash Equivalents and Other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14. Other Comprehensive Income (Loss)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components of accumulated other comprehensive income (loss), net of tax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1063"/>
        <w:gridCol w:w="789"/>
        <w:gridCol w:w="792"/>
        <w:gridCol w:w="225"/>
        <w:gridCol w:w="655"/>
        <w:gridCol w:w="126"/>
        <w:gridCol w:w="109"/>
        <w:gridCol w:w="109"/>
        <w:gridCol w:w="109"/>
        <w:gridCol w:w="241"/>
        <w:gridCol w:w="795"/>
        <w:gridCol w:w="135"/>
        <w:gridCol w:w="109"/>
        <w:gridCol w:w="109"/>
        <w:gridCol w:w="109"/>
        <w:gridCol w:w="263"/>
        <w:gridCol w:w="816"/>
        <w:gridCol w:w="146"/>
        <w:gridCol w:w="109"/>
        <w:gridCol w:w="109"/>
        <w:gridCol w:w="109"/>
        <w:gridCol w:w="509"/>
        <w:gridCol w:w="1055"/>
        <w:gridCol w:w="286"/>
        <w:gridCol w:w="109"/>
        <w:gridCol w:w="109"/>
        <w:gridCol w:w="109"/>
        <w:gridCol w:w="196"/>
        <w:gridCol w:w="646"/>
        <w:gridCol w:w="159"/>
      </w:tblGrid>
      <w:tr>
        <w:trPr/>
        <w:tc>
          <w:tcPr>
            <w:tcW w:w="106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Cash Flow Hedges</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w:t>
              <w:br/>
              <w:t>Currency</w:t>
              <w:br/>
              <w:t>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Available-for-</w:t>
              <w:br/>
              <w:t>Sale </w:t>
              <w:b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Interest Rate Swaps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2020</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17,205 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 net of tax of $0</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Reclassification adjustments into earnings, net of tax of $0</w:t>
            </w:r>
            <w:r>
              <w:rPr>
                <w:rFonts w:ascii="Arial Narrow;sans-serif" w:hAnsi="Arial Narrow;sans-serif"/>
                <w:b w:val="false"/>
                <w:color w:val="000000"/>
                <w:sz w:val="13"/>
              </w:rPr>
              <w:t>(2)</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$(385)</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$(641)</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$(678)</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2021</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18,374 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16,840 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 net of tax of $0</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$2,209</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(6,146)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$(3,555)</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$176</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$43</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$(11)</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2022</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 net of tax of $0</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Unrealized gain (loss) on investments: </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$(2,672)</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$671</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$2,020</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$(13)</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$(1)</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2023</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20,039 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22,827 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Arial Narrow;sans-serif" w:hAnsi="Arial Narrow;sans-serif"/>
          <w:b w:val="false"/>
          <w:color w:val="000000"/>
          <w:sz w:val="20"/>
        </w:rPr>
        <w:t>(1)    The before tax amounts reclassified from accumulated other comprehensive income related to our interest rate swaps and foreign exchange forward contracts are recorded to interest expense, net of interest income and direct costs, respectively, on our consolidated statement of operations. The related tax amounts reclassified from accumulated other comprehensive income are recorded to income tax expense (benefit) on our consolidated statement of operations. Refer to Note 12 “Derivative Instruments and Hedging Activity” for additional information on our derivative instruments.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    In connection with the divestiture of the Life Sciences business, which included a substantially complete liquidation of an investment within a foreign entity, we included $1.1 million of accumulated translation gains in the calculation of our gain on sale recorded within other income, net on our consolidated statement of operations. See Note 3 “Acquisitions and Divestiture” for additional information on the divestiture of the Life Sciences business in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15. Employee Benefit and Deferred Compensation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sponsor a qualified defined contribution 401(k) plan covering substantially all of our employees. Under the plan, employees are entitled to make pretax, post-tax, and/or Roth post-tax contributions up to the annual maximums established by the Internal Revenue Service. We match an amount equal to the employees’ contributions up to 6% of the employees’ eligible earnings. Our matching contributions for the years ended December 31, 2023, 2022, and 2021 were $37.0 million, $31.2 million, and $29.9 million,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2023 and 2022 was $34.7 million and $29.9 million, respectively. This deferred compensation liability is fully funded by the Plan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16. Equity Incentive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grant share-based awards under the Company's 2012 Omnibus Incentive Plan (the “2012 Plan”) which permits the grant of stock options, stock appreciation rights, restricted stock, restricted stock units, performance shares and other share-based or cash-based awards valued in whole or in part by reference to, or otherwise based on, our common stock. Subsequent to the initial approval of the 2012 Plan and through December 31, 2023, our shareholders approved amendments to the 2012 Plan to increase the number of shares authorized for issuance to 5.4 million, in the aggregate. As of December 31, 2023, 1.1 million shares remain available for issuance under the 2012 Plan.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May 1, 2015, we adopted the Stock Ownership Participation Program (the “SOPP”), which is available to Huron employees below the principal and managing director level who do not receive equity-based awards as part of their normal compensation plan. Under the SOPP, eligible employees may elect to use after-tax payroll deductions or cash contributions to purchase shares of the Company’s common stock on certain designated purchase dates. Employees who purchase stock under the SOPP are granted restricted stock equal to 25% of their purchased shares. Vesting of the restricted stock is subject to both a time-based vesting schedule and a requirement that the purchased shares be held for a specified period. Subsequent to the initial approval of the SOPP and through December 31, 2023, our shareholders approved amendments to the SOPP to increase the total number of shares authorized for issuance to 0.7 million, in the aggregate. As of December 31, 2023, 0.1 million shares remain available for issuance under the SOPP.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It has been our practice to issue shares of common stock upon exercise of stock options and granting of restricted stock from authorized but unissued shares, with the exception of the SOPP under which shares are issued from treasury stock. Certain grants of restricted stock under the 2012 Plan may be issued from treasury stock at the direction of the Compensation Committee. The Compensation Committee of the board of directors has the responsibility of interpreting the 2012 Plan and SOPP and determining all of the terms and conditions of awards made under the plans, including when the awards will become exercisable or otherwise vest.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Share-based awards outstanding under our 2012 Plan provide for a retirement eligibility provision, under which eligible employees who have reached 62 years of age and have completed seven years of employment with Huron will continue vesting in their share-based awards after retirement, subject to certain conditions. </w:t>
      </w:r>
    </w:p>
    <w:p>
      <w:pPr>
        <w:pStyle w:val="TextBody"/>
        <w:bidi w:val="0"/>
        <w:spacing w:lineRule="auto" w:line="288" w:before="180" w:after="283"/>
        <w:jc w:val="left"/>
        <w:rPr/>
      </w:pPr>
      <w:r>
        <w:rPr>
          <w:rFonts w:ascii="Arial Narrow;sans-serif" w:hAnsi="Arial Narrow;sans-serif"/>
          <w:b w:val="false"/>
          <w:color w:val="000000"/>
          <w:sz w:val="20"/>
        </w:rPr>
        <w:t>Total share-based compensation cost recognized for the years ended December 31, 2023, 2022, and 2021 was $45.7 million, $31.0 million, and $25.9 million, respectively, with related income tax benefits of $9.3 million,</w:t>
      </w:r>
      <w:r>
        <w:rPr>
          <w:color w:val="EE2724"/>
        </w:rPr>
        <w:t xml:space="preserve"> </w:t>
      </w:r>
      <w:r>
        <w:rPr>
          <w:rFonts w:ascii="Arial Narrow;sans-serif" w:hAnsi="Arial Narrow;sans-serif"/>
          <w:b w:val="false"/>
          <w:color w:val="000000"/>
          <w:sz w:val="20"/>
        </w:rPr>
        <w:t>$6.8 million, and $6.3 million,</w:t>
      </w:r>
      <w:r>
        <w:rPr>
          <w:color w:val="EE2724"/>
        </w:rPr>
        <w:t xml:space="preserve"> </w:t>
      </w:r>
      <w:r>
        <w:rPr>
          <w:rFonts w:ascii="Arial Narrow;sans-serif" w:hAnsi="Arial Narrow;sans-serif"/>
          <w:b w:val="false"/>
          <w:color w:val="000000"/>
          <w:sz w:val="20"/>
        </w:rPr>
        <w:t>respectively. As of December 31, 2023, there was $42.8 million of total unrecognized compensation cost related to nonvested share-based awards. This cost is expected to be recognized over a weighted average period of 2.2 years.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Restricted Stock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grant date fair values of our restricted stock are measured based on the fair value of our common stock at grant date and amortized into expense over the service period. Subject to acceleration under certain conditions, the majority of our restricted stock vests annually over four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summarizes the restricted stock activity for the year ended December 31, 2023. </w:t>
      </w:r>
    </w:p>
    <w:tbl>
      <w:tblPr>
        <w:tblW w:w="10205" w:type="dxa"/>
        <w:jc w:val="left"/>
        <w:tblInd w:w="0" w:type="dxa"/>
        <w:tblLayout w:type="fixed"/>
        <w:tblCellMar>
          <w:top w:w="28" w:type="dxa"/>
          <w:left w:w="28" w:type="dxa"/>
          <w:bottom w:w="28" w:type="dxa"/>
          <w:right w:w="28" w:type="dxa"/>
        </w:tblCellMar>
      </w:tblPr>
      <w:tblGrid>
        <w:gridCol w:w="1062"/>
        <w:gridCol w:w="933"/>
        <w:gridCol w:w="936"/>
        <w:gridCol w:w="656"/>
        <w:gridCol w:w="656"/>
        <w:gridCol w:w="658"/>
        <w:gridCol w:w="109"/>
        <w:gridCol w:w="109"/>
        <w:gridCol w:w="109"/>
        <w:gridCol w:w="884"/>
        <w:gridCol w:w="884"/>
        <w:gridCol w:w="887"/>
        <w:gridCol w:w="109"/>
        <w:gridCol w:w="109"/>
        <w:gridCol w:w="109"/>
        <w:gridCol w:w="238"/>
        <w:gridCol w:w="241"/>
        <w:gridCol w:w="182"/>
        <w:gridCol w:w="109"/>
        <w:gridCol w:w="109"/>
        <w:gridCol w:w="109"/>
        <w:gridCol w:w="216"/>
        <w:gridCol w:w="614"/>
        <w:gridCol w:w="177"/>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Grant Date</w:t>
              <w:br/>
              <w:t>Fair Value</w:t>
              <w:br/>
              <w:t>(in dollars)</w:t>
            </w:r>
          </w:p>
        </w:tc>
      </w:tr>
      <w:tr>
        <w:trPr/>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Arial Narrow;sans-serif" w:hAnsi="Arial Narrow;sans-serif"/>
                <w:b/>
                <w:color w:val="000000"/>
                <w:sz w:val="20"/>
              </w:rPr>
            </w:pPr>
            <w:r>
              <w:rPr>
                <w:rFonts w:ascii="Arial Narrow;sans-serif" w:hAnsi="Arial Narrow;sans-serif"/>
                <w:b/>
                <w:color w:val="000000"/>
                <w:sz w:val="20"/>
              </w:rPr>
              <w:t>2012 Omnibus Incentive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Arial Narrow;sans-serif" w:hAnsi="Arial Narrow;sans-serif"/>
                <w:b/>
                <w:color w:val="000000"/>
                <w:sz w:val="20"/>
              </w:rPr>
            </w:pPr>
            <w:r>
              <w:rPr>
                <w:rFonts w:ascii="Arial Narrow;sans-serif" w:hAnsi="Arial Narrow;sans-serif"/>
                <w:b/>
                <w:color w:val="000000"/>
                <w:sz w:val="20"/>
              </w:rPr>
              <w:t>Stock Ownership Participation Program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Nonvested restricted stock at December 31, 2022</w:t>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971 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Granted</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354 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Vested</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Forfeited</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Nonvested restricted stock at December 31, 2023</w:t>
            </w:r>
          </w:p>
        </w:tc>
        <w:tc>
          <w:tcPr>
            <w:tcW w:w="13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926 </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aggregate fair value of restricted stock that vested during the years ended December 31, 2023, 2022, and 2021 was $27.6 million, $18.4 million, and $19.8 million, respectively. The weighted average grant date fair value per share of restricted stock granted during 2022 and 2021 was $49.69 and $53.84, respectively.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Performance-based Share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total number of shares earned by recipients of performance-based share awards is contingent upon meeting practice specific and/or company-wide performance goals. Following the performance period, certain awards are subject to the completion of a service period, which is generally an additional two years. These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 including the performance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summarizes the performance-based stock activity for the year ended December 31, 2023. All nonvested performance-based stock outstanding at December 31, 2023 and 2022 was granted under the 2012 Omnibus Incentive Plan. </w:t>
      </w:r>
    </w:p>
    <w:tbl>
      <w:tblPr>
        <w:tblW w:w="6823" w:type="dxa"/>
        <w:jc w:val="left"/>
        <w:tblInd w:w="0" w:type="dxa"/>
        <w:tblLayout w:type="fixed"/>
        <w:tblCellMar>
          <w:top w:w="28" w:type="dxa"/>
          <w:left w:w="28" w:type="dxa"/>
          <w:bottom w:w="28" w:type="dxa"/>
          <w:right w:w="28" w:type="dxa"/>
        </w:tblCellMar>
      </w:tblPr>
      <w:tblGrid>
        <w:gridCol w:w="1653"/>
        <w:gridCol w:w="1450"/>
        <w:gridCol w:w="1457"/>
        <w:gridCol w:w="310"/>
        <w:gridCol w:w="310"/>
        <w:gridCol w:w="311"/>
        <w:gridCol w:w="109"/>
        <w:gridCol w:w="109"/>
        <w:gridCol w:w="109"/>
        <w:gridCol w:w="217"/>
        <w:gridCol w:w="617"/>
        <w:gridCol w:w="171"/>
      </w:tblGrid>
      <w:tr>
        <w:trPr/>
        <w:tc>
          <w:tcPr>
            <w:tcW w:w="165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Grant Date</w:t>
              <w:br/>
              <w:t>Fair Value</w:t>
              <w:br/>
              <w:t>(in dollars)</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Nonvested performance-based stock at December 31, 2022</w:t>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50.36 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Granted </w:t>
            </w:r>
            <w:r>
              <w:rPr>
                <w:rFonts w:ascii="Arial Narrow;sans-serif" w:hAnsi="Arial Narrow;sans-serif"/>
                <w:b w:val="false"/>
                <w:color w:val="000000"/>
                <w:sz w:val="13"/>
              </w:rPr>
              <w:t>(1)</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Vested</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Forfeited </w:t>
            </w:r>
            <w:r>
              <w:rPr>
                <w:rFonts w:ascii="Arial Narrow;sans-serif" w:hAnsi="Arial Narrow;sans-serif"/>
                <w:b w:val="false"/>
                <w:color w:val="000000"/>
                <w:sz w:val="13"/>
              </w:rPr>
              <w:t>(2)</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Nonvested performance-based stock at December 31, 2023 </w:t>
            </w:r>
            <w:r>
              <w:rPr>
                <w:rFonts w:ascii="Arial Narrow;sans-serif" w:hAnsi="Arial Narrow;sans-serif"/>
                <w:b w:val="false"/>
                <w:color w:val="000000"/>
                <w:sz w:val="13"/>
              </w:rPr>
              <w:t>(3)</w:t>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(1)Shares granted in 2023 are presented at the stated target, which represents the base number of shares that could be earned. Actual shares earned may be below or, for certain grants, above the target based on the achievement of specific financial goals.</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(2)Forfeited shares include shares forfeited as a result of not meeting the performance criteria of the award as well as shares forfeited upon termination.</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(3)Of the 454,000 nonvested performance-based shares outstanding as of December 31, 2023, 355,299 shares were unearned and subject to achievement of specific financial goals. Once earned, the awards will be subject to time-based vesting according to the terms of the award. Based on 2023 financial results, approximately 16,328 of the 355,299 unearned shares will be forfeited in the first quarter of 2024.</w:t>
      </w:r>
    </w:p>
    <w:p>
      <w:pPr>
        <w:pStyle w:val="TextBody"/>
        <w:bidi w:val="0"/>
        <w:spacing w:lineRule="auto" w:line="288" w:before="180" w:after="283"/>
        <w:jc w:val="left"/>
        <w:rPr/>
      </w:pPr>
      <w:r>
        <w:rPr>
          <w:rFonts w:ascii="Arial Narrow;sans-serif" w:hAnsi="Arial Narrow;sans-serif"/>
          <w:b w:val="false"/>
          <w:color w:val="000000"/>
          <w:sz w:val="20"/>
        </w:rPr>
        <w:t>The aggregate fair value of performance-based stock that vested during the years ended December 31, 2023, 2022, and 2021 was $5.9 million</w:t>
      </w:r>
      <w:r>
        <w:rPr>
          <w:rFonts w:ascii="Times New Roman;sans-serif" w:hAnsi="Times New Roman;sans-serif"/>
          <w:b w:val="false"/>
          <w:color w:val="000000"/>
          <w:sz w:val="20"/>
        </w:rPr>
        <w:t xml:space="preserve">, </w:t>
      </w:r>
      <w:r>
        <w:rPr>
          <w:rFonts w:ascii="Arial Narrow;sans-serif" w:hAnsi="Arial Narrow;sans-serif"/>
          <w:b w:val="false"/>
          <w:color w:val="000000"/>
          <w:sz w:val="20"/>
        </w:rPr>
        <w:t>$5.8 million, and $9.8 million, respectively. The weighted average grant date fair value per share of performance-based stock granted during 2022 and 2021 was $48.22 and $53.75,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Performance-based Stock Options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Beginning in 2022, the Company granted performance-based stock options which are earned by the recipients contingent upon meeting practice specific goals. Following the performance period, these awards are subject to the completion of a service period of an additional two years. These earned awards vest on a graded vesting schedule over the service period. The performance-based stock options were granted at exercise prices equal to the fair value of the Company’s common stock on the date of grant. Compensation cost is amortized into expense over the service period, including the performance period. Our performance-based stock options have a contractual term of 7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fair values of the performance-based stock options granted during 2023 and 2022 were calculated using the Black-Scholes option pricing model using the following assumptions:</w:t>
      </w:r>
    </w:p>
    <w:tbl>
      <w:tblPr>
        <w:tblW w:w="6671" w:type="dxa"/>
        <w:jc w:val="left"/>
        <w:tblInd w:w="0" w:type="dxa"/>
        <w:tblLayout w:type="fixed"/>
        <w:tblCellMar>
          <w:top w:w="28" w:type="dxa"/>
          <w:left w:w="28" w:type="dxa"/>
          <w:bottom w:w="28" w:type="dxa"/>
          <w:right w:w="28" w:type="dxa"/>
        </w:tblCellMar>
      </w:tblPr>
      <w:tblGrid>
        <w:gridCol w:w="1657"/>
        <w:gridCol w:w="1457"/>
        <w:gridCol w:w="1460"/>
        <w:gridCol w:w="254"/>
        <w:gridCol w:w="254"/>
        <w:gridCol w:w="257"/>
        <w:gridCol w:w="109"/>
        <w:gridCol w:w="109"/>
        <w:gridCol w:w="109"/>
        <w:gridCol w:w="293"/>
        <w:gridCol w:w="293"/>
        <w:gridCol w:w="419"/>
      </w:tblGrid>
      <w:tr>
        <w:trPr/>
        <w:tc>
          <w:tcPr>
            <w:tcW w:w="16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Black-Scholes performance-based option pricing model:</w:t>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dividend yield</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volatility</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40.0%</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Risk-free rate</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1.6% / 2.6%</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option life (in years)</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 years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Expected volatility was based on our historical stock prices as we believe that our historical volatility provides the most reliable indication of future volatility and sufficient historical daily stock price observations are available. The risk-free interest rate was based on the rate of U.S. Treasury bills with an equivalent expected term of the stock options at the time of the option grant. The expected option life was estimated using the simplified method, which is a weighted average of the vesting term and the contractual term, to determine the expected term.The simplified method was used due to the lack of sufficient data available to provide a reasonable basis upon which to estimate the expected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Performance-based stock option activity for the year ended December 31, 2023 was as follows:</w:t>
      </w:r>
    </w:p>
    <w:tbl>
      <w:tblPr>
        <w:tblW w:w="9274" w:type="dxa"/>
        <w:jc w:val="left"/>
        <w:tblInd w:w="0" w:type="dxa"/>
        <w:tblLayout w:type="fixed"/>
        <w:tblCellMar>
          <w:top w:w="28" w:type="dxa"/>
          <w:left w:w="28" w:type="dxa"/>
          <w:bottom w:w="28" w:type="dxa"/>
          <w:right w:w="28" w:type="dxa"/>
        </w:tblCellMar>
      </w:tblPr>
      <w:tblGrid>
        <w:gridCol w:w="1052"/>
        <w:gridCol w:w="927"/>
        <w:gridCol w:w="930"/>
        <w:gridCol w:w="769"/>
        <w:gridCol w:w="769"/>
        <w:gridCol w:w="771"/>
        <w:gridCol w:w="109"/>
        <w:gridCol w:w="109"/>
        <w:gridCol w:w="109"/>
        <w:gridCol w:w="218"/>
        <w:gridCol w:w="619"/>
        <w:gridCol w:w="122"/>
        <w:gridCol w:w="109"/>
        <w:gridCol w:w="109"/>
        <w:gridCol w:w="109"/>
        <w:gridCol w:w="345"/>
        <w:gridCol w:w="345"/>
        <w:gridCol w:w="346"/>
        <w:gridCol w:w="109"/>
        <w:gridCol w:w="109"/>
        <w:gridCol w:w="109"/>
        <w:gridCol w:w="291"/>
        <w:gridCol w:w="559"/>
        <w:gridCol w:w="230"/>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w:t>
              <w:br/>
              <w:t>of</w:t>
              <w:br/>
              <w:t>Performance-based Options</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Exercise</w:t>
              <w:br/>
              <w:t>Price</w:t>
              <w:br/>
              <w:t>(in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Remaining</w:t>
              <w:br/>
              <w:t>Contractual</w:t>
              <w:br/>
              <w:t>Term</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w:t>
              <w:br/>
              <w:t>Intrinsic</w:t>
              <w:br/>
              <w:t>Value</w:t>
              <w:br/>
              <w:t>(in millions)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at December 31, 2022</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Granted </w:t>
            </w:r>
            <w:r>
              <w:rPr>
                <w:rFonts w:ascii="Arial Narrow;sans-serif" w:hAnsi="Arial Narrow;sans-serif"/>
                <w:b w:val="false"/>
                <w:color w:val="000000"/>
                <w:sz w:val="13"/>
              </w:rPr>
              <w:t>(2)</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Exercised</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Forfeited or expired</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Outstanding at December 31, 2023 </w:t>
            </w:r>
            <w:r>
              <w:rPr>
                <w:rFonts w:ascii="Arial Narrow;sans-serif" w:hAnsi="Arial Narrow;sans-serif"/>
                <w:b w:val="false"/>
                <w:color w:val="000000"/>
                <w:sz w:val="13"/>
              </w:rPr>
              <w:t>(1)(3)</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Exercisable at December 31, 2023</w:t>
            </w:r>
          </w:p>
        </w:tc>
        <w:tc>
          <w:tcPr>
            <w:tcW w:w="153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7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(1)All of the outstanding performance-based stock options were granted under the 2012 Omnibus Incentive Plan. </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(2)Performance-based stock options granted in 2023 are presented at the stated target, which represents the base number of options that could be earned. Actual options earned may be below or, for certain grants, above the target based on the achievement of specific financial goals.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(3)Of the 181,000 outstanding performance-based stock options as of December 31, 2023, 84,249 were unearned and subject to achievement of specific financial goals. Once earned, the options will be subject to time-based vesting according to the terms of the award. Based on 2023 financial results, approximately 13,751 of the 84,249 unearned options will be forfeited in the first quarter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weighted average grant date fair value of the performance-based stock options granted during 2023 and 2022 was $32.27 and $17.00, respectively. No performance-based stock options were granted in 2021. No performance-based stock options were exercised in 2022 and 2021.</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Time-vested Stock Options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prior years, we have granted stock options to certain employees that are solely earned based on the completion of the stated service period. These time-vested stock options were granted at exercise prices equal to the fair value of the Company’s common stock on the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of grant. No time-vested stock option awards were granted in 2023 or 2022. Subject to acceleration under certain conditions, these time-vested stock options vest annually over four years. Our time-vested stock options have a contractual term between 7 and 10 years.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fair value of the time-vested stock options granted during 2021 were calculated using the Black-Scholes option pricing model using the following assumptions: </w:t>
      </w:r>
    </w:p>
    <w:tbl>
      <w:tblPr>
        <w:tblW w:w="4859" w:type="dxa"/>
        <w:jc w:val="left"/>
        <w:tblInd w:w="0" w:type="dxa"/>
        <w:tblLayout w:type="fixed"/>
        <w:tblCellMar>
          <w:top w:w="28" w:type="dxa"/>
          <w:left w:w="28" w:type="dxa"/>
          <w:bottom w:w="28" w:type="dxa"/>
          <w:right w:w="28" w:type="dxa"/>
        </w:tblCellMar>
      </w:tblPr>
      <w:tblGrid>
        <w:gridCol w:w="1433"/>
        <w:gridCol w:w="1262"/>
        <w:gridCol w:w="1265"/>
        <w:gridCol w:w="262"/>
        <w:gridCol w:w="262"/>
        <w:gridCol w:w="375"/>
      </w:tblGrid>
      <w:tr>
        <w:trPr/>
        <w:tc>
          <w:tcPr>
            <w:tcW w:w="143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Black-Scholes time-vested option pricing model:</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dividend yield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volatility</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40.0%</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Risk-free rate</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0.9%</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option life (in years)</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4.75 years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Expected volatility was based on our historical stock prices as we believe that our historical volatility provides the most reliable indication of future volatility and sufficient historical daily stock price observations are available. The risk-free interest rate was based on the rate of U.S. Treasury bills with an equivalent expected term of the stock options at the time of the option grant. The expected option life was estimated using the simplified method, which is a weighted average of the vesting term and the contractual term, to determine the expected term. The simplified method was used due to the lack of sufficient data available to provide a reasonable basis upon which to estimate the expected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Time-vested stock option activity for the year ended December 31, 2023 was as follows:</w:t>
      </w:r>
    </w:p>
    <w:tbl>
      <w:tblPr>
        <w:tblW w:w="8585" w:type="dxa"/>
        <w:jc w:val="left"/>
        <w:tblInd w:w="0" w:type="dxa"/>
        <w:tblLayout w:type="fixed"/>
        <w:tblCellMar>
          <w:top w:w="28" w:type="dxa"/>
          <w:left w:w="28" w:type="dxa"/>
          <w:bottom w:w="28" w:type="dxa"/>
          <w:right w:w="28" w:type="dxa"/>
        </w:tblCellMar>
      </w:tblPr>
      <w:tblGrid>
        <w:gridCol w:w="1009"/>
        <w:gridCol w:w="889"/>
        <w:gridCol w:w="892"/>
        <w:gridCol w:w="579"/>
        <w:gridCol w:w="579"/>
        <w:gridCol w:w="581"/>
        <w:gridCol w:w="109"/>
        <w:gridCol w:w="109"/>
        <w:gridCol w:w="109"/>
        <w:gridCol w:w="218"/>
        <w:gridCol w:w="619"/>
        <w:gridCol w:w="122"/>
        <w:gridCol w:w="109"/>
        <w:gridCol w:w="109"/>
        <w:gridCol w:w="109"/>
        <w:gridCol w:w="345"/>
        <w:gridCol w:w="345"/>
        <w:gridCol w:w="346"/>
        <w:gridCol w:w="109"/>
        <w:gridCol w:w="109"/>
        <w:gridCol w:w="109"/>
        <w:gridCol w:w="291"/>
        <w:gridCol w:w="559"/>
        <w:gridCol w:w="230"/>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w:t>
              <w:br/>
              <w:t>of</w:t>
              <w:br/>
              <w:t>Time-vested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Exercise</w:t>
              <w:br/>
              <w:t>Price</w:t>
              <w:br/>
              <w:t>(in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w:t>
              <w:br/>
              <w:t>Intrinsic</w:t>
              <w:br/>
              <w:t>Value</w:t>
              <w:br/>
              <w:t>(in millions)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at December 31, 2022</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Granted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Exercised</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Forfeited or expired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Outstanding at December 31, 2023 </w:t>
            </w:r>
            <w:r>
              <w:rPr>
                <w:rFonts w:ascii="Arial Narrow;sans-serif" w:hAnsi="Arial Narrow;sans-serif"/>
                <w:b w:val="false"/>
                <w:color w:val="000000"/>
                <w:sz w:val="13"/>
              </w:rPr>
              <w:t>(1)</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Exercisable at December 31, 2023</w:t>
            </w:r>
          </w:p>
        </w:tc>
        <w:tc>
          <w:tcPr>
            <w:tcW w:w="115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(1)All of the outstanding time-vested stock options were granted under the 2012 Omnibus Incentive Plan.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weighted average grant date fair value of the time-vested stock options granted during 2021 was $18.42. No time-vested stock options were granted in 2023 and 2022. The aggregate intrinsic value of time-vested stock options exercised during 2022 and 2021 was $0.5 million and $0.4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17.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March 2020, the Coronavirus Aid, Relief, and Economic Security Act (“CARES Act”) was signed into law, which among other items, includes income tax provisions relating to net operating loss carryback period, options to defer payroll tax payments for a limited period and technical corrections to tax depreciation methods for qualified improvement property. As a result of electing the retroactive Global Intangible Low-Taxed Income (“GILTI”) high-tax exclusion in the second quarter of 2021, we recognized a $1.0 million tax benefit of which $0.4 million related to carrying back our increased 2018 federal net operating loss to prior year income for a refund at the higher, prior year tax rate. Additionally, during the third quarter of 2021, we recognized an additional tax benefit of $2.0 million, primarily related to the U.S. federal return to provision adjustments for carrying back our increased 2020 federal net operating loss to prior year income for a refund at the higher, prior year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income tax expense (benefit) for the years ended December 31, 2023, 2022, and 2021 consisted of the following: </w:t>
      </w:r>
    </w:p>
    <w:tbl>
      <w:tblPr>
        <w:tblW w:w="5981" w:type="dxa"/>
        <w:jc w:val="left"/>
        <w:tblInd w:w="0" w:type="dxa"/>
        <w:tblLayout w:type="fixed"/>
        <w:tblCellMar>
          <w:top w:w="28" w:type="dxa"/>
          <w:left w:w="28" w:type="dxa"/>
          <w:bottom w:w="28" w:type="dxa"/>
          <w:right w:w="28" w:type="dxa"/>
        </w:tblCellMar>
      </w:tblPr>
      <w:tblGrid>
        <w:gridCol w:w="880"/>
        <w:gridCol w:w="771"/>
        <w:gridCol w:w="778"/>
        <w:gridCol w:w="196"/>
        <w:gridCol w:w="646"/>
        <w:gridCol w:w="109"/>
        <w:gridCol w:w="109"/>
        <w:gridCol w:w="109"/>
        <w:gridCol w:w="109"/>
        <w:gridCol w:w="196"/>
        <w:gridCol w:w="646"/>
        <w:gridCol w:w="109"/>
        <w:gridCol w:w="109"/>
        <w:gridCol w:w="109"/>
        <w:gridCol w:w="109"/>
        <w:gridCol w:w="196"/>
        <w:gridCol w:w="64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Current taxes: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current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Deferred taxes: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deferred expense (benefit)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components of income before taxes were as follows: </w:t>
      </w:r>
    </w:p>
    <w:tbl>
      <w:tblPr>
        <w:tblW w:w="4318" w:type="dxa"/>
        <w:jc w:val="left"/>
        <w:tblInd w:w="0" w:type="dxa"/>
        <w:tblLayout w:type="fixed"/>
        <w:tblCellMar>
          <w:top w:w="28" w:type="dxa"/>
          <w:left w:w="28" w:type="dxa"/>
          <w:bottom w:w="28" w:type="dxa"/>
          <w:right w:w="28" w:type="dxa"/>
        </w:tblCellMar>
      </w:tblPr>
      <w:tblGrid>
        <w:gridCol w:w="244"/>
        <w:gridCol w:w="213"/>
        <w:gridCol w:w="219"/>
        <w:gridCol w:w="196"/>
        <w:gridCol w:w="646"/>
        <w:gridCol w:w="109"/>
        <w:gridCol w:w="109"/>
        <w:gridCol w:w="109"/>
        <w:gridCol w:w="109"/>
        <w:gridCol w:w="196"/>
        <w:gridCol w:w="736"/>
        <w:gridCol w:w="109"/>
        <w:gridCol w:w="109"/>
        <w:gridCol w:w="109"/>
        <w:gridCol w:w="109"/>
        <w:gridCol w:w="196"/>
        <w:gridCol w:w="646"/>
        <w:gridCol w:w="154"/>
      </w:tblGrid>
      <w:tr>
        <w:trPr/>
        <w:tc>
          <w:tcPr>
            <w:tcW w:w="2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color w:val="000000"/>
        </w:rPr>
      </w:pPr>
      <w:r>
        <w:rPr>
          <w:color w:val="000000"/>
        </w:rPr>
        <w:t>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A reconciliation of the U.S. statutory income tax rate to our effective tax rate is as follows: </w:t>
      </w:r>
    </w:p>
    <w:tbl>
      <w:tblPr>
        <w:tblW w:w="5892" w:type="dxa"/>
        <w:jc w:val="left"/>
        <w:tblInd w:w="0" w:type="dxa"/>
        <w:tblLayout w:type="fixed"/>
        <w:tblCellMar>
          <w:top w:w="28" w:type="dxa"/>
          <w:left w:w="28" w:type="dxa"/>
          <w:bottom w:w="28" w:type="dxa"/>
          <w:right w:w="28" w:type="dxa"/>
        </w:tblCellMar>
      </w:tblPr>
      <w:tblGrid>
        <w:gridCol w:w="1098"/>
        <w:gridCol w:w="963"/>
        <w:gridCol w:w="968"/>
        <w:gridCol w:w="233"/>
        <w:gridCol w:w="233"/>
        <w:gridCol w:w="249"/>
        <w:gridCol w:w="112"/>
        <w:gridCol w:w="112"/>
        <w:gridCol w:w="112"/>
        <w:gridCol w:w="233"/>
        <w:gridCol w:w="233"/>
        <w:gridCol w:w="249"/>
        <w:gridCol w:w="112"/>
        <w:gridCol w:w="112"/>
        <w:gridCol w:w="112"/>
        <w:gridCol w:w="233"/>
        <w:gridCol w:w="233"/>
        <w:gridCol w:w="295"/>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Percent of pretax income:</w:t>
            </w:r>
          </w:p>
        </w:tc>
        <w:tc>
          <w:tcPr>
            <w:tcW w:w="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At U.S. statutory tax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State income taxes, net of federal benefit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Disallowed executive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Meals and entertainment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source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credits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Realized investment losses/gains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adjustments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CARES Act net operating loss carryback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Effective income tax rate</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net deferred tax asset (liability) balance at December 31, 2023 and 2022 consisted of the following: </w:t>
      </w:r>
    </w:p>
    <w:tbl>
      <w:tblPr>
        <w:tblW w:w="5618" w:type="dxa"/>
        <w:jc w:val="left"/>
        <w:tblInd w:w="0" w:type="dxa"/>
        <w:tblLayout w:type="fixed"/>
        <w:tblCellMar>
          <w:top w:w="28" w:type="dxa"/>
          <w:left w:w="28" w:type="dxa"/>
          <w:bottom w:w="28" w:type="dxa"/>
          <w:right w:w="28" w:type="dxa"/>
        </w:tblCellMar>
      </w:tblPr>
      <w:tblGrid>
        <w:gridCol w:w="1155"/>
        <w:gridCol w:w="1017"/>
        <w:gridCol w:w="1022"/>
        <w:gridCol w:w="196"/>
        <w:gridCol w:w="721"/>
        <w:gridCol w:w="109"/>
        <w:gridCol w:w="109"/>
        <w:gridCol w:w="109"/>
        <w:gridCol w:w="109"/>
        <w:gridCol w:w="196"/>
        <w:gridCol w:w="721"/>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Share-based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payroll and payroll related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operating loss carryforwards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Software development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credits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deferred tax assets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46,087 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deferred tax assets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liabilities: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and goodwill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Preferred stock investment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Software development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deferred tax liabilities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(69,087)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deferred tax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(30,592)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both December 31, 2023 and 2022, we had valuation allowances of $5.7 million, primarily due to uncertainties relating to the ability to utilize deferred tax assets recorded for foreign losses and tax credits.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 has foreign net operating losses of $3.5 million which begin to expire in 2027 and state net operating loss carryforwards of $0.1 million which will begin to expire in 2040, if not utilized. We have federal tax credit carryforwards of $1.6 million which will begin to expire in 2030, if not utilized.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reconciliation of our beginning and ending amount of unrecognized tax benefits is as follows: </w:t>
      </w:r>
    </w:p>
    <w:tbl>
      <w:tblPr>
        <w:tblW w:w="6565" w:type="dxa"/>
        <w:jc w:val="left"/>
        <w:tblInd w:w="0" w:type="dxa"/>
        <w:tblLayout w:type="fixed"/>
        <w:tblCellMar>
          <w:top w:w="28" w:type="dxa"/>
          <w:left w:w="28" w:type="dxa"/>
          <w:bottom w:w="28" w:type="dxa"/>
          <w:right w:w="28" w:type="dxa"/>
        </w:tblCellMar>
      </w:tblPr>
      <w:tblGrid>
        <w:gridCol w:w="1433"/>
        <w:gridCol w:w="1260"/>
        <w:gridCol w:w="1266"/>
        <w:gridCol w:w="109"/>
        <w:gridCol w:w="109"/>
        <w:gridCol w:w="109"/>
        <w:gridCol w:w="578"/>
        <w:gridCol w:w="1244"/>
        <w:gridCol w:w="457"/>
      </w:tblGrid>
      <w:tr>
        <w:trP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Unrecognized Tax Benefits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at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Decrease due to lapse of statue of limitations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Decrease based on 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Decrease due to lapse of statue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As of December 31, 2022, we had $0.6 million of unrecognized tax benefits, which would affect the effective tax rate if recognized. There was no unrecognized tax benefit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December 31, 2022, we had $0.1 million accrued for the potential payment of interest and penalties. No potential payment of interest and penalties was accrued as of December 31, 2023. Accrued interest and penalties are recorded as a component of provision for income taxes on our consolidated statement of earnings.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file income tax returns with federal, state, local and foreign jurisdictions. Tax years 2020 through 2022 are subject to future examinations by federal tax authorities. Tax years 2017 through 2022 are subject to future examinations by state and local tax authorities. Our foreign income tax filings are subject to future examinations by the local foreign tax authorities for tax years 2018 through 2022. Currently, we are not under audit by any tax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18. Commitments, Contingencies and Guarantees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Lease Commitments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lease office space, data centers and certain equipment under non-cancelable operating lease arrangements expiring on various dates through 2030, with various renewal options. Office facilities under operating leases include fixed payments plus, in some cases, scheduled base rent increases over the term of the lease. Certain leases require variable payments of real estate taxes, insurance and operating expenses. See Note 5 “Leases” for additional information on our leases, including the remaining expected lease payments under our operating leases as of December 31, 2023.</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Litigation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Annual Report on Form 10-K,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Guarantees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Guarantees in the form of letters of credit totaling $0.5 million and $0.7 million were outstanding at December 31, 2023 and 2022, respectively, to support certain office lease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connection with certain business acquisitions, we may be required to pay post-closing consideration to the sellers if specific financial performance targets are met over a number of years as specified in the related purchase agreements. As of December 31, 2023 and 2022, the total estimated fair value of our outstanding contingent consideration liability was $2.1 million and $3.2 million,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19.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Commercial.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cost and care delivery transformation; digital offerings, spanning technology and analytic-related services, including enterprise health record (“EHR”), ERP and enterprise performance management (“EPM”), customer relationship management (“CRM”), data management and technology managed services, and a portfolio of software products; organizational transformation; revenue cycle managed services and outsourcing; financial and capital advisory consulting; and strategy and innovation consulting.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and other education-related organizations. Our education and research-focused services and products include our digital offerings, spanning technology and analytic-related services, including student information systems, ERP and EPM, CRM, data management and technology managed services and our Huron Research Suite product suite (the leading software suite designed to facilitate and improve research administration service delivery and compliance); our research-focused consulting and managed services; and our strategy and operations consulting services, which span finance and accounting and operations to organization and talent strategy and student and academic strategy.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financial advisory (special situation advisory and corporate finance advisory) services, and strategy and innovation consulting services.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60"/>
        <w:jc w:val="left"/>
        <w:rPr/>
      </w:pPr>
      <w:r>
        <w:rPr>
          <w:rFonts w:ascii="Arial Narrow;sans-serif" w:hAnsi="Arial Narrow;sans-serif"/>
          <w:b w:val="false"/>
          <w:color w:val="000000"/>
          <w:sz w:val="20"/>
        </w:rPr>
        <w:t xml:space="preserve">The tables below set forth information about our operating segments for the years ended December 31, 2023, 2022, and 2021,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 </w:t>
      </w:r>
      <w:r>
        <w:rPr>
          <w:color w:val="000000"/>
        </w:rPr>
        <w:t> </w:t>
      </w:r>
    </w:p>
    <w:tbl>
      <w:tblPr>
        <w:tblW w:w="9272" w:type="dxa"/>
        <w:jc w:val="left"/>
        <w:tblInd w:w="0" w:type="dxa"/>
        <w:tblLayout w:type="fixed"/>
        <w:tblCellMar>
          <w:top w:w="28" w:type="dxa"/>
          <w:left w:w="28" w:type="dxa"/>
          <w:bottom w:w="28" w:type="dxa"/>
          <w:right w:w="28" w:type="dxa"/>
        </w:tblCellMar>
      </w:tblPr>
      <w:tblGrid>
        <w:gridCol w:w="1730"/>
        <w:gridCol w:w="1525"/>
        <w:gridCol w:w="1529"/>
        <w:gridCol w:w="196"/>
        <w:gridCol w:w="871"/>
        <w:gridCol w:w="241"/>
        <w:gridCol w:w="109"/>
        <w:gridCol w:w="109"/>
        <w:gridCol w:w="109"/>
        <w:gridCol w:w="196"/>
        <w:gridCol w:w="871"/>
        <w:gridCol w:w="241"/>
        <w:gridCol w:w="109"/>
        <w:gridCol w:w="109"/>
        <w:gridCol w:w="109"/>
        <w:gridCol w:w="196"/>
        <w:gridCol w:w="736"/>
        <w:gridCol w:w="286"/>
      </w:tblGrid>
      <w:tr>
        <w:trPr/>
        <w:tc>
          <w:tcPr>
            <w:tcW w:w="173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534,999 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444,767 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131,227 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118,324 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Education: </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359,835 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242,374 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78,924 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237,621 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218,499 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905,640 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and reimbursable expenses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1,398,755 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1,158,961 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926,958 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326,200 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260,176 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205,018 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127,020 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99,760 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83,895 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108,577 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80,036 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illustrates the disaggregation of revenues by capability, including a reconciliation of the disaggregated revenues to revenues from our three operating segments for the years ended December 31, 2023, 2022 and 2021. For the years ended December 31, 2023, 2022, and 2021, substantially all of our revenues were recognized over time.</w:t>
      </w:r>
    </w:p>
    <w:tbl>
      <w:tblPr>
        <w:tblW w:w="6969" w:type="dxa"/>
        <w:jc w:val="left"/>
        <w:tblInd w:w="0" w:type="dxa"/>
        <w:tblLayout w:type="fixed"/>
        <w:tblCellMar>
          <w:top w:w="28" w:type="dxa"/>
          <w:left w:w="28" w:type="dxa"/>
          <w:bottom w:w="28" w:type="dxa"/>
          <w:right w:w="28" w:type="dxa"/>
        </w:tblCellMar>
      </w:tblPr>
      <w:tblGrid>
        <w:gridCol w:w="925"/>
        <w:gridCol w:w="810"/>
        <w:gridCol w:w="815"/>
        <w:gridCol w:w="109"/>
        <w:gridCol w:w="109"/>
        <w:gridCol w:w="109"/>
        <w:gridCol w:w="196"/>
        <w:gridCol w:w="871"/>
        <w:gridCol w:w="109"/>
        <w:gridCol w:w="109"/>
        <w:gridCol w:w="109"/>
        <w:gridCol w:w="109"/>
        <w:gridCol w:w="196"/>
        <w:gridCol w:w="871"/>
        <w:gridCol w:w="109"/>
        <w:gridCol w:w="109"/>
        <w:gridCol w:w="109"/>
        <w:gridCol w:w="109"/>
        <w:gridCol w:w="196"/>
        <w:gridCol w:w="736"/>
        <w:gridCol w:w="154"/>
      </w:tblGrid>
      <w:tr>
        <w:trPr/>
        <w:tc>
          <w:tcPr>
            <w:tcW w:w="92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2021</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444,767 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242,374 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218,499 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555,915 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1,132,455 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905,640 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years ended December 31, 2023, 2022, and 2021, substantially all of our revenues and long-lived assets were attributed to or located in the United States.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At December 31, 2023 and 2022, no single client accounted for greater than 10% of our combined balance of receivables from clients, net and unbilled services, net. During the years ended December 31, 2023, 2022, and 2021, no single client generated greater than 10% of our consolidated revenues.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 Valuation and Qualifying Accounts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amount of our allowances for doubtful accounts and unbilled services and valuation allowance for deferred tax assets for the years ended December 31, 2023, 2022, and 2021. Allowances for doubtful accounts and unbilled services includes allowances for fee adjustments and other discretionary pricing adjustments as well as allowances related to clients' inability to make required payments on accounts receivable.</w:t>
      </w:r>
    </w:p>
    <w:tbl>
      <w:tblPr>
        <w:tblW w:w="8958" w:type="dxa"/>
        <w:jc w:val="left"/>
        <w:tblInd w:w="0" w:type="dxa"/>
        <w:tblLayout w:type="fixed"/>
        <w:tblCellMar>
          <w:top w:w="28" w:type="dxa"/>
          <w:left w:w="28" w:type="dxa"/>
          <w:bottom w:w="28" w:type="dxa"/>
          <w:right w:w="28" w:type="dxa"/>
        </w:tblCellMar>
      </w:tblPr>
      <w:tblGrid>
        <w:gridCol w:w="1432"/>
        <w:gridCol w:w="1259"/>
        <w:gridCol w:w="1269"/>
        <w:gridCol w:w="196"/>
        <w:gridCol w:w="646"/>
        <w:gridCol w:w="109"/>
        <w:gridCol w:w="109"/>
        <w:gridCol w:w="109"/>
        <w:gridCol w:w="109"/>
        <w:gridCol w:w="349"/>
        <w:gridCol w:w="349"/>
        <w:gridCol w:w="351"/>
        <w:gridCol w:w="109"/>
        <w:gridCol w:w="109"/>
        <w:gridCol w:w="109"/>
        <w:gridCol w:w="340"/>
        <w:gridCol w:w="340"/>
        <w:gridCol w:w="341"/>
        <w:gridCol w:w="109"/>
        <w:gridCol w:w="109"/>
        <w:gridCol w:w="109"/>
        <w:gridCol w:w="196"/>
        <w:gridCol w:w="646"/>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 xml:space="preserve">Additions </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Ending</w:t>
              <w:br/>
              <w:t>Balance</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Year ended December 31, 2021:</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Allowances for doubtful accounts and unbilled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9,852 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15,363 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 for deferred tax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Year ended December 31, 2022:</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Allowances for doubtful accounts and unbilled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17,820 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11,480 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 for deferred tax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Year ended December 31, 2023:</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Allowances for doubtful accounts and unbilled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30,570 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23,461 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 for deferred tax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(1)Additions to allowances for doubtful accounts and unbilled services are charged to revenues. To the extent we write-off accounts receivable due to a client’s inability to pay, the charge is recognized as a component of selling, general and administrative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91f4deb943854f978ddded841685322d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21. Subsequent Event</w:t>
      </w:r>
    </w:p>
    <w:p>
      <w:pPr>
        <w:pStyle w:val="TextBody"/>
        <w:bidi w:val="0"/>
        <w:spacing w:lineRule="auto" w:line="288" w:before="180" w:after="240"/>
        <w:jc w:val="left"/>
        <w:rPr>
          <w:rFonts w:ascii="Arial Narrow;sans-serif" w:hAnsi="Arial Narrow;sans-serif"/>
          <w:b w:val="false"/>
          <w:color w:val="000000"/>
          <w:sz w:val="20"/>
        </w:rPr>
      </w:pPr>
      <w:r>
        <w:rPr>
          <w:rFonts w:ascii="Arial Narrow;sans-serif" w:hAnsi="Arial Narrow;sans-serif"/>
          <w:b w:val="false"/>
          <w:color w:val="000000"/>
          <w:sz w:val="20"/>
        </w:rPr>
        <w:t>On February 11, 2024, we entered into an agreement to acquire Grenzebach Glier and Associates, Inc. (“GG+A”), a philanthropic management consulting firm that helps education institutions and healthcare, arts and other nonprofit organizations build and accelerate the philanthropic programs that support their mission. The transaction is expected to close in March 2024, subject to customary closing conditions. The results of operations of GG+A will be included within our consolidated financial statements and results of operations of our Education segment from the date of acquisition. We do not expect the acquisition of GG+A to be significant to our consolidated financial statements.</w:t>
      </w:r>
    </w:p>
    <w:p>
      <w:pPr>
        <w:pStyle w:val="TextBody"/>
        <w:bidi w:val="0"/>
        <w:spacing w:before="18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F-41</w:t>
                      </w:r>
                    </w:p>
                  </w:txbxContent>
                </v:textbox>
                <w10:wrap type="none"/>
              </v:rect>
            </w:pict>
          </mc:Fallback>
        </mc:AlternateContent>
      </w:r>
    </w:p>
    <w:p>
      <w:pPr>
        <w:pStyle w:val="TextBody"/>
        <w:bidi w:val="0"/>
        <w:spacing w:lineRule="auto" w:line="276" w:before="120" w:after="283"/>
        <w:ind w:left="0" w:right="0" w:firstLine="270"/>
        <w:jc w:val="right"/>
        <w:rPr>
          <w:rFonts w:ascii="Times New Roman;sans-serif" w:hAnsi="Times New Roman;sans-serif"/>
          <w:b/>
          <w:color w:val="000000"/>
          <w:sz w:val="20"/>
        </w:rPr>
      </w:pPr>
      <w:r>
        <w:rPr>
          <w:rFonts w:ascii="Times New Roman;sans-serif" w:hAnsi="Times New Roman;sans-serif"/>
          <w:b/>
          <w:color w:val="000000"/>
          <w:sz w:val="20"/>
        </w:rPr>
        <w:t>Exhibit 10.25</w:t>
      </w:r>
    </w:p>
    <w:p>
      <w:pPr>
        <w:pStyle w:val="TextBody"/>
        <w:bidi w:val="0"/>
        <w:spacing w:lineRule="auto" w:line="276" w:before="0" w:after="0"/>
        <w:ind w:left="0" w:right="0" w:firstLine="270"/>
        <w:jc w:val="center"/>
        <w:rPr>
          <w:rFonts w:ascii="Times New Roman;sans-serif" w:hAnsi="Times New Roman;sans-serif"/>
          <w:b/>
          <w:color w:val="000000"/>
          <w:sz w:val="24"/>
        </w:rPr>
      </w:pPr>
      <w:r>
        <w:rPr>
          <w:rFonts w:ascii="Times New Roman;sans-serif" w:hAnsi="Times New Roman;sans-serif"/>
          <w:b/>
          <w:color w:val="000000"/>
          <w:sz w:val="24"/>
        </w:rPr>
        <w:t>HURON CONSULTING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2012 OMNIBUS INCENTIVE PLAN</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Huron Consulting Group Inc. Amended and Restated 2012 Omnibus Incentive Plan, as amended from time to time</w:t>
      </w:r>
    </w:p>
    <w:p>
      <w:pPr>
        <w:pStyle w:val="TextBody"/>
        <w:bidi w:val="0"/>
        <w:spacing w:before="0" w:after="0"/>
        <w:jc w:val="center"/>
        <w:rPr/>
      </w:pPr>
      <w:r>
        <w:rPr/>
      </w:r>
    </w:p>
    <w:p>
      <w:pPr>
        <w:pStyle w:val="TextBody"/>
        <w:bidi w:val="0"/>
        <w:spacing w:lineRule="auto" w:line="288" w:before="0" w:after="180"/>
        <w:ind w:left="0" w:right="0" w:hanging="720"/>
        <w:jc w:val="both"/>
        <w:rPr/>
      </w:pPr>
      <w:r>
        <w:rPr>
          <w:rFonts w:ascii="Arial;sans-serif" w:hAnsi="Arial;sans-serif"/>
          <w:b w:val="false"/>
          <w:color w:val="000000"/>
          <w:sz w:val="22"/>
        </w:rPr>
        <w:t>1.</w:t>
      </w:r>
      <w:r>
        <w:rPr>
          <w:rFonts w:ascii="Arial;sans-serif" w:hAnsi="Arial;sans-serif"/>
          <w:b/>
          <w:color w:val="000000"/>
          <w:sz w:val="24"/>
        </w:rPr>
        <w:t xml:space="preserve">History and Purpose. </w:t>
      </w:r>
      <w:r>
        <w:rPr>
          <w:rFonts w:ascii="Arial;sans-serif" w:hAnsi="Arial;sans-serif"/>
          <w:b w:val="false"/>
          <w:color w:val="000000"/>
          <w:sz w:val="22"/>
        </w:rPr>
        <w:t>Huron Consulting Group Inc., a Delaware corporation (“</w:t>
      </w:r>
      <w:r>
        <w:rPr>
          <w:rFonts w:ascii="Arial;sans-serif" w:hAnsi="Arial;sans-serif"/>
          <w:b w:val="false"/>
          <w:i/>
          <w:color w:val="000000"/>
          <w:sz w:val="24"/>
        </w:rPr>
        <w:t>Huron</w:t>
      </w:r>
      <w:r>
        <w:rPr>
          <w:color w:val="000000"/>
        </w:rPr>
        <w:t>”</w:t>
      </w:r>
      <w:r>
        <w:rPr>
          <w:rFonts w:ascii="Arial;sans-serif" w:hAnsi="Arial;sans-serif"/>
          <w:b w:val="false"/>
          <w:color w:val="000000"/>
          <w:sz w:val="22"/>
        </w:rPr>
        <w:t>), previously established the Huron Consulting Group Inc. 2012 Omnibus Incentive Plan, as amended from time to time (the “</w:t>
      </w:r>
      <w:r>
        <w:rPr>
          <w:rFonts w:ascii="Arial;sans-serif" w:hAnsi="Arial;sans-serif"/>
          <w:b w:val="false"/>
          <w:i/>
          <w:color w:val="000000"/>
          <w:sz w:val="24"/>
        </w:rPr>
        <w:t>Plan</w:t>
      </w:r>
      <w:r>
        <w:rPr>
          <w:color w:val="000000"/>
        </w:rPr>
        <w:t>”</w:t>
      </w:r>
      <w:r>
        <w:rPr>
          <w:rFonts w:ascii="Arial;sans-serif" w:hAnsi="Arial;sans-serif"/>
          <w:b w:val="false"/>
          <w:color w:val="000000"/>
          <w:sz w:val="22"/>
        </w:rPr>
        <w:t>) to attract and retain employees, non-employee directors and independent contractors providing services to Huron and/or the Affiliates (defined below), to motivate Participants (defined below) to achieve long-term goals of Huron and the Affiliates, to provide incentive compensation opportunities that are competitive with those of other corporations, and to further align Participants’ interests with those of Huron’s stockholders, and thereby to promote the long-term financial interest of Huron and the Affiliates, including growth in value of Huron’s equity and enhancement of long-term stockholder value.</w:t>
      </w:r>
      <w:r>
        <w:rPr>
          <w:color w:val="000000"/>
        </w:rPr>
        <w:t xml:space="preserve"> </w:t>
      </w:r>
      <w:r>
        <w:rPr>
          <w:rFonts w:ascii="Arial;sans-serif" w:hAnsi="Arial;sans-serif"/>
          <w:b w:val="false"/>
          <w:color w:val="000000"/>
          <w:sz w:val="22"/>
        </w:rPr>
        <w:t>The Plan has been previously amended, and the following provisions constitute an amendment, restatement, and continuation of the Plan effective December 8, 2023.</w:t>
      </w:r>
    </w:p>
    <w:p>
      <w:pPr>
        <w:pStyle w:val="TextBody"/>
        <w:bidi w:val="0"/>
        <w:spacing w:lineRule="auto" w:line="288" w:before="0" w:after="180"/>
        <w:ind w:left="0" w:right="0" w:hanging="720"/>
        <w:jc w:val="both"/>
        <w:rPr/>
      </w:pPr>
      <w:r>
        <w:rPr>
          <w:rFonts w:ascii="Arial;sans-serif" w:hAnsi="Arial;sans-serif"/>
          <w:b w:val="false"/>
          <w:color w:val="000000"/>
          <w:sz w:val="22"/>
        </w:rPr>
        <w:t>2.</w:t>
      </w:r>
      <w:r>
        <w:rPr>
          <w:rFonts w:ascii="Arial;sans-serif" w:hAnsi="Arial;sans-serif"/>
          <w:b/>
          <w:color w:val="000000"/>
          <w:sz w:val="24"/>
        </w:rPr>
        <w:t xml:space="preserve">Definitions. </w:t>
      </w:r>
      <w:r>
        <w:rPr>
          <w:rFonts w:ascii="Arial;sans-serif" w:hAnsi="Arial;sans-serif"/>
          <w:b w:val="false"/>
          <w:color w:val="000000"/>
          <w:sz w:val="22"/>
        </w:rPr>
        <w:t>As used in the Plan, the following definitions apply to the terms indicated below:</w:t>
      </w:r>
    </w:p>
    <w:p>
      <w:pPr>
        <w:pStyle w:val="TextBody"/>
        <w:bidi w:val="0"/>
        <w:spacing w:lineRule="auto" w:line="288" w:before="0" w:after="180"/>
        <w:ind w:left="0" w:right="0" w:hanging="720"/>
        <w:jc w:val="both"/>
        <w:rPr/>
      </w:pPr>
      <w:r>
        <w:rPr>
          <w:rFonts w:ascii="Arial;sans-serif" w:hAnsi="Arial;sans-serif"/>
          <w:b w:val="false"/>
          <w:color w:val="000000"/>
          <w:sz w:val="22"/>
        </w:rPr>
        <w:t>(a)</w:t>
      </w:r>
      <w:r>
        <w:rPr>
          <w:color w:val="000000"/>
        </w:rPr>
        <w:t>“</w:t>
      </w:r>
      <w:r>
        <w:rPr>
          <w:rFonts w:ascii="Arial;sans-serif" w:hAnsi="Arial;sans-serif"/>
          <w:b/>
          <w:color w:val="000000"/>
          <w:sz w:val="24"/>
        </w:rPr>
        <w:t xml:space="preserve">Administrative Actions” </w:t>
      </w:r>
      <w:r>
        <w:rPr>
          <w:rFonts w:ascii="Arial;sans-serif" w:hAnsi="Arial;sans-serif"/>
          <w:b w:val="false"/>
          <w:color w:val="000000"/>
          <w:sz w:val="22"/>
        </w:rPr>
        <w:t>shall have the meaning set forth in Section 5(d).</w:t>
      </w:r>
    </w:p>
    <w:p>
      <w:pPr>
        <w:pStyle w:val="TextBody"/>
        <w:bidi w:val="0"/>
        <w:spacing w:lineRule="auto" w:line="288" w:before="0" w:after="180"/>
        <w:ind w:left="0" w:right="0" w:hanging="720"/>
        <w:jc w:val="both"/>
        <w:rPr/>
      </w:pPr>
      <w:r>
        <w:rPr>
          <w:rFonts w:ascii="Arial;sans-serif" w:hAnsi="Arial;sans-serif"/>
          <w:b w:val="false"/>
          <w:color w:val="000000"/>
          <w:sz w:val="22"/>
        </w:rPr>
        <w:t>(b)</w:t>
      </w:r>
      <w:r>
        <w:rPr>
          <w:color w:val="000000"/>
        </w:rPr>
        <w:t>“</w:t>
      </w:r>
      <w:r>
        <w:rPr>
          <w:rFonts w:ascii="Arial;sans-serif" w:hAnsi="Arial;sans-serif"/>
          <w:b/>
          <w:color w:val="000000"/>
          <w:sz w:val="24"/>
        </w:rPr>
        <w:t xml:space="preserve">Affiliate” </w:t>
      </w:r>
      <w:r>
        <w:rPr>
          <w:rFonts w:ascii="Arial;sans-serif" w:hAnsi="Arial;sans-serif"/>
          <w:b w:val="false"/>
          <w:color w:val="000000"/>
          <w:sz w:val="22"/>
        </w:rPr>
        <w:t>means any corporation, partnership, joint venture or other entity during any period in which (i) Huron, directly or indirectly, owns at least 50% of the combined voting power of all classes of stock of such entity or at least 50% of the ownership interests in such entity or (ii) such entity, directly or indirectly, owns at least 50% of the combined voting power of all classes of stock of Huron.</w:t>
      </w:r>
    </w:p>
    <w:p>
      <w:pPr>
        <w:pStyle w:val="TextBody"/>
        <w:bidi w:val="0"/>
        <w:spacing w:lineRule="auto" w:line="288" w:before="0" w:after="180"/>
        <w:ind w:left="0" w:right="0" w:hanging="720"/>
        <w:jc w:val="both"/>
        <w:rPr/>
      </w:pPr>
      <w:r>
        <w:rPr>
          <w:rFonts w:ascii="Arial;sans-serif" w:hAnsi="Arial;sans-serif"/>
          <w:b w:val="false"/>
          <w:color w:val="000000"/>
          <w:sz w:val="22"/>
        </w:rPr>
        <w:t>(c)</w:t>
      </w:r>
      <w:r>
        <w:rPr>
          <w:color w:val="000000"/>
        </w:rPr>
        <w:t>“</w:t>
      </w:r>
      <w:r>
        <w:rPr>
          <w:rFonts w:ascii="Arial;sans-serif" w:hAnsi="Arial;sans-serif"/>
          <w:b/>
          <w:color w:val="000000"/>
          <w:sz w:val="24"/>
        </w:rPr>
        <w:t xml:space="preserve">Agreement” </w:t>
      </w:r>
      <w:r>
        <w:rPr>
          <w:rFonts w:ascii="Arial;sans-serif" w:hAnsi="Arial;sans-serif"/>
          <w:b w:val="false"/>
          <w:color w:val="000000"/>
          <w:sz w:val="22"/>
        </w:rPr>
        <w:t>shall mean an agreement between Huron and a Participant evidencing an Award or a notice of an Award, in a form approved by the Committee.</w:t>
      </w:r>
    </w:p>
    <w:p>
      <w:pPr>
        <w:pStyle w:val="TextBody"/>
        <w:bidi w:val="0"/>
        <w:spacing w:lineRule="auto" w:line="288" w:before="0" w:after="180"/>
        <w:ind w:left="0" w:right="0" w:hanging="720"/>
        <w:jc w:val="both"/>
        <w:rPr/>
      </w:pPr>
      <w:r>
        <w:rPr>
          <w:rFonts w:ascii="Arial;sans-serif" w:hAnsi="Arial;sans-serif"/>
          <w:b w:val="false"/>
          <w:color w:val="000000"/>
          <w:sz w:val="22"/>
        </w:rPr>
        <w:t>(d)</w:t>
      </w:r>
      <w:r>
        <w:rPr>
          <w:color w:val="000000"/>
        </w:rPr>
        <w:t>“</w:t>
      </w:r>
      <w:r>
        <w:rPr>
          <w:rFonts w:ascii="Arial;sans-serif" w:hAnsi="Arial;sans-serif"/>
          <w:b/>
          <w:color w:val="000000"/>
          <w:sz w:val="24"/>
        </w:rPr>
        <w:t xml:space="preserve">Alternative Agreement” </w:t>
      </w:r>
      <w:r>
        <w:rPr>
          <w:rFonts w:ascii="Arial;sans-serif" w:hAnsi="Arial;sans-serif"/>
          <w:b w:val="false"/>
          <w:color w:val="000000"/>
          <w:sz w:val="22"/>
        </w:rPr>
        <w:t>shall mean, with respect to any Participant, an employment agreement, senior management agreement or other written agreement describing the Participant’s terms of employment with Huron or an Affiliate.</w:t>
      </w:r>
    </w:p>
    <w:p>
      <w:pPr>
        <w:pStyle w:val="TextBody"/>
        <w:bidi w:val="0"/>
        <w:spacing w:lineRule="auto" w:line="288" w:before="0" w:after="180"/>
        <w:ind w:left="0" w:right="0" w:hanging="720"/>
        <w:jc w:val="both"/>
        <w:rPr/>
      </w:pPr>
      <w:r>
        <w:rPr>
          <w:rFonts w:ascii="Arial;sans-serif" w:hAnsi="Arial;sans-serif"/>
          <w:b w:val="false"/>
          <w:color w:val="000000"/>
          <w:sz w:val="22"/>
        </w:rPr>
        <w:t>(e)</w:t>
      </w:r>
      <w:r>
        <w:rPr>
          <w:color w:val="000000"/>
        </w:rPr>
        <w:t>“</w:t>
      </w:r>
      <w:r>
        <w:rPr>
          <w:rFonts w:ascii="Arial;sans-serif" w:hAnsi="Arial;sans-serif"/>
          <w:b/>
          <w:color w:val="000000"/>
          <w:sz w:val="24"/>
        </w:rPr>
        <w:t xml:space="preserve">Award” </w:t>
      </w:r>
      <w:r>
        <w:rPr>
          <w:rFonts w:ascii="Arial;sans-serif" w:hAnsi="Arial;sans-serif"/>
          <w:b w:val="false"/>
          <w:color w:val="000000"/>
          <w:sz w:val="22"/>
        </w:rPr>
        <w:t>shall mean any award described in Section 7 or 8 of the Plan.</w:t>
      </w:r>
    </w:p>
    <w:p>
      <w:pPr>
        <w:pStyle w:val="TextBody"/>
        <w:bidi w:val="0"/>
        <w:spacing w:lineRule="auto" w:line="288" w:before="0" w:after="180"/>
        <w:ind w:left="0" w:right="0" w:hanging="720"/>
        <w:jc w:val="both"/>
        <w:rPr/>
      </w:pPr>
      <w:r>
        <w:rPr>
          <w:rFonts w:ascii="Arial;sans-serif" w:hAnsi="Arial;sans-serif"/>
          <w:b w:val="false"/>
          <w:color w:val="000000"/>
          <w:sz w:val="22"/>
        </w:rPr>
        <w:t>(f)</w:t>
      </w:r>
      <w:r>
        <w:rPr>
          <w:color w:val="000000"/>
        </w:rPr>
        <w:t>“</w:t>
      </w:r>
      <w:r>
        <w:rPr>
          <w:rFonts w:ascii="Arial;sans-serif" w:hAnsi="Arial;sans-serif"/>
          <w:b/>
          <w:color w:val="000000"/>
          <w:sz w:val="24"/>
        </w:rPr>
        <w:t xml:space="preserve">Board of Directors” </w:t>
      </w:r>
      <w:r>
        <w:rPr>
          <w:rFonts w:ascii="Arial;sans-serif" w:hAnsi="Arial;sans-serif"/>
          <w:b w:val="false"/>
          <w:color w:val="000000"/>
          <w:sz w:val="22"/>
        </w:rPr>
        <w:t>shall mean the Board of Directors of Huron.</w:t>
      </w:r>
    </w:p>
    <w:p>
      <w:pPr>
        <w:pStyle w:val="TextBody"/>
        <w:bidi w:val="0"/>
        <w:spacing w:lineRule="auto" w:line="288" w:before="0" w:after="180"/>
        <w:ind w:left="0" w:right="0" w:hanging="720"/>
        <w:jc w:val="both"/>
        <w:rPr/>
      </w:pPr>
      <w:r>
        <w:rPr>
          <w:rFonts w:ascii="Arial;sans-serif" w:hAnsi="Arial;sans-serif"/>
          <w:b w:val="false"/>
          <w:color w:val="000000"/>
          <w:sz w:val="22"/>
        </w:rPr>
        <w:t>(g)</w:t>
      </w:r>
      <w:r>
        <w:rPr>
          <w:color w:val="000000"/>
        </w:rPr>
        <w:t>“</w:t>
      </w:r>
      <w:r>
        <w:rPr>
          <w:rFonts w:ascii="Arial;sans-serif" w:hAnsi="Arial;sans-serif"/>
          <w:b/>
          <w:color w:val="000000"/>
          <w:sz w:val="24"/>
        </w:rPr>
        <w:t xml:space="preserve">Business Criteria” </w:t>
      </w:r>
      <w:r>
        <w:rPr>
          <w:rFonts w:ascii="Arial;sans-serif" w:hAnsi="Arial;sans-serif"/>
          <w:b w:val="false"/>
          <w:color w:val="000000"/>
          <w:sz w:val="22"/>
        </w:rPr>
        <w:t>shall mean (i) return on total stockholder equity; (ii) earnings or book value per share of Common Stock (“</w:t>
      </w:r>
      <w:r>
        <w:rPr>
          <w:rFonts w:ascii="Arial;sans-serif" w:hAnsi="Arial;sans-serif"/>
          <w:b w:val="false"/>
          <w:i/>
          <w:color w:val="000000"/>
          <w:sz w:val="24"/>
        </w:rPr>
        <w:t>EPS</w:t>
      </w:r>
      <w:r>
        <w:rPr>
          <w:color w:val="000000"/>
        </w:rPr>
        <w:t>”</w:t>
      </w:r>
      <w:r>
        <w:rPr>
          <w:rFonts w:ascii="Arial;sans-serif" w:hAnsi="Arial;sans-serif"/>
          <w:b w:val="false"/>
          <w:color w:val="000000"/>
          <w:sz w:val="22"/>
        </w:rPr>
        <w:t>); (iii) adjusted EPS; (iv) net income (before or after taxes); (v) earnings before all or any interest, taxes, depreciation and/or amortization (“</w:t>
      </w:r>
      <w:r>
        <w:rPr>
          <w:rFonts w:ascii="Arial;sans-serif" w:hAnsi="Arial;sans-serif"/>
          <w:b w:val="false"/>
          <w:i/>
          <w:color w:val="000000"/>
          <w:sz w:val="24"/>
        </w:rPr>
        <w:t>EBIT</w:t>
      </w:r>
      <w:r>
        <w:rPr>
          <w:color w:val="000000"/>
        </w:rPr>
        <w:t>”</w:t>
      </w:r>
      <w:r>
        <w:rPr>
          <w:rFonts w:ascii="Arial;sans-serif" w:hAnsi="Arial;sans-serif"/>
          <w:b w:val="false"/>
          <w:color w:val="000000"/>
          <w:sz w:val="22"/>
        </w:rPr>
        <w:t>, “</w:t>
      </w:r>
      <w:r>
        <w:rPr>
          <w:rFonts w:ascii="Arial;sans-serif" w:hAnsi="Arial;sans-serif"/>
          <w:b w:val="false"/>
          <w:i/>
          <w:color w:val="000000"/>
          <w:sz w:val="24"/>
        </w:rPr>
        <w:t>EBITA</w:t>
      </w:r>
      <w:r>
        <w:rPr>
          <w:color w:val="000000"/>
        </w:rPr>
        <w:t xml:space="preserve">” </w:t>
      </w:r>
      <w:r>
        <w:rPr>
          <w:rFonts w:ascii="Arial;sans-serif" w:hAnsi="Arial;sans-serif"/>
          <w:b w:val="false"/>
          <w:color w:val="000000"/>
          <w:sz w:val="22"/>
        </w:rPr>
        <w:t>or “</w:t>
      </w:r>
      <w:r>
        <w:rPr>
          <w:rFonts w:ascii="Arial;sans-serif" w:hAnsi="Arial;sans-serif"/>
          <w:b w:val="false"/>
          <w:i/>
          <w:color w:val="000000"/>
          <w:sz w:val="24"/>
        </w:rPr>
        <w:t>EBITDA</w:t>
      </w:r>
      <w:r>
        <w:rPr>
          <w:color w:val="000000"/>
        </w:rPr>
        <w:t>”</w:t>
      </w:r>
      <w:r>
        <w:rPr>
          <w:rFonts w:ascii="Arial;sans-serif" w:hAnsi="Arial;sans-serif"/>
          <w:b w:val="false"/>
          <w:color w:val="000000"/>
          <w:sz w:val="22"/>
        </w:rPr>
        <w:t xml:space="preserve">) measured as a dollar amount or a percentage of revenue; return on assets, capital or investment; (vii) market share; (viii) market capitalization; (ix) cost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Arial;sans-serif" w:hAnsi="Arial;sans-serif"/>
          <w:b w:val="false"/>
          <w:color w:val="000000"/>
          <w:sz w:val="22"/>
        </w:rPr>
        <w:t>reduction goals; (x) levels of</w:t>
      </w:r>
      <w:r>
        <w:rPr>
          <w:color w:val="000000"/>
        </w:rPr>
        <w:t xml:space="preserve"> </w:t>
      </w:r>
      <w:r>
        <w:rPr>
          <w:rFonts w:ascii="Arial;sans-serif" w:hAnsi="Arial;sans-serif"/>
          <w:b w:val="false"/>
          <w:color w:val="000000"/>
          <w:sz w:val="22"/>
        </w:rPr>
        <w:t>expense,</w:t>
      </w:r>
      <w:r>
        <w:rPr>
          <w:color w:val="000000"/>
        </w:rPr>
        <w:t xml:space="preserve"> </w:t>
      </w:r>
      <w:r>
        <w:rPr>
          <w:rFonts w:ascii="Arial;sans-serif" w:hAnsi="Arial;sans-serif"/>
          <w:b w:val="false"/>
          <w:color w:val="000000"/>
          <w:sz w:val="22"/>
        </w:rPr>
        <w:t>costs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liabilities;</w:t>
      </w:r>
      <w:r>
        <w:rPr>
          <w:color w:val="000000"/>
        </w:rPr>
        <w:t xml:space="preserve"> </w:t>
      </w:r>
      <w:r>
        <w:rPr>
          <w:rFonts w:ascii="Arial;sans-serif" w:hAnsi="Arial;sans-serif"/>
          <w:b w:val="false"/>
          <w:color w:val="000000"/>
          <w:sz w:val="22"/>
        </w:rPr>
        <w:t>(xi) department,</w:t>
      </w:r>
      <w:r>
        <w:rPr>
          <w:color w:val="000000"/>
        </w:rPr>
        <w:t xml:space="preserve"> </w:t>
      </w:r>
      <w:r>
        <w:rPr>
          <w:rFonts w:ascii="Arial;sans-serif" w:hAnsi="Arial;sans-serif"/>
          <w:b w:val="false"/>
          <w:color w:val="000000"/>
          <w:sz w:val="22"/>
        </w:rPr>
        <w:t>division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business</w:t>
      </w:r>
      <w:r>
        <w:rPr>
          <w:color w:val="000000"/>
        </w:rPr>
        <w:t xml:space="preserve"> </w:t>
      </w:r>
      <w:r>
        <w:rPr>
          <w:rFonts w:ascii="Arial;sans-serif" w:hAnsi="Arial;sans-serif"/>
          <w:b w:val="false"/>
          <w:color w:val="000000"/>
          <w:sz w:val="22"/>
        </w:rPr>
        <w:t>unit</w:t>
      </w:r>
      <w:r>
        <w:rPr>
          <w:color w:val="000000"/>
        </w:rPr>
        <w:t xml:space="preserve"> </w:t>
      </w:r>
      <w:r>
        <w:rPr>
          <w:rFonts w:ascii="Arial;sans-serif" w:hAnsi="Arial;sans-serif"/>
          <w:b w:val="false"/>
          <w:color w:val="000000"/>
          <w:sz w:val="22"/>
        </w:rPr>
        <w:t>level</w:t>
      </w:r>
      <w:r>
        <w:rPr>
          <w:color w:val="000000"/>
        </w:rPr>
        <w:t xml:space="preserve"> </w:t>
      </w:r>
      <w:r>
        <w:rPr>
          <w:rFonts w:ascii="Arial;sans-serif" w:hAnsi="Arial;sans-serif"/>
          <w:b w:val="false"/>
          <w:color w:val="000000"/>
          <w:sz w:val="22"/>
        </w:rPr>
        <w:t>performance;</w:t>
      </w:r>
      <w:r>
        <w:rPr>
          <w:color w:val="000000"/>
        </w:rPr>
        <w:t xml:space="preserve"> </w:t>
      </w:r>
      <w:r>
        <w:rPr>
          <w:rFonts w:ascii="Arial;sans-serif" w:hAnsi="Arial;sans-serif"/>
          <w:b w:val="false"/>
          <w:color w:val="000000"/>
          <w:sz w:val="22"/>
        </w:rPr>
        <w:t>(xii) operating income; sales or revenues; (xiv) stock price appreciation; (xv) total stockholder return (</w:t>
      </w:r>
      <w:r>
        <w:rPr>
          <w:rFonts w:ascii="Arial;sans-serif" w:hAnsi="Arial;sans-serif"/>
          <w:b w:val="false"/>
          <w:i/>
          <w:color w:val="000000"/>
          <w:sz w:val="24"/>
        </w:rPr>
        <w:t>TSR</w:t>
      </w:r>
      <w:r>
        <w:rPr>
          <w:rFonts w:ascii="Arial;sans-serif" w:hAnsi="Arial;sans-serif"/>
          <w:b w:val="false"/>
          <w:color w:val="000000"/>
          <w:sz w:val="22"/>
        </w:rPr>
        <w:t>); (xvi) implementation or completion of critical projects or processes; (xvii) adjusted EBITDA; (xviii) days sales outstanding (</w:t>
      </w:r>
      <w:r>
        <w:rPr>
          <w:rFonts w:ascii="Arial;sans-serif" w:hAnsi="Arial;sans-serif"/>
          <w:b w:val="false"/>
          <w:i/>
          <w:color w:val="000000"/>
          <w:sz w:val="24"/>
        </w:rPr>
        <w:t>DSO</w:t>
      </w:r>
      <w:r>
        <w:rPr>
          <w:rFonts w:ascii="Arial;sans-serif" w:hAnsi="Arial;sans-serif"/>
          <w:b w:val="false"/>
          <w:color w:val="000000"/>
          <w:sz w:val="22"/>
        </w:rPr>
        <w:t xml:space="preserve">); (xix) financial coverage ratios; other non-GAAP financial measures, or (xxi) any combination of the foregoing. </w:t>
      </w:r>
    </w:p>
    <w:p>
      <w:pPr>
        <w:pStyle w:val="TextBody"/>
        <w:bidi w:val="0"/>
        <w:spacing w:lineRule="auto" w:line="288" w:before="0" w:after="180"/>
        <w:jc w:val="both"/>
        <w:rPr/>
      </w:pPr>
      <w:r>
        <w:rPr>
          <w:rFonts w:ascii="Arial;sans-serif" w:hAnsi="Arial;sans-serif"/>
          <w:b w:val="false"/>
          <w:color w:val="000000"/>
          <w:sz w:val="22"/>
        </w:rPr>
        <w:t>Where applicable, Business Criteria may be expressed in terms of attaining a specified level of the particular criteria or the attainment of a percentage increase or decrease in the particular criteria, and may be applied to one or more of Huron, an Affiliate, or a department, division or strategic business unit of Huron and/or one or more Affiliates, or may be applied to the performance of Huron and/or one or more Affiliates relative to a market index, a group of other companies or a combination thereof, all as determined by the Committee.</w:t>
      </w:r>
      <w:r>
        <w:rPr>
          <w:color w:val="000000"/>
        </w:rPr>
        <w:t xml:space="preserve"> </w:t>
      </w:r>
      <w:r>
        <w:rPr>
          <w:rFonts w:ascii="Arial;sans-serif" w:hAnsi="Arial;sans-serif"/>
          <w:b w:val="false"/>
          <w:color w:val="000000"/>
          <w:sz w:val="22"/>
        </w:rPr>
        <w:t>The Business Criteria may be subject to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pStyle w:val="TextBody"/>
        <w:bidi w:val="0"/>
        <w:spacing w:lineRule="auto" w:line="288" w:before="0" w:after="180"/>
        <w:jc w:val="both"/>
        <w:rPr>
          <w:rFonts w:ascii="Arial;sans-serif" w:hAnsi="Arial;sans-serif"/>
          <w:b w:val="false"/>
          <w:color w:val="000000"/>
          <w:sz w:val="24"/>
        </w:rPr>
      </w:pPr>
      <w:r>
        <w:rPr>
          <w:rFonts w:ascii="Arial;sans-serif" w:hAnsi="Arial;sans-serif"/>
          <w:b w:val="false"/>
          <w:color w:val="000000"/>
          <w:sz w:val="24"/>
        </w:rPr>
        <w:t xml:space="preserve">Each of the Business Criteria shall be determined, where applicable, in accordance with generally accepted accounting principles and shall be subject to certification by the Committee; provided that the Committee shall have the authority to make equitable adjustments to the Business Criteria applicable to any Award in recognition of (1) special, unusual or non-recurring events affecting Huron or any Affiliate or the financial statements of Huron or any Affiliate; (2) changes in applicable laws or regulations (including tax laws, accounting principles or other laws or provisions affecting reported results); (3) gains, losses or expenses determined to be extraordinary or unusual in nature or infrequent in occurrence or related to the disposal of a segment of a business or related to a change in accounting principles; (4) asset write-downs or impairments; (5) litigation, claim judgments, settlements or restatement related expenses; (6) accruals for reorganization and restructuring programs; (7) acquisitions or divestitures (including expenses related thereto), (8) foreign exchange gains and losses; (9) non-cash interest; and (10) an event either not directly related to the operations of Huron or not within the reasonable control of Huron’s management. To the extent that such inclusions or exclusions affect Awards to Covered Employees which are intended to qualify as “performance-based compensation” within the meaning of Section 162(m) of the Code and regulations thereunder, such adjustments shall be prescribed in a form that meets the requirements of Section 162(m) of the Code. However, notwithstanding the preceding sentence, unless the Committee determines otherwise prior to the end of the applicable time for establishing Business Criteria for an Award, to the extent any such item affects any Business Criteria applicable to an Award, then such shall be automatically excluded or included in determining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4"/>
        </w:rPr>
      </w:pPr>
      <w:r>
        <w:rPr>
          <w:rFonts w:ascii="Arial;sans-serif" w:hAnsi="Arial;sans-serif"/>
          <w:b w:val="false"/>
          <w:color w:val="000000"/>
          <w:sz w:val="24"/>
        </w:rPr>
        <w:t>extent to which the Business Criteria has been achieved, whichever will produce the higher Award (subject to any exercise of “negative discretion” by the Committee).</w:t>
      </w:r>
    </w:p>
    <w:p>
      <w:pPr>
        <w:pStyle w:val="TextBody"/>
        <w:bidi w:val="0"/>
        <w:spacing w:lineRule="auto" w:line="288" w:before="0" w:after="180"/>
        <w:ind w:left="0" w:right="0" w:hanging="720"/>
        <w:jc w:val="both"/>
        <w:rPr/>
      </w:pPr>
      <w:r>
        <w:rPr>
          <w:rFonts w:ascii="Arial;sans-serif" w:hAnsi="Arial;sans-serif"/>
          <w:b w:val="false"/>
          <w:color w:val="000000"/>
          <w:sz w:val="22"/>
        </w:rPr>
        <w:t>(h)</w:t>
      </w:r>
      <w:r>
        <w:rPr>
          <w:color w:val="000000"/>
        </w:rPr>
        <w:t>“</w:t>
      </w:r>
      <w:r>
        <w:rPr>
          <w:rFonts w:ascii="Arial;sans-serif" w:hAnsi="Arial;sans-serif"/>
          <w:b/>
          <w:color w:val="000000"/>
          <w:sz w:val="24"/>
        </w:rPr>
        <w:t xml:space="preserve">Cash Incentive Award” </w:t>
      </w:r>
      <w:r>
        <w:rPr>
          <w:rFonts w:ascii="Arial;sans-serif" w:hAnsi="Arial;sans-serif"/>
          <w:b w:val="false"/>
          <w:color w:val="000000"/>
          <w:sz w:val="22"/>
        </w:rPr>
        <w:t>shall mean the grant of a right to receive a payment of cash (or, in the discretion of the Committee, shares of Common Stock having value equivalent to the cash otherwise payable) that is contingent on achievement of performance objectives or other conditions over a specified period established by the Committee.</w:t>
      </w:r>
      <w:r>
        <w:rPr>
          <w:color w:val="000000"/>
        </w:rPr>
        <w:t xml:space="preserve"> </w:t>
      </w:r>
      <w:r>
        <w:rPr>
          <w:rFonts w:ascii="Arial;sans-serif" w:hAnsi="Arial;sans-serif"/>
          <w:b w:val="false"/>
          <w:color w:val="000000"/>
          <w:sz w:val="22"/>
        </w:rPr>
        <w:t>The grant of Cash Incentive Awards may also be subject to such other conditions, restrictions, and contingencies, as determined by the Committee, including provisions relating to deferred payment.</w:t>
      </w:r>
    </w:p>
    <w:p>
      <w:pPr>
        <w:pStyle w:val="TextBody"/>
        <w:bidi w:val="0"/>
        <w:spacing w:lineRule="auto" w:line="288" w:before="0" w:after="180"/>
        <w:ind w:left="0" w:right="0" w:hanging="720"/>
        <w:jc w:val="both"/>
        <w:rPr/>
      </w:pPr>
      <w:r>
        <w:rPr>
          <w:rFonts w:ascii="Arial;sans-serif" w:hAnsi="Arial;sans-serif"/>
          <w:b w:val="false"/>
          <w:color w:val="000000"/>
          <w:sz w:val="22"/>
        </w:rPr>
        <w:t>(i)</w:t>
      </w:r>
      <w:r>
        <w:rPr>
          <w:color w:val="000000"/>
        </w:rPr>
        <w:t>“</w:t>
      </w:r>
      <w:r>
        <w:rPr>
          <w:rFonts w:ascii="Arial;sans-serif" w:hAnsi="Arial;sans-serif"/>
          <w:b/>
          <w:color w:val="000000"/>
          <w:sz w:val="24"/>
        </w:rPr>
        <w:t xml:space="preserve">Cause” </w:t>
      </w:r>
      <w:r>
        <w:rPr>
          <w:rFonts w:ascii="Arial;sans-serif" w:hAnsi="Arial;sans-serif"/>
          <w:b w:val="false"/>
          <w:color w:val="000000"/>
          <w:sz w:val="22"/>
        </w:rPr>
        <w:t>shall mean, unless otherwise defined in a Participant’s Agreement or an Alternative Agreement, any of the following actions or failures by the Participant, as determined in the reasonable judgment of Huron: (i) engaging in conduct that violates written policies of Huron or any Affiliate; (ii) failure to perform the essential functions of his or her job (except for a failure resulting from a bona fide illness or incapacity); (iii) failure to carry out the reasonable directions of Huron or any Affiliate, issued through Huron’s Chief Executive Officer, the Board of Directors, other appropriate senior employee responsible for the Participant’s business unit or area, the Participant’s supervisor, or the person to whom the Participant reports; (iv) embezzlement, misappropriation of corporate funds, any act of fraud, dishonesty or self-dealing, or the commission of a felony or any significant violation of any statutory or common law duty of loyalty to Huron or any Affiliate; an act or omission that could adversely and materially affect the business or reputation of Huron or any Affiliate or involves moral turpitude; or (vi) a breach of a material provision of this Plan, the Agreement evidencing an Award or an Alternate Agreement.</w:t>
      </w:r>
    </w:p>
    <w:p>
      <w:pPr>
        <w:pStyle w:val="TextBody"/>
        <w:bidi w:val="0"/>
        <w:spacing w:lineRule="auto" w:line="288" w:before="0" w:after="180"/>
        <w:ind w:left="0" w:right="0" w:hanging="720"/>
        <w:jc w:val="both"/>
        <w:rPr/>
      </w:pPr>
      <w:r>
        <w:rPr>
          <w:rFonts w:ascii="Arial;sans-serif" w:hAnsi="Arial;sans-serif"/>
          <w:b w:val="false"/>
          <w:color w:val="000000"/>
          <w:sz w:val="22"/>
        </w:rPr>
        <w:t>(j)</w:t>
      </w:r>
      <w:r>
        <w:rPr>
          <w:color w:val="000000"/>
        </w:rPr>
        <w:t>“</w:t>
      </w:r>
      <w:r>
        <w:rPr>
          <w:rFonts w:ascii="Arial;sans-serif" w:hAnsi="Arial;sans-serif"/>
          <w:b/>
          <w:color w:val="000000"/>
          <w:sz w:val="24"/>
        </w:rPr>
        <w:t xml:space="preserve">Change of Control” </w:t>
      </w:r>
      <w:r>
        <w:rPr>
          <w:rFonts w:ascii="Arial;sans-serif" w:hAnsi="Arial;sans-serif"/>
          <w:b w:val="false"/>
          <w:color w:val="000000"/>
          <w:sz w:val="22"/>
        </w:rPr>
        <w:t>shall mean the first to occur of the following events:</w:t>
      </w:r>
    </w:p>
    <w:p>
      <w:pPr>
        <w:pStyle w:val="TextBody"/>
        <w:bidi w:val="0"/>
        <w:spacing w:lineRule="auto" w:line="288" w:before="0" w:after="180"/>
        <w:ind w:left="0" w:right="0" w:hanging="735"/>
        <w:jc w:val="both"/>
        <w:rPr>
          <w:rFonts w:ascii="Arial;sans-serif" w:hAnsi="Arial;sans-serif"/>
          <w:b w:val="false"/>
          <w:color w:val="000000"/>
          <w:sz w:val="22"/>
        </w:rPr>
      </w:pPr>
      <w:r>
        <w:rPr>
          <w:rFonts w:ascii="Arial;sans-serif" w:hAnsi="Arial;sans-serif"/>
          <w:b w:val="false"/>
          <w:color w:val="000000"/>
          <w:sz w:val="22"/>
        </w:rPr>
        <w:t>(i)any Person becomes the Beneficial Owner, directly or indirectly, of Common Stock or voting securities of Huron (not including in the amounts beneficially owned by such Person any Common Stock or voting securities acquired directly from Huron or the Affiliates) representing 40% or more of the combined voting power of Huron’s then outstanding securities;</w:t>
      </w:r>
    </w:p>
    <w:p>
      <w:pPr>
        <w:pStyle w:val="TextBody"/>
        <w:bidi w:val="0"/>
        <w:spacing w:lineRule="auto" w:line="288" w:before="0" w:after="180"/>
        <w:ind w:left="0" w:right="0" w:hanging="784"/>
        <w:jc w:val="both"/>
        <w:rPr/>
      </w:pPr>
      <w:r>
        <w:rPr>
          <w:rFonts w:ascii="Arial;sans-serif" w:hAnsi="Arial;sans-serif"/>
          <w:b w:val="false"/>
          <w:color w:val="000000"/>
          <w:sz w:val="22"/>
        </w:rPr>
        <w:t>(ii)</w:t>
      </w:r>
      <w:r>
        <w:rPr>
          <w:rFonts w:ascii="Arial;sans-serif" w:hAnsi="Arial;sans-serif"/>
          <w:b w:val="false"/>
          <w:color w:val="000000"/>
          <w:sz w:val="24"/>
        </w:rPr>
        <w:t xml:space="preserve">there is consummated a merger or consolidation of Huron or any direct or indirect subsidiary of Huron with any Person, other than (A) a merger or consolidation which would result in the voting securities of Huron outstanding immediately prior to such merger or </w:t>
      </w:r>
      <w:r>
        <w:rPr>
          <w:rFonts w:ascii="Arial;sans-serif" w:hAnsi="Arial;sans-serif"/>
          <w:b w:val="false"/>
          <w:color w:val="000000"/>
          <w:sz w:val="22"/>
        </w:rPr>
        <w:t>consolidation</w:t>
      </w:r>
      <w:r>
        <w:rPr>
          <w:color w:val="000000"/>
        </w:rPr>
        <w:t xml:space="preserve"> </w:t>
      </w:r>
      <w:r>
        <w:rPr>
          <w:rFonts w:ascii="Arial;sans-serif" w:hAnsi="Arial;sans-serif"/>
          <w:b w:val="false"/>
          <w:color w:val="000000"/>
          <w:sz w:val="24"/>
        </w:rPr>
        <w:t xml:space="preserve">continuing to represent (either by remaining outstanding or by being converted into voting securities of the surviving entity or any parent thereof) at least 50% of the combined voting power of the securities of Huron or such surviving entity or any parent thereof outstanding immediately after such merger or consolidation; (B) a merger or consolidation effected to implement a recapitalization of Huron (or similar transaction) in which no Person other than existing security holders is or becomes the Beneficial Owner, directly or indirectly, of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4"/>
        </w:rPr>
      </w:pPr>
      <w:r>
        <w:rPr>
          <w:rFonts w:ascii="Arial;sans-serif" w:hAnsi="Arial;sans-serif"/>
          <w:b w:val="false"/>
          <w:color w:val="000000"/>
          <w:sz w:val="24"/>
        </w:rPr>
        <w:t>securities of Huron (not including in the amount Beneficially Owned by such Person any Common Stock or voting securities acquired directly from Huron or any Affiliate) representing 50% or more of the combined voting power of Huron’s then outstanding securities; or (C) a merger or consolidation of a subsidiary of Huron that does not represent a sale of all or substantially all of the assets of Huron;</w:t>
      </w:r>
    </w:p>
    <w:p>
      <w:pPr>
        <w:pStyle w:val="TextBody"/>
        <w:bidi w:val="0"/>
        <w:spacing w:lineRule="auto" w:line="288" w:before="0" w:after="180"/>
        <w:ind w:left="0" w:right="0" w:hanging="833"/>
        <w:jc w:val="both"/>
        <w:rPr/>
      </w:pPr>
      <w:r>
        <w:rPr>
          <w:rFonts w:ascii="Arial;sans-serif" w:hAnsi="Arial;sans-serif"/>
          <w:b w:val="false"/>
          <w:color w:val="000000"/>
          <w:sz w:val="22"/>
        </w:rPr>
        <w:t xml:space="preserve">(iii)the stockholders of Huron approve a plan of complete liquidation or </w:t>
      </w:r>
      <w:r>
        <w:rPr>
          <w:rFonts w:ascii="Arial;sans-serif" w:hAnsi="Arial;sans-serif"/>
          <w:b w:val="false"/>
          <w:color w:val="000000"/>
          <w:sz w:val="24"/>
        </w:rPr>
        <w:t>dissolution</w:t>
      </w:r>
      <w:r>
        <w:rPr>
          <w:color w:val="000000"/>
        </w:rPr>
        <w:t xml:space="preserve"> </w:t>
      </w:r>
      <w:r>
        <w:rPr>
          <w:rFonts w:ascii="Arial;sans-serif" w:hAnsi="Arial;sans-serif"/>
          <w:b w:val="false"/>
          <w:color w:val="000000"/>
          <w:sz w:val="22"/>
        </w:rPr>
        <w:t>of Huron (except for a plan of liquidation or dissolution effected to implement a recapitalization of Huron addressed in paragraph (ii) above); or</w:t>
      </w:r>
    </w:p>
    <w:p>
      <w:pPr>
        <w:pStyle w:val="TextBody"/>
        <w:bidi w:val="0"/>
        <w:spacing w:lineRule="auto" w:line="288" w:before="0" w:after="180"/>
        <w:ind w:left="0" w:right="0" w:hanging="845"/>
        <w:jc w:val="both"/>
        <w:rPr>
          <w:rFonts w:ascii="Arial;sans-serif" w:hAnsi="Arial;sans-serif"/>
          <w:b w:val="false"/>
          <w:color w:val="000000"/>
          <w:sz w:val="22"/>
        </w:rPr>
      </w:pPr>
      <w:r>
        <w:rPr>
          <w:rFonts w:ascii="Arial;sans-serif" w:hAnsi="Arial;sans-serif"/>
          <w:b w:val="false"/>
          <w:color w:val="000000"/>
          <w:sz w:val="22"/>
        </w:rPr>
        <w:t>(iv)there is consummated an agreement for the sale or disposition of all or substantially all of the assets of Huron to a Person, other than a sale or disposition by Huron of all or substantially all of the assets of Huron to an entity, at least 50% of the combined voting power of the voting securities of which are owned by stockholders of Huron.</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Notwithstanding the foregoing, a “Change of Control” shall not be deemed to have occurred by virtue of the consummation of any transaction or series of integrated transactions immediately following which the record holders of the Common Stock of Huron immediately prior to such transaction or series of transactions continue to have substantially the same proportionate ownership in an entity which owns all or substantially all of the assets of Huron immediately following such transaction or series of transactions.</w:t>
      </w:r>
    </w:p>
    <w:p>
      <w:pPr>
        <w:pStyle w:val="TextBody"/>
        <w:bidi w:val="0"/>
        <w:spacing w:lineRule="auto" w:line="288" w:before="0" w:after="180"/>
        <w:jc w:val="both"/>
        <w:rPr/>
      </w:pPr>
      <w:r>
        <w:rPr>
          <w:rFonts w:ascii="Arial;sans-serif" w:hAnsi="Arial;sans-serif"/>
          <w:b w:val="false"/>
          <w:color w:val="000000"/>
          <w:sz w:val="22"/>
        </w:rPr>
        <w:t>For purposes of this Change of Control definition, (I) “</w:t>
      </w:r>
      <w:r>
        <w:rPr>
          <w:rFonts w:ascii="Arial;sans-serif" w:hAnsi="Arial;sans-serif"/>
          <w:b w:val="false"/>
          <w:i/>
          <w:color w:val="000000"/>
          <w:sz w:val="24"/>
        </w:rPr>
        <w:t>Beneficial Owner</w:t>
      </w:r>
      <w:r>
        <w:rPr>
          <w:color w:val="000000"/>
        </w:rPr>
        <w:t xml:space="preserve">” </w:t>
      </w:r>
      <w:r>
        <w:rPr>
          <w:rFonts w:ascii="Arial;sans-serif" w:hAnsi="Arial;sans-serif"/>
          <w:b w:val="false"/>
          <w:color w:val="000000"/>
          <w:sz w:val="22"/>
        </w:rPr>
        <w:t>shall have the meaning set forth in Rule 13d-3 under the Exchange Act; (II) “</w:t>
      </w:r>
      <w:r>
        <w:rPr>
          <w:rFonts w:ascii="Arial;sans-serif" w:hAnsi="Arial;sans-serif"/>
          <w:b w:val="false"/>
          <w:i/>
          <w:color w:val="000000"/>
          <w:sz w:val="24"/>
        </w:rPr>
        <w:t>Person</w:t>
      </w:r>
      <w:r>
        <w:rPr>
          <w:color w:val="000000"/>
        </w:rPr>
        <w:t xml:space="preserve">” </w:t>
      </w:r>
      <w:r>
        <w:rPr>
          <w:rFonts w:ascii="Arial;sans-serif" w:hAnsi="Arial;sans-serif"/>
          <w:b w:val="false"/>
          <w:color w:val="000000"/>
          <w:sz w:val="22"/>
        </w:rPr>
        <w:t>shall have the meaning given in Section 3(a)(9) of the Exchange Act, as modified and used in Sections 13(d) and 14(d) thereof, except that such term shall not include (w) Huron or any of Huron’s direct or indirect subsidiaries; (x) a trustee or other fiduciary holding securities under an employee benefit plan of Huron or any of the Affiliates; (y) an underwriter temporarily holding securities pursuant to an offering of such securities; or (z) a corporation owned, directly or indirectly, by the stockholders of Huron in substantially the same proportions as their ownership of stock of Huron; and (III) “</w:t>
      </w:r>
      <w:r>
        <w:rPr>
          <w:rFonts w:ascii="Arial;sans-serif" w:hAnsi="Arial;sans-serif"/>
          <w:b w:val="false"/>
          <w:i/>
          <w:color w:val="000000"/>
          <w:sz w:val="24"/>
        </w:rPr>
        <w:t>Affiliate</w:t>
      </w:r>
      <w:r>
        <w:rPr>
          <w:color w:val="000000"/>
        </w:rPr>
        <w:t xml:space="preserve">” </w:t>
      </w:r>
      <w:r>
        <w:rPr>
          <w:rFonts w:ascii="Arial;sans-serif" w:hAnsi="Arial;sans-serif"/>
          <w:b w:val="false"/>
          <w:color w:val="000000"/>
          <w:sz w:val="22"/>
        </w:rPr>
        <w:t>shall have the meaning set forth in Rule 12b-2 promulgated under Section 12 of the Exchange Act.</w:t>
      </w:r>
    </w:p>
    <w:p>
      <w:pPr>
        <w:pStyle w:val="TextBody"/>
        <w:bidi w:val="0"/>
        <w:spacing w:lineRule="auto" w:line="288" w:before="0" w:after="180"/>
        <w:ind w:left="0" w:right="0" w:hanging="720"/>
        <w:jc w:val="both"/>
        <w:rPr/>
      </w:pPr>
      <w:r>
        <w:rPr>
          <w:rFonts w:ascii="Arial;sans-serif" w:hAnsi="Arial;sans-serif"/>
          <w:b w:val="false"/>
          <w:color w:val="000000"/>
          <w:sz w:val="22"/>
        </w:rPr>
        <w:t>(k)</w:t>
      </w:r>
      <w:r>
        <w:rPr>
          <w:color w:val="000000"/>
        </w:rPr>
        <w:t>“</w:t>
      </w:r>
      <w:r>
        <w:rPr>
          <w:rFonts w:ascii="Arial;sans-serif" w:hAnsi="Arial;sans-serif"/>
          <w:b/>
          <w:color w:val="000000"/>
          <w:sz w:val="24"/>
        </w:rPr>
        <w:t xml:space="preserve">Code” </w:t>
      </w:r>
      <w:r>
        <w:rPr>
          <w:rFonts w:ascii="Arial;sans-serif" w:hAnsi="Arial;sans-serif"/>
          <w:b w:val="false"/>
          <w:color w:val="000000"/>
          <w:sz w:val="22"/>
        </w:rPr>
        <w:t>shall mean the Internal Revenue Code of 1986, as amended from time to time, and any regulations promulgated thereunder.</w:t>
      </w:r>
    </w:p>
    <w:p>
      <w:pPr>
        <w:pStyle w:val="TextBody"/>
        <w:bidi w:val="0"/>
        <w:spacing w:lineRule="auto" w:line="288" w:before="0" w:after="180"/>
        <w:ind w:left="0" w:right="0" w:hanging="720"/>
        <w:jc w:val="both"/>
        <w:rPr/>
      </w:pPr>
      <w:r>
        <w:rPr>
          <w:rFonts w:ascii="Arial;sans-serif" w:hAnsi="Arial;sans-serif"/>
          <w:b w:val="false"/>
          <w:color w:val="000000"/>
          <w:sz w:val="22"/>
        </w:rPr>
        <w:t>(l)</w:t>
      </w:r>
      <w:r>
        <w:rPr>
          <w:color w:val="000000"/>
        </w:rPr>
        <w:t>“</w:t>
      </w:r>
      <w:r>
        <w:rPr>
          <w:rFonts w:ascii="Arial;sans-serif" w:hAnsi="Arial;sans-serif"/>
          <w:b/>
          <w:color w:val="000000"/>
          <w:sz w:val="24"/>
        </w:rPr>
        <w:t xml:space="preserve">Committee” </w:t>
      </w:r>
      <w:r>
        <w:rPr>
          <w:rFonts w:ascii="Arial;sans-serif" w:hAnsi="Arial;sans-serif"/>
          <w:b w:val="false"/>
          <w:color w:val="000000"/>
          <w:sz w:val="22"/>
        </w:rPr>
        <w:t>shall mean a committee of the Board of Directors consisting of two or more persons each of whom shall qualify as an “outside director” within the meaning of Section 162(m) of the Code, a “nonemployee director” within the meaning of Rule 16b-3 promulgated under the Exchange Act, as amended from time to time, and an “independent director” within the meaning of the NASD Rule 4350(c)(1).</w:t>
      </w:r>
    </w:p>
    <w:p>
      <w:pPr>
        <w:pStyle w:val="TextBody"/>
        <w:bidi w:val="0"/>
        <w:spacing w:lineRule="auto" w:line="288" w:before="0" w:after="180"/>
        <w:ind w:left="0" w:right="0" w:hanging="720"/>
        <w:jc w:val="both"/>
        <w:rPr/>
      </w:pPr>
      <w:r>
        <w:rPr>
          <w:rFonts w:ascii="Arial;sans-serif" w:hAnsi="Arial;sans-serif"/>
          <w:b w:val="false"/>
          <w:color w:val="000000"/>
          <w:sz w:val="22"/>
        </w:rPr>
        <w:t>(m)</w:t>
      </w:r>
      <w:r>
        <w:rPr>
          <w:color w:val="000000"/>
        </w:rPr>
        <w:t>“</w:t>
      </w:r>
      <w:r>
        <w:rPr>
          <w:rFonts w:ascii="Arial;sans-serif" w:hAnsi="Arial;sans-serif"/>
          <w:b/>
          <w:color w:val="000000"/>
          <w:sz w:val="24"/>
        </w:rPr>
        <w:t xml:space="preserve">Common Stock” </w:t>
      </w:r>
      <w:r>
        <w:rPr>
          <w:rFonts w:ascii="Arial;sans-serif" w:hAnsi="Arial;sans-serif"/>
          <w:b w:val="false"/>
          <w:color w:val="000000"/>
          <w:sz w:val="22"/>
        </w:rPr>
        <w:t>shall mean the common stock of Huron, par value $.01 per share.</w:t>
      </w:r>
    </w:p>
    <w:p>
      <w:pPr>
        <w:pStyle w:val="TextBody"/>
        <w:bidi w:val="0"/>
        <w:spacing w:lineRule="auto" w:line="288" w:before="0" w:after="180"/>
        <w:ind w:left="0" w:right="0" w:hanging="720"/>
        <w:jc w:val="both"/>
        <w:rPr/>
      </w:pPr>
      <w:r>
        <w:rPr>
          <w:rFonts w:ascii="Arial;sans-serif" w:hAnsi="Arial;sans-serif"/>
          <w:b w:val="false"/>
          <w:color w:val="000000"/>
          <w:sz w:val="22"/>
        </w:rPr>
        <w:t>(n)</w:t>
      </w:r>
      <w:r>
        <w:rPr>
          <w:color w:val="000000"/>
        </w:rPr>
        <w:t>“</w:t>
      </w:r>
      <w:r>
        <w:rPr>
          <w:rFonts w:ascii="Arial;sans-serif" w:hAnsi="Arial;sans-serif"/>
          <w:b/>
          <w:color w:val="000000"/>
          <w:sz w:val="24"/>
        </w:rPr>
        <w:t xml:space="preserve">Covered Employee” </w:t>
      </w:r>
      <w:r>
        <w:rPr>
          <w:rFonts w:ascii="Arial;sans-serif" w:hAnsi="Arial;sans-serif"/>
          <w:b w:val="false"/>
          <w:color w:val="000000"/>
          <w:sz w:val="22"/>
        </w:rPr>
        <w:t>shall have the meaning set forth in Section 162(m)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180"/>
        <w:ind w:left="0" w:right="0" w:hanging="720"/>
        <w:jc w:val="both"/>
        <w:rPr/>
      </w:pPr>
      <w:r>
        <w:rPr>
          <w:rFonts w:ascii="Arial;sans-serif" w:hAnsi="Arial;sans-serif"/>
          <w:b w:val="false"/>
          <w:color w:val="000000"/>
          <w:sz w:val="22"/>
        </w:rPr>
        <w:t>(o)</w:t>
      </w:r>
      <w:r>
        <w:rPr>
          <w:color w:val="000000"/>
        </w:rPr>
        <w:t>“</w:t>
      </w:r>
      <w:r>
        <w:rPr>
          <w:rFonts w:ascii="Arial;sans-serif" w:hAnsi="Arial;sans-serif"/>
          <w:b/>
          <w:color w:val="000000"/>
          <w:sz w:val="24"/>
        </w:rPr>
        <w:t xml:space="preserve">Disabled” </w:t>
      </w:r>
      <w:r>
        <w:rPr>
          <w:rFonts w:ascii="Arial;sans-serif" w:hAnsi="Arial;sans-serif"/>
          <w:b w:val="false"/>
          <w:color w:val="000000"/>
          <w:sz w:val="22"/>
        </w:rPr>
        <w:t>shall mean permanently and totally disabled within the meaning of Section 22(e)(3) of the Code.</w:t>
      </w:r>
    </w:p>
    <w:p>
      <w:pPr>
        <w:pStyle w:val="TextBody"/>
        <w:bidi w:val="0"/>
        <w:spacing w:lineRule="auto" w:line="288" w:before="0" w:after="180"/>
        <w:ind w:left="0" w:right="0" w:hanging="720"/>
        <w:jc w:val="both"/>
        <w:rPr/>
      </w:pPr>
      <w:r>
        <w:rPr>
          <w:rFonts w:ascii="Arial;sans-serif" w:hAnsi="Arial;sans-serif"/>
          <w:b w:val="false"/>
          <w:color w:val="000000"/>
          <w:sz w:val="22"/>
        </w:rPr>
        <w:t>(p)</w:t>
      </w:r>
      <w:r>
        <w:rPr>
          <w:color w:val="000000"/>
        </w:rPr>
        <w:t>“</w:t>
      </w:r>
      <w:r>
        <w:rPr>
          <w:rFonts w:ascii="Arial;sans-serif" w:hAnsi="Arial;sans-serif"/>
          <w:b/>
          <w:color w:val="000000"/>
          <w:sz w:val="24"/>
        </w:rPr>
        <w:t xml:space="preserve">Effective Date” </w:t>
      </w:r>
      <w:r>
        <w:rPr>
          <w:rFonts w:ascii="Arial;sans-serif" w:hAnsi="Arial;sans-serif"/>
          <w:b w:val="false"/>
          <w:color w:val="000000"/>
          <w:sz w:val="22"/>
        </w:rPr>
        <w:t>shall have the meaning set forth in Section 3.</w:t>
      </w:r>
    </w:p>
    <w:p>
      <w:pPr>
        <w:pStyle w:val="TextBody"/>
        <w:bidi w:val="0"/>
        <w:spacing w:lineRule="auto" w:line="288" w:before="0" w:after="180"/>
        <w:ind w:left="0" w:right="0" w:hanging="720"/>
        <w:jc w:val="both"/>
        <w:rPr/>
      </w:pPr>
      <w:r>
        <w:rPr>
          <w:rFonts w:ascii="Arial;sans-serif" w:hAnsi="Arial;sans-serif"/>
          <w:b w:val="false"/>
          <w:color w:val="000000"/>
          <w:sz w:val="22"/>
        </w:rPr>
        <w:t>(q)</w:t>
      </w:r>
      <w:r>
        <w:rPr>
          <w:color w:val="000000"/>
        </w:rPr>
        <w:t>“</w:t>
      </w:r>
      <w:r>
        <w:rPr>
          <w:rFonts w:ascii="Arial;sans-serif" w:hAnsi="Arial;sans-serif"/>
          <w:b/>
          <w:color w:val="000000"/>
          <w:sz w:val="24"/>
        </w:rPr>
        <w:t xml:space="preserve">Eligible Individuals” </w:t>
      </w:r>
      <w:r>
        <w:rPr>
          <w:rFonts w:ascii="Arial;sans-serif" w:hAnsi="Arial;sans-serif"/>
          <w:b w:val="false"/>
          <w:color w:val="000000"/>
          <w:sz w:val="22"/>
        </w:rPr>
        <w:t>shall mean employees of Huron or any of the Affiliates (including officers, whether or not they are directors of Huron or any Affiliate), independent contractors providing services to Huron or any Affiliate and non-employee directors of Huron or any Affiliate.</w:t>
      </w:r>
    </w:p>
    <w:p>
      <w:pPr>
        <w:pStyle w:val="TextBody"/>
        <w:bidi w:val="0"/>
        <w:spacing w:lineRule="auto" w:line="288" w:before="0" w:after="180"/>
        <w:ind w:left="0" w:right="0" w:hanging="720"/>
        <w:jc w:val="both"/>
        <w:rPr/>
      </w:pPr>
      <w:r>
        <w:rPr>
          <w:rFonts w:ascii="Arial;sans-serif" w:hAnsi="Arial;sans-serif"/>
          <w:b w:val="false"/>
          <w:color w:val="000000"/>
          <w:sz w:val="22"/>
        </w:rPr>
        <w:t>(r)</w:t>
      </w:r>
      <w:r>
        <w:rPr>
          <w:color w:val="000000"/>
        </w:rPr>
        <w:t>“</w:t>
      </w:r>
      <w:r>
        <w:rPr>
          <w:rFonts w:ascii="Arial;sans-serif" w:hAnsi="Arial;sans-serif"/>
          <w:b/>
          <w:color w:val="000000"/>
          <w:sz w:val="24"/>
        </w:rPr>
        <w:t xml:space="preserve">Exchange Act” </w:t>
      </w:r>
      <w:r>
        <w:rPr>
          <w:rFonts w:ascii="Arial;sans-serif" w:hAnsi="Arial;sans-serif"/>
          <w:b w:val="false"/>
          <w:color w:val="000000"/>
          <w:sz w:val="22"/>
        </w:rPr>
        <w:t>shall mean the Securities Exchange Act of 1934, as amended from time to time.</w:t>
      </w:r>
    </w:p>
    <w:p>
      <w:pPr>
        <w:pStyle w:val="TextBody"/>
        <w:bidi w:val="0"/>
        <w:spacing w:lineRule="auto" w:line="288" w:before="0" w:after="180"/>
        <w:ind w:left="0" w:right="0" w:hanging="720"/>
        <w:jc w:val="both"/>
        <w:rPr/>
      </w:pPr>
      <w:r>
        <w:rPr>
          <w:rFonts w:ascii="Arial;sans-serif" w:hAnsi="Arial;sans-serif"/>
          <w:b w:val="false"/>
          <w:color w:val="000000"/>
          <w:sz w:val="22"/>
        </w:rPr>
        <w:t>(s)</w:t>
      </w:r>
      <w:r>
        <w:rPr>
          <w:color w:val="000000"/>
        </w:rPr>
        <w:t>“</w:t>
      </w:r>
      <w:r>
        <w:rPr>
          <w:rFonts w:ascii="Arial;sans-serif" w:hAnsi="Arial;sans-serif"/>
          <w:b/>
          <w:color w:val="000000"/>
          <w:sz w:val="24"/>
        </w:rPr>
        <w:t xml:space="preserve">Exercise Price” </w:t>
      </w:r>
      <w:r>
        <w:rPr>
          <w:rFonts w:ascii="Arial;sans-serif" w:hAnsi="Arial;sans-serif"/>
          <w:b w:val="false"/>
          <w:color w:val="000000"/>
          <w:sz w:val="22"/>
        </w:rPr>
        <w:t>shall have the meaning set forth in Section 7(c).</w:t>
      </w:r>
    </w:p>
    <w:p>
      <w:pPr>
        <w:pStyle w:val="TextBody"/>
        <w:bidi w:val="0"/>
        <w:spacing w:lineRule="auto" w:line="288" w:before="0" w:after="180"/>
        <w:ind w:left="0" w:right="0" w:hanging="720"/>
        <w:jc w:val="both"/>
        <w:rPr/>
      </w:pPr>
      <w:r>
        <w:rPr>
          <w:rFonts w:ascii="Arial;sans-serif" w:hAnsi="Arial;sans-serif"/>
          <w:b w:val="false"/>
          <w:color w:val="000000"/>
          <w:sz w:val="22"/>
        </w:rPr>
        <w:t>(t)</w:t>
      </w:r>
      <w:r>
        <w:rPr>
          <w:color w:val="000000"/>
        </w:rPr>
        <w:t>“</w:t>
      </w:r>
      <w:r>
        <w:rPr>
          <w:rFonts w:ascii="Arial;sans-serif" w:hAnsi="Arial;sans-serif"/>
          <w:b/>
          <w:color w:val="000000"/>
          <w:sz w:val="24"/>
        </w:rPr>
        <w:t xml:space="preserve">Fair Market Value” </w:t>
      </w:r>
      <w:r>
        <w:rPr>
          <w:rFonts w:ascii="Arial;sans-serif" w:hAnsi="Arial;sans-serif"/>
          <w:b w:val="false"/>
          <w:color w:val="000000"/>
          <w:sz w:val="22"/>
        </w:rPr>
        <w:t>of a share of Common Stock as of any date shall mean the value determined in accordance with the following rules:</w:t>
      </w:r>
    </w:p>
    <w:p>
      <w:pPr>
        <w:pStyle w:val="TextBody"/>
        <w:bidi w:val="0"/>
        <w:spacing w:lineRule="auto" w:line="288" w:before="0" w:after="180"/>
        <w:ind w:left="0" w:right="0" w:hanging="645"/>
        <w:jc w:val="both"/>
        <w:rPr>
          <w:rFonts w:ascii="Arial;sans-serif" w:hAnsi="Arial;sans-serif"/>
          <w:b w:val="false"/>
          <w:color w:val="000000"/>
          <w:sz w:val="22"/>
        </w:rPr>
      </w:pPr>
      <w:r>
        <w:rPr>
          <w:rFonts w:ascii="Arial;sans-serif" w:hAnsi="Arial;sans-serif"/>
          <w:b w:val="false"/>
          <w:color w:val="000000"/>
          <w:sz w:val="22"/>
        </w:rPr>
        <w:t>(i)If the Common Stock is at the time listed or admitted to trading on any stock exchange, then the Fair Market Value shall be the closing price per share of Common Stock on such date on the principal exchange on which the Common Stock is then listed or admitted to trading or, if no such sale is reported on such date, on the last preceding date on which a sale was so reported.</w:t>
      </w:r>
    </w:p>
    <w:p>
      <w:pPr>
        <w:pStyle w:val="TextBody"/>
        <w:bidi w:val="0"/>
        <w:spacing w:lineRule="auto" w:line="288" w:before="0" w:after="180"/>
        <w:ind w:left="0" w:right="0" w:hanging="694"/>
        <w:jc w:val="both"/>
        <w:rPr>
          <w:rFonts w:ascii="Arial;sans-serif" w:hAnsi="Arial;sans-serif"/>
          <w:b w:val="false"/>
          <w:color w:val="000000"/>
          <w:sz w:val="22"/>
        </w:rPr>
      </w:pPr>
      <w:r>
        <w:rPr>
          <w:rFonts w:ascii="Arial;sans-serif" w:hAnsi="Arial;sans-serif"/>
          <w:b w:val="false"/>
          <w:color w:val="000000"/>
          <w:sz w:val="22"/>
        </w:rPr>
        <w:t>(ii)If the Common Stock is not at the time listed or admitted to trading on a stock exchange but bid and asked prices for the Common Stock are regularly reported, then the Fair Market Value shall be the arithmetic mean between the closing or last bid and asked prices for the Common Stock on such date or, if no bid and asked prices for Common Stock are reported on such date, on the most recent day immediately prior thereto on which bid and asked prices were so reported.</w:t>
      </w:r>
    </w:p>
    <w:p>
      <w:pPr>
        <w:pStyle w:val="TextBody"/>
        <w:bidi w:val="0"/>
        <w:spacing w:lineRule="auto" w:line="288" w:before="0" w:after="180"/>
        <w:ind w:left="0" w:right="0" w:hanging="743"/>
        <w:jc w:val="both"/>
        <w:rPr>
          <w:rFonts w:ascii="Arial;sans-serif" w:hAnsi="Arial;sans-serif"/>
          <w:b w:val="false"/>
          <w:color w:val="000000"/>
          <w:sz w:val="22"/>
        </w:rPr>
      </w:pPr>
      <w:r>
        <w:rPr>
          <w:rFonts w:ascii="Arial;sans-serif" w:hAnsi="Arial;sans-serif"/>
          <w:b w:val="false"/>
          <w:color w:val="000000"/>
          <w:sz w:val="22"/>
        </w:rPr>
        <w:t>(iii)If the Common Stock is not listed or admitted to trading on any stock exchange and if prices are not regularly reported for the Common Stock as described in paragraph (ii), the Fair Market Value shall be as determined by the Committee in good faith in its sole discretion or under procedures established by the Committee, whose determination shall be conclusive and binding.</w:t>
      </w:r>
    </w:p>
    <w:p>
      <w:pPr>
        <w:pStyle w:val="TextBody"/>
        <w:bidi w:val="0"/>
        <w:spacing w:lineRule="auto" w:line="288" w:before="0" w:after="180"/>
        <w:ind w:left="0" w:right="0" w:hanging="755"/>
        <w:jc w:val="both"/>
        <w:rPr>
          <w:rFonts w:ascii="Arial;sans-serif" w:hAnsi="Arial;sans-serif"/>
          <w:b w:val="false"/>
          <w:color w:val="000000"/>
          <w:sz w:val="22"/>
        </w:rPr>
      </w:pPr>
      <w:r>
        <w:rPr>
          <w:rFonts w:ascii="Arial;sans-serif" w:hAnsi="Arial;sans-serif"/>
          <w:b w:val="false"/>
          <w:color w:val="000000"/>
          <w:sz w:val="22"/>
        </w:rPr>
        <w:t>(iv)For purposes of determining the Fair Market Value of shares of Common Stock that are sold pursuant to a broker- assisted cashless exercise program, Fair Market Value shall be the price at which such shares are sold.</w:t>
      </w:r>
    </w:p>
    <w:p>
      <w:pPr>
        <w:pStyle w:val="TextBody"/>
        <w:bidi w:val="0"/>
        <w:spacing w:lineRule="auto" w:line="288" w:before="0" w:after="180"/>
        <w:ind w:left="0" w:right="0" w:hanging="720"/>
        <w:jc w:val="both"/>
        <w:rPr/>
      </w:pPr>
      <w:r>
        <w:rPr>
          <w:rFonts w:ascii="Arial;sans-serif" w:hAnsi="Arial;sans-serif"/>
          <w:b w:val="false"/>
          <w:color w:val="000000"/>
          <w:sz w:val="22"/>
        </w:rPr>
        <w:t>(u)</w:t>
      </w:r>
      <w:r>
        <w:rPr>
          <w:color w:val="000000"/>
        </w:rPr>
        <w:t>“</w:t>
      </w:r>
      <w:r>
        <w:rPr>
          <w:rFonts w:ascii="Arial;sans-serif" w:hAnsi="Arial;sans-serif"/>
          <w:b/>
          <w:color w:val="000000"/>
          <w:sz w:val="24"/>
        </w:rPr>
        <w:t xml:space="preserve">Full Value Award” </w:t>
      </w:r>
      <w:r>
        <w:rPr>
          <w:rFonts w:ascii="Arial;sans-serif" w:hAnsi="Arial;sans-serif"/>
          <w:b w:val="false"/>
          <w:color w:val="000000"/>
          <w:sz w:val="22"/>
        </w:rPr>
        <w:t>shall mean an Award that is granted pursuant to Section 8 hereof and that is the grant of one or more shares of Common Stock or a right to receive one or more shares of Common Stock in the future, which grant may be subject to one or more of the following, as determined by the Committee:</w:t>
      </w:r>
    </w:p>
    <w:p>
      <w:pPr>
        <w:pStyle w:val="TextBody"/>
        <w:bidi w:val="0"/>
        <w:spacing w:lineRule="auto" w:line="288" w:before="0" w:after="180"/>
        <w:ind w:left="0" w:right="0" w:hanging="645"/>
        <w:jc w:val="both"/>
        <w:rPr>
          <w:rFonts w:ascii="Arial;sans-serif" w:hAnsi="Arial;sans-serif"/>
          <w:b w:val="false"/>
          <w:color w:val="000000"/>
          <w:sz w:val="22"/>
        </w:rPr>
      </w:pPr>
      <w:r>
        <w:rPr>
          <w:rFonts w:ascii="Arial;sans-serif" w:hAnsi="Arial;sans-serif"/>
          <w:b w:val="false"/>
          <w:color w:val="000000"/>
          <w:sz w:val="22"/>
        </w:rPr>
        <w:t>(i)The grant may be in consideration of a Participant’s previously performed services or surrender of other compensation that may be due.</w:t>
      </w:r>
    </w:p>
    <w:p>
      <w:pPr>
        <w:pStyle w:val="TextBody"/>
        <w:bidi w:val="0"/>
        <w:spacing w:lineRule="auto" w:line="288" w:before="0" w:after="180"/>
        <w:ind w:left="0" w:right="0" w:hanging="694"/>
        <w:jc w:val="both"/>
        <w:rPr>
          <w:rFonts w:ascii="Arial;sans-serif" w:hAnsi="Arial;sans-serif"/>
          <w:b w:val="false"/>
          <w:color w:val="000000"/>
          <w:sz w:val="22"/>
        </w:rPr>
      </w:pPr>
      <w:r>
        <w:rPr>
          <w:rFonts w:ascii="Arial;sans-serif" w:hAnsi="Arial;sans-serif"/>
          <w:b w:val="false"/>
          <w:color w:val="000000"/>
          <w:sz w:val="22"/>
        </w:rPr>
        <w:t>(ii)The grant may be contingent on the achievement of performance or other objectives during a specified period.</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180"/>
        <w:ind w:left="0" w:right="0" w:hanging="743"/>
        <w:jc w:val="both"/>
        <w:rPr>
          <w:rFonts w:ascii="Arial;sans-serif" w:hAnsi="Arial;sans-serif"/>
          <w:b w:val="false"/>
          <w:color w:val="000000"/>
          <w:sz w:val="22"/>
        </w:rPr>
      </w:pPr>
      <w:r>
        <w:rPr>
          <w:rFonts w:ascii="Arial;sans-serif" w:hAnsi="Arial;sans-serif"/>
          <w:b w:val="false"/>
          <w:color w:val="000000"/>
          <w:sz w:val="22"/>
        </w:rPr>
        <w:t>(iii)The grant may be subject to a risk of forfeiture or other restrictions that will lapse upon the achievement of one or more goals relating to completion of service by the Participant or achievement of performance or other objectives.</w:t>
      </w:r>
    </w:p>
    <w:p>
      <w:pPr>
        <w:pStyle w:val="TextBody"/>
        <w:bidi w:val="0"/>
        <w:spacing w:lineRule="auto" w:line="288" w:before="0" w:after="180"/>
        <w:jc w:val="both"/>
        <w:rPr/>
      </w:pPr>
      <w:r>
        <w:rPr>
          <w:rFonts w:ascii="Arial;sans-serif" w:hAnsi="Arial;sans-serif"/>
          <w:b w:val="false"/>
          <w:color w:val="000000"/>
          <w:sz w:val="22"/>
        </w:rPr>
        <w:t>The grant of Full Value Awards may also be subject to such other conditions, restrictions, and contingencies, as determined by the Committee, including provisions relating to dividend or dividend equivalent rights, deferred payment or settlement and purchase in the open market (including with a Participant’s own funds); provided, however, that dividends may be accrued but shall not be paid unless and until the Participant has vested in the underlying Award.</w:t>
      </w:r>
      <w:r>
        <w:rPr>
          <w:color w:val="000000"/>
        </w:rPr>
        <w:t xml:space="preserve"> </w:t>
      </w:r>
      <w:r>
        <w:rPr>
          <w:rFonts w:ascii="Arial;sans-serif" w:hAnsi="Arial;sans-serif"/>
          <w:b w:val="false"/>
          <w:color w:val="000000"/>
          <w:sz w:val="22"/>
        </w:rPr>
        <w:t>Full Value Awards may include, but are not limited to, restricted stock, stock units, performance stock units, and bonus stock.</w:t>
      </w:r>
    </w:p>
    <w:p>
      <w:pPr>
        <w:pStyle w:val="TextBody"/>
        <w:bidi w:val="0"/>
        <w:spacing w:lineRule="auto" w:line="288" w:before="0" w:after="180"/>
        <w:ind w:left="0" w:right="0" w:hanging="540"/>
        <w:jc w:val="both"/>
        <w:rPr/>
      </w:pPr>
      <w:r>
        <w:rPr>
          <w:rFonts w:ascii="Arial;sans-serif" w:hAnsi="Arial;sans-serif"/>
          <w:b w:val="false"/>
          <w:color w:val="000000"/>
          <w:sz w:val="22"/>
        </w:rPr>
        <w:t>(v)</w:t>
      </w:r>
      <w:r>
        <w:rPr>
          <w:color w:val="000000"/>
        </w:rPr>
        <w:t>“</w:t>
      </w:r>
      <w:r>
        <w:rPr>
          <w:rFonts w:ascii="Arial;sans-serif" w:hAnsi="Arial;sans-serif"/>
          <w:b/>
          <w:color w:val="000000"/>
          <w:sz w:val="24"/>
        </w:rPr>
        <w:t xml:space="preserve">Huron” </w:t>
      </w:r>
      <w:r>
        <w:rPr>
          <w:rFonts w:ascii="Arial;sans-serif" w:hAnsi="Arial;sans-serif"/>
          <w:b w:val="false"/>
          <w:color w:val="000000"/>
          <w:sz w:val="22"/>
        </w:rPr>
        <w:t>shall have the meaning set forth in Section 1.</w:t>
      </w:r>
    </w:p>
    <w:p>
      <w:pPr>
        <w:pStyle w:val="TextBody"/>
        <w:bidi w:val="0"/>
        <w:spacing w:lineRule="auto" w:line="288" w:before="0" w:after="180"/>
        <w:ind w:left="0" w:right="0" w:hanging="540"/>
        <w:jc w:val="both"/>
        <w:rPr/>
      </w:pPr>
      <w:r>
        <w:rPr>
          <w:rFonts w:ascii="Arial;sans-serif" w:hAnsi="Arial;sans-serif"/>
          <w:b w:val="false"/>
          <w:color w:val="000000"/>
          <w:sz w:val="22"/>
        </w:rPr>
        <w:t>(w)</w:t>
      </w:r>
      <w:r>
        <w:rPr>
          <w:color w:val="000000"/>
        </w:rPr>
        <w:t>“</w:t>
      </w:r>
      <w:r>
        <w:rPr>
          <w:rFonts w:ascii="Arial;sans-serif" w:hAnsi="Arial;sans-serif"/>
          <w:b/>
          <w:color w:val="000000"/>
          <w:sz w:val="24"/>
        </w:rPr>
        <w:t xml:space="preserve">Incentive Stock Option” </w:t>
      </w:r>
      <w:r>
        <w:rPr>
          <w:rFonts w:ascii="Arial;sans-serif" w:hAnsi="Arial;sans-serif"/>
          <w:b w:val="false"/>
          <w:color w:val="000000"/>
          <w:sz w:val="22"/>
        </w:rPr>
        <w:t>shall mean an Option that qualifies as an “incentive stock option” within the meaning of Section 422 of the Code, or any successor provision, and which is designated by the Committee as an Incentive Stock Option.</w:t>
      </w:r>
    </w:p>
    <w:p>
      <w:pPr>
        <w:pStyle w:val="TextBody"/>
        <w:bidi w:val="0"/>
        <w:spacing w:lineRule="auto" w:line="288" w:before="0" w:after="180"/>
        <w:ind w:left="0" w:right="0" w:hanging="540"/>
        <w:jc w:val="both"/>
        <w:rPr/>
      </w:pPr>
      <w:r>
        <w:rPr>
          <w:rFonts w:ascii="Arial;sans-serif" w:hAnsi="Arial;sans-serif"/>
          <w:b w:val="false"/>
          <w:color w:val="000000"/>
          <w:sz w:val="22"/>
        </w:rPr>
        <w:t>(x)</w:t>
      </w:r>
      <w:r>
        <w:rPr>
          <w:color w:val="000000"/>
        </w:rPr>
        <w:t>“</w:t>
      </w:r>
      <w:r>
        <w:rPr>
          <w:rFonts w:ascii="Arial;sans-serif" w:hAnsi="Arial;sans-serif"/>
          <w:b/>
          <w:color w:val="000000"/>
          <w:sz w:val="24"/>
        </w:rPr>
        <w:t xml:space="preserve">Nonqualified Stock Option” </w:t>
      </w:r>
      <w:r>
        <w:rPr>
          <w:rFonts w:ascii="Arial;sans-serif" w:hAnsi="Arial;sans-serif"/>
          <w:b w:val="false"/>
          <w:color w:val="000000"/>
          <w:sz w:val="22"/>
        </w:rPr>
        <w:t>shall mean an Option other than an Incentive Stock Option.</w:t>
      </w:r>
    </w:p>
    <w:p>
      <w:pPr>
        <w:pStyle w:val="TextBody"/>
        <w:bidi w:val="0"/>
        <w:spacing w:lineRule="auto" w:line="288" w:before="0" w:after="180"/>
        <w:ind w:left="0" w:right="0" w:hanging="540"/>
        <w:jc w:val="both"/>
        <w:rPr/>
      </w:pPr>
      <w:r>
        <w:rPr>
          <w:rFonts w:ascii="Arial;sans-serif" w:hAnsi="Arial;sans-serif"/>
          <w:b w:val="false"/>
          <w:color w:val="000000"/>
          <w:sz w:val="22"/>
        </w:rPr>
        <w:t>(y)</w:t>
      </w:r>
      <w:r>
        <w:rPr>
          <w:color w:val="000000"/>
        </w:rPr>
        <w:t>“</w:t>
      </w:r>
      <w:r>
        <w:rPr>
          <w:rFonts w:ascii="Arial;sans-serif" w:hAnsi="Arial;sans-serif"/>
          <w:b/>
          <w:color w:val="000000"/>
          <w:sz w:val="24"/>
        </w:rPr>
        <w:t xml:space="preserve">Option” </w:t>
      </w:r>
      <w:r>
        <w:rPr>
          <w:rFonts w:ascii="Arial;sans-serif" w:hAnsi="Arial;sans-serif"/>
          <w:b w:val="false"/>
          <w:color w:val="000000"/>
          <w:sz w:val="22"/>
        </w:rPr>
        <w:t>shall mean an Award that is granted pursuant to Section 7 hereof that entitles a Participant to purchase shares of Common Stock at the applicable Exercise Price established by the Committee.</w:t>
      </w:r>
    </w:p>
    <w:p>
      <w:pPr>
        <w:pStyle w:val="TextBody"/>
        <w:bidi w:val="0"/>
        <w:spacing w:lineRule="auto" w:line="288" w:before="0" w:after="180"/>
        <w:ind w:left="0" w:right="0" w:hanging="540"/>
        <w:jc w:val="both"/>
        <w:rPr/>
      </w:pPr>
      <w:r>
        <w:rPr>
          <w:rFonts w:ascii="Arial;sans-serif" w:hAnsi="Arial;sans-serif"/>
          <w:b w:val="false"/>
          <w:color w:val="000000"/>
          <w:sz w:val="22"/>
        </w:rPr>
        <w:t>(z)</w:t>
      </w:r>
      <w:r>
        <w:rPr>
          <w:color w:val="000000"/>
        </w:rPr>
        <w:t>“</w:t>
      </w:r>
      <w:r>
        <w:rPr>
          <w:rFonts w:ascii="Arial;sans-serif" w:hAnsi="Arial;sans-serif"/>
          <w:b/>
          <w:color w:val="000000"/>
          <w:sz w:val="24"/>
        </w:rPr>
        <w:t xml:space="preserve">Participant” </w:t>
      </w:r>
      <w:r>
        <w:rPr>
          <w:rFonts w:ascii="Arial;sans-serif" w:hAnsi="Arial;sans-serif"/>
          <w:b w:val="false"/>
          <w:color w:val="000000"/>
          <w:sz w:val="22"/>
        </w:rPr>
        <w:t>shall mean an Eligible Individual to whom an Award is granted pursuant to the Plan.</w:t>
      </w:r>
      <w:r>
        <w:rPr>
          <w:color w:val="000000"/>
        </w:rPr>
        <w:t xml:space="preserve"> </w:t>
      </w:r>
    </w:p>
    <w:p>
      <w:pPr>
        <w:pStyle w:val="TextBody"/>
        <w:bidi w:val="0"/>
        <w:spacing w:lineRule="auto" w:line="288" w:before="0" w:after="180"/>
        <w:ind w:left="0" w:right="0" w:hanging="540"/>
        <w:jc w:val="both"/>
        <w:rPr/>
      </w:pPr>
      <w:r>
        <w:rPr>
          <w:rFonts w:ascii="Arial;sans-serif" w:hAnsi="Arial;sans-serif"/>
          <w:b w:val="false"/>
          <w:color w:val="000000"/>
          <w:sz w:val="22"/>
        </w:rPr>
        <w:t>(aa)</w:t>
      </w:r>
      <w:r>
        <w:rPr>
          <w:color w:val="000000"/>
        </w:rPr>
        <w:t>“</w:t>
      </w:r>
      <w:r>
        <w:rPr>
          <w:rFonts w:ascii="Arial;sans-serif" w:hAnsi="Arial;sans-serif"/>
          <w:b/>
          <w:color w:val="000000"/>
          <w:sz w:val="24"/>
        </w:rPr>
        <w:t xml:space="preserve">Performance-Based Compensation” </w:t>
      </w:r>
      <w:r>
        <w:rPr>
          <w:rFonts w:ascii="Arial;sans-serif" w:hAnsi="Arial;sans-serif"/>
          <w:b w:val="false"/>
          <w:color w:val="000000"/>
          <w:sz w:val="22"/>
        </w:rPr>
        <w:t>shall have the meaning set forth in Section 9.</w:t>
      </w:r>
    </w:p>
    <w:p>
      <w:pPr>
        <w:pStyle w:val="TextBody"/>
        <w:bidi w:val="0"/>
        <w:spacing w:lineRule="auto" w:line="288" w:before="0" w:after="180"/>
        <w:ind w:left="0" w:right="0" w:hanging="540"/>
        <w:jc w:val="both"/>
        <w:rPr/>
      </w:pPr>
      <w:r>
        <w:rPr>
          <w:rFonts w:ascii="Arial;sans-serif" w:hAnsi="Arial;sans-serif"/>
          <w:b w:val="false"/>
          <w:color w:val="000000"/>
          <w:sz w:val="22"/>
        </w:rPr>
        <w:t>(bb)</w:t>
      </w:r>
      <w:r>
        <w:rPr>
          <w:color w:val="000000"/>
        </w:rPr>
        <w:t>“</w:t>
      </w:r>
      <w:r>
        <w:rPr>
          <w:rFonts w:ascii="Arial;sans-serif" w:hAnsi="Arial;sans-serif"/>
          <w:b/>
          <w:color w:val="000000"/>
          <w:sz w:val="24"/>
        </w:rPr>
        <w:t xml:space="preserve">Plan” </w:t>
      </w:r>
      <w:r>
        <w:rPr>
          <w:rFonts w:ascii="Arial;sans-serif" w:hAnsi="Arial;sans-serif"/>
          <w:b w:val="false"/>
          <w:color w:val="000000"/>
          <w:sz w:val="22"/>
        </w:rPr>
        <w:t>shall have the meaning set forth in Section 1.</w:t>
      </w:r>
    </w:p>
    <w:p>
      <w:pPr>
        <w:pStyle w:val="TextBody"/>
        <w:bidi w:val="0"/>
        <w:spacing w:lineRule="auto" w:line="288" w:before="0" w:after="180"/>
        <w:ind w:left="0" w:right="0" w:hanging="540"/>
        <w:jc w:val="both"/>
        <w:rPr/>
      </w:pPr>
      <w:r>
        <w:rPr>
          <w:rFonts w:ascii="Arial;sans-serif" w:hAnsi="Arial;sans-serif"/>
          <w:b w:val="false"/>
          <w:color w:val="000000"/>
          <w:sz w:val="22"/>
        </w:rPr>
        <w:t>(cc)</w:t>
      </w:r>
      <w:r>
        <w:rPr>
          <w:color w:val="000000"/>
        </w:rPr>
        <w:t>“</w:t>
      </w:r>
      <w:r>
        <w:rPr>
          <w:rFonts w:ascii="Arial;sans-serif" w:hAnsi="Arial;sans-serif"/>
          <w:b/>
          <w:color w:val="000000"/>
          <w:sz w:val="24"/>
        </w:rPr>
        <w:t xml:space="preserve">Retirement” </w:t>
      </w:r>
      <w:r>
        <w:rPr>
          <w:rFonts w:ascii="Arial;sans-serif" w:hAnsi="Arial;sans-serif"/>
          <w:b w:val="false"/>
          <w:color w:val="000000"/>
          <w:sz w:val="22"/>
        </w:rPr>
        <w:t>shall mean the voluntary termination with Huron and the Affiliates of a Participant who is in the position of corporate vice president, managing director, principal or executive officer and (i) such termination occurs on or after the date on which he or she has attained age 62 and completed at least seven years of employment with Huron and (ii) in conjunction with such termination such Participant has executed a non-competition and non-solicitation agreement provided by Huron.</w:t>
      </w:r>
      <w:r>
        <w:rPr>
          <w:color w:val="000000"/>
        </w:rPr>
        <w:t xml:space="preserve"> </w:t>
      </w:r>
      <w:r>
        <w:rPr>
          <w:rFonts w:ascii="Arial;sans-serif" w:hAnsi="Arial;sans-serif"/>
          <w:b w:val="false"/>
          <w:color w:val="000000"/>
          <w:sz w:val="22"/>
        </w:rPr>
        <w:t>A Participant’s termination of employment shall not be considered to be on account of Retirement if the employment is terminated by Huron or any Affiliate for any reason.</w:t>
      </w:r>
    </w:p>
    <w:p>
      <w:pPr>
        <w:pStyle w:val="TextBody"/>
        <w:bidi w:val="0"/>
        <w:spacing w:lineRule="auto" w:line="288" w:before="0" w:after="180"/>
        <w:ind w:left="0" w:right="0" w:hanging="540"/>
        <w:jc w:val="both"/>
        <w:rPr/>
      </w:pPr>
      <w:r>
        <w:rPr>
          <w:rFonts w:ascii="Arial;sans-serif" w:hAnsi="Arial;sans-serif"/>
          <w:b w:val="false"/>
          <w:color w:val="000000"/>
          <w:sz w:val="22"/>
        </w:rPr>
        <w:t>(dd)</w:t>
      </w:r>
      <w:r>
        <w:rPr>
          <w:color w:val="000000"/>
        </w:rPr>
        <w:t>“</w:t>
      </w:r>
      <w:r>
        <w:rPr>
          <w:rFonts w:ascii="Arial;sans-serif" w:hAnsi="Arial;sans-serif"/>
          <w:b/>
          <w:color w:val="000000"/>
          <w:sz w:val="24"/>
        </w:rPr>
        <w:t xml:space="preserve">Stock Appreciation Right” </w:t>
      </w:r>
      <w:r>
        <w:rPr>
          <w:rFonts w:ascii="Arial;sans-serif" w:hAnsi="Arial;sans-serif"/>
          <w:b w:val="false"/>
          <w:color w:val="000000"/>
          <w:sz w:val="22"/>
        </w:rPr>
        <w:t>shall mean an Award is granted pursuant to Section 7 hereof that entitles a Participant to receive, upon exercise of the Award, an amount of cash or shares of Common Stock (as determined in accordance with the terms of the Plan and the Award) having a value equal to the excess of: (i) the value, determined at the time of exercise, of a specified number of shares of Common Stock; over (ii) the applicable Exercise Price.</w:t>
      </w:r>
    </w:p>
    <w:p>
      <w:pPr>
        <w:pStyle w:val="TextBody"/>
        <w:bidi w:val="0"/>
        <w:spacing w:lineRule="auto" w:line="288" w:before="0" w:after="180"/>
        <w:ind w:left="0" w:right="0" w:hanging="540"/>
        <w:jc w:val="both"/>
        <w:rPr/>
      </w:pPr>
      <w:r>
        <w:rPr>
          <w:rFonts w:ascii="Arial;sans-serif" w:hAnsi="Arial;sans-serif"/>
          <w:b w:val="false"/>
          <w:color w:val="000000"/>
          <w:sz w:val="22"/>
        </w:rPr>
        <w:t>(ee)</w:t>
      </w:r>
      <w:r>
        <w:rPr>
          <w:color w:val="000000"/>
        </w:rPr>
        <w:t>“</w:t>
      </w:r>
      <w:r>
        <w:rPr>
          <w:rFonts w:ascii="Arial;sans-serif" w:hAnsi="Arial;sans-serif"/>
          <w:b/>
          <w:color w:val="000000"/>
          <w:sz w:val="24"/>
        </w:rPr>
        <w:t xml:space="preserve">Subsidiary” </w:t>
      </w:r>
      <w:r>
        <w:rPr>
          <w:rFonts w:ascii="Arial;sans-serif" w:hAnsi="Arial;sans-serif"/>
          <w:b w:val="false"/>
          <w:color w:val="000000"/>
          <w:sz w:val="22"/>
        </w:rPr>
        <w:t>shall mean a “subsidiary corporation” of Huron within the meaning of Section 424(f)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180"/>
        <w:ind w:left="0" w:right="0" w:hanging="900"/>
        <w:jc w:val="both"/>
        <w:rPr/>
      </w:pPr>
      <w:r>
        <w:rPr>
          <w:rFonts w:ascii="Arial;sans-serif" w:hAnsi="Arial;sans-serif"/>
          <w:b w:val="false"/>
          <w:color w:val="000000"/>
          <w:sz w:val="22"/>
        </w:rPr>
        <w:t>3.</w:t>
      </w:r>
      <w:r>
        <w:rPr>
          <w:rFonts w:ascii="Arial;sans-serif" w:hAnsi="Arial;sans-serif"/>
          <w:b/>
          <w:color w:val="000000"/>
          <w:sz w:val="24"/>
        </w:rPr>
        <w:t xml:space="preserve">Effective Date and Duration of Plan. </w:t>
      </w:r>
      <w:r>
        <w:rPr>
          <w:rFonts w:ascii="Arial;sans-serif" w:hAnsi="Arial;sans-serif"/>
          <w:b w:val="false"/>
          <w:color w:val="000000"/>
          <w:sz w:val="22"/>
        </w:rPr>
        <w:t>The Plan, as amended and restated, will be effective February 13, 2020 (the “</w:t>
      </w:r>
      <w:r>
        <w:rPr>
          <w:rFonts w:ascii="Arial;sans-serif" w:hAnsi="Arial;sans-serif"/>
          <w:b w:val="false"/>
          <w:i/>
          <w:color w:val="000000"/>
          <w:sz w:val="24"/>
        </w:rPr>
        <w:t>Effective Date</w:t>
      </w:r>
      <w:r>
        <w:rPr>
          <w:color w:val="000000"/>
        </w:rPr>
        <w:t>”</w:t>
      </w:r>
      <w:r>
        <w:rPr>
          <w:rFonts w:ascii="Arial;sans-serif" w:hAnsi="Arial;sans-serif"/>
          <w:b w:val="false"/>
          <w:color w:val="000000"/>
          <w:sz w:val="22"/>
        </w:rPr>
        <w:t>), subject to approval by Huron’s stockholders.</w:t>
      </w:r>
      <w:r>
        <w:rPr>
          <w:color w:val="000000"/>
        </w:rPr>
        <w:t xml:space="preserve"> </w:t>
      </w:r>
      <w:r>
        <w:rPr>
          <w:rFonts w:ascii="Arial;sans-serif" w:hAnsi="Arial;sans-serif"/>
          <w:b w:val="false"/>
          <w:color w:val="000000"/>
          <w:sz w:val="22"/>
        </w:rPr>
        <w:t>The Plan shall be unlimited in duration; however, in the event of Plan termination, the Plan shall remain in effect as long as any shares of Common Stock awarded under it are outstanding and not fully vested.</w:t>
      </w:r>
      <w:r>
        <w:rPr>
          <w:color w:val="000000"/>
        </w:rPr>
        <w:t xml:space="preserve"> </w:t>
      </w:r>
      <w:r>
        <w:rPr>
          <w:rFonts w:ascii="Arial;sans-serif" w:hAnsi="Arial;sans-serif"/>
          <w:b w:val="false"/>
          <w:color w:val="000000"/>
          <w:sz w:val="22"/>
        </w:rPr>
        <w:t>No new Awards will be made under the Plan on or after the tenth anniversary of the Effective Date or, if earlier, on or after termination of the Plan.</w:t>
      </w:r>
    </w:p>
    <w:p>
      <w:pPr>
        <w:pStyle w:val="TextBody"/>
        <w:bidi w:val="0"/>
        <w:spacing w:lineRule="auto" w:line="288" w:before="0" w:after="180"/>
        <w:ind w:left="0" w:right="0" w:hanging="720"/>
        <w:jc w:val="both"/>
        <w:rPr/>
      </w:pPr>
      <w:r>
        <w:rPr>
          <w:rFonts w:ascii="Arial;sans-serif" w:hAnsi="Arial;sans-serif"/>
          <w:b w:val="false"/>
          <w:color w:val="000000"/>
          <w:sz w:val="22"/>
        </w:rPr>
        <w:t>4.</w:t>
      </w:r>
      <w:r>
        <w:rPr>
          <w:rFonts w:ascii="Arial;sans-serif" w:hAnsi="Arial;sans-serif"/>
          <w:b/>
          <w:color w:val="000000"/>
          <w:sz w:val="24"/>
        </w:rPr>
        <w:t>Shares Reserved and Other Limitations</w:t>
      </w:r>
      <w:r>
        <w:rPr>
          <w:rFonts w:ascii="Arial;sans-serif" w:hAnsi="Arial;sans-serif"/>
          <w:b w:val="false"/>
          <w:color w:val="000000"/>
          <w:sz w:val="22"/>
        </w:rPr>
        <w:t>.</w:t>
      </w:r>
    </w:p>
    <w:p>
      <w:pPr>
        <w:pStyle w:val="TextBody"/>
        <w:bidi w:val="0"/>
        <w:spacing w:lineRule="auto" w:line="288" w:before="0" w:after="180"/>
        <w:ind w:left="0" w:right="0" w:hanging="720"/>
        <w:jc w:val="both"/>
        <w:rPr/>
      </w:pPr>
      <w:r>
        <w:rPr>
          <w:rFonts w:ascii="Arial;sans-serif" w:hAnsi="Arial;sans-serif"/>
          <w:b w:val="false"/>
          <w:color w:val="000000"/>
          <w:sz w:val="22"/>
        </w:rPr>
        <w:t>(a)</w:t>
      </w:r>
      <w:r>
        <w:rPr>
          <w:rFonts w:ascii="Arial;sans-serif" w:hAnsi="Arial;sans-serif"/>
          <w:b/>
          <w:color w:val="000000"/>
          <w:sz w:val="24"/>
        </w:rPr>
        <w:t>Source of Shares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Shares of Common Stock reserved for issuance under the Plan may be authorized but unissued shares of Common Stock or authorized and issued shares of Common Stock held in Huron’s treasury, including shares purchased in the open market or in private transactions.</w:t>
      </w:r>
    </w:p>
    <w:p>
      <w:pPr>
        <w:pStyle w:val="TextBody"/>
        <w:bidi w:val="0"/>
        <w:spacing w:lineRule="auto" w:line="288" w:before="0" w:after="180"/>
        <w:ind w:left="0" w:right="0" w:hanging="720"/>
        <w:jc w:val="both"/>
        <w:rPr/>
      </w:pPr>
      <w:r>
        <w:rPr>
          <w:rFonts w:ascii="Arial;sans-serif" w:hAnsi="Arial;sans-serif"/>
          <w:b w:val="false"/>
          <w:color w:val="000000"/>
          <w:sz w:val="22"/>
        </w:rPr>
        <w:t>(b)</w:t>
      </w:r>
      <w:r>
        <w:rPr>
          <w:rFonts w:ascii="Arial;sans-serif" w:hAnsi="Arial;sans-serif"/>
          <w:b/>
          <w:color w:val="000000"/>
          <w:sz w:val="24"/>
        </w:rPr>
        <w:t>Shares Available for Awards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Subject to the terms and conditions of the Plan, the number of shares of Common Stock reserved for issuance under the Plan shall be 3,652,204 shares (comprised of: (i) the 1,398,204 shares of Common Stock authorized under the Plan as originally adopted, (ii) an additional 850,000 shares of Common Stock authorized in the amendment and restatement of the Plan effective May 2, 2014, (iii) an additional 804,000 shares of Common Stock authorized in the amendment and restatement of the Plan effective May 1, 2017, (iv) an additional 600,000 shares of Common Stock authorized in the amendment of the Plan effective May 3, 2019), (v) an additional 270,000 shares of Common Stock authorized in the amendment of the Plan effective May 8, 2020, and (vi) an additional 634,000 shares of Common Stock authorized in the amendment of the Plan effective May 7, 2021, subject to adjustment as provided herein.</w:t>
      </w:r>
    </w:p>
    <w:p>
      <w:pPr>
        <w:pStyle w:val="TextBody"/>
        <w:bidi w:val="0"/>
        <w:spacing w:lineRule="auto" w:line="288" w:before="0" w:after="180"/>
        <w:jc w:val="both"/>
        <w:rPr/>
      </w:pPr>
      <w:r>
        <w:rPr>
          <w:rFonts w:ascii="Arial;sans-serif" w:hAnsi="Arial;sans-serif"/>
          <w:b w:val="false"/>
          <w:color w:val="000000"/>
          <w:sz w:val="22"/>
        </w:rPr>
        <w:t>Additionally, in the event that a corporation acquired by (or combined with) Huron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Huron or any subsidiary prior to such acquisition or combination.</w:t>
      </w:r>
      <w:r>
        <w:rPr>
          <w:color w:val="000000"/>
        </w:rPr>
        <w:t xml:space="preserve"> </w:t>
      </w:r>
      <w:r>
        <w:rPr>
          <w:rFonts w:ascii="Arial;sans-serif" w:hAnsi="Arial;sans-serif"/>
          <w:b w:val="false"/>
          <w:color w:val="000000"/>
          <w:sz w:val="22"/>
        </w:rPr>
        <w:t>Notwithstanding the foregoing, such shares shall not increase the number of shares available for Awards of Incentive Stock Options unless such additional share limit is approved by the stockholders in accordance with Section 422 of the Code.</w:t>
      </w:r>
    </w:p>
    <w:p>
      <w:pPr>
        <w:pStyle w:val="TextBody"/>
        <w:bidi w:val="0"/>
        <w:spacing w:lineRule="auto" w:line="288" w:before="0" w:after="180"/>
        <w:ind w:left="0" w:right="0" w:hanging="720"/>
        <w:jc w:val="both"/>
        <w:rPr/>
      </w:pPr>
      <w:r>
        <w:rPr>
          <w:rFonts w:ascii="Arial;sans-serif" w:hAnsi="Arial;sans-serif"/>
          <w:b w:val="false"/>
          <w:color w:val="000000"/>
          <w:sz w:val="22"/>
        </w:rPr>
        <w:t>(c)</w:t>
      </w:r>
      <w:r>
        <w:rPr>
          <w:rFonts w:ascii="Arial;sans-serif" w:hAnsi="Arial;sans-serif"/>
          <w:b/>
          <w:color w:val="000000"/>
          <w:sz w:val="24"/>
        </w:rPr>
        <w:t>Individual Limitations on Awards</w:t>
      </w:r>
      <w:r>
        <w:rPr>
          <w:rFonts w:ascii="Arial;sans-serif" w:hAnsi="Arial;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180"/>
        <w:ind w:left="0" w:right="0" w:hanging="735"/>
        <w:jc w:val="both"/>
        <w:rPr>
          <w:rFonts w:ascii="Arial;sans-serif" w:hAnsi="Arial;sans-serif"/>
          <w:b w:val="false"/>
          <w:color w:val="000000"/>
          <w:sz w:val="22"/>
        </w:rPr>
      </w:pPr>
      <w:r>
        <w:rPr>
          <w:rFonts w:ascii="Arial;sans-serif" w:hAnsi="Arial;sans-serif"/>
          <w:b w:val="false"/>
          <w:color w:val="000000"/>
          <w:sz w:val="22"/>
        </w:rPr>
        <w:t>(i)The maximum number of shares of Common Stock that may be granted to any Participant during any calendar-year period with respect to Full Value Awards that are intended to be Performance-Based Compensation shall not exceed 500,000 shares in the aggregate (subject to adjustment as provided herein).</w:t>
      </w:r>
    </w:p>
    <w:p>
      <w:pPr>
        <w:pStyle w:val="TextBody"/>
        <w:bidi w:val="0"/>
        <w:spacing w:lineRule="auto" w:line="288" w:before="0" w:after="180"/>
        <w:ind w:left="0" w:right="0" w:hanging="540"/>
        <w:jc w:val="both"/>
        <w:rPr>
          <w:rFonts w:ascii="Arial;sans-serif" w:hAnsi="Arial;sans-serif"/>
          <w:b w:val="false"/>
          <w:color w:val="000000"/>
          <w:sz w:val="22"/>
        </w:rPr>
      </w:pPr>
      <w:r>
        <w:rPr>
          <w:rFonts w:ascii="Arial;sans-serif" w:hAnsi="Arial;sans-serif"/>
          <w:b w:val="false"/>
          <w:color w:val="000000"/>
          <w:sz w:val="22"/>
        </w:rPr>
        <w:t>1.If Awards are denominated in shares of Common Stock but an equivalent amount of cash is delivered in lieu of shares of Common Stock, the foregoing limit shall be applied based on the methodology used by the Committee to convert the number of shares into cash.</w:t>
      </w:r>
    </w:p>
    <w:p>
      <w:pPr>
        <w:pStyle w:val="TextBody"/>
        <w:bidi w:val="0"/>
        <w:spacing w:lineRule="auto" w:line="288" w:before="0" w:after="180"/>
        <w:ind w:left="0" w:right="0" w:hanging="540"/>
        <w:jc w:val="both"/>
        <w:rPr>
          <w:rFonts w:ascii="Arial;sans-serif" w:hAnsi="Arial;sans-serif"/>
          <w:b w:val="false"/>
          <w:color w:val="000000"/>
          <w:sz w:val="22"/>
        </w:rPr>
      </w:pPr>
      <w:r>
        <w:rPr>
          <w:rFonts w:ascii="Arial;sans-serif" w:hAnsi="Arial;sans-serif"/>
          <w:b w:val="false"/>
          <w:color w:val="000000"/>
          <w:sz w:val="22"/>
        </w:rPr>
        <w:t>2.If delivery of shares of Common Stock or cash is deferred until after shares of Common Stock have been earned, any adjustment in the amount delivered to reflect actual or deemed investment experience after the date the shares are earned shall be disregarded.</w:t>
      </w:r>
    </w:p>
    <w:p>
      <w:pPr>
        <w:pStyle w:val="TextBody"/>
        <w:bidi w:val="0"/>
        <w:spacing w:lineRule="auto" w:line="288" w:before="0" w:after="180"/>
        <w:ind w:left="0" w:right="0" w:hanging="784"/>
        <w:jc w:val="both"/>
        <w:rPr>
          <w:rFonts w:ascii="Arial;sans-serif" w:hAnsi="Arial;sans-serif"/>
          <w:b w:val="false"/>
          <w:color w:val="000000"/>
          <w:sz w:val="22"/>
        </w:rPr>
      </w:pPr>
      <w:r>
        <w:rPr>
          <w:rFonts w:ascii="Arial;sans-serif" w:hAnsi="Arial;sans-serif"/>
          <w:b w:val="false"/>
          <w:color w:val="000000"/>
          <w:sz w:val="22"/>
        </w:rPr>
        <w:t>(ii)For any participant who is an outside director of Huron, the aggregate grant date fair value of Awards granted to such individual during any calendar year, along with any regular cash retainer or meeting fees paid to such participant during such calendar year shall not exceed $1,500,000; provided, however, that if an individual employee becomes an outside director (or vice versa) during a calendar year, the limit in this sentence shall not apply to Awards granted to the individual in the individual’s capacity as an employee.</w:t>
      </w:r>
    </w:p>
    <w:p>
      <w:pPr>
        <w:pStyle w:val="TextBody"/>
        <w:bidi w:val="0"/>
        <w:spacing w:lineRule="auto" w:line="288" w:before="0" w:after="180"/>
        <w:ind w:left="0" w:right="0" w:hanging="720"/>
        <w:jc w:val="both"/>
        <w:rPr/>
      </w:pPr>
      <w:r>
        <w:rPr>
          <w:rFonts w:ascii="Arial;sans-serif" w:hAnsi="Arial;sans-serif"/>
          <w:b w:val="false"/>
          <w:color w:val="000000"/>
          <w:sz w:val="22"/>
        </w:rPr>
        <w:t>(d)</w:t>
      </w:r>
      <w:r>
        <w:rPr>
          <w:rFonts w:ascii="Arial;sans-serif" w:hAnsi="Arial;sans-serif"/>
          <w:b/>
          <w:color w:val="000000"/>
          <w:sz w:val="24"/>
        </w:rPr>
        <w:t>Limits on Incentive Stock Options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maximum number of shares of Common Stock to which Incentive Stock Options relate that may be granted under the Plan shall be 325,000 (subject to adjustment as provided herein).</w:t>
      </w:r>
    </w:p>
    <w:p>
      <w:pPr>
        <w:pStyle w:val="TextBody"/>
        <w:bidi w:val="0"/>
        <w:spacing w:lineRule="auto" w:line="288" w:before="0" w:after="180"/>
        <w:ind w:left="0" w:right="0" w:hanging="720"/>
        <w:jc w:val="both"/>
        <w:rPr/>
      </w:pPr>
      <w:r>
        <w:rPr>
          <w:rFonts w:ascii="Arial;sans-serif" w:hAnsi="Arial;sans-serif"/>
          <w:b w:val="false"/>
          <w:color w:val="000000"/>
          <w:sz w:val="22"/>
        </w:rPr>
        <w:t>(e)</w:t>
      </w:r>
      <w:r>
        <w:rPr>
          <w:rFonts w:ascii="Arial;sans-serif" w:hAnsi="Arial;sans-serif"/>
          <w:b/>
          <w:color w:val="000000"/>
          <w:sz w:val="24"/>
        </w:rPr>
        <w:t>Individual Limitations on Cash Incentive Awards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maximum amount payable to any Participant for any 12-month performance period with respect to a Cash Incentive Award granted under the Plan that is intended to be Performance- Based Compensation shall be $10,000,000 (prorated for performance periods that are greater or lesser than 12 months).</w:t>
      </w:r>
      <w:r>
        <w:rPr>
          <w:color w:val="000000"/>
        </w:rPr>
        <w:t xml:space="preserve"> </w:t>
      </w:r>
      <w:r>
        <w:rPr>
          <w:rFonts w:ascii="Arial;sans-serif" w:hAnsi="Arial;sans-serif"/>
          <w:b w:val="false"/>
          <w:color w:val="000000"/>
          <w:sz w:val="22"/>
        </w:rPr>
        <w:t>For purposes of this Section 4(e):</w:t>
      </w:r>
    </w:p>
    <w:p>
      <w:pPr>
        <w:pStyle w:val="TextBody"/>
        <w:bidi w:val="0"/>
        <w:spacing w:lineRule="auto" w:line="288" w:before="0" w:after="180"/>
        <w:ind w:left="0" w:right="0" w:hanging="735"/>
        <w:jc w:val="both"/>
        <w:rPr>
          <w:rFonts w:ascii="Arial;sans-serif" w:hAnsi="Arial;sans-serif"/>
          <w:b w:val="false"/>
          <w:color w:val="000000"/>
          <w:sz w:val="22"/>
        </w:rPr>
      </w:pPr>
      <w:r>
        <w:rPr>
          <w:rFonts w:ascii="Arial;sans-serif" w:hAnsi="Arial;sans-serif"/>
          <w:b w:val="false"/>
          <w:color w:val="000000"/>
          <w:sz w:val="22"/>
        </w:rPr>
        <w:t>(i)If the Award is denominated in cash but an equivalent amount of Common Stock is delivered in lieu of delivery of cash, the foregoing limit shall be applied to the cash based on the methodology used by the Committee to convert the cash into shares.</w:t>
      </w:r>
    </w:p>
    <w:p>
      <w:pPr>
        <w:pStyle w:val="TextBody"/>
        <w:bidi w:val="0"/>
        <w:spacing w:lineRule="auto" w:line="288" w:before="0" w:after="180"/>
        <w:ind w:left="0" w:right="0" w:hanging="784"/>
        <w:jc w:val="both"/>
        <w:rPr>
          <w:rFonts w:ascii="Arial;sans-serif" w:hAnsi="Arial;sans-serif"/>
          <w:b w:val="false"/>
          <w:color w:val="000000"/>
          <w:sz w:val="22"/>
        </w:rPr>
      </w:pPr>
      <w:r>
        <w:rPr>
          <w:rFonts w:ascii="Arial;sans-serif" w:hAnsi="Arial;sans-serif"/>
          <w:b w:val="false"/>
          <w:color w:val="000000"/>
          <w:sz w:val="22"/>
        </w:rPr>
        <w:t>(ii)If delivery of shares of Common Stock or cash is deferred until after cash has been earned, any adjustment in the amount delivered to reflect actual or deemed investment experience after the date the cash is earned shall be disregarded.</w:t>
      </w:r>
    </w:p>
    <w:p>
      <w:pPr>
        <w:pStyle w:val="TextBody"/>
        <w:bidi w:val="0"/>
        <w:spacing w:lineRule="auto" w:line="288" w:before="0" w:after="180"/>
        <w:ind w:left="0" w:right="0" w:hanging="720"/>
        <w:jc w:val="both"/>
        <w:rPr/>
      </w:pPr>
      <w:r>
        <w:rPr>
          <w:rFonts w:ascii="Arial;sans-serif" w:hAnsi="Arial;sans-serif"/>
          <w:b w:val="false"/>
          <w:color w:val="000000"/>
          <w:sz w:val="22"/>
        </w:rPr>
        <w:t>(f)</w:t>
      </w:r>
      <w:r>
        <w:rPr>
          <w:rFonts w:ascii="Arial;sans-serif" w:hAnsi="Arial;sans-serif"/>
          <w:b/>
          <w:color w:val="000000"/>
          <w:sz w:val="24"/>
        </w:rPr>
        <w:t>Adjustments for Change in Capitalization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In the event that any dividend or other distribution is declared (whether in the form of cash, Common Stock, or other property), or there occurs any recapitalization, stock split, reverse stock split, reorganization, merger, consolidation, spin-off, combination, repurchase, share exchange or other similar corporate transaction or event, the Committee shall equitably adjust, in its sole and absolute discretion, (i) the number and kind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of shares of stock which may thereafter be issued in connection with Awards; (ii) the number and kind of shares of stock or other property issued or issuable in respect of outstanding Awards; (iii) the exercise price, grant price or purchase price relating to any Award; (iv) the limitations set forth in Sections 4(b), 4(c), 4(d), and 4(e) (provided that, with respect to Incentive Stock Options, such adjustment shall be made in accordance with Section 424 of the Code and any regulations thereunder and provided further that, to the extent applicable, such adjustment shall comply with Section 409A of the Code); and (v) any other adjustments that the Committee determines to be equitable (which may include, without limitation, replacement of Awards with other Awards which the Committee determines have comparable value and which are based on stock of a company resulting from the transaction and (2) cancellation of the Award in return for cash payment of the current value of the Award, determined as though the Award is fully vested at the time of payment, provided that in the case of an Option or Stock Appreciation Right, the amount of such payment may be the excess of value of the shares of Common Stock subject to the Option or Stock Appreciation Right at the time of the transaction over the Exercise Price).</w:t>
      </w:r>
    </w:p>
    <w:p>
      <w:pPr>
        <w:pStyle w:val="TextBody"/>
        <w:bidi w:val="0"/>
        <w:spacing w:lineRule="auto" w:line="288" w:before="0" w:after="180"/>
        <w:ind w:left="0" w:right="0" w:hanging="720"/>
        <w:jc w:val="both"/>
        <w:rPr/>
      </w:pPr>
      <w:r>
        <w:rPr>
          <w:rFonts w:ascii="Arial;sans-serif" w:hAnsi="Arial;sans-serif"/>
          <w:b w:val="false"/>
          <w:color w:val="000000"/>
          <w:sz w:val="22"/>
        </w:rPr>
        <w:t>(g)</w:t>
      </w:r>
      <w:r>
        <w:rPr>
          <w:rFonts w:ascii="Arial;sans-serif" w:hAnsi="Arial;sans-serif"/>
          <w:b/>
          <w:color w:val="000000"/>
          <w:sz w:val="24"/>
        </w:rPr>
        <w:t>Reuse of Shares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Except to the extent that to do so would prevent the grant of Incentive Stock Options hereunder, the following shares of Common Stock shall again become available for Awards:</w:t>
      </w:r>
    </w:p>
    <w:p>
      <w:pPr>
        <w:pStyle w:val="TextBody"/>
        <w:bidi w:val="0"/>
        <w:spacing w:lineRule="auto" w:line="288" w:before="0" w:after="180"/>
        <w:ind w:left="0" w:right="0" w:hanging="735"/>
        <w:jc w:val="both"/>
        <w:rPr>
          <w:rFonts w:ascii="Arial;sans-serif" w:hAnsi="Arial;sans-serif"/>
          <w:b w:val="false"/>
          <w:color w:val="000000"/>
          <w:sz w:val="22"/>
        </w:rPr>
      </w:pPr>
      <w:r>
        <w:rPr>
          <w:rFonts w:ascii="Arial;sans-serif" w:hAnsi="Arial;sans-serif"/>
          <w:b w:val="false"/>
          <w:color w:val="000000"/>
          <w:sz w:val="22"/>
        </w:rPr>
        <w:t>(i)any shares subject to an Award that remain unissued upon the cancellation, surrender, exchange, forfeiture or termination of such Award without having been exercised or settled; and</w:t>
      </w:r>
    </w:p>
    <w:p>
      <w:pPr>
        <w:pStyle w:val="TextBody"/>
        <w:bidi w:val="0"/>
        <w:spacing w:lineRule="auto" w:line="288" w:before="0" w:after="180"/>
        <w:ind w:left="0" w:right="0" w:hanging="784"/>
        <w:jc w:val="both"/>
        <w:rPr>
          <w:rFonts w:ascii="Arial;sans-serif" w:hAnsi="Arial;sans-serif"/>
          <w:b w:val="false"/>
          <w:color w:val="000000"/>
          <w:sz w:val="22"/>
        </w:rPr>
      </w:pPr>
      <w:r>
        <w:rPr>
          <w:rFonts w:ascii="Arial;sans-serif" w:hAnsi="Arial;sans-serif"/>
          <w:b w:val="false"/>
          <w:color w:val="000000"/>
          <w:sz w:val="22"/>
        </w:rPr>
        <w:t>(ii)to the extent an Award is paid or settled in cash, the number of shares of Common Stock with respect to which such payment or settlement is made.</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The following shares of Common Stock shall not again be made available for grants pursuant to the Plan:</w:t>
      </w:r>
    </w:p>
    <w:p>
      <w:pPr>
        <w:pStyle w:val="TextBody"/>
        <w:bidi w:val="0"/>
        <w:spacing w:lineRule="auto" w:line="288" w:before="0" w:after="180"/>
        <w:ind w:left="0" w:right="0" w:hanging="720"/>
        <w:jc w:val="both"/>
        <w:rPr/>
      </w:pPr>
      <w:r>
        <w:rPr>
          <w:rFonts w:ascii="Arial;sans-serif" w:hAnsi="Arial;sans-serif"/>
          <w:b w:val="false"/>
          <w:color w:val="000000"/>
          <w:sz w:val="22"/>
        </w:rPr>
        <w:t>(x)</w:t>
      </w:r>
      <w:r>
        <w:rPr>
          <w:color w:val="000000"/>
        </w:rPr>
        <w:t xml:space="preserve"> </w:t>
      </w:r>
      <w:r>
        <w:rPr>
          <w:rFonts w:ascii="Arial;sans-serif" w:hAnsi="Arial;sans-serif"/>
          <w:b w:val="false"/>
          <w:color w:val="000000"/>
          <w:sz w:val="22"/>
        </w:rPr>
        <w:t>any shares subject to an Award that are retained as payment of the exercise price of an Option;</w:t>
      </w:r>
    </w:p>
    <w:p>
      <w:pPr>
        <w:pStyle w:val="TextBody"/>
        <w:bidi w:val="0"/>
        <w:spacing w:lineRule="auto" w:line="288" w:before="0" w:after="180"/>
        <w:ind w:left="0" w:right="0" w:hanging="720"/>
        <w:jc w:val="both"/>
        <w:rPr/>
      </w:pPr>
      <w:r>
        <w:rPr>
          <w:rFonts w:ascii="Arial;sans-serif" w:hAnsi="Arial;sans-serif"/>
          <w:b w:val="false"/>
          <w:color w:val="000000"/>
          <w:sz w:val="22"/>
        </w:rPr>
        <w:t>(y)</w:t>
      </w:r>
      <w:r>
        <w:rPr>
          <w:color w:val="000000"/>
        </w:rPr>
        <w:t xml:space="preserve"> </w:t>
      </w:r>
      <w:r>
        <w:rPr>
          <w:rFonts w:ascii="Arial;sans-serif" w:hAnsi="Arial;sans-serif"/>
          <w:b w:val="false"/>
          <w:color w:val="000000"/>
          <w:sz w:val="22"/>
        </w:rPr>
        <w:t>any shares retained to satisfy: (A) all tax withholding obligations with respect to an Option or Stock Appreciation Right, or (B) tax withholding obligations in excess of the minimum required withholding amount with respect to a Full Value Award; and</w:t>
      </w:r>
    </w:p>
    <w:p>
      <w:pPr>
        <w:pStyle w:val="TextBody"/>
        <w:bidi w:val="0"/>
        <w:spacing w:lineRule="auto" w:line="288" w:before="0" w:after="180"/>
        <w:ind w:left="0" w:right="0" w:hanging="720"/>
        <w:jc w:val="both"/>
        <w:rPr/>
      </w:pPr>
      <w:r>
        <w:rPr>
          <w:rFonts w:ascii="Arial;sans-serif" w:hAnsi="Arial;sans-serif"/>
          <w:b w:val="false"/>
          <w:color w:val="000000"/>
          <w:sz w:val="22"/>
        </w:rPr>
        <w:t>(z)</w:t>
      </w:r>
      <w:r>
        <w:rPr>
          <w:color w:val="000000"/>
        </w:rPr>
        <w:t xml:space="preserve"> </w:t>
      </w:r>
      <w:r>
        <w:rPr>
          <w:rFonts w:ascii="Arial;sans-serif" w:hAnsi="Arial;sans-serif"/>
          <w:b w:val="false"/>
          <w:color w:val="000000"/>
          <w:sz w:val="22"/>
        </w:rPr>
        <w:t>any shares repurchased by Huron using stock option exercise proceeds.</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For stock-settled Stock Appreciation Rights, the shares subject to the Award shall be counted against the Plan reserve, regardless of the number of shares issued.</w:t>
      </w:r>
    </w:p>
    <w:p>
      <w:pPr>
        <w:pStyle w:val="TextBody"/>
        <w:bidi w:val="0"/>
        <w:spacing w:lineRule="auto" w:line="288" w:before="0" w:after="180"/>
        <w:ind w:left="0" w:right="0" w:hanging="720"/>
        <w:jc w:val="both"/>
        <w:rPr/>
      </w:pPr>
      <w:r>
        <w:rPr>
          <w:rFonts w:ascii="Arial;sans-serif" w:hAnsi="Arial;sans-serif"/>
          <w:b w:val="false"/>
          <w:color w:val="000000"/>
          <w:sz w:val="22"/>
        </w:rPr>
        <w:t>(h)</w:t>
      </w:r>
      <w:r>
        <w:rPr>
          <w:rFonts w:ascii="Arial;sans-serif" w:hAnsi="Arial;sans-serif"/>
          <w:b/>
          <w:color w:val="000000"/>
          <w:sz w:val="24"/>
        </w:rPr>
        <w:t>Special Vesting Rules for All Awards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Except for Awards (when aggregated with all other Awards under the Plan) which do not exceed 5% of the total number of shares of Common Stock reserved for issuance under the Plan in the aggregate, in no event shall the required period of service for full vesting be less than one year (subject, to the extent provided by the Committee, to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acceleration of vesting in the event of the Participant’s death, Disability, or Change of Control).</w:t>
      </w:r>
    </w:p>
    <w:p>
      <w:pPr>
        <w:pStyle w:val="TextBody"/>
        <w:bidi w:val="0"/>
        <w:spacing w:lineRule="auto" w:line="288" w:before="0" w:after="180"/>
        <w:ind w:left="0" w:right="0" w:hanging="720"/>
        <w:jc w:val="both"/>
        <w:rPr/>
      </w:pPr>
      <w:r>
        <w:rPr>
          <w:rFonts w:ascii="Arial;sans-serif" w:hAnsi="Arial;sans-serif"/>
          <w:b w:val="false"/>
          <w:color w:val="000000"/>
          <w:sz w:val="22"/>
        </w:rPr>
        <w:t>(i)</w:t>
      </w:r>
      <w:r>
        <w:rPr>
          <w:rFonts w:ascii="Arial;sans-serif" w:hAnsi="Arial;sans-serif"/>
          <w:b/>
          <w:color w:val="000000"/>
          <w:sz w:val="24"/>
        </w:rPr>
        <w:t>Dividends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Dividends may be accrued but shall not be paid with respect to any Award unless and until the Participant has vested in the underlying Award.</w:t>
      </w:r>
    </w:p>
    <w:p>
      <w:pPr>
        <w:pStyle w:val="TextBody"/>
        <w:bidi w:val="0"/>
        <w:spacing w:lineRule="auto" w:line="288" w:before="0" w:after="180"/>
        <w:ind w:left="0" w:right="0" w:hanging="720"/>
        <w:jc w:val="both"/>
        <w:rPr/>
      </w:pPr>
      <w:r>
        <w:rPr>
          <w:rFonts w:ascii="Arial;sans-serif" w:hAnsi="Arial;sans-serif"/>
          <w:b w:val="false"/>
          <w:color w:val="000000"/>
          <w:sz w:val="22"/>
        </w:rPr>
        <w:t>5.</w:t>
      </w:r>
      <w:r>
        <w:rPr>
          <w:rFonts w:ascii="Arial;sans-serif" w:hAnsi="Arial;sans-serif"/>
          <w:b/>
          <w:color w:val="000000"/>
          <w:sz w:val="24"/>
        </w:rPr>
        <w:t>Administration of the Plan</w:t>
      </w:r>
      <w:r>
        <w:rPr>
          <w:rFonts w:ascii="Arial;sans-serif" w:hAnsi="Arial;sans-serif"/>
          <w:b w:val="false"/>
          <w:color w:val="000000"/>
          <w:sz w:val="22"/>
        </w:rPr>
        <w:t>.</w:t>
      </w:r>
    </w:p>
    <w:p>
      <w:pPr>
        <w:pStyle w:val="TextBody"/>
        <w:bidi w:val="0"/>
        <w:spacing w:lineRule="auto" w:line="288" w:before="0" w:after="180"/>
        <w:ind w:left="0" w:right="0" w:hanging="720"/>
        <w:jc w:val="both"/>
        <w:rPr/>
      </w:pPr>
      <w:r>
        <w:rPr>
          <w:rFonts w:ascii="Arial;sans-serif" w:hAnsi="Arial;sans-serif"/>
          <w:b w:val="false"/>
          <w:color w:val="000000"/>
          <w:sz w:val="22"/>
        </w:rPr>
        <w:t>(a)</w:t>
      </w:r>
      <w:r>
        <w:rPr>
          <w:rFonts w:ascii="Arial;sans-serif" w:hAnsi="Arial;sans-serif"/>
          <w:b/>
          <w:color w:val="000000"/>
          <w:sz w:val="24"/>
        </w:rPr>
        <w:t>General</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Plan shall be administered by the Committee.</w:t>
      </w:r>
      <w:r>
        <w:rPr>
          <w:color w:val="000000"/>
        </w:rPr>
        <w:t xml:space="preserve"> </w:t>
      </w:r>
      <w:r>
        <w:rPr>
          <w:rFonts w:ascii="Arial;sans-serif" w:hAnsi="Arial;sans-serif"/>
          <w:b w:val="false"/>
          <w:color w:val="000000"/>
          <w:sz w:val="22"/>
        </w:rPr>
        <w:t>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(i) grant Awards; (ii) determine the Eligible Individuals to whom, and the time or times at which, Awards shall be granted; (iii) determine the type and number of Awards to be granted; the number of shares of Common Stock or cash or other property to which an Award may relate and the terms, conditions, restrictions and performance criteria relating to any Award; (iv) determine whether, to what extent, and under what circumstances an Award may be settled, cancelled, forfeited, exchanged, or surrendered; (v) conclusively construe and interpret the Plan and all Awards; (vi) prescribe, amend and rescind rules and regulations relating to the Plan; (vii) determine the terms and provisions of Agreements; and (viii) make all other determinations deemed necessary or advisable for the operation and administration of the Plan.</w:t>
      </w:r>
      <w:r>
        <w:rPr>
          <w:color w:val="000000"/>
        </w:rPr>
        <w:t xml:space="preserve"> </w:t>
      </w:r>
      <w:r>
        <w:rPr>
          <w:rFonts w:ascii="Arial;sans-serif" w:hAnsi="Arial;sans-serif"/>
          <w:b w:val="false"/>
          <w:color w:val="000000"/>
          <w:sz w:val="22"/>
        </w:rPr>
        <w:t>The Committee may, in its sole and absolute discretion, without amendment to the Plan (but subject to the terms and conditions of the Plan), (w) accelerate the date on which any Option or Stock Appreciation Right becomes exercisable; (x) waive or amend the operation of Plan provisions respecting exercise after termination of employment (provided that the term of an Option or Stock Appreciation Right may not be extended beyond ten years from the date of grant); (y) accelerate the vesting date, or waive any condition imposed hereunder, with respect to any Full Value Award; and (z) otherwise adjust any of the terms applicable to any such Award in a manner consistent with the terms of the Plan.</w:t>
      </w:r>
    </w:p>
    <w:p>
      <w:pPr>
        <w:pStyle w:val="TextBody"/>
        <w:bidi w:val="0"/>
        <w:spacing w:lineRule="auto" w:line="288" w:before="0" w:after="180"/>
        <w:ind w:left="0" w:right="0" w:hanging="720"/>
        <w:jc w:val="both"/>
        <w:rPr/>
      </w:pPr>
      <w:r>
        <w:rPr>
          <w:rFonts w:ascii="Arial;sans-serif" w:hAnsi="Arial;sans-serif"/>
          <w:b w:val="false"/>
          <w:color w:val="000000"/>
          <w:sz w:val="22"/>
        </w:rPr>
        <w:t>(b)</w:t>
      </w:r>
      <w:r>
        <w:rPr>
          <w:rFonts w:ascii="Arial;sans-serif" w:hAnsi="Arial;sans-serif"/>
          <w:b/>
          <w:color w:val="000000"/>
          <w:sz w:val="24"/>
        </w:rPr>
        <w:t>Decisions Binding</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Any interpretations of the Plan by the Committee and any decisions made by it under the Plan are final and binding on all persons.</w:t>
      </w:r>
    </w:p>
    <w:p>
      <w:pPr>
        <w:pStyle w:val="TextBody"/>
        <w:bidi w:val="0"/>
        <w:spacing w:lineRule="auto" w:line="288" w:before="0" w:after="180"/>
        <w:ind w:left="0" w:right="0" w:hanging="720"/>
        <w:jc w:val="both"/>
        <w:rPr/>
      </w:pPr>
      <w:r>
        <w:rPr>
          <w:rFonts w:ascii="Arial;sans-serif" w:hAnsi="Arial;sans-serif"/>
          <w:b w:val="false"/>
          <w:color w:val="000000"/>
          <w:sz w:val="22"/>
        </w:rPr>
        <w:t>(c)</w:t>
      </w:r>
      <w:r>
        <w:rPr>
          <w:rFonts w:ascii="Arial;sans-serif" w:hAnsi="Arial;sans-serif"/>
          <w:b/>
          <w:color w:val="000000"/>
          <w:sz w:val="24"/>
        </w:rPr>
        <w:t>Delegation</w:t>
      </w:r>
      <w:r>
        <w:rPr>
          <w:rFonts w:ascii="Arial;sans-serif" w:hAnsi="Arial;sans-serif"/>
          <w:b w:val="false"/>
          <w:color w:val="000000"/>
          <w:sz w:val="22"/>
        </w:rPr>
        <w:t>.</w:t>
      </w:r>
      <w:r>
        <w:rPr>
          <w:color w:val="000000"/>
        </w:rPr>
        <w:t xml:space="preserve"> </w:t>
      </w:r>
      <w:r>
        <w:rPr>
          <w:rFonts w:ascii="Arial;sans-serif" w:hAnsi="Arial;sans-serif"/>
          <w:b w:val="false"/>
          <w:color w:val="000000"/>
          <w:sz w:val="24"/>
        </w:rPr>
        <w:t xml:space="preserve">Except to the extent prohibited by the applicable rules of any stock exchange or applicable law,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Huron or any of its Affiliates the authority to act on behalf of the Committee with respect to any matter, right, obligation, or election that is the responsibility of or that is allocated to the Committee herein, and that may be so delegated as a matter of law, except for grants of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4"/>
        </w:rPr>
      </w:pPr>
      <w:r>
        <w:rPr>
          <w:rFonts w:ascii="Arial;sans-serif" w:hAnsi="Arial;sans-serif"/>
          <w:b w:val="false"/>
          <w:color w:val="000000"/>
          <w:sz w:val="24"/>
        </w:rPr>
        <w:t>Awards to persons (i) who are non-employee members of the Board or otherwise are subject to Section 16 of the Exchange Act or (ii) who are, or who are reasonably expected to be, “covered employees” for purposes of Section 162(m) of the Code.</w:t>
      </w:r>
    </w:p>
    <w:p>
      <w:pPr>
        <w:pStyle w:val="TextBody"/>
        <w:bidi w:val="0"/>
        <w:spacing w:lineRule="auto" w:line="288" w:before="0" w:after="180"/>
        <w:ind w:left="0" w:right="0" w:hanging="720"/>
        <w:jc w:val="both"/>
        <w:rPr/>
      </w:pPr>
      <w:r>
        <w:rPr>
          <w:rFonts w:ascii="Arial;sans-serif" w:hAnsi="Arial;sans-serif"/>
          <w:b w:val="false"/>
          <w:color w:val="000000"/>
          <w:sz w:val="22"/>
        </w:rPr>
        <w:t>(d)</w:t>
      </w:r>
      <w:r>
        <w:rPr>
          <w:rFonts w:ascii="Arial;sans-serif" w:hAnsi="Arial;sans-serif"/>
          <w:b/>
          <w:color w:val="000000"/>
          <w:sz w:val="24"/>
        </w:rPr>
        <w:t>Indemnification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No member of the Committee (or an authorized delegate of the Committee), and no officer of Huron or any of the Affiliates, shall be liable for any action taken or omitted to be taken by such individual or by any other member of the Committee or officer of Huron or any Affiliate in connection with the performance of duties under this Plan, except for such individual’s own willful misconduct or as expressly provided by law (the “</w:t>
      </w:r>
      <w:r>
        <w:rPr>
          <w:rFonts w:ascii="Arial;sans-serif" w:hAnsi="Arial;sans-serif"/>
          <w:b w:val="false"/>
          <w:i/>
          <w:color w:val="000000"/>
          <w:sz w:val="24"/>
        </w:rPr>
        <w:t>Administrative Actions</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Further, the Committee (and all delegates of the Committee), in addition to such other rights of indemnification as they may have as members of the Board of Directors or officers of Huron or an Affiliate, any individual serving as a Committee member (and any authorized delegate) shall be indemnified and held harmless by Huron to the fullest extent allowed by law against all costs and expenses reasonably incurred by them in connection with any action, suit or proceeding to which they or any of them may be party by reason of any Administrative Action.</w:t>
      </w:r>
    </w:p>
    <w:p>
      <w:pPr>
        <w:pStyle w:val="TextBody"/>
        <w:bidi w:val="0"/>
        <w:spacing w:lineRule="auto" w:line="288" w:before="0" w:after="180"/>
        <w:ind w:left="0" w:right="0" w:hanging="720"/>
        <w:jc w:val="both"/>
        <w:rPr/>
      </w:pPr>
      <w:r>
        <w:rPr>
          <w:rFonts w:ascii="Arial;sans-serif" w:hAnsi="Arial;sans-serif"/>
          <w:b w:val="false"/>
          <w:color w:val="000000"/>
          <w:sz w:val="22"/>
        </w:rPr>
        <w:t>6.</w:t>
      </w:r>
      <w:r>
        <w:rPr>
          <w:rFonts w:ascii="Arial;sans-serif" w:hAnsi="Arial;sans-serif"/>
          <w:b/>
          <w:color w:val="000000"/>
          <w:sz w:val="24"/>
        </w:rPr>
        <w:t xml:space="preserve">Participation. </w:t>
      </w:r>
      <w:r>
        <w:rPr>
          <w:rFonts w:ascii="Arial;sans-serif" w:hAnsi="Arial;sans-serif"/>
          <w:b w:val="false"/>
          <w:color w:val="000000"/>
          <w:sz w:val="22"/>
        </w:rPr>
        <w:t>Subject to the terms and conditions of the Plan, the Committee shall determine and designate, from time to time, from among the Eligible Individuals those persons who will be granted one or more Awards under the Plan and, subject to the terms and conditions of the Plan, a Participant may be granted any Award permitted under the provisions of the Plan and more than one Award may be granted to a Participant.</w:t>
      </w:r>
      <w:r>
        <w:rPr>
          <w:color w:val="000000"/>
        </w:rPr>
        <w:t xml:space="preserve"> </w:t>
      </w:r>
      <w:r>
        <w:rPr>
          <w:rFonts w:ascii="Arial;sans-serif" w:hAnsi="Arial;sans-serif"/>
          <w:b w:val="false"/>
          <w:color w:val="000000"/>
          <w:sz w:val="22"/>
        </w:rPr>
        <w:t>Except as otherwise agreed between Huron and the Participant, or except as otherwise provided in the Plan, an Award under the Plan shall not affect any previous Award under the Plan or an award under any other plan maintained by Huron or any of the Affiliates.</w:t>
      </w:r>
      <w:r>
        <w:rPr>
          <w:color w:val="000000"/>
        </w:rPr>
        <w:t xml:space="preserve"> </w:t>
      </w:r>
      <w:r>
        <w:rPr>
          <w:rFonts w:ascii="Arial;sans-serif" w:hAnsi="Arial;sans-serif"/>
          <w:b w:val="false"/>
          <w:color w:val="000000"/>
          <w:sz w:val="22"/>
        </w:rPr>
        <w:t>No Participant or other person shall have any claim to be granted any Award, and there is no obligation for uniformity of treatment of Participants, or holders or beneficiaries of Awards, or of multiple Awards granted to a Participant.</w:t>
      </w:r>
      <w:r>
        <w:rPr>
          <w:color w:val="000000"/>
        </w:rPr>
        <w:t xml:space="preserve"> </w:t>
      </w:r>
      <w:r>
        <w:rPr>
          <w:rFonts w:ascii="Arial;sans-serif" w:hAnsi="Arial;sans-serif"/>
          <w:b w:val="false"/>
          <w:color w:val="000000"/>
          <w:sz w:val="22"/>
        </w:rPr>
        <w:t>The terms and conditions of Awards and the Committee’s determinations and interpretations with respect thereto need not be the same with respect to each Participant (whether or not such Participants are similarly situated).</w:t>
      </w:r>
    </w:p>
    <w:p>
      <w:pPr>
        <w:pStyle w:val="TextBody"/>
        <w:bidi w:val="0"/>
        <w:spacing w:lineRule="auto" w:line="288" w:before="0" w:after="180"/>
        <w:ind w:left="0" w:right="0" w:hanging="720"/>
        <w:jc w:val="both"/>
        <w:rPr/>
      </w:pPr>
      <w:r>
        <w:rPr>
          <w:rFonts w:ascii="Arial;sans-serif" w:hAnsi="Arial;sans-serif"/>
          <w:b w:val="false"/>
          <w:color w:val="000000"/>
          <w:sz w:val="22"/>
        </w:rPr>
        <w:t>7.</w:t>
      </w:r>
      <w:r>
        <w:rPr>
          <w:rFonts w:ascii="Arial;sans-serif" w:hAnsi="Arial;sans-serif"/>
          <w:b/>
          <w:color w:val="000000"/>
          <w:sz w:val="24"/>
        </w:rPr>
        <w:t>Options and Stock Appreciation Rights.</w:t>
      </w:r>
    </w:p>
    <w:p>
      <w:pPr>
        <w:pStyle w:val="TextBody"/>
        <w:bidi w:val="0"/>
        <w:spacing w:lineRule="auto" w:line="288" w:before="0" w:after="180"/>
        <w:ind w:left="0" w:right="0" w:hanging="720"/>
        <w:jc w:val="both"/>
        <w:rPr/>
      </w:pPr>
      <w:r>
        <w:rPr>
          <w:rFonts w:ascii="Arial;sans-serif" w:hAnsi="Arial;sans-serif"/>
          <w:b w:val="false"/>
          <w:color w:val="000000"/>
          <w:sz w:val="22"/>
        </w:rPr>
        <w:t>(a)</w:t>
      </w:r>
      <w:r>
        <w:rPr>
          <w:rFonts w:ascii="Arial;sans-serif" w:hAnsi="Arial;sans-serif"/>
          <w:b/>
          <w:color w:val="000000"/>
          <w:sz w:val="24"/>
        </w:rPr>
        <w:t>Grant of Awards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Committee may grant Options and/or Stock Appreciation Rights to Eligible Individuals, subject to the terms and conditions of the Plan.</w:t>
      </w:r>
    </w:p>
    <w:p>
      <w:pPr>
        <w:pStyle w:val="TextBody"/>
        <w:bidi w:val="0"/>
        <w:spacing w:lineRule="auto" w:line="288" w:before="0" w:after="180"/>
        <w:ind w:left="0" w:right="0" w:hanging="720"/>
        <w:jc w:val="both"/>
        <w:rPr/>
      </w:pPr>
      <w:r>
        <w:rPr>
          <w:rFonts w:ascii="Arial;sans-serif" w:hAnsi="Arial;sans-serif"/>
          <w:b w:val="false"/>
          <w:color w:val="000000"/>
          <w:sz w:val="22"/>
        </w:rPr>
        <w:t>(b)</w:t>
      </w:r>
      <w:r>
        <w:rPr>
          <w:rFonts w:ascii="Arial;sans-serif" w:hAnsi="Arial;sans-serif"/>
          <w:b/>
          <w:color w:val="000000"/>
          <w:sz w:val="24"/>
        </w:rPr>
        <w:t>Identification of Options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Each Option shall be clearly identified as either an Incentive Stock Option or a Nonqualified Stock Option.</w:t>
      </w:r>
    </w:p>
    <w:p>
      <w:pPr>
        <w:pStyle w:val="TextBody"/>
        <w:bidi w:val="0"/>
        <w:spacing w:lineRule="auto" w:line="288" w:before="0" w:after="180"/>
        <w:ind w:left="0" w:right="0" w:hanging="720"/>
        <w:jc w:val="both"/>
        <w:rPr/>
      </w:pPr>
      <w:r>
        <w:rPr>
          <w:rFonts w:ascii="Arial;sans-serif" w:hAnsi="Arial;sans-serif"/>
          <w:b w:val="false"/>
          <w:color w:val="000000"/>
          <w:sz w:val="22"/>
        </w:rPr>
        <w:t>(c)</w:t>
      </w:r>
      <w:r>
        <w:rPr>
          <w:rFonts w:ascii="Arial;sans-serif" w:hAnsi="Arial;sans-serif"/>
          <w:b/>
          <w:color w:val="000000"/>
          <w:sz w:val="24"/>
        </w:rPr>
        <w:t>Exercise Price</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w:t>
      </w:r>
      <w:r>
        <w:rPr>
          <w:rFonts w:ascii="Arial;sans-serif" w:hAnsi="Arial;sans-serif"/>
          <w:b w:val="false"/>
          <w:i/>
          <w:color w:val="000000"/>
          <w:sz w:val="24"/>
        </w:rPr>
        <w:t>Exercise Price</w:t>
      </w:r>
      <w:r>
        <w:rPr>
          <w:color w:val="000000"/>
        </w:rPr>
        <w:t xml:space="preserve">” </w:t>
      </w:r>
      <w:r>
        <w:rPr>
          <w:rFonts w:ascii="Arial;sans-serif" w:hAnsi="Arial;sans-serif"/>
          <w:b w:val="false"/>
          <w:color w:val="000000"/>
          <w:sz w:val="22"/>
        </w:rPr>
        <w:t xml:space="preserve">of an Option or Stock Appreciation Right shall be established by the Committee at the time the Option or Stock Appreciation Right is granted; provided, however, that in no event shall the Exercise Price be less than 100% of the Fair Market Value of a share of Common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Stock on the date of grant (or, if greater, the par value of a share of Common Stock on the date of grant).</w:t>
      </w:r>
    </w:p>
    <w:p>
      <w:pPr>
        <w:pStyle w:val="TextBody"/>
        <w:bidi w:val="0"/>
        <w:spacing w:lineRule="auto" w:line="288" w:before="0" w:after="180"/>
        <w:ind w:left="0" w:right="0" w:hanging="720"/>
        <w:jc w:val="both"/>
        <w:rPr/>
      </w:pPr>
      <w:r>
        <w:rPr>
          <w:rFonts w:ascii="Arial;sans-serif" w:hAnsi="Arial;sans-serif"/>
          <w:b w:val="false"/>
          <w:color w:val="000000"/>
          <w:sz w:val="22"/>
        </w:rPr>
        <w:t>(d)</w:t>
      </w:r>
      <w:r>
        <w:rPr>
          <w:rFonts w:ascii="Arial;sans-serif" w:hAnsi="Arial;sans-serif"/>
          <w:b/>
          <w:color w:val="000000"/>
          <w:sz w:val="24"/>
        </w:rPr>
        <w:t>No Repricing/Prohibition on Buy-Back</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Except for either adjustments pursuant to Section 4(f) or reductions of the Exercise Price approved by Huron’s stockholders, the Exercise Price for any outstanding Option or Stock Appreciation Right may not be decreased after the date of grant nor may an outstanding Option or Stock Appreciation Right granted under the Plan be surrendered to Huron as consideration for the grant of a replacement Option or Stock Appreciation Right with a lower Exercise Price.</w:t>
      </w:r>
      <w:r>
        <w:rPr>
          <w:color w:val="000000"/>
        </w:rPr>
        <w:t xml:space="preserve"> </w:t>
      </w:r>
      <w:r>
        <w:rPr>
          <w:rFonts w:ascii="Arial;sans-serif" w:hAnsi="Arial;sans-serif"/>
          <w:b w:val="false"/>
          <w:color w:val="000000"/>
          <w:sz w:val="22"/>
        </w:rPr>
        <w:t>Except as approved by Huron’s stockholders, in no event shall any Option or Stock Appreciation Right granted under the Plan be surrendered to Huron in consideration for a cash payment if, at the time of such surrender, the Exercise Price of the Option or Stock Appreciation Right is greater than the then current Fair Market Value of a share of Common Stock.</w:t>
      </w:r>
      <w:r>
        <w:rPr>
          <w:color w:val="000000"/>
        </w:rPr>
        <w:t xml:space="preserve"> </w:t>
      </w:r>
      <w:r>
        <w:rPr>
          <w:rFonts w:ascii="Arial;sans-serif" w:hAnsi="Arial;sans-serif"/>
          <w:b w:val="false"/>
          <w:color w:val="000000"/>
          <w:sz w:val="22"/>
        </w:rPr>
        <w:t>In addition, no repricing of an Option shall be permitted without the approval of Huron’s stockholders if such approval is required under the rules of any stock exchange on which Common Stock is listed.</w:t>
      </w:r>
    </w:p>
    <w:p>
      <w:pPr>
        <w:pStyle w:val="TextBody"/>
        <w:bidi w:val="0"/>
        <w:spacing w:lineRule="auto" w:line="288" w:before="0" w:after="180"/>
        <w:ind w:left="0" w:right="0" w:hanging="720"/>
        <w:jc w:val="both"/>
        <w:rPr/>
      </w:pPr>
      <w:r>
        <w:rPr>
          <w:rFonts w:ascii="Arial;sans-serif" w:hAnsi="Arial;sans-serif"/>
          <w:b w:val="false"/>
          <w:color w:val="000000"/>
          <w:sz w:val="22"/>
        </w:rPr>
        <w:t>(e)</w:t>
      </w:r>
      <w:r>
        <w:rPr>
          <w:rFonts w:ascii="Arial;sans-serif" w:hAnsi="Arial;sans-serif"/>
          <w:b/>
          <w:color w:val="000000"/>
          <w:sz w:val="24"/>
        </w:rPr>
        <w:t>Term and Exercise.</w:t>
      </w:r>
    </w:p>
    <w:p>
      <w:pPr>
        <w:pStyle w:val="TextBody"/>
        <w:bidi w:val="0"/>
        <w:spacing w:lineRule="auto" w:line="288" w:before="0" w:after="180"/>
        <w:ind w:left="0" w:right="0" w:hanging="645"/>
        <w:jc w:val="both"/>
        <w:rPr/>
      </w:pPr>
      <w:r>
        <w:rPr>
          <w:rFonts w:ascii="Arial;sans-serif" w:hAnsi="Arial;sans-serif"/>
          <w:b w:val="false"/>
          <w:color w:val="000000"/>
          <w:sz w:val="22"/>
        </w:rPr>
        <w:t>(i)Each Option or Stock Appreciation Right shall become exercisable at the time determined by the Committee at the date of grant, subject to the terms and conditions of the Plan.</w:t>
      </w:r>
      <w:r>
        <w:rPr>
          <w:color w:val="000000"/>
        </w:rPr>
        <w:t xml:space="preserve"> </w:t>
      </w:r>
      <w:r>
        <w:rPr>
          <w:rFonts w:ascii="Arial;sans-serif" w:hAnsi="Arial;sans-serif"/>
          <w:b w:val="false"/>
          <w:color w:val="000000"/>
          <w:sz w:val="22"/>
        </w:rPr>
        <w:t>At the time of grant of an Option or Stock Appreciation Right, as applicable, the Committee may impose such restrictions or conditions of the exercisability of the Award as it, in its absolute discretion, deems appropriate, including, but not limited to, achievement of performance goals based on one or more Business Criteria or conditions relating to the completion of a specified period of service.</w:t>
      </w:r>
      <w:r>
        <w:rPr>
          <w:color w:val="000000"/>
        </w:rPr>
        <w:t xml:space="preserve"> </w:t>
      </w:r>
      <w:r>
        <w:rPr>
          <w:rFonts w:ascii="Arial;sans-serif" w:hAnsi="Arial;sans-serif"/>
          <w:b w:val="false"/>
          <w:color w:val="000000"/>
          <w:sz w:val="22"/>
        </w:rPr>
        <w:t>Subject to Section 7(g) hereof, the Committee shall determine the expiration date of each Option and Stock Appreciation Right, as applicable, which shall be no later than the tenth anniversary of the date of grant of the Award.</w:t>
      </w:r>
      <w:r>
        <w:rPr>
          <w:color w:val="000000"/>
        </w:rPr>
        <w:t xml:space="preserve"> </w:t>
      </w:r>
      <w:r>
        <w:rPr>
          <w:rFonts w:ascii="Arial;sans-serif" w:hAnsi="Arial;sans-serif"/>
          <w:b w:val="false"/>
          <w:color w:val="000000"/>
          <w:sz w:val="22"/>
        </w:rPr>
        <w:t>No Option or Stock Appreciation Right, as applicable, may be exercised after the expiration date applicable thereto.</w:t>
      </w:r>
      <w:r>
        <w:rPr>
          <w:color w:val="000000"/>
        </w:rPr>
        <w:t xml:space="preserve"> </w:t>
      </w:r>
      <w:r>
        <w:rPr>
          <w:rFonts w:ascii="Arial;sans-serif" w:hAnsi="Arial;sans-serif"/>
          <w:b w:val="false"/>
          <w:color w:val="000000"/>
          <w:sz w:val="22"/>
        </w:rPr>
        <w:t>If an Option (other than an Incentive Stock Option) has an expiration date during or within three days of a Blackout Period (defined as any period of time when, pursuant to any policies of Huron, any securities of the Corporation may not be traded by certain persons as designated by the Corporation), then the expiration date of such Option shall be extended for a period of 30 days following the end of the Blackout Period or such longer period as permitted by the Committee.</w:t>
      </w:r>
      <w:r>
        <w:rPr>
          <w:color w:val="000000"/>
        </w:rPr>
        <w:t xml:space="preserve"> </w:t>
      </w:r>
      <w:r>
        <w:rPr>
          <w:rFonts w:ascii="Arial;sans-serif" w:hAnsi="Arial;sans-serif"/>
          <w:b w:val="false"/>
          <w:color w:val="000000"/>
          <w:sz w:val="22"/>
        </w:rPr>
        <w:t>Notwithstanding the foregoing, no extension of the exercise period may occur if it would cause the Option to become subject to and in violation of the requirements of Section 409A(a) of the Code.</w:t>
      </w:r>
    </w:p>
    <w:p>
      <w:pPr>
        <w:pStyle w:val="TextBody"/>
        <w:bidi w:val="0"/>
        <w:spacing w:lineRule="auto" w:line="288" w:before="0" w:after="180"/>
        <w:ind w:left="0" w:right="0" w:hanging="694"/>
        <w:jc w:val="both"/>
        <w:rPr/>
      </w:pPr>
      <w:r>
        <w:rPr>
          <w:rFonts w:ascii="Arial;sans-serif" w:hAnsi="Arial;sans-serif"/>
          <w:b w:val="false"/>
          <w:color w:val="000000"/>
          <w:sz w:val="22"/>
        </w:rPr>
        <w:t>(ii)An Option or Stock Appreciation Right shall be exercised by delivering the form of notice of exercise provided by Huron.</w:t>
      </w:r>
      <w:r>
        <w:rPr>
          <w:color w:val="000000"/>
        </w:rPr>
        <w:t xml:space="preserve"> </w:t>
      </w:r>
      <w:r>
        <w:rPr>
          <w:rFonts w:ascii="Arial;sans-serif" w:hAnsi="Arial;sans-serif"/>
          <w:b w:val="false"/>
          <w:color w:val="000000"/>
          <w:sz w:val="22"/>
        </w:rPr>
        <w:t xml:space="preserve">Unless otherwise provided in the Award Agreement, an Option will be automatically exercised via a broker- assisted cashless exercise upon the expiration date of the Option if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the value of a share of Common Stock on the expiration date exceeds the Exercise Price for such Option.</w:t>
      </w:r>
    </w:p>
    <w:p>
      <w:pPr>
        <w:pStyle w:val="TextBody"/>
        <w:bidi w:val="0"/>
        <w:spacing w:lineRule="auto" w:line="288" w:before="0" w:after="180"/>
        <w:ind w:left="0" w:right="0" w:hanging="743"/>
        <w:jc w:val="both"/>
        <w:rPr>
          <w:rFonts w:ascii="Arial;sans-serif" w:hAnsi="Arial;sans-serif"/>
          <w:b w:val="false"/>
          <w:color w:val="000000"/>
          <w:sz w:val="22"/>
        </w:rPr>
      </w:pPr>
      <w:r>
        <w:rPr>
          <w:rFonts w:ascii="Arial;sans-serif" w:hAnsi="Arial;sans-serif"/>
          <w:b w:val="false"/>
          <w:color w:val="000000"/>
          <w:sz w:val="22"/>
        </w:rPr>
        <w:t>(iii)Payment for shares of Common Stock purchased upon the exercise of the Option shall be made on the effective date of such exercise by one or a combination of the following means (except that in the case of exercise using a broker- assisted cashless exercise, payment may be made as soon as practicable after exercise): (1) in cash or cash equivalents; (2) by tendering, by actual delivery or attestation, shares of Common Stock owned by the Participant for at least six months prior to the date of exercise and valued on the effective date of such exercise; or (3) by any such other methods (including broker-assisted cashless exercise via a broker selected by the Committee) as the Committee may from time to time authorize; provided, however, that in all cases, the method of making such payment shall be in compliance with applicable law.</w:t>
      </w:r>
    </w:p>
    <w:p>
      <w:pPr>
        <w:pStyle w:val="TextBody"/>
        <w:bidi w:val="0"/>
        <w:spacing w:lineRule="auto" w:line="288" w:before="0" w:after="180"/>
        <w:ind w:left="0" w:right="0" w:hanging="755"/>
        <w:jc w:val="both"/>
        <w:rPr/>
      </w:pPr>
      <w:r>
        <w:rPr>
          <w:rFonts w:ascii="Arial;sans-serif" w:hAnsi="Arial;sans-serif"/>
          <w:b w:val="false"/>
          <w:color w:val="000000"/>
          <w:sz w:val="22"/>
        </w:rPr>
        <w:t>(iv)Payment in settlement of a Stock Appreciation Right may be made solely in whole shares of Common Stock valued on the date of exercise of the Stock Appreciation Right or alternatively, in the sole discretion of the Committee, solely in cash or a combination of cash and shares.</w:t>
      </w:r>
      <w:r>
        <w:rPr>
          <w:color w:val="000000"/>
        </w:rPr>
        <w:t xml:space="preserve"> </w:t>
      </w:r>
      <w:r>
        <w:rPr>
          <w:rFonts w:ascii="Arial;sans-serif" w:hAnsi="Arial;sans-serif"/>
          <w:b w:val="false"/>
          <w:color w:val="000000"/>
          <w:sz w:val="22"/>
        </w:rPr>
        <w:t>If the Committee decides that payment will be made in shares of Common Stock, and the amount payable results in a fractional share, payment for the fractional share will be made in cash.</w:t>
      </w:r>
    </w:p>
    <w:p>
      <w:pPr>
        <w:pStyle w:val="TextBody"/>
        <w:bidi w:val="0"/>
        <w:spacing w:lineRule="auto" w:line="288" w:before="0" w:after="180"/>
        <w:ind w:left="0" w:right="0" w:hanging="706"/>
        <w:jc w:val="both"/>
        <w:rPr>
          <w:rFonts w:ascii="Arial;sans-serif" w:hAnsi="Arial;sans-serif"/>
          <w:b w:val="false"/>
          <w:color w:val="000000"/>
          <w:sz w:val="22"/>
        </w:rPr>
      </w:pPr>
      <w:r>
        <w:rPr>
          <w:rFonts w:ascii="Arial;sans-serif" w:hAnsi="Arial;sans-serif"/>
          <w:b w:val="false"/>
          <w:color w:val="000000"/>
          <w:sz w:val="22"/>
        </w:rPr>
        <w:t>(v)Upon the exercise of an Option or settlement of a Stock Appreciation Right in shares of Common Stock, in a manner determined by the Committee, either (1) certificates for shares of Common Stock shall be issued in the name of or for the account of the Participant or other person entitled to receive such shares or (2) shares of Common Stock shall be credited to such person’s account via book-entry transfer and shall be registered in such person’s name solely on the records of Huron’s transfer agent, in each case, as soon as practicable following the effective date on which the Option or Stock Appreciation Right, as applicable, is exercised.</w:t>
      </w:r>
    </w:p>
    <w:p>
      <w:pPr>
        <w:pStyle w:val="TextBody"/>
        <w:bidi w:val="0"/>
        <w:spacing w:lineRule="auto" w:line="288" w:before="0" w:after="180"/>
        <w:ind w:left="0" w:right="0" w:hanging="720"/>
        <w:jc w:val="both"/>
        <w:rPr/>
      </w:pPr>
      <w:r>
        <w:rPr>
          <w:rFonts w:ascii="Arial;sans-serif" w:hAnsi="Arial;sans-serif"/>
          <w:b w:val="false"/>
          <w:color w:val="000000"/>
          <w:sz w:val="22"/>
        </w:rPr>
        <w:t>(f)</w:t>
      </w:r>
      <w:r>
        <w:rPr>
          <w:rFonts w:ascii="Arial;sans-serif" w:hAnsi="Arial;sans-serif"/>
          <w:b/>
          <w:color w:val="000000"/>
          <w:sz w:val="24"/>
        </w:rPr>
        <w:t>Provisions Relating to Incentive Stock Options</w:t>
      </w:r>
      <w:r>
        <w:rPr>
          <w:rFonts w:ascii="Arial;sans-serif" w:hAnsi="Arial;sans-serif"/>
          <w:b w:val="false"/>
          <w:color w:val="000000"/>
          <w:sz w:val="24"/>
        </w:rPr>
        <w:t xml:space="preserve">. Incentive Stock Options may only be granted to employees of Huron and its Subsidiaries, in accordance with the provisions of Section 422 of the Code. To the extent that the aggregate Fair Market Value of shares of Common </w:t>
      </w:r>
      <w:r>
        <w:rPr>
          <w:rFonts w:ascii="Arial;sans-serif" w:hAnsi="Arial;sans-serif"/>
          <w:b/>
          <w:color w:val="000000"/>
          <w:sz w:val="24"/>
        </w:rPr>
        <w:t>Stock</w:t>
      </w:r>
      <w:r>
        <w:rPr>
          <w:color w:val="000000"/>
        </w:rPr>
        <w:t xml:space="preserve"> </w:t>
      </w:r>
      <w:r>
        <w:rPr>
          <w:rFonts w:ascii="Arial;sans-serif" w:hAnsi="Arial;sans-serif"/>
          <w:b w:val="false"/>
          <w:color w:val="000000"/>
          <w:sz w:val="24"/>
        </w:rPr>
        <w:t xml:space="preserve">with respect to which Incentive Stock Options are exercisable for the first time by a Participant during any calendar year under the Plan and any other stock option plan of Huron or any of its Subsidiaries shall exceed $100,000, such Options shall be treated as Nonqualified Stock Options. For purposes of the preceding sentence, Fair Market Value shall be determined as of the date on which each such Incentive Stock Option is granted. No Incentive Stock Option may be granted to an individual if, at the time of the proposed grant, such individual owns (or is deemed to own under the Code) stock possessing more than ten percent of the total combined voting power of all classes of stock of Huron and its Subsidiaries unless (i) the exercise price of such Incentive Stock Option is at least 110% of the Fair Market Value of a share of Common Stock at the time such Incentive Stock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4"/>
        </w:rPr>
      </w:pPr>
      <w:r>
        <w:rPr>
          <w:rFonts w:ascii="Arial;sans-serif" w:hAnsi="Arial;sans-serif"/>
          <w:b w:val="false"/>
          <w:color w:val="000000"/>
          <w:sz w:val="24"/>
        </w:rPr>
        <w:t>Option is granted and (ii) such Incentive Stock Option is not exercisable after the expiration of five years from the date such Incentive Stock Option is granted. A Participant shall be required to notify Huron of any disposition of shares of Common Stock issued pursuant to the exercise of an Incentive Stock Option under the circumstances described in Section 421(b) of the Code (relating to certain disqualifying dispositions), within 10 days of such disposition.</w:t>
      </w:r>
    </w:p>
    <w:p>
      <w:pPr>
        <w:pStyle w:val="TextBody"/>
        <w:bidi w:val="0"/>
        <w:spacing w:lineRule="auto" w:line="288" w:before="0" w:after="180"/>
        <w:ind w:left="0" w:right="0" w:hanging="720"/>
        <w:jc w:val="both"/>
        <w:rPr/>
      </w:pPr>
      <w:r>
        <w:rPr>
          <w:rFonts w:ascii="Arial;sans-serif" w:hAnsi="Arial;sans-serif"/>
          <w:b w:val="false"/>
          <w:color w:val="000000"/>
          <w:sz w:val="22"/>
        </w:rPr>
        <w:t>(g)</w:t>
      </w:r>
      <w:r>
        <w:rPr>
          <w:rFonts w:ascii="Arial;sans-serif" w:hAnsi="Arial;sans-serif"/>
          <w:b/>
          <w:color w:val="000000"/>
          <w:sz w:val="24"/>
        </w:rPr>
        <w:t>Effect of Termination of Employment or Provision of Services on Options and Stock Appreciation Rights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Committee shall determine the effect of termination of employment or termination of service on each Option and Stock Appreciation Right, subject to the terms and conditions of the Plan.</w:t>
      </w:r>
      <w:r>
        <w:rPr>
          <w:color w:val="000000"/>
        </w:rPr>
        <w:t xml:space="preserve"> </w:t>
      </w:r>
      <w:r>
        <w:rPr>
          <w:rFonts w:ascii="Arial;sans-serif" w:hAnsi="Arial;sans-serif"/>
          <w:b w:val="false"/>
          <w:color w:val="000000"/>
          <w:sz w:val="22"/>
        </w:rPr>
        <w:t>Unless otherwise provided by the Committee:</w:t>
      </w:r>
    </w:p>
    <w:p>
      <w:pPr>
        <w:pStyle w:val="TextBody"/>
        <w:bidi w:val="0"/>
        <w:spacing w:lineRule="auto" w:line="288" w:before="0" w:after="180"/>
        <w:ind w:left="0" w:right="0" w:hanging="915"/>
        <w:jc w:val="both"/>
        <w:rPr>
          <w:rFonts w:ascii="Arial;sans-serif" w:hAnsi="Arial;sans-serif"/>
          <w:b w:val="false"/>
          <w:color w:val="000000"/>
          <w:sz w:val="22"/>
        </w:rPr>
      </w:pPr>
      <w:r>
        <w:rPr>
          <w:rFonts w:ascii="Arial;sans-serif" w:hAnsi="Arial;sans-serif"/>
          <w:b w:val="false"/>
          <w:color w:val="000000"/>
          <w:sz w:val="22"/>
        </w:rPr>
        <w:t>(i)any Option or Stock Appreciation Right that is outstanding on the date on which a Participant’s employment or service with Huron and the Affiliates terminates due to death or as a result of the Participant’s being Disabled shall become fully vested and exercisable on the date on which the Participant’s employment or service terminates due to the Participant’s death or as a result of the Participant’s being Disabled;</w:t>
      </w:r>
    </w:p>
    <w:p>
      <w:pPr>
        <w:pStyle w:val="TextBody"/>
        <w:bidi w:val="0"/>
        <w:spacing w:lineRule="auto" w:line="288" w:before="0" w:after="180"/>
        <w:ind w:left="0" w:right="0" w:hanging="964"/>
        <w:jc w:val="both"/>
        <w:rPr>
          <w:rFonts w:ascii="Arial;sans-serif" w:hAnsi="Arial;sans-serif"/>
          <w:b w:val="false"/>
          <w:color w:val="000000"/>
          <w:sz w:val="22"/>
        </w:rPr>
      </w:pPr>
      <w:r>
        <w:rPr>
          <w:rFonts w:ascii="Arial;sans-serif" w:hAnsi="Arial;sans-serif"/>
          <w:b w:val="false"/>
          <w:color w:val="000000"/>
          <w:sz w:val="22"/>
        </w:rPr>
        <w:t>(ii)any Option or Stock Appreciation Right that is outstanding on the date on which a Participant’s employment or service with Huron and the Affiliates terminates for Cause, whether or not then exercisable, shall be terminated effective as of the day immediately prior to the date of termination;</w:t>
      </w:r>
    </w:p>
    <w:p>
      <w:pPr>
        <w:pStyle w:val="TextBody"/>
        <w:bidi w:val="0"/>
        <w:spacing w:lineRule="auto" w:line="288" w:before="0" w:after="180"/>
        <w:ind w:left="0" w:right="0" w:hanging="1013"/>
        <w:jc w:val="both"/>
        <w:rPr>
          <w:rFonts w:ascii="Arial;sans-serif" w:hAnsi="Arial;sans-serif"/>
          <w:b w:val="false"/>
          <w:color w:val="000000"/>
          <w:sz w:val="22"/>
        </w:rPr>
      </w:pPr>
      <w:r>
        <w:rPr>
          <w:rFonts w:ascii="Arial;sans-serif" w:hAnsi="Arial;sans-serif"/>
          <w:b w:val="false"/>
          <w:color w:val="000000"/>
          <w:sz w:val="22"/>
        </w:rPr>
        <w:t>(iii)any Option or Stock Appreciation Right that is outstanding on the date that a Participant’s employment or service with Huron and the Affiliates terminates for any reason other than Cause, death, or the Participant’s being Disabled or Retirement, (1) shall remain exercisable for the 90-day period following such termination to the extent that it is exercisable at the time of such termination, but in no event following the expiration of its term and (2) shall be terminated effective as of the date of termination to the extent it remains unexercisable as of the date of termination; and</w:t>
      </w:r>
    </w:p>
    <w:p>
      <w:pPr>
        <w:pStyle w:val="TextBody"/>
        <w:bidi w:val="0"/>
        <w:spacing w:lineRule="auto" w:line="288" w:before="0" w:after="180"/>
        <w:ind w:left="0" w:right="0" w:hanging="1025"/>
        <w:jc w:val="both"/>
        <w:rPr/>
      </w:pPr>
      <w:r>
        <w:rPr>
          <w:rFonts w:ascii="Arial;sans-serif" w:hAnsi="Arial;sans-serif"/>
          <w:b w:val="false"/>
          <w:color w:val="000000"/>
          <w:sz w:val="22"/>
        </w:rPr>
        <w:t>(iv)with respect to any Participant who is an employee of Huron or any Affiliate and who is in a position of corporate vice president, managing director, principal or executive officer, any Option or Stock Appreciation Right that is outstanding on the date on which such Participant’s employment with Huron and the Affiliates terminates due to Retirement shall continue to vest and be exercisable in accordance with its terms as though the Participant had remained in the employ of Huron and its Affiliates, provided that the Participant complies with the terms of the non-competition agreement and non-solicitation agreement in the form determined by Huron and signed by the Participant; provided further, however, that the foregoing provisions of this paragraph (iv) shall not apply with respect to any Option or Stock Appreciation Right that is subject to Section 409A of the Code.</w:t>
      </w:r>
      <w:r>
        <w:rPr>
          <w:color w:val="000000"/>
        </w:rPr>
        <w:t xml:space="preserve"> </w:t>
      </w:r>
      <w:r>
        <w:rPr>
          <w:rFonts w:ascii="Arial;sans-serif" w:hAnsi="Arial;sans-serif"/>
          <w:b w:val="false"/>
          <w:color w:val="000000"/>
          <w:sz w:val="22"/>
        </w:rPr>
        <w:t xml:space="preserve">Notwithstanding the foregoing, if a Participant dies following Retirement, any Option or Stock Appreciation Right that is still outstanding on the date of such Participant’s death shall become fully vested and exercisable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on the date of such Participant’s death, and shall expire on the earlier of such Award’s expiration date and the one-year anniversary of the Participant’s death.</w:t>
      </w:r>
    </w:p>
    <w:p>
      <w:pPr>
        <w:pStyle w:val="TextBody"/>
        <w:bidi w:val="0"/>
        <w:spacing w:lineRule="auto" w:line="288" w:before="0" w:after="180"/>
        <w:ind w:left="0" w:right="0" w:hanging="720"/>
        <w:jc w:val="both"/>
        <w:rPr/>
      </w:pPr>
      <w:r>
        <w:rPr>
          <w:rFonts w:ascii="Arial;sans-serif" w:hAnsi="Arial;sans-serif"/>
          <w:b w:val="false"/>
          <w:color w:val="000000"/>
          <w:sz w:val="22"/>
        </w:rPr>
        <w:t>(h)</w:t>
      </w:r>
      <w:r>
        <w:rPr>
          <w:rFonts w:ascii="Arial;sans-serif" w:hAnsi="Arial;sans-serif"/>
          <w:b/>
          <w:color w:val="000000"/>
          <w:sz w:val="24"/>
        </w:rPr>
        <w:t>Leaves of Absence</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Unless otherwise provided by the Committee and, with respect to Incentive Stock Options, to the extent permitted under Section 422 of the Code, subject in all cases to the terms and conditions of the Award, in the case of any Participant who takes an approved unpaid leave of absence (i) the Participant’s employment or service shall not be deemed to be terminated solely because of such leave of absence; (ii) the Participant shall continue to vest in his or her outstanding Options and Stock Appreciation Rights under the Plan during the first 30 days of such leave of absence; and the Participant shall cease to vest in his or her outstanding Options and Stock Appreciation Rights under the Plan during any period of such leave of absence which exceeds 30 days.</w:t>
      </w:r>
    </w:p>
    <w:p>
      <w:pPr>
        <w:pStyle w:val="TextBody"/>
        <w:bidi w:val="0"/>
        <w:spacing w:lineRule="auto" w:line="288" w:before="0" w:after="180"/>
        <w:ind w:left="0" w:right="0" w:hanging="720"/>
        <w:jc w:val="both"/>
        <w:rPr/>
      </w:pPr>
      <w:r>
        <w:rPr>
          <w:rFonts w:ascii="Arial;sans-serif" w:hAnsi="Arial;sans-serif"/>
          <w:b w:val="false"/>
          <w:color w:val="000000"/>
          <w:sz w:val="22"/>
        </w:rPr>
        <w:t>(i)</w:t>
      </w:r>
      <w:r>
        <w:rPr>
          <w:rFonts w:ascii="Arial;sans-serif" w:hAnsi="Arial;sans-serif"/>
          <w:b/>
          <w:color w:val="000000"/>
          <w:sz w:val="24"/>
        </w:rPr>
        <w:t>Post-Exercise Limitations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Without otherwise limiting the Committee’s authority under the Plan, the Committee, in its discretion, may impose such restrictions on shares of Common Stock acquired pursuant to the exercise of an Option or received in settlement of a Stock Appreciation Right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pStyle w:val="TextBody"/>
        <w:bidi w:val="0"/>
        <w:spacing w:lineRule="auto" w:line="288" w:before="0" w:after="180"/>
        <w:ind w:left="0" w:right="0" w:hanging="720"/>
        <w:jc w:val="both"/>
        <w:rPr/>
      </w:pPr>
      <w:r>
        <w:rPr>
          <w:rFonts w:ascii="Arial;sans-serif" w:hAnsi="Arial;sans-serif"/>
          <w:b w:val="false"/>
          <w:color w:val="000000"/>
          <w:sz w:val="22"/>
        </w:rPr>
        <w:t>8.</w:t>
      </w:r>
      <w:r>
        <w:rPr>
          <w:rFonts w:ascii="Arial;sans-serif" w:hAnsi="Arial;sans-serif"/>
          <w:b/>
          <w:color w:val="000000"/>
          <w:sz w:val="24"/>
        </w:rPr>
        <w:t>Full Value Awards and Cash Incentive Awards.</w:t>
      </w:r>
    </w:p>
    <w:p>
      <w:pPr>
        <w:pStyle w:val="TextBody"/>
        <w:bidi w:val="0"/>
        <w:spacing w:lineRule="auto" w:line="288" w:before="0" w:after="180"/>
        <w:ind w:left="0" w:right="0" w:hanging="720"/>
        <w:jc w:val="both"/>
        <w:rPr/>
      </w:pPr>
      <w:r>
        <w:rPr>
          <w:rFonts w:ascii="Arial;sans-serif" w:hAnsi="Arial;sans-serif"/>
          <w:b w:val="false"/>
          <w:color w:val="000000"/>
          <w:sz w:val="22"/>
        </w:rPr>
        <w:t>(a)</w:t>
      </w:r>
      <w:r>
        <w:rPr>
          <w:rFonts w:ascii="Arial;sans-serif" w:hAnsi="Arial;sans-serif"/>
          <w:b/>
          <w:color w:val="000000"/>
          <w:sz w:val="24"/>
        </w:rPr>
        <w:t>Grant of Awards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Committee may grant Full Value Awards and/or Cash Incentive Awards to Eligible Individuals, subject to the terms and conditions of the Plan.</w:t>
      </w:r>
    </w:p>
    <w:p>
      <w:pPr>
        <w:pStyle w:val="TextBody"/>
        <w:bidi w:val="0"/>
        <w:spacing w:lineRule="auto" w:line="288" w:before="0" w:after="180"/>
        <w:ind w:left="0" w:right="0" w:hanging="720"/>
        <w:jc w:val="both"/>
        <w:rPr/>
      </w:pPr>
      <w:r>
        <w:rPr>
          <w:rFonts w:ascii="Arial;sans-serif" w:hAnsi="Arial;sans-serif"/>
          <w:b w:val="false"/>
          <w:color w:val="000000"/>
          <w:sz w:val="22"/>
        </w:rPr>
        <w:t>(b)</w:t>
      </w:r>
      <w:r>
        <w:rPr>
          <w:rFonts w:ascii="Arial;sans-serif" w:hAnsi="Arial;sans-serif"/>
          <w:b/>
          <w:color w:val="000000"/>
          <w:sz w:val="24"/>
        </w:rPr>
        <w:t>Effect of Termination of Employment or Provision of Services on Full Value Awards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Committee shall determine the effect of termination of employment or termination of service on each Full Value Award, subject to the terms and conditions of the Plan.</w:t>
      </w:r>
      <w:r>
        <w:rPr>
          <w:color w:val="000000"/>
        </w:rPr>
        <w:t xml:space="preserve"> </w:t>
      </w:r>
      <w:r>
        <w:rPr>
          <w:rFonts w:ascii="Arial;sans-serif" w:hAnsi="Arial;sans-serif"/>
          <w:b w:val="false"/>
          <w:color w:val="000000"/>
          <w:sz w:val="22"/>
        </w:rPr>
        <w:t>Unless otherwise provided by the Committee:</w:t>
      </w:r>
    </w:p>
    <w:p>
      <w:pPr>
        <w:pStyle w:val="TextBody"/>
        <w:bidi w:val="0"/>
        <w:spacing w:lineRule="auto" w:line="288" w:before="0" w:after="180"/>
        <w:ind w:left="0" w:right="0" w:hanging="915"/>
        <w:jc w:val="both"/>
        <w:rPr>
          <w:rFonts w:ascii="Arial;sans-serif" w:hAnsi="Arial;sans-serif"/>
          <w:b w:val="false"/>
          <w:color w:val="000000"/>
          <w:sz w:val="22"/>
        </w:rPr>
      </w:pPr>
      <w:r>
        <w:rPr>
          <w:rFonts w:ascii="Arial;sans-serif" w:hAnsi="Arial;sans-serif"/>
          <w:b w:val="false"/>
          <w:color w:val="000000"/>
          <w:sz w:val="22"/>
        </w:rPr>
        <w:t>(i)any Full Value Award that is outstanding on the date on which a Participant’s employment or service with Huron and the Affiliates terminates due to death or as a result of the Participant’s being Disabled shall become fully vested (and exercisable, if applicable) on the date on which the Participant’s employment or service terminates due to the Participant’s death or as a result of the Participant’s being Disabled;</w:t>
      </w:r>
    </w:p>
    <w:p>
      <w:pPr>
        <w:pStyle w:val="TextBody"/>
        <w:bidi w:val="0"/>
        <w:spacing w:lineRule="auto" w:line="288" w:before="0" w:after="180"/>
        <w:ind w:left="0" w:right="0" w:hanging="964"/>
        <w:jc w:val="both"/>
        <w:rPr>
          <w:rFonts w:ascii="Arial;sans-serif" w:hAnsi="Arial;sans-serif"/>
          <w:b w:val="false"/>
          <w:color w:val="000000"/>
          <w:sz w:val="22"/>
        </w:rPr>
      </w:pPr>
      <w:r>
        <w:rPr>
          <w:rFonts w:ascii="Arial;sans-serif" w:hAnsi="Arial;sans-serif"/>
          <w:b w:val="false"/>
          <w:color w:val="000000"/>
          <w:sz w:val="22"/>
        </w:rPr>
        <w:t>(ii)a Full Value Award that is outstanding on the date on which a Participant’s employment or service with Huron and the Affiliates terminates for Cause shall be terminated effective as of the day immediately prior to the date of termination and all shares subject to the Full Value Award (whether or not then vested or distributable) shall be terminated effective as of the day immediately prior to the date of termination;</w:t>
      </w:r>
    </w:p>
    <w:p>
      <w:pPr>
        <w:pStyle w:val="TextBody"/>
        <w:bidi w:val="0"/>
        <w:spacing w:lineRule="auto" w:line="288" w:before="0" w:after="180"/>
        <w:ind w:left="0" w:right="0" w:hanging="1013"/>
        <w:jc w:val="both"/>
        <w:rPr>
          <w:rFonts w:ascii="Arial;sans-serif" w:hAnsi="Arial;sans-serif"/>
          <w:b w:val="false"/>
          <w:color w:val="000000"/>
          <w:sz w:val="22"/>
        </w:rPr>
      </w:pPr>
      <w:r>
        <w:rPr>
          <w:rFonts w:ascii="Arial;sans-serif" w:hAnsi="Arial;sans-serif"/>
          <w:b w:val="false"/>
          <w:color w:val="000000"/>
          <w:sz w:val="22"/>
        </w:rPr>
        <w:t xml:space="preserve">(iii)any Full Value Award that is outstanding on the date that a Participant’s employment or service with Huron and the Affiliates terminates for any reason other than Cause, death, the Participant’s being Disabled or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Retirement and that has not vested on the date of termination (and all rights with respect thereto, such as dividends or dividend equivalents) shall be terminated effective as of the date of termination; and</w:t>
      </w:r>
    </w:p>
    <w:p>
      <w:pPr>
        <w:pStyle w:val="TextBody"/>
        <w:bidi w:val="0"/>
        <w:spacing w:lineRule="auto" w:line="288" w:before="0" w:after="180"/>
        <w:ind w:left="0" w:right="0" w:hanging="1025"/>
        <w:jc w:val="both"/>
        <w:rPr/>
      </w:pPr>
      <w:r>
        <w:rPr>
          <w:rFonts w:ascii="Arial;sans-serif" w:hAnsi="Arial;sans-serif"/>
          <w:b w:val="false"/>
          <w:color w:val="000000"/>
          <w:sz w:val="22"/>
        </w:rPr>
        <w:t>(iv)with respect to any Participant who is an employee of Huron or any Affiliate and who is in a position of corporate vice president, managing director, principal or executive officer, any Full Value Award that is outstanding on the date on which such Participant’s employment with Huron and the Affiliates terminates due to Retirement shall continue to vest and be distributable in accordance with its terms as though the Participant had remained in the employ of Huron and the Affiliates; provided that the Participant complies with the terms of the non-competition agreement and non-solicitation agreement in the form determined by Huron and signed by the Participant.</w:t>
      </w:r>
      <w:r>
        <w:rPr>
          <w:color w:val="000000"/>
        </w:rPr>
        <w:t xml:space="preserve"> </w:t>
      </w:r>
      <w:r>
        <w:rPr>
          <w:rFonts w:ascii="Arial;sans-serif" w:hAnsi="Arial;sans-serif"/>
          <w:b w:val="false"/>
          <w:color w:val="000000"/>
          <w:sz w:val="22"/>
        </w:rPr>
        <w:t>Notwithstanding the foregoing, if a Participant dies following Retirement, any Full Value Award that is still outstanding on the date of such Participant's death shall become fully vested on the date of such Participant's death.</w:t>
      </w:r>
    </w:p>
    <w:p>
      <w:pPr>
        <w:pStyle w:val="TextBody"/>
        <w:bidi w:val="0"/>
        <w:spacing w:lineRule="auto" w:line="288" w:before="0" w:after="180"/>
        <w:ind w:left="0" w:right="0" w:hanging="720"/>
        <w:jc w:val="both"/>
        <w:rPr/>
      </w:pPr>
      <w:r>
        <w:rPr>
          <w:rFonts w:ascii="Arial;sans-serif" w:hAnsi="Arial;sans-serif"/>
          <w:b w:val="false"/>
          <w:color w:val="000000"/>
          <w:sz w:val="22"/>
        </w:rPr>
        <w:t>(c)</w:t>
      </w:r>
      <w:r>
        <w:rPr>
          <w:rFonts w:ascii="Arial;sans-serif" w:hAnsi="Arial;sans-serif"/>
          <w:b/>
          <w:color w:val="000000"/>
          <w:sz w:val="24"/>
        </w:rPr>
        <w:t>Leaves of Absence</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Unless otherwise provided by the Committee, subject in all cases to the terms and conditions of the Award, in the case of any Participant who takes an approved unpaid leave of absence (i) the Participant’s employment or service shall not be deemed to be terminated solely because of such leave of absence; (ii) the Participant shall continue to vest in his or her outstanding Full Value Awards under the Plan during the first 30 days of such leave of absence; and the Participant shall cease to vest in his or her outstanding Full Value Awards under the Plan during any period of such leave of absence which exceeds 30 days.</w:t>
      </w:r>
    </w:p>
    <w:p>
      <w:pPr>
        <w:pStyle w:val="TextBody"/>
        <w:bidi w:val="0"/>
        <w:spacing w:lineRule="auto" w:line="288" w:before="0" w:after="180"/>
        <w:ind w:left="0" w:right="0" w:hanging="720"/>
        <w:jc w:val="both"/>
        <w:rPr/>
      </w:pPr>
      <w:r>
        <w:rPr>
          <w:rFonts w:ascii="Arial;sans-serif" w:hAnsi="Arial;sans-serif"/>
          <w:b w:val="false"/>
          <w:color w:val="000000"/>
          <w:sz w:val="22"/>
        </w:rPr>
        <w:t>(d)</w:t>
      </w:r>
      <w:r>
        <w:rPr>
          <w:rFonts w:ascii="Arial;sans-serif" w:hAnsi="Arial;sans-serif"/>
          <w:b/>
          <w:color w:val="000000"/>
          <w:sz w:val="24"/>
        </w:rPr>
        <w:t>Restrictions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Without otherwise limiting the Committee’s authority under the Plan, the Committee, in its discretion, may impose such restrictions on shares of Common Stock acquired pursuant to the grant or settlement of a Full Value Award or the payment or retention of a Cash Incentive Award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pStyle w:val="TextBody"/>
        <w:bidi w:val="0"/>
        <w:spacing w:lineRule="auto" w:line="288" w:before="0" w:after="180"/>
        <w:ind w:left="0" w:right="0" w:hanging="720"/>
        <w:jc w:val="both"/>
        <w:rPr/>
      </w:pPr>
      <w:r>
        <w:rPr>
          <w:rFonts w:ascii="Arial;sans-serif" w:hAnsi="Arial;sans-serif"/>
          <w:b w:val="false"/>
          <w:color w:val="000000"/>
          <w:sz w:val="22"/>
        </w:rPr>
        <w:t>9.</w:t>
      </w:r>
      <w:r>
        <w:rPr>
          <w:rFonts w:ascii="Arial;sans-serif" w:hAnsi="Arial;sans-serif"/>
          <w:b/>
          <w:color w:val="000000"/>
          <w:sz w:val="24"/>
        </w:rPr>
        <w:t xml:space="preserve">Performance-Based Compensation. </w:t>
      </w:r>
      <w:r>
        <w:rPr>
          <w:rFonts w:ascii="Arial;sans-serif" w:hAnsi="Arial;sans-serif"/>
          <w:b w:val="false"/>
          <w:color w:val="000000"/>
          <w:sz w:val="22"/>
        </w:rPr>
        <w:t>The Committee may designate any Full Value Award or a Cash Incentive Award granted to a Participant under the Plan as “Performance-Based Compensation” within the meaning of Section 162(m) of the Code and regulations thereunder.</w:t>
      </w:r>
      <w:r>
        <w:rPr>
          <w:color w:val="000000"/>
        </w:rPr>
        <w:t xml:space="preserve"> </w:t>
      </w:r>
      <w:r>
        <w:rPr>
          <w:rFonts w:ascii="Arial;sans-serif" w:hAnsi="Arial;sans-serif"/>
          <w:b w:val="false"/>
          <w:color w:val="000000"/>
          <w:sz w:val="22"/>
        </w:rPr>
        <w:t>To the extent required by Section162(m) of the Code, any such Award so designated shall be conditioned on the achievement of one or more performance targets as determined by the Committee and the following shall apply:</w:t>
      </w:r>
    </w:p>
    <w:p>
      <w:pPr>
        <w:pStyle w:val="TextBody"/>
        <w:bidi w:val="0"/>
        <w:spacing w:lineRule="auto" w:line="288" w:before="0" w:after="180"/>
        <w:ind w:left="0" w:right="0" w:hanging="720"/>
        <w:jc w:val="both"/>
        <w:rPr/>
      </w:pPr>
      <w:r>
        <w:rPr>
          <w:rFonts w:ascii="Arial;sans-serif" w:hAnsi="Arial;sans-serif"/>
          <w:b w:val="false"/>
          <w:color w:val="000000"/>
          <w:sz w:val="22"/>
        </w:rPr>
        <w:t>(a)</w:t>
      </w:r>
      <w:r>
        <w:rPr>
          <w:rFonts w:ascii="Arial;sans-serif" w:hAnsi="Arial;sans-serif"/>
          <w:b/>
          <w:color w:val="000000"/>
          <w:sz w:val="24"/>
        </w:rPr>
        <w:t>Establishment of Performance Criteria</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The performance targets established for the performance period by the Committee shall be objective (as that term is described in regulations under Section 162(m) of the Code), and shall be established in writing by the Committee not later than 90 days after the beginning of the performance period (but in no event after 25% of the performance period has elapsed), and while the outcome as to the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180"/>
        <w:jc w:val="both"/>
        <w:rPr/>
      </w:pPr>
      <w:r>
        <w:rPr>
          <w:rFonts w:ascii="Arial;sans-serif" w:hAnsi="Arial;sans-serif"/>
          <w:b w:val="false"/>
          <w:color w:val="000000"/>
          <w:sz w:val="22"/>
        </w:rPr>
        <w:t>targets is substantially uncertain.</w:t>
      </w:r>
      <w:r>
        <w:rPr>
          <w:color w:val="000000"/>
        </w:rPr>
        <w:t xml:space="preserve"> </w:t>
      </w:r>
      <w:r>
        <w:rPr>
          <w:rFonts w:ascii="Arial;sans-serif" w:hAnsi="Arial;sans-serif"/>
          <w:b w:val="false"/>
          <w:color w:val="000000"/>
          <w:sz w:val="22"/>
        </w:rPr>
        <w:t>The performance targets established by the Committee may be with respect to corporate performance, operating group or sub-group performance, individual performance, other group or individual performance, or division performance, and shall be based on one or more of the Business Criteria.</w:t>
      </w:r>
    </w:p>
    <w:p>
      <w:pPr>
        <w:pStyle w:val="TextBody"/>
        <w:bidi w:val="0"/>
        <w:spacing w:lineRule="auto" w:line="288" w:before="0" w:after="180"/>
        <w:ind w:left="0" w:right="0" w:hanging="720"/>
        <w:jc w:val="both"/>
        <w:rPr/>
      </w:pPr>
      <w:r>
        <w:rPr>
          <w:rFonts w:ascii="Arial;sans-serif" w:hAnsi="Arial;sans-serif"/>
          <w:b w:val="false"/>
          <w:color w:val="000000"/>
          <w:sz w:val="22"/>
        </w:rPr>
        <w:t>(b)</w:t>
      </w:r>
      <w:r>
        <w:rPr>
          <w:rFonts w:ascii="Arial;sans-serif" w:hAnsi="Arial;sans-serif"/>
          <w:b/>
          <w:color w:val="000000"/>
          <w:sz w:val="24"/>
        </w:rPr>
        <w:t>Certification of Targets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 Participant otherwise entitled to receive a Performance-Based Compensation Award for any performance period shall not receive a settlement or payment of the Award until the Committee has determined that the applicable performance target(s) have been attained.</w:t>
      </w:r>
      <w:r>
        <w:rPr>
          <w:color w:val="000000"/>
        </w:rPr>
        <w:t xml:space="preserve"> </w:t>
      </w:r>
      <w:r>
        <w:rPr>
          <w:rFonts w:ascii="Arial;sans-serif" w:hAnsi="Arial;sans-serif"/>
          <w:b w:val="false"/>
          <w:color w:val="000000"/>
          <w:sz w:val="22"/>
        </w:rPr>
        <w:t>To the extent that the Committee exercises discretion in making the determination required by this Section 9(b), such exercise of discretion may not result in an increase in the amount of the payment.</w:t>
      </w:r>
    </w:p>
    <w:p>
      <w:pPr>
        <w:pStyle w:val="TextBody"/>
        <w:bidi w:val="0"/>
        <w:spacing w:lineRule="auto" w:line="288" w:before="0" w:after="180"/>
        <w:ind w:left="0" w:right="0" w:hanging="720"/>
        <w:jc w:val="both"/>
        <w:rPr/>
      </w:pPr>
      <w:r>
        <w:rPr>
          <w:rFonts w:ascii="Arial;sans-serif" w:hAnsi="Arial;sans-serif"/>
          <w:b w:val="false"/>
          <w:color w:val="000000"/>
          <w:sz w:val="22"/>
        </w:rPr>
        <w:t>(c)</w:t>
      </w:r>
      <w:r>
        <w:rPr>
          <w:rFonts w:ascii="Arial;sans-serif" w:hAnsi="Arial;sans-serif"/>
          <w:b/>
          <w:color w:val="000000"/>
          <w:sz w:val="24"/>
        </w:rPr>
        <w:t>Special Termination Rules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Subject to the other terms and conditions of the Plan, if an Award is intended to constitute Performance-Based Compensation, the Committee may provide that if a Participant’s employment with Huron and the Affiliates terminates because of death or the Participant’s being Disabled, or if a Change of Control occurs prior to the Participant’s termination date, the Participant’s Performance-Based Compensation may become vested without regard to whether the Award would continue to constitute Performance-Based Compensation, subject to the terms of Section 10 below.</w:t>
      </w:r>
    </w:p>
    <w:p>
      <w:pPr>
        <w:pStyle w:val="TextBody"/>
        <w:bidi w:val="0"/>
        <w:spacing w:lineRule="auto" w:line="288" w:before="0" w:after="180"/>
        <w:jc w:val="both"/>
        <w:rPr/>
      </w:pPr>
      <w:r>
        <w:rPr>
          <w:rFonts w:ascii="Arial;sans-serif" w:hAnsi="Arial;sans-serif"/>
          <w:b w:val="false"/>
          <w:color w:val="000000"/>
          <w:sz w:val="22"/>
        </w:rPr>
        <w:t>Nothing in this Section 9 shall preclude the Committee from granting Awards under the Plan, or the Committee, Huron or any Affiliate from granting any cash awards outside of the Plan, that are not intended to be Performance-Based Compensation; provided, however, that, at the time of grant of Awards by the Committee (other than a Stock Option or Stock Appreciation Right), the Committee shall designate whether such Awards are intended to constitute Performance-Based Compensation.</w:t>
      </w:r>
      <w:r>
        <w:rPr>
          <w:color w:val="000000"/>
        </w:rPr>
        <w:t xml:space="preserve"> </w:t>
      </w:r>
      <w:r>
        <w:rPr>
          <w:rFonts w:ascii="Arial;sans-serif" w:hAnsi="Arial;sans-serif"/>
          <w:b w:val="false"/>
          <w:color w:val="000000"/>
          <w:sz w:val="22"/>
        </w:rPr>
        <w:t>To the extent that the provisions of this Section 9 reflect the requirements applicable to Performance-Based Compensation, such provisions shall not apply to the portion of an Award, if any, that is not intended to constitute Performance-Based Compensation.</w:t>
      </w:r>
    </w:p>
    <w:p>
      <w:pPr>
        <w:pStyle w:val="TextBody"/>
        <w:bidi w:val="0"/>
        <w:spacing w:lineRule="auto" w:line="288" w:before="0" w:after="180"/>
        <w:ind w:left="0" w:right="0" w:hanging="720"/>
        <w:jc w:val="both"/>
        <w:rPr/>
      </w:pPr>
      <w:r>
        <w:rPr>
          <w:rFonts w:ascii="Arial;sans-serif" w:hAnsi="Arial;sans-serif"/>
          <w:b w:val="false"/>
          <w:color w:val="000000"/>
          <w:sz w:val="22"/>
        </w:rPr>
        <w:t>10.</w:t>
      </w:r>
      <w:r>
        <w:rPr>
          <w:rFonts w:ascii="Arial;sans-serif" w:hAnsi="Arial;sans-serif"/>
          <w:b/>
          <w:color w:val="000000"/>
          <w:sz w:val="24"/>
        </w:rPr>
        <w:t>Change of Control</w:t>
      </w:r>
      <w:r>
        <w:rPr>
          <w:rFonts w:ascii="Arial;sans-serif" w:hAnsi="Arial;sans-serif"/>
          <w:b w:val="false"/>
          <w:color w:val="000000"/>
          <w:sz w:val="22"/>
        </w:rPr>
        <w:t>.</w:t>
      </w:r>
      <w:r>
        <w:rPr>
          <w:color w:val="000000"/>
        </w:rPr>
        <w:t xml:space="preserve"> </w:t>
      </w:r>
    </w:p>
    <w:p>
      <w:pPr>
        <w:pStyle w:val="TextBody"/>
        <w:bidi w:val="0"/>
        <w:spacing w:lineRule="auto" w:line="288" w:before="0" w:after="180"/>
        <w:ind w:left="0" w:right="0" w:hanging="720"/>
        <w:jc w:val="both"/>
        <w:rPr/>
      </w:pPr>
      <w:r>
        <w:rPr>
          <w:rFonts w:ascii="Arial;sans-serif" w:hAnsi="Arial;sans-serif"/>
          <w:b w:val="false"/>
          <w:color w:val="000000"/>
          <w:sz w:val="22"/>
        </w:rPr>
        <w:t>(a)</w:t>
      </w:r>
      <w:r>
        <w:rPr>
          <w:rFonts w:ascii="Arial;sans-serif" w:hAnsi="Arial;sans-serif"/>
          <w:b w:val="false"/>
          <w:color w:val="000000"/>
          <w:sz w:val="24"/>
          <w:u w:val="single"/>
        </w:rPr>
        <w:t>Termination of Employment without Cause; Termination of Plan without Substitution</w:t>
      </w:r>
      <w:r>
        <w:rPr>
          <w:rFonts w:ascii="Arial;sans-serif" w:hAnsi="Arial;sans-serif"/>
          <w:b w:val="false"/>
          <w:color w:val="000000"/>
          <w:sz w:val="22"/>
        </w:rPr>
        <w:t>.</w:t>
      </w:r>
    </w:p>
    <w:p>
      <w:pPr>
        <w:pStyle w:val="TextBody"/>
        <w:bidi w:val="0"/>
        <w:spacing w:lineRule="auto" w:line="288" w:before="0" w:after="180"/>
        <w:ind w:left="0" w:right="0" w:hanging="915"/>
        <w:jc w:val="both"/>
        <w:rPr>
          <w:rFonts w:ascii="Arial;sans-serif" w:hAnsi="Arial;sans-serif"/>
          <w:b w:val="false"/>
          <w:color w:val="000000"/>
          <w:sz w:val="22"/>
        </w:rPr>
      </w:pPr>
      <w:r>
        <w:rPr>
          <w:rFonts w:ascii="Arial;sans-serif" w:hAnsi="Arial;sans-serif"/>
          <w:b w:val="false"/>
          <w:color w:val="000000"/>
          <w:sz w:val="22"/>
        </w:rPr>
        <w:t xml:space="preserve">(i)Except as otherwise provided in an Agreement or an Alternative Agreement, in the event that (A) a Participant is employed, or performs services as a director or independent contractor, on the date of a Change of Control and the Participant's employment or service, as applicable, is terminated by Huron or the successor to Huron (or a Related Company which is his or her employer) for reasons other than Cause within 12 months following the Change of Control, or (B) the Plan is terminated by Huron or its successor following a Change of Control without provision for the continuation of outstanding Awards hereunder, then (i) all Options and Stock Appreciation Rights which are then outstanding shall become immediately exercisable, and (ii) all other Awards shall become fully vested.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180"/>
        <w:ind w:left="0" w:right="0" w:hanging="964"/>
        <w:jc w:val="both"/>
        <w:rPr/>
      </w:pPr>
      <w:r>
        <w:rPr>
          <w:rFonts w:ascii="Arial;sans-serif" w:hAnsi="Arial;sans-serif"/>
          <w:b w:val="false"/>
          <w:color w:val="000000"/>
          <w:sz w:val="22"/>
        </w:rPr>
        <w:t>(ii)In the case of an award constituting Performance-Based Compensation, the phrase "fully vested" in the immediately prior sentence shall mean the greater of (x) vesting at target (or, if target is not defined in the award, vesting at 100% of the number of units granted), or (y) vesting in the award based on the extent, as determined by the Committee, to which the applicable performance metrics have been met during the applicable performance period up through and including the effective date of the Change of Control.</w:t>
      </w:r>
      <w:r>
        <w:rPr>
          <w:color w:val="000000"/>
        </w:rPr>
        <w:t xml:space="preserve"> </w:t>
      </w:r>
      <w:r>
        <w:rPr>
          <w:rFonts w:ascii="Arial;sans-serif" w:hAnsi="Arial;sans-serif"/>
          <w:b w:val="false"/>
          <w:color w:val="000000"/>
          <w:sz w:val="22"/>
        </w:rPr>
        <w:t>If an Agreement or Alternative Agreement contains a vesting provision for a Performance-Based Compensation award that would result in lesser vesting than per this subsection (ii), then the terms of the Agreement or Alternate Agreement, as applicable, shall govern.</w:t>
      </w:r>
      <w:r>
        <w:rPr>
          <w:color w:val="000000"/>
        </w:rPr>
        <w:t xml:space="preserve"> </w:t>
      </w:r>
    </w:p>
    <w:p>
      <w:pPr>
        <w:pStyle w:val="TextBody"/>
        <w:bidi w:val="0"/>
        <w:spacing w:lineRule="auto" w:line="288" w:before="0" w:after="180"/>
        <w:ind w:left="0" w:right="0" w:hanging="1013"/>
        <w:jc w:val="both"/>
        <w:rPr>
          <w:rFonts w:ascii="Arial;sans-serif" w:hAnsi="Arial;sans-serif"/>
          <w:b w:val="false"/>
          <w:color w:val="000000"/>
          <w:sz w:val="22"/>
        </w:rPr>
      </w:pPr>
      <w:r>
        <w:rPr>
          <w:rFonts w:ascii="Arial;sans-serif" w:hAnsi="Arial;sans-serif"/>
          <w:b w:val="false"/>
          <w:color w:val="000000"/>
          <w:sz w:val="22"/>
        </w:rPr>
        <w:t>(iii)In addition, to the extent any accelerated exercisability and/or vesting pursuant to clause (B) of Section 10(a)(i) above applies to an award that is deferred compensation subject to, and not exempt from, the provisions of Internal Revenue Code Section 409A, then the definition of "Change of Control" for purposes of accelerated exercisability and/or vesting under clause (B) shall be no broader than the definition allowed by Treasury Regulations Section 1.409A-(3)(i)(5).</w:t>
      </w:r>
    </w:p>
    <w:p>
      <w:pPr>
        <w:pStyle w:val="TextBody"/>
        <w:bidi w:val="0"/>
        <w:spacing w:lineRule="auto" w:line="288" w:before="0" w:after="180"/>
        <w:ind w:left="0" w:right="0" w:hanging="720"/>
        <w:jc w:val="both"/>
        <w:rPr/>
      </w:pPr>
      <w:r>
        <w:rPr>
          <w:rFonts w:ascii="Arial;sans-serif" w:hAnsi="Arial;sans-serif"/>
          <w:b w:val="false"/>
          <w:color w:val="000000"/>
          <w:sz w:val="22"/>
        </w:rPr>
        <w:t>(b)</w:t>
      </w:r>
      <w:r>
        <w:rPr>
          <w:rFonts w:ascii="Arial;sans-serif" w:hAnsi="Arial;sans-serif"/>
          <w:b w:val="false"/>
          <w:color w:val="000000"/>
          <w:sz w:val="24"/>
          <w:u w:val="single"/>
        </w:rPr>
        <w:t>Substitution and Continued Employment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If, upon a Change of Control, awards in other shares or securities are substituted for outstanding Awards under the Plan and, immediately following the Change of Control, the Participant becomes employed (if the Participant was an employee immediately prior to the Change of Control) or remains in continued service (as a director or independent contractor if the Participant was a director or independent contractor immediately prior to the Change of Control) of the entity into which Huron merged, or the purchaser of substantially all of the assets of Huron or a successor to such entity or purchaser, then the Participant shall not be treated as having terminated employment or service for purposes of this Section 10 until such time as the Participant terminates employment or service with the merged entity or purchaser (or successor), as applicable.</w:t>
      </w:r>
    </w:p>
    <w:p>
      <w:pPr>
        <w:pStyle w:val="TextBody"/>
        <w:bidi w:val="0"/>
        <w:spacing w:lineRule="auto" w:line="288" w:before="0" w:after="180"/>
        <w:ind w:left="0" w:right="0" w:hanging="720"/>
        <w:jc w:val="both"/>
        <w:rPr>
          <w:rFonts w:ascii="Arial;sans-serif" w:hAnsi="Arial;sans-serif"/>
          <w:b w:val="false"/>
          <w:color w:val="000000"/>
          <w:sz w:val="22"/>
        </w:rPr>
      </w:pPr>
      <w:r>
        <w:rPr>
          <w:rFonts w:ascii="Arial;sans-serif" w:hAnsi="Arial;sans-serif"/>
          <w:b w:val="false"/>
          <w:color w:val="000000"/>
          <w:sz w:val="22"/>
        </w:rPr>
        <w:t>(c)Failure to Take Comparable Job not Termination. If, as described in subsection 10(b) above, awards in other shares or securities are substituted for outstanding Awards under the Plan in connection with a Change of Control, in the event a Participant is offered employment with a successor to Huron (or an Affiliate) for which the Participant is reasonably qualified and on financial terms and conditions which are comparable to the financial terms and conditions that applied to the Participant's employment immediately prior to the Change of Control, then, if the Participant does not accept the offer of employment and, as a result, the Participant's employment with Huron, the Affiliates and their respective successors is terminated, such Participant shall not be treated as having a termination of employment for purposes of this Section 10.</w:t>
      </w:r>
    </w:p>
    <w:p>
      <w:pPr>
        <w:pStyle w:val="TextBody"/>
        <w:bidi w:val="0"/>
        <w:spacing w:lineRule="auto" w:line="288" w:before="0" w:after="180"/>
        <w:ind w:left="0" w:right="0" w:hanging="720"/>
        <w:jc w:val="both"/>
        <w:rPr/>
      </w:pPr>
      <w:r>
        <w:rPr>
          <w:rFonts w:ascii="Arial;sans-serif" w:hAnsi="Arial;sans-serif"/>
          <w:b w:val="false"/>
          <w:color w:val="000000"/>
          <w:sz w:val="22"/>
        </w:rPr>
        <w:t>11.</w:t>
      </w:r>
      <w:r>
        <w:rPr>
          <w:rFonts w:ascii="Arial;sans-serif" w:hAnsi="Arial;sans-serif"/>
          <w:b/>
          <w:color w:val="000000"/>
          <w:sz w:val="24"/>
        </w:rPr>
        <w:t xml:space="preserve">Rights as a Stockholder. </w:t>
      </w:r>
      <w:r>
        <w:rPr>
          <w:rFonts w:ascii="Arial;sans-serif" w:hAnsi="Arial;sans-serif"/>
          <w:b w:val="false"/>
          <w:color w:val="000000"/>
          <w:sz w:val="22"/>
        </w:rPr>
        <w:t>No person shall have any rights as a stockholder with respect to any shares of Common Stock covered by or relating to any Award until the date of issuance of a stock certificate with respect to such shares or the date of crediting such shares to such person’s account via book-entry transfer.</w:t>
      </w:r>
      <w:r>
        <w:rPr>
          <w:color w:val="000000"/>
        </w:rPr>
        <w:t xml:space="preserve"> </w:t>
      </w:r>
      <w:r>
        <w:rPr>
          <w:rFonts w:ascii="Arial;sans-serif" w:hAnsi="Arial;sans-serif"/>
          <w:b w:val="false"/>
          <w:color w:val="000000"/>
          <w:sz w:val="22"/>
        </w:rPr>
        <w:t xml:space="preserve">Except for adjustments pursuant to Section 4(f), no adjustment to any Award shall be made for dividends or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other rights for which the record date occurs prior to the date such stock certificate is issued or credit via book-entry transfer is made.</w:t>
      </w:r>
    </w:p>
    <w:p>
      <w:pPr>
        <w:pStyle w:val="TextBody"/>
        <w:bidi w:val="0"/>
        <w:spacing w:lineRule="auto" w:line="288" w:before="0" w:after="180"/>
        <w:ind w:left="0" w:right="0" w:hanging="720"/>
        <w:jc w:val="both"/>
        <w:rPr/>
      </w:pPr>
      <w:r>
        <w:rPr>
          <w:rFonts w:ascii="Arial;sans-serif" w:hAnsi="Arial;sans-serif"/>
          <w:b w:val="false"/>
          <w:color w:val="000000"/>
          <w:sz w:val="22"/>
        </w:rPr>
        <w:t>12.</w:t>
      </w:r>
      <w:r>
        <w:rPr>
          <w:rFonts w:ascii="Arial;sans-serif" w:hAnsi="Arial;sans-serif"/>
          <w:b/>
          <w:color w:val="000000"/>
          <w:sz w:val="24"/>
        </w:rPr>
        <w:t>Limitations of Implied Rights.</w:t>
      </w:r>
    </w:p>
    <w:p>
      <w:pPr>
        <w:pStyle w:val="TextBody"/>
        <w:bidi w:val="0"/>
        <w:spacing w:lineRule="auto" w:line="288" w:before="0" w:after="180"/>
        <w:ind w:left="0" w:right="0" w:hanging="720"/>
        <w:jc w:val="both"/>
        <w:rPr/>
      </w:pPr>
      <w:r>
        <w:rPr>
          <w:rFonts w:ascii="Arial;sans-serif" w:hAnsi="Arial;sans-serif"/>
          <w:b w:val="false"/>
          <w:color w:val="000000"/>
          <w:sz w:val="22"/>
        </w:rPr>
        <w:t>(a)</w:t>
      </w:r>
      <w:r>
        <w:rPr>
          <w:rFonts w:ascii="Arial;sans-serif" w:hAnsi="Arial;sans-serif"/>
          <w:b/>
          <w:color w:val="000000"/>
          <w:sz w:val="24"/>
        </w:rPr>
        <w:t>No Right to Employment or Continued Service</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Nothing contained in the Plan or any Agreement shall confer upon any Participant any right with respect to the continuation of employment by or provision of services to Huron and the Affiliates or interfere in any way with the right of Huron and the Affiliates, subject to the terms of any separate agreement to the contrary, at any time to terminate such employment or service or to increase or decrease the compensation of any Participant.</w:t>
      </w:r>
    </w:p>
    <w:p>
      <w:pPr>
        <w:pStyle w:val="TextBody"/>
        <w:bidi w:val="0"/>
        <w:spacing w:lineRule="auto" w:line="288" w:before="0" w:after="180"/>
        <w:ind w:left="0" w:right="0" w:hanging="720"/>
        <w:jc w:val="both"/>
        <w:rPr/>
      </w:pPr>
      <w:r>
        <w:rPr>
          <w:rFonts w:ascii="Arial;sans-serif" w:hAnsi="Arial;sans-serif"/>
          <w:b w:val="false"/>
          <w:color w:val="000000"/>
          <w:sz w:val="22"/>
        </w:rPr>
        <w:t>(b)</w:t>
      </w:r>
      <w:r>
        <w:rPr>
          <w:rFonts w:ascii="Arial;sans-serif" w:hAnsi="Arial;sans-serif"/>
          <w:b/>
          <w:color w:val="000000"/>
          <w:sz w:val="24"/>
        </w:rPr>
        <w:t>No Claim to Award</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No person shall have any claim or right to receive an Award hereunder.</w:t>
      </w:r>
      <w:r>
        <w:rPr>
          <w:color w:val="000000"/>
        </w:rPr>
        <w:t xml:space="preserve"> </w:t>
      </w:r>
      <w:r>
        <w:rPr>
          <w:rFonts w:ascii="Arial;sans-serif" w:hAnsi="Arial;sans-serif"/>
          <w:b w:val="false"/>
          <w:color w:val="000000"/>
          <w:sz w:val="22"/>
        </w:rPr>
        <w:t>The grant of an Award to a Participant at any time shall neither require the Committee to grant any other Award to such Participant or other person at any time nor preclude the Committee from making subsequent grants to such Participant or any other person.</w:t>
      </w:r>
    </w:p>
    <w:p>
      <w:pPr>
        <w:pStyle w:val="TextBody"/>
        <w:bidi w:val="0"/>
        <w:spacing w:lineRule="auto" w:line="288" w:before="0" w:after="180"/>
        <w:ind w:left="0" w:right="0" w:hanging="720"/>
        <w:jc w:val="both"/>
        <w:rPr/>
      </w:pPr>
      <w:r>
        <w:rPr>
          <w:rFonts w:ascii="Arial;sans-serif" w:hAnsi="Arial;sans-serif"/>
          <w:b w:val="false"/>
          <w:color w:val="000000"/>
          <w:sz w:val="22"/>
        </w:rPr>
        <w:t>(c)</w:t>
      </w:r>
      <w:r>
        <w:rPr>
          <w:rFonts w:ascii="Arial;sans-serif" w:hAnsi="Arial;sans-serif"/>
          <w:b/>
          <w:color w:val="000000"/>
          <w:sz w:val="24"/>
        </w:rPr>
        <w:t>No Right to Assets or Property</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Neither a Participant nor any other person shall, by reason of the Plan, acquire any right in or title to any assets, funds or property of Huron or any Affiliate whatsoever, including, without limitation, any specific funds, assets, or other property which Huron or any Affiliate, in its sole discretion, may set aside in anticipation of a liability under the Plan.</w:t>
      </w:r>
      <w:r>
        <w:rPr>
          <w:color w:val="000000"/>
        </w:rPr>
        <w:t xml:space="preserve"> </w:t>
      </w:r>
      <w:r>
        <w:rPr>
          <w:rFonts w:ascii="Arial;sans-serif" w:hAnsi="Arial;sans-serif"/>
          <w:b w:val="false"/>
          <w:color w:val="000000"/>
          <w:sz w:val="22"/>
        </w:rPr>
        <w:t>A Participant shall have only a contractual right to the amounts, if any, payable under the Plan, unsecured by any assets of Huron and any Affiliate.</w:t>
      </w:r>
      <w:r>
        <w:rPr>
          <w:color w:val="000000"/>
        </w:rPr>
        <w:t xml:space="preserve"> </w:t>
      </w:r>
      <w:r>
        <w:rPr>
          <w:rFonts w:ascii="Arial;sans-serif" w:hAnsi="Arial;sans-serif"/>
          <w:b w:val="false"/>
          <w:color w:val="000000"/>
          <w:sz w:val="22"/>
        </w:rPr>
        <w:t>Nothing contained in the Plan shall constitute a guarantee by Huron or any Affiliate that the assets of such companies shall be sufficient to pay any benefits to any person.</w:t>
      </w:r>
    </w:p>
    <w:p>
      <w:pPr>
        <w:pStyle w:val="TextBody"/>
        <w:bidi w:val="0"/>
        <w:spacing w:lineRule="auto" w:line="288" w:before="0" w:after="180"/>
        <w:ind w:left="0" w:right="0" w:hanging="720"/>
        <w:jc w:val="both"/>
        <w:rPr/>
      </w:pPr>
      <w:r>
        <w:rPr>
          <w:rFonts w:ascii="Arial;sans-serif" w:hAnsi="Arial;sans-serif"/>
          <w:b w:val="false"/>
          <w:color w:val="000000"/>
          <w:sz w:val="22"/>
        </w:rPr>
        <w:t>13.</w:t>
      </w:r>
      <w:r>
        <w:rPr>
          <w:rFonts w:ascii="Arial;sans-serif" w:hAnsi="Arial;sans-serif"/>
          <w:b/>
          <w:color w:val="000000"/>
          <w:sz w:val="24"/>
        </w:rPr>
        <w:t>Securities Matters.</w:t>
      </w:r>
    </w:p>
    <w:p>
      <w:pPr>
        <w:pStyle w:val="TextBody"/>
        <w:bidi w:val="0"/>
        <w:spacing w:lineRule="auto" w:line="288" w:before="0" w:after="180"/>
        <w:ind w:left="0" w:right="0" w:hanging="720"/>
        <w:jc w:val="both"/>
        <w:rPr/>
      </w:pPr>
      <w:r>
        <w:rPr>
          <w:rFonts w:ascii="Arial;sans-serif" w:hAnsi="Arial;sans-serif"/>
          <w:b w:val="false"/>
          <w:color w:val="000000"/>
          <w:sz w:val="22"/>
        </w:rPr>
        <w:t>(a)</w:t>
      </w:r>
      <w:r>
        <w:rPr>
          <w:rFonts w:ascii="Arial;sans-serif" w:hAnsi="Arial;sans-serif"/>
          <w:b/>
          <w:color w:val="000000"/>
          <w:sz w:val="24"/>
        </w:rPr>
        <w:t>Compliance with Law</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Notwithstanding anything herein to the contrary, Huron shall not be obligated to cause to be issued or delivered any certificates evidencing shares of Common Stock pursuant to the Plan (or any crediting of shares to a person’s account via book-entry transfer) unless and until Huron is advised by its counsel (which may be Huron’s in-house counsel) that the issuance and delivery of such certificates (or crediting of such shares to an account) is in compliance with all applicable laws, regulations of governmental authority and the requirements of any securities exchange on which shares of Common Stock are traded.</w:t>
      </w:r>
      <w:r>
        <w:rPr>
          <w:color w:val="000000"/>
        </w:rPr>
        <w:t xml:space="preserve"> </w:t>
      </w:r>
      <w:r>
        <w:rPr>
          <w:rFonts w:ascii="Arial;sans-serif" w:hAnsi="Arial;sans-serif"/>
          <w:b w:val="false"/>
          <w:color w:val="000000"/>
          <w:sz w:val="22"/>
        </w:rPr>
        <w:t>The Committee may require, as a condition of the issuance and delivery of certificates (or crediting to an account) pursuant to the terms hereof, that the recipient of such shares make such agreements and representations, and that, if applicable, such certificates bear such legends, as the Committee, in its sole discretion, deems necessary or advisable.</w:t>
      </w:r>
    </w:p>
    <w:p>
      <w:pPr>
        <w:pStyle w:val="TextBody"/>
        <w:bidi w:val="0"/>
        <w:spacing w:lineRule="auto" w:line="288" w:before="0" w:after="180"/>
        <w:ind w:left="0" w:right="0" w:hanging="720"/>
        <w:jc w:val="both"/>
        <w:rPr/>
      </w:pPr>
      <w:r>
        <w:rPr>
          <w:rFonts w:ascii="Arial;sans-serif" w:hAnsi="Arial;sans-serif"/>
          <w:b w:val="false"/>
          <w:color w:val="000000"/>
          <w:sz w:val="22"/>
        </w:rPr>
        <w:t>(b)</w:t>
      </w:r>
      <w:r>
        <w:rPr>
          <w:rFonts w:ascii="Arial;sans-serif" w:hAnsi="Arial;sans-serif"/>
          <w:b/>
          <w:color w:val="000000"/>
          <w:sz w:val="24"/>
        </w:rPr>
        <w:t>Transfer of Shares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The transfer of any shares of Common Stock hereunder shall be effective only at such time as counsel to Huron (which may be Huron’s in-house counsel) shall have determined that the issuance and delivery of such shares is in compliance with all applicable laws, regulations of governmental authority and the requirements of any securities exchange on which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180"/>
        <w:jc w:val="both"/>
        <w:rPr/>
      </w:pPr>
      <w:r>
        <w:rPr>
          <w:rFonts w:ascii="Arial;sans-serif" w:hAnsi="Arial;sans-serif"/>
          <w:b w:val="false"/>
          <w:color w:val="000000"/>
          <w:sz w:val="22"/>
        </w:rPr>
        <w:t>Common Stock are traded.</w:t>
      </w:r>
      <w:r>
        <w:rPr>
          <w:color w:val="000000"/>
        </w:rPr>
        <w:t xml:space="preserve"> </w:t>
      </w:r>
      <w:r>
        <w:rPr>
          <w:rFonts w:ascii="Arial;sans-serif" w:hAnsi="Arial;sans-serif"/>
          <w:b w:val="false"/>
          <w:color w:val="000000"/>
          <w:sz w:val="22"/>
        </w:rPr>
        <w:t>The Committee may, in its sole discretion, defer the effectiveness of any transfer of shares of Common Stock hereunder in order to allow the issuance of such shares to be made pursuant to registration or an exemption from registration or other methods for compliance available under federal or state securities laws.</w:t>
      </w:r>
      <w:r>
        <w:rPr>
          <w:color w:val="000000"/>
        </w:rPr>
        <w:t xml:space="preserve"> </w:t>
      </w:r>
      <w:r>
        <w:rPr>
          <w:rFonts w:ascii="Arial;sans-serif" w:hAnsi="Arial;sans-serif"/>
          <w:b w:val="false"/>
          <w:color w:val="000000"/>
          <w:sz w:val="22"/>
        </w:rPr>
        <w:t>The Committee shall inform the Participant in writing of its decision to defer the effectiveness of a transfer.</w:t>
      </w:r>
      <w:r>
        <w:rPr>
          <w:color w:val="000000"/>
        </w:rPr>
        <w:t xml:space="preserve"> </w:t>
      </w:r>
      <w:r>
        <w:rPr>
          <w:rFonts w:ascii="Arial;sans-serif" w:hAnsi="Arial;sans-serif"/>
          <w:b w:val="false"/>
          <w:color w:val="000000"/>
          <w:sz w:val="22"/>
        </w:rPr>
        <w:t>During the period of such deferral in connection with the exercise of an Option, the Participant may, by written notice, withdraw such exercise and obtain the refund of any amount paid with respect thereto.</w:t>
      </w:r>
    </w:p>
    <w:p>
      <w:pPr>
        <w:pStyle w:val="TextBody"/>
        <w:bidi w:val="0"/>
        <w:spacing w:lineRule="auto" w:line="288" w:before="0" w:after="180"/>
        <w:ind w:left="0" w:right="0" w:hanging="720"/>
        <w:jc w:val="both"/>
        <w:rPr/>
      </w:pPr>
      <w:r>
        <w:rPr>
          <w:rFonts w:ascii="Arial;sans-serif" w:hAnsi="Arial;sans-serif"/>
          <w:b w:val="false"/>
          <w:color w:val="000000"/>
          <w:sz w:val="22"/>
        </w:rPr>
        <w:t>14.</w:t>
      </w:r>
      <w:r>
        <w:rPr>
          <w:rFonts w:ascii="Arial;sans-serif" w:hAnsi="Arial;sans-serif"/>
          <w:b/>
          <w:color w:val="000000"/>
          <w:sz w:val="24"/>
        </w:rPr>
        <w:t xml:space="preserve">Withholding Taxes. </w:t>
      </w:r>
      <w:r>
        <w:rPr>
          <w:rFonts w:ascii="Arial;sans-serif" w:hAnsi="Arial;sans-serif"/>
          <w:b w:val="false"/>
          <w:color w:val="000000"/>
          <w:sz w:val="22"/>
        </w:rPr>
        <w:t>All Awards and other payments under the Plan are subject to withholding of all applicable taxes.</w:t>
      </w:r>
      <w:r>
        <w:rPr>
          <w:color w:val="000000"/>
        </w:rPr>
        <w:t xml:space="preserve"> </w:t>
      </w:r>
      <w:r>
        <w:rPr>
          <w:rFonts w:ascii="Arial;sans-serif" w:hAnsi="Arial;sans-serif"/>
          <w:b w:val="false"/>
          <w:color w:val="000000"/>
          <w:sz w:val="22"/>
        </w:rPr>
        <w:t>Whenever cash is to be paid pursuant to an Award, Huron and the Affiliates shall have the right to deduct therefrom an amount sufficient to satisfy any federal, state and local withholding tax requirements related thereto.</w:t>
      </w:r>
      <w:r>
        <w:rPr>
          <w:color w:val="000000"/>
        </w:rPr>
        <w:t xml:space="preserve"> </w:t>
      </w:r>
      <w:r>
        <w:rPr>
          <w:rFonts w:ascii="Arial;sans-serif" w:hAnsi="Arial;sans-serif"/>
          <w:b w:val="false"/>
          <w:color w:val="000000"/>
          <w:sz w:val="22"/>
        </w:rPr>
        <w:t>Whenever shares of Common Stock are to be delivered pursuant to an Award, Huron and the Affiliates shall have the right to require the Participant to remit to Huron and the Affiliates in cash an amount sufficient to satisfy any federal, state and local withholding tax requirements related thereto.</w:t>
      </w:r>
      <w:r>
        <w:rPr>
          <w:color w:val="000000"/>
        </w:rPr>
        <w:t xml:space="preserve"> </w:t>
      </w:r>
      <w:r>
        <w:rPr>
          <w:rFonts w:ascii="Arial;sans-serif" w:hAnsi="Arial;sans-serif"/>
          <w:b w:val="false"/>
          <w:color w:val="000000"/>
          <w:sz w:val="22"/>
        </w:rPr>
        <w:t>With the approval of the Committee, a Participant may satisfy the foregoing requirement by electing to have Huron and the Affiliates withhold from delivery shares of Common Stock having a value equal to the amount of tax required to be withheld, as determined by the Committee or through the surrender of shares of Common Stock which the Participant already owns.</w:t>
      </w:r>
      <w:r>
        <w:rPr>
          <w:color w:val="000000"/>
        </w:rPr>
        <w:t xml:space="preserve"> </w:t>
      </w:r>
      <w:r>
        <w:rPr>
          <w:rFonts w:ascii="Arial;sans-serif" w:hAnsi="Arial;sans-serif"/>
          <w:b w:val="false"/>
          <w:color w:val="000000"/>
          <w:sz w:val="22"/>
        </w:rPr>
        <w:t>As determined solely by Huron and the Affiliates, the number of shares used for withholding may exceed the number needed to satisfy the required withholding but shall not exceed the number of shares of Common Stock needed for the maximum tax withholding under applicable law (or other rates that will not have a negative accounting impact).</w:t>
      </w:r>
      <w:r>
        <w:rPr>
          <w:color w:val="000000"/>
        </w:rPr>
        <w:t xml:space="preserve"> </w:t>
      </w:r>
      <w:r>
        <w:rPr>
          <w:rFonts w:ascii="Arial;sans-serif" w:hAnsi="Arial;sans-serif"/>
          <w:b w:val="false"/>
          <w:color w:val="000000"/>
          <w:sz w:val="22"/>
        </w:rPr>
        <w:t>Such a withholding election may be made by the Participant with respect to all or any portion of the shares to be delivered pursuant to an Award.</w:t>
      </w:r>
    </w:p>
    <w:p>
      <w:pPr>
        <w:pStyle w:val="TextBody"/>
        <w:bidi w:val="0"/>
        <w:spacing w:lineRule="auto" w:line="288" w:before="0" w:after="180"/>
        <w:ind w:left="0" w:right="0" w:hanging="720"/>
        <w:jc w:val="both"/>
        <w:rPr/>
      </w:pPr>
      <w:r>
        <w:rPr>
          <w:rFonts w:ascii="Arial;sans-serif" w:hAnsi="Arial;sans-serif"/>
          <w:b w:val="false"/>
          <w:color w:val="000000"/>
          <w:sz w:val="22"/>
        </w:rPr>
        <w:t>15.</w:t>
      </w:r>
      <w:r>
        <w:rPr>
          <w:rFonts w:ascii="Arial;sans-serif" w:hAnsi="Arial;sans-serif"/>
          <w:b/>
          <w:color w:val="000000"/>
          <w:sz w:val="24"/>
        </w:rPr>
        <w:t xml:space="preserve">Notification of Election Under Section 83(b) of the Code. </w:t>
      </w:r>
      <w:r>
        <w:rPr>
          <w:rFonts w:ascii="Arial;sans-serif" w:hAnsi="Arial;sans-serif"/>
          <w:b w:val="false"/>
          <w:color w:val="000000"/>
          <w:sz w:val="22"/>
        </w:rPr>
        <w:t>If any Participant shall, in connection with the acquisition of shares of Common Stock under the Plan, make the election permitted under Section 83(b) of the Code, such Participant shall notify Huron of such election within 10 days of filing notice of the election with the Internal Revenue Service.</w:t>
      </w:r>
    </w:p>
    <w:p>
      <w:pPr>
        <w:pStyle w:val="TextBody"/>
        <w:bidi w:val="0"/>
        <w:spacing w:lineRule="auto" w:line="288" w:before="0" w:after="180"/>
        <w:ind w:left="0" w:right="0" w:hanging="720"/>
        <w:jc w:val="both"/>
        <w:rPr/>
      </w:pPr>
      <w:r>
        <w:rPr>
          <w:rFonts w:ascii="Arial;sans-serif" w:hAnsi="Arial;sans-serif"/>
          <w:b w:val="false"/>
          <w:color w:val="000000"/>
          <w:sz w:val="22"/>
        </w:rPr>
        <w:t>16.</w:t>
      </w:r>
      <w:r>
        <w:rPr>
          <w:rFonts w:ascii="Arial;sans-serif" w:hAnsi="Arial;sans-serif"/>
          <w:b/>
          <w:color w:val="000000"/>
          <w:sz w:val="24"/>
        </w:rPr>
        <w:t xml:space="preserve">Amendment or Termination of the Plan. </w:t>
      </w:r>
      <w:r>
        <w:rPr>
          <w:rFonts w:ascii="Arial;sans-serif" w:hAnsi="Arial;sans-serif"/>
          <w:b w:val="false"/>
          <w:color w:val="000000"/>
          <w:sz w:val="22"/>
        </w:rPr>
        <w:t>The Board of Directors may, at any time, suspend or terminate the Plan or revise or amend it in any respect whatsoever; provided, however, that approval of Huron’s stockholders shall be required for any such amendment if and to the extent such approval is required in order to comply with applicable law (including, but not limited to, the Incentive Stock Option regulations and any amendments thereto), or stock exchange or automated quotation system listing requirement.</w:t>
      </w:r>
      <w:r>
        <w:rPr>
          <w:color w:val="000000"/>
        </w:rPr>
        <w:t xml:space="preserve"> </w:t>
      </w:r>
      <w:r>
        <w:rPr>
          <w:rFonts w:ascii="Arial;sans-serif" w:hAnsi="Arial;sans-serif"/>
          <w:b w:val="false"/>
          <w:color w:val="000000"/>
          <w:sz w:val="22"/>
        </w:rPr>
        <w:t>Without limiting the generality of the foregoing, no amendment of the Plan will be made without the approval of Huron’s stockholders if such amendment would (a) materially increase the benefits accruing to a Participant under the Plan; increase the aggregate number of shares of Common Stock that may be issued under the Plan; (c) modify the requirements as to eligibility for participation in the Plan; or (d) be required under Section 7(d) of the Plan (relating to prohibitions on repricing and buy-backs).</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180"/>
        <w:jc w:val="both"/>
        <w:rPr/>
      </w:pPr>
      <w:r>
        <w:rPr>
          <w:rFonts w:ascii="Arial;sans-serif" w:hAnsi="Arial;sans-serif"/>
          <w:b w:val="false"/>
          <w:color w:val="000000"/>
          <w:sz w:val="22"/>
        </w:rPr>
        <w:t>Nothing in this Section 16 shall restrict the Committee’s ability to exercise its discretionary authority pursuant to Sections 4 and 5, which discretion may be exercised without amendment to the Plan.</w:t>
      </w:r>
      <w:r>
        <w:rPr>
          <w:color w:val="000000"/>
        </w:rPr>
        <w:t xml:space="preserve"> </w:t>
      </w:r>
      <w:r>
        <w:rPr>
          <w:rFonts w:ascii="Arial;sans-serif" w:hAnsi="Arial;sans-serif"/>
          <w:b w:val="false"/>
          <w:color w:val="000000"/>
          <w:sz w:val="22"/>
        </w:rPr>
        <w:t>No action hereunder may, without the consent of a Participant, reduce the Participant’s rights under any outstanding Award.</w:t>
      </w:r>
    </w:p>
    <w:p>
      <w:pPr>
        <w:pStyle w:val="TextBody"/>
        <w:bidi w:val="0"/>
        <w:spacing w:lineRule="auto" w:line="288" w:before="0" w:after="180"/>
        <w:ind w:left="0" w:right="0" w:hanging="720"/>
        <w:jc w:val="both"/>
        <w:rPr/>
      </w:pPr>
      <w:r>
        <w:rPr>
          <w:rFonts w:ascii="Arial;sans-serif" w:hAnsi="Arial;sans-serif"/>
          <w:b w:val="false"/>
          <w:color w:val="000000"/>
          <w:sz w:val="22"/>
        </w:rPr>
        <w:t>17.</w:t>
      </w:r>
      <w:r>
        <w:rPr>
          <w:rFonts w:ascii="Arial;sans-serif" w:hAnsi="Arial;sans-serif"/>
          <w:b/>
          <w:color w:val="000000"/>
          <w:sz w:val="24"/>
        </w:rPr>
        <w:t>Transferability.</w:t>
      </w:r>
    </w:p>
    <w:p>
      <w:pPr>
        <w:pStyle w:val="TextBody"/>
        <w:bidi w:val="0"/>
        <w:spacing w:lineRule="auto" w:line="288" w:before="0" w:after="180"/>
        <w:ind w:left="0" w:right="0" w:hanging="720"/>
        <w:jc w:val="both"/>
        <w:rPr/>
      </w:pPr>
      <w:r>
        <w:rPr>
          <w:rFonts w:ascii="Arial;sans-serif" w:hAnsi="Arial;sans-serif"/>
          <w:b w:val="false"/>
          <w:color w:val="000000"/>
          <w:sz w:val="22"/>
        </w:rPr>
        <w:t>(a)</w:t>
      </w:r>
      <w:r>
        <w:rPr>
          <w:rFonts w:ascii="Arial;sans-serif" w:hAnsi="Arial;sans-serif"/>
          <w:b/>
          <w:color w:val="000000"/>
          <w:sz w:val="24"/>
        </w:rPr>
        <w:t>General</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Awards under the Plan are not transferable except as designated by the Participant by will or by the laws of descent and distribution.</w:t>
      </w:r>
      <w:r>
        <w:rPr>
          <w:color w:val="000000"/>
        </w:rPr>
        <w:t xml:space="preserve"> </w:t>
      </w:r>
      <w:r>
        <w:rPr>
          <w:rFonts w:ascii="Arial;sans-serif" w:hAnsi="Arial;sans-serif"/>
          <w:b w:val="false"/>
          <w:color w:val="000000"/>
          <w:sz w:val="22"/>
        </w:rPr>
        <w:t>Upon the death of a Participant, outstanding Awards granted to such Participant may be exercised only by the executor or administrator of the Participant’s estate or by a person who shall have acquired the right to such exercise by will or by the laws of descent and distribution.</w:t>
      </w:r>
      <w:r>
        <w:rPr>
          <w:color w:val="000000"/>
        </w:rPr>
        <w:t xml:space="preserve"> </w:t>
      </w:r>
      <w:r>
        <w:rPr>
          <w:rFonts w:ascii="Arial;sans-serif" w:hAnsi="Arial;sans-serif"/>
          <w:b w:val="false"/>
          <w:color w:val="000000"/>
          <w:sz w:val="22"/>
        </w:rPr>
        <w:t>No transfer of an Award by will or the laws of descent and distribution shall be effective to bind Huron unless the Committee shall have been furnished with (i) written notice thereof and with a copy of the will and/or such evidence as the Committee may deem necessary to establish the validity of the transfer and (ii) an agreement by the transferee to comply with all the terms and conditions of the Award that are or would have been applicable to the Participant and to be bound by the acknowledgments made by the Participant in connection with the grant of the Award.</w:t>
      </w:r>
    </w:p>
    <w:p>
      <w:pPr>
        <w:pStyle w:val="TextBody"/>
        <w:bidi w:val="0"/>
        <w:spacing w:lineRule="auto" w:line="288" w:before="0" w:after="180"/>
        <w:ind w:left="0" w:right="0" w:hanging="720"/>
        <w:jc w:val="both"/>
        <w:rPr/>
      </w:pPr>
      <w:r>
        <w:rPr>
          <w:rFonts w:ascii="Arial;sans-serif" w:hAnsi="Arial;sans-serif"/>
          <w:b w:val="false"/>
          <w:color w:val="000000"/>
          <w:sz w:val="22"/>
        </w:rPr>
        <w:t>(b)</w:t>
      </w:r>
      <w:r>
        <w:rPr>
          <w:rFonts w:ascii="Arial;sans-serif" w:hAnsi="Arial;sans-serif"/>
          <w:b/>
          <w:color w:val="000000"/>
          <w:sz w:val="24"/>
        </w:rPr>
        <w:t>Family Members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Notwithstanding Section 17(a), during a Participant’s lifetime, the Committee may, in its sole discretion, pursuant to the provisions set forth in this Section 17(b), permit the transfer, assignment or other encumbrance of an outstanding Option, unless such Option is an Incentive Stock Option and the Committee and the Participant intend that it shall retain such status.</w:t>
      </w:r>
      <w:r>
        <w:rPr>
          <w:color w:val="000000"/>
        </w:rPr>
        <w:t xml:space="preserve"> </w:t>
      </w:r>
      <w:r>
        <w:rPr>
          <w:rFonts w:ascii="Arial;sans-serif" w:hAnsi="Arial;sans-serif"/>
          <w:b w:val="false"/>
          <w:color w:val="000000"/>
          <w:sz w:val="22"/>
        </w:rPr>
        <w:t>Subject to the approval of the Committee and to any conditions that the Committee may prescribe, a Participant may, upon providing written notice to Huron,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provided, however, that no such transfer by any Participant may be made in exchange for consideration.</w:t>
      </w:r>
      <w:r>
        <w:rPr>
          <w:color w:val="000000"/>
        </w:rPr>
        <w:t xml:space="preserve"> </w:t>
      </w:r>
      <w:r>
        <w:rPr>
          <w:rFonts w:ascii="Arial;sans-serif" w:hAnsi="Arial;sans-serif"/>
          <w:b w:val="false"/>
          <w:color w:val="000000"/>
          <w:sz w:val="22"/>
        </w:rPr>
        <w:t>Any such transferee must agree, in writing, to be bound by all terms and conditions of the Plan.</w:t>
      </w:r>
    </w:p>
    <w:p>
      <w:pPr>
        <w:pStyle w:val="TextBody"/>
        <w:bidi w:val="0"/>
        <w:spacing w:lineRule="auto" w:line="288" w:before="0" w:after="180"/>
        <w:ind w:left="0" w:right="0" w:hanging="720"/>
        <w:jc w:val="both"/>
        <w:rPr/>
      </w:pPr>
      <w:r>
        <w:rPr>
          <w:rFonts w:ascii="Arial;sans-serif" w:hAnsi="Arial;sans-serif"/>
          <w:b w:val="false"/>
          <w:color w:val="000000"/>
          <w:sz w:val="22"/>
        </w:rPr>
        <w:t>(c)</w:t>
      </w:r>
      <w:r>
        <w:rPr>
          <w:rFonts w:ascii="Arial;sans-serif" w:hAnsi="Arial;sans-serif"/>
          <w:b/>
          <w:color w:val="000000"/>
          <w:sz w:val="24"/>
        </w:rPr>
        <w:t>Beneficiary</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 Participant may file with the Committee a written designation of a beneficiary on such form as may be prescribed by the Committee and may, from time to time, amend or revoke such designation.</w:t>
      </w:r>
      <w:r>
        <w:rPr>
          <w:color w:val="000000"/>
        </w:rPr>
        <w:t xml:space="preserve"> </w:t>
      </w:r>
      <w:r>
        <w:rPr>
          <w:rFonts w:ascii="Arial;sans-serif" w:hAnsi="Arial;sans-serif"/>
          <w:b w:val="false"/>
          <w:color w:val="000000"/>
          <w:sz w:val="22"/>
        </w:rPr>
        <w:t>If no designated beneficiary survives the Participant, the executor or administrator of the Participant’s estate shall be deemed to be the Participant’s beneficiary.</w:t>
      </w:r>
    </w:p>
    <w:p>
      <w:pPr>
        <w:pStyle w:val="TextBody"/>
        <w:bidi w:val="0"/>
        <w:spacing w:lineRule="auto" w:line="288" w:before="0" w:after="180"/>
        <w:ind w:left="0" w:right="0" w:hanging="720"/>
        <w:jc w:val="both"/>
        <w:rPr/>
      </w:pPr>
      <w:r>
        <w:rPr>
          <w:rFonts w:ascii="Arial;sans-serif" w:hAnsi="Arial;sans-serif"/>
          <w:b w:val="false"/>
          <w:color w:val="000000"/>
          <w:sz w:val="22"/>
        </w:rPr>
        <w:t>18.</w:t>
      </w:r>
      <w:r>
        <w:rPr>
          <w:rFonts w:ascii="Arial;sans-serif" w:hAnsi="Arial;sans-serif"/>
          <w:b/>
          <w:color w:val="000000"/>
          <w:sz w:val="24"/>
        </w:rPr>
        <w:t>Miscellaneous.</w:t>
      </w:r>
    </w:p>
    <w:p>
      <w:pPr>
        <w:pStyle w:val="TextBody"/>
        <w:bidi w:val="0"/>
        <w:spacing w:lineRule="auto" w:line="288" w:before="0" w:after="180"/>
        <w:ind w:left="0" w:right="0" w:hanging="720"/>
        <w:jc w:val="both"/>
        <w:rPr/>
      </w:pPr>
      <w:r>
        <w:rPr>
          <w:rFonts w:ascii="Arial;sans-serif" w:hAnsi="Arial;sans-serif"/>
          <w:b w:val="false"/>
          <w:color w:val="000000"/>
          <w:sz w:val="22"/>
        </w:rPr>
        <w:t>(a)</w:t>
      </w:r>
      <w:r>
        <w:rPr>
          <w:rFonts w:ascii="Arial;sans-serif" w:hAnsi="Arial;sans-serif"/>
          <w:b/>
          <w:color w:val="000000"/>
          <w:sz w:val="24"/>
        </w:rPr>
        <w:t>Notices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Any notice or document required to be filed with the Committee under the Plan will be properly filed if delivered or mailed by registered mail, postage prepaid, to the Committee, in care of Huron at its principal executive offices.</w:t>
      </w:r>
      <w:r>
        <w:rPr>
          <w:color w:val="000000"/>
        </w:rPr>
        <w:t xml:space="preserve"> </w:t>
      </w:r>
      <w:r>
        <w:rPr>
          <w:rFonts w:ascii="Arial;sans-serif" w:hAnsi="Arial;sans-serif"/>
          <w:b w:val="false"/>
          <w:color w:val="000000"/>
          <w:sz w:val="22"/>
        </w:rPr>
        <w:t xml:space="preserve">The Committee may, by advance written notice to affected persons, revise such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180"/>
        <w:jc w:val="both"/>
        <w:rPr/>
      </w:pPr>
      <w:r>
        <w:rPr>
          <w:rFonts w:ascii="Arial;sans-serif" w:hAnsi="Arial;sans-serif"/>
          <w:b w:val="false"/>
          <w:color w:val="000000"/>
          <w:sz w:val="22"/>
        </w:rPr>
        <w:t>notice procedure from time to time.</w:t>
      </w:r>
      <w:r>
        <w:rPr>
          <w:color w:val="000000"/>
        </w:rPr>
        <w:t xml:space="preserve"> </w:t>
      </w:r>
      <w:r>
        <w:rPr>
          <w:rFonts w:ascii="Arial;sans-serif" w:hAnsi="Arial;sans-serif"/>
          <w:b w:val="false"/>
          <w:color w:val="000000"/>
          <w:sz w:val="22"/>
        </w:rPr>
        <w:t>Any notice required under the Plan (other than exercise notice) may be waived by the person entitled to notice.</w:t>
      </w:r>
    </w:p>
    <w:p>
      <w:pPr>
        <w:pStyle w:val="TextBody"/>
        <w:bidi w:val="0"/>
        <w:spacing w:lineRule="auto" w:line="288" w:before="0" w:after="180"/>
        <w:ind w:left="0" w:right="0" w:hanging="720"/>
        <w:jc w:val="both"/>
        <w:rPr/>
      </w:pPr>
      <w:r>
        <w:rPr>
          <w:rFonts w:ascii="Arial;sans-serif" w:hAnsi="Arial;sans-serif"/>
          <w:b w:val="false"/>
          <w:color w:val="000000"/>
          <w:sz w:val="22"/>
        </w:rPr>
        <w:t>(b)</w:t>
      </w:r>
      <w:r>
        <w:rPr>
          <w:rFonts w:ascii="Arial;sans-serif" w:hAnsi="Arial;sans-serif"/>
          <w:b/>
          <w:color w:val="000000"/>
          <w:sz w:val="24"/>
        </w:rPr>
        <w:t>Form and Time of Elections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Unless otherwise specified herein, each election required or permitted to be made by 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pStyle w:val="TextBody"/>
        <w:bidi w:val="0"/>
        <w:spacing w:lineRule="auto" w:line="288" w:before="0" w:after="180"/>
        <w:ind w:left="0" w:right="0" w:hanging="720"/>
        <w:jc w:val="both"/>
        <w:rPr/>
      </w:pPr>
      <w:r>
        <w:rPr>
          <w:rFonts w:ascii="Arial;sans-serif" w:hAnsi="Arial;sans-serif"/>
          <w:b w:val="false"/>
          <w:color w:val="000000"/>
          <w:sz w:val="22"/>
        </w:rPr>
        <w:t>(c)</w:t>
      </w:r>
      <w:r>
        <w:rPr>
          <w:rFonts w:ascii="Arial;sans-serif" w:hAnsi="Arial;sans-serif"/>
          <w:b/>
          <w:color w:val="000000"/>
          <w:sz w:val="24"/>
        </w:rPr>
        <w:t>Agreement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Committee may require a Participant to enter into an Agreement evidencing the Award, which Agreement shall contain such terms and conditions, not inconsistent with the Plan, as the Committee determines in its discretion.</w:t>
      </w:r>
    </w:p>
    <w:p>
      <w:pPr>
        <w:pStyle w:val="TextBody"/>
        <w:bidi w:val="0"/>
        <w:spacing w:lineRule="auto" w:line="288" w:before="0" w:after="180"/>
        <w:ind w:left="0" w:right="0" w:hanging="720"/>
        <w:jc w:val="both"/>
        <w:rPr/>
      </w:pPr>
      <w:r>
        <w:rPr>
          <w:rFonts w:ascii="Arial;sans-serif" w:hAnsi="Arial;sans-serif"/>
          <w:b w:val="false"/>
          <w:color w:val="000000"/>
          <w:sz w:val="22"/>
        </w:rPr>
        <w:t>(d)</w:t>
      </w:r>
      <w:r>
        <w:rPr>
          <w:rFonts w:ascii="Arial;sans-serif" w:hAnsi="Arial;sans-serif"/>
          <w:b/>
          <w:color w:val="000000"/>
          <w:sz w:val="24"/>
        </w:rPr>
        <w:t>Liability for Cash Payments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Subject to the terms and conditions of the Plan, Huron and each Affiliate shall be liable for payment of cash due under the Plan with respect to any Participant to the extent that such benefits are attributable to the service rendered for Huron or the Affiliate, as applicable, by the Participant.</w:t>
      </w:r>
      <w:r>
        <w:rPr>
          <w:color w:val="000000"/>
        </w:rPr>
        <w:t xml:space="preserve"> </w:t>
      </w:r>
      <w:r>
        <w:rPr>
          <w:rFonts w:ascii="Arial;sans-serif" w:hAnsi="Arial;sans-serif"/>
          <w:b w:val="false"/>
          <w:color w:val="000000"/>
          <w:sz w:val="22"/>
        </w:rPr>
        <w:t>Any disputes relating to the liability of Huron or an Affiliate for cash payments shall be resolved by the Committee.</w:t>
      </w:r>
    </w:p>
    <w:p>
      <w:pPr>
        <w:pStyle w:val="TextBody"/>
        <w:bidi w:val="0"/>
        <w:spacing w:lineRule="auto" w:line="288" w:before="0" w:after="180"/>
        <w:ind w:left="0" w:right="0" w:hanging="720"/>
        <w:jc w:val="both"/>
        <w:rPr/>
      </w:pPr>
      <w:r>
        <w:rPr>
          <w:rFonts w:ascii="Arial;sans-serif" w:hAnsi="Arial;sans-serif"/>
          <w:b w:val="false"/>
          <w:color w:val="000000"/>
          <w:sz w:val="22"/>
        </w:rPr>
        <w:t>(e)</w:t>
      </w:r>
      <w:r>
        <w:rPr>
          <w:rFonts w:ascii="Arial;sans-serif" w:hAnsi="Arial;sans-serif"/>
          <w:b/>
          <w:color w:val="000000"/>
          <w:sz w:val="24"/>
        </w:rPr>
        <w:t>Evidence</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Evidence required of anyone under the Plan may be by certificate, affidavit, document or other information which the person acting on it considers pertinent and reliable, and signed, made or presented by the proper party or parties.</w:t>
      </w:r>
    </w:p>
    <w:p>
      <w:pPr>
        <w:pStyle w:val="TextBody"/>
        <w:bidi w:val="0"/>
        <w:spacing w:lineRule="auto" w:line="288" w:before="0" w:after="180"/>
        <w:ind w:left="0" w:right="0" w:hanging="720"/>
        <w:jc w:val="both"/>
        <w:rPr/>
      </w:pPr>
      <w:r>
        <w:rPr>
          <w:rFonts w:ascii="Arial;sans-serif" w:hAnsi="Arial;sans-serif"/>
          <w:b w:val="false"/>
          <w:color w:val="000000"/>
          <w:sz w:val="22"/>
        </w:rPr>
        <w:t>(f)</w:t>
      </w:r>
      <w:r>
        <w:rPr>
          <w:rFonts w:ascii="Arial;sans-serif" w:hAnsi="Arial;sans-serif"/>
          <w:b/>
          <w:color w:val="000000"/>
          <w:sz w:val="24"/>
        </w:rPr>
        <w:t>Gender and Number</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Where the context admits, words in any gender shall include any other gender, words in the singular shall include the plural and the plural shall include the singular.</w:t>
      </w:r>
    </w:p>
    <w:p>
      <w:pPr>
        <w:pStyle w:val="TextBody"/>
        <w:bidi w:val="0"/>
        <w:spacing w:lineRule="auto" w:line="288" w:before="0" w:after="180"/>
        <w:ind w:left="0" w:right="0" w:hanging="720"/>
        <w:jc w:val="both"/>
        <w:rPr/>
      </w:pPr>
      <w:r>
        <w:rPr>
          <w:rFonts w:ascii="Arial;sans-serif" w:hAnsi="Arial;sans-serif"/>
          <w:b w:val="false"/>
          <w:color w:val="000000"/>
          <w:sz w:val="22"/>
        </w:rPr>
        <w:t>(g)</w:t>
      </w:r>
      <w:r>
        <w:rPr>
          <w:rFonts w:ascii="Arial;sans-serif" w:hAnsi="Arial;sans-serif"/>
          <w:b/>
          <w:color w:val="000000"/>
          <w:sz w:val="24"/>
        </w:rPr>
        <w:t>Expenses and Receipts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expenses of the Plan shall be paid by Huron.</w:t>
      </w:r>
      <w:r>
        <w:rPr>
          <w:color w:val="000000"/>
        </w:rPr>
        <w:t xml:space="preserve"> </w:t>
      </w:r>
      <w:r>
        <w:rPr>
          <w:rFonts w:ascii="Arial;sans-serif" w:hAnsi="Arial;sans-serif"/>
          <w:b w:val="false"/>
          <w:color w:val="000000"/>
          <w:sz w:val="22"/>
        </w:rPr>
        <w:t>Any proceeds received by Huron in connection with any Award may be used for general corporate purposes.</w:t>
      </w:r>
    </w:p>
    <w:p>
      <w:pPr>
        <w:pStyle w:val="TextBody"/>
        <w:bidi w:val="0"/>
        <w:spacing w:lineRule="auto" w:line="288" w:before="0" w:after="180"/>
        <w:ind w:left="0" w:right="0" w:hanging="720"/>
        <w:jc w:val="both"/>
        <w:rPr/>
      </w:pPr>
      <w:r>
        <w:rPr>
          <w:rFonts w:ascii="Arial;sans-serif" w:hAnsi="Arial;sans-serif"/>
          <w:b w:val="false"/>
          <w:color w:val="000000"/>
          <w:sz w:val="22"/>
        </w:rPr>
        <w:t>(h)</w:t>
      </w:r>
      <w:r>
        <w:rPr>
          <w:rFonts w:ascii="Arial;sans-serif" w:hAnsi="Arial;sans-serif"/>
          <w:b/>
          <w:color w:val="000000"/>
          <w:sz w:val="24"/>
        </w:rPr>
        <w:t>Applicable Law, Venue</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Except to the extent preempted by any applicable federal law, the Plan shall be construed and administered in accordance with the laws of the State of Delaware without reference to its principles of conflicts of law.</w:t>
      </w:r>
      <w:r>
        <w:rPr>
          <w:color w:val="000000"/>
        </w:rPr>
        <w:t xml:space="preserve"> </w:t>
      </w:r>
      <w:r>
        <w:rPr>
          <w:rFonts w:ascii="Arial;sans-serif" w:hAnsi="Arial;sans-serif"/>
          <w:b w:val="false"/>
          <w:color w:val="000000"/>
          <w:sz w:val="22"/>
        </w:rPr>
        <w:t>Any legal action related to this Plan shall be brought only in a federal or state court located in Chicago, Illinois.</w:t>
      </w:r>
    </w:p>
    <w:p>
      <w:pPr>
        <w:pStyle w:val="TextBody"/>
        <w:bidi w:val="0"/>
        <w:spacing w:lineRule="auto" w:line="288" w:before="0" w:after="180"/>
        <w:ind w:left="0" w:right="0" w:hanging="720"/>
        <w:jc w:val="both"/>
        <w:rPr/>
      </w:pPr>
      <w:r>
        <w:rPr>
          <w:rFonts w:ascii="Arial;sans-serif" w:hAnsi="Arial;sans-serif"/>
          <w:b w:val="false"/>
          <w:color w:val="000000"/>
          <w:sz w:val="22"/>
        </w:rPr>
        <w:t>(i)</w:t>
      </w:r>
      <w:r>
        <w:rPr>
          <w:rFonts w:ascii="Arial;sans-serif" w:hAnsi="Arial;sans-serif"/>
          <w:b/>
          <w:color w:val="000000"/>
          <w:sz w:val="24"/>
        </w:rPr>
        <w:t>No Fractional Shares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No fractional shares of Common Stock shall be issued or delivered pursuant to the Plan.</w:t>
      </w:r>
      <w:r>
        <w:rPr>
          <w:color w:val="000000"/>
        </w:rPr>
        <w:t xml:space="preserve"> </w:t>
      </w:r>
      <w:r>
        <w:rPr>
          <w:rFonts w:ascii="Arial;sans-serif" w:hAnsi="Arial;sans-serif"/>
          <w:b w:val="false"/>
          <w:color w:val="000000"/>
          <w:sz w:val="22"/>
        </w:rPr>
        <w:t>The Committee shall determine whether cash, other Awards, or other property shall be issued or paid in lieu of such fractional shares or whether such fractional shares or any rights thereto shall be forfeited or otherwise eliminated.</w:t>
      </w:r>
    </w:p>
    <w:p>
      <w:pPr>
        <w:pStyle w:val="TextBody"/>
        <w:bidi w:val="0"/>
        <w:spacing w:lineRule="auto" w:line="288" w:before="0" w:after="180"/>
        <w:ind w:left="0" w:right="0" w:hanging="720"/>
        <w:jc w:val="both"/>
        <w:rPr/>
      </w:pPr>
      <w:r>
        <w:rPr>
          <w:rFonts w:ascii="Arial;sans-serif" w:hAnsi="Arial;sans-serif"/>
          <w:b w:val="false"/>
          <w:color w:val="000000"/>
          <w:sz w:val="22"/>
        </w:rPr>
        <w:t>19.</w:t>
      </w:r>
      <w:r>
        <w:rPr>
          <w:rFonts w:ascii="Arial;sans-serif" w:hAnsi="Arial;sans-serif"/>
          <w:b/>
          <w:color w:val="000000"/>
          <w:sz w:val="24"/>
        </w:rPr>
        <w:t xml:space="preserve">Severability. </w:t>
      </w:r>
      <w:r>
        <w:rPr>
          <w:rFonts w:ascii="Arial;sans-serif" w:hAnsi="Arial;sans-serif"/>
          <w:b w:val="false"/>
          <w:color w:val="000000"/>
          <w:sz w:val="22"/>
        </w:rPr>
        <w:t>If any provision of the Plan is held to be invalid or unenforceable, the other provisions of the Plan shall not be affected but shall be applied as if the invalid or unenforceable provision had not been included in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180"/>
        <w:ind w:left="0" w:right="0" w:hanging="720"/>
        <w:jc w:val="both"/>
        <w:rPr/>
      </w:pPr>
      <w:r>
        <w:rPr>
          <w:rFonts w:ascii="Arial;sans-serif" w:hAnsi="Arial;sans-serif"/>
          <w:b w:val="false"/>
          <w:color w:val="000000"/>
          <w:sz w:val="22"/>
        </w:rPr>
        <w:t>20.</w:t>
      </w:r>
      <w:r>
        <w:rPr>
          <w:rFonts w:ascii="Arial;sans-serif" w:hAnsi="Arial;sans-serif"/>
          <w:b/>
          <w:color w:val="000000"/>
          <w:sz w:val="24"/>
        </w:rPr>
        <w:t xml:space="preserve">Foreign Employees. </w:t>
      </w:r>
      <w:r>
        <w:rPr>
          <w:rFonts w:ascii="Arial;sans-serif" w:hAnsi="Arial;sans-serif"/>
          <w:b w:val="false"/>
          <w:color w:val="000000"/>
          <w:sz w:val="22"/>
        </w:rPr>
        <w:t>Notwithstanding any other provision of the Plan to the contrary, the Committee may grant Awards to eligible persons who are foreign nationals on such terms and conditions different from those specified in the Plan as may, in the judgment of the Committee, be necessary or desirable to foster and promote achievement of the purposes of the Plan.</w:t>
      </w:r>
      <w:r>
        <w:rPr>
          <w:color w:val="000000"/>
        </w:rPr>
        <w:t xml:space="preserve"> </w:t>
      </w:r>
      <w:r>
        <w:rPr>
          <w:rFonts w:ascii="Arial;sans-serif" w:hAnsi="Arial;sans-serif"/>
          <w:b w:val="false"/>
          <w:color w:val="000000"/>
          <w:sz w:val="22"/>
        </w:rPr>
        <w:t>In furtherance of such purposes, the Committee may make such modifications, amendments, procedures and subplans as may be necessary or advisable to comply with provisions of laws in other countries or jurisdictions in which Huron or an Affiliate operates or has employees.</w:t>
      </w:r>
      <w:r>
        <w:rPr>
          <w:color w:val="000000"/>
        </w:rPr>
        <w:t xml:space="preserve"> </w:t>
      </w:r>
    </w:p>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21.1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LIST OF SUBSIDIARIES OF 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(as of December 31, 2023)</w:t>
      </w:r>
    </w:p>
    <w:p>
      <w:pPr>
        <w:pStyle w:val="TextBody"/>
        <w:bidi w:val="0"/>
        <w:spacing w:lineRule="auto" w:line="288" w:before="0" w:after="0"/>
        <w:jc w:val="left"/>
        <w:rPr>
          <w:color w:val="000000"/>
        </w:rPr>
      </w:pPr>
      <w:r>
        <w:rPr>
          <w:color w:val="000000"/>
        </w:rPr>
        <w:t> </w:t>
      </w:r>
    </w:p>
    <w:tbl>
      <w:tblPr>
        <w:tblW w:w="5711" w:type="dxa"/>
        <w:jc w:val="center"/>
        <w:tblInd w:w="0" w:type="dxa"/>
        <w:tblLayout w:type="fixed"/>
        <w:tblCellMar>
          <w:top w:w="28" w:type="dxa"/>
          <w:left w:w="28" w:type="dxa"/>
          <w:bottom w:w="28" w:type="dxa"/>
          <w:right w:w="28" w:type="dxa"/>
        </w:tblCellMar>
      </w:tblPr>
      <w:tblGrid>
        <w:gridCol w:w="1092"/>
        <w:gridCol w:w="964"/>
        <w:gridCol w:w="974"/>
        <w:gridCol w:w="109"/>
        <w:gridCol w:w="109"/>
        <w:gridCol w:w="109"/>
        <w:gridCol w:w="688"/>
        <w:gridCol w:w="688"/>
        <w:gridCol w:w="978"/>
      </w:tblGrid>
      <w:tr>
        <w:trPr/>
        <w:tc>
          <w:tcPr>
            <w:tcW w:w="109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Jurisdiction of Organization</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Saudi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Saudi Arabia</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Saudi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Saudi Arabia</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Advisors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Canada</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Public Finance Advisory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Transaction Advisory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Eurasia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India</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Services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England</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Asia-Pacific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Singapore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Consulting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Switzerland</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Consulting,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Aviation One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Managed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Government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Whiteboard Communications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Pennsylvania</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Verity Truss Consulting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Virginia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23.1</w:t>
      </w:r>
    </w:p>
    <w:p>
      <w:pPr>
        <w:pStyle w:val="TextBody"/>
        <w:bidi w:val="0"/>
        <w:spacing w:lineRule="auto" w:line="288" w:before="100" w:after="283"/>
        <w:jc w:val="center"/>
        <w:rPr>
          <w:rFonts w:ascii="Arial Narrow;sans-serif" w:hAnsi="Arial Narrow;sans-serif"/>
          <w:b/>
          <w:color w:val="000000"/>
          <w:sz w:val="20"/>
          <w:u w:val="single"/>
        </w:rPr>
      </w:pPr>
      <w:r>
        <w:rPr>
          <w:rFonts w:ascii="Arial Narrow;sans-serif" w:hAnsi="Arial Narrow;sans-serif"/>
          <w:b/>
          <w:color w:val="000000"/>
          <w:sz w:val="20"/>
          <w:u w:val="single"/>
        </w:rPr>
        <w:t>CONSENT OF INDEPENDENT REGISTERED PUBLIC ACCOUNTING FIRM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hereby consent to the incorporation by reference in the Registration Statements on Form S-8 (Nos. 333-204353, 333-218108, 333-231566, 333-238605, 333-238606, 333-256384, and 333-272292) of Huron Consulting Group Inc. of our report dated February 27, 2024 relating to the financial statements and the effectiveness of internal control over financial reporting, which appears in this Form 10-K.</w:t>
      </w:r>
    </w:p>
    <w:tbl>
      <w:tblPr>
        <w:tblW w:w="2519" w:type="dxa"/>
        <w:jc w:val="left"/>
        <w:tblInd w:w="0" w:type="dxa"/>
        <w:tblLayout w:type="fixed"/>
        <w:tblCellMar>
          <w:top w:w="28" w:type="dxa"/>
          <w:left w:w="28" w:type="dxa"/>
          <w:bottom w:w="28" w:type="dxa"/>
          <w:right w:w="28" w:type="dxa"/>
        </w:tblCellMar>
      </w:tblPr>
      <w:tblGrid>
        <w:gridCol w:w="804"/>
        <w:gridCol w:w="709"/>
        <w:gridCol w:w="1006"/>
      </w:tblGrid>
      <w:tr>
        <w:trPr/>
        <w:tc>
          <w:tcPr>
            <w:tcW w:w="8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PricewaterhouseCoopers LLP</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Chicago, Illinois</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February 27, 2024</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C. Mark Hussey,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Annual Report on Form 10-K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John D. Kelly,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Annual Report on Form 10-K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Annual Report of Huron Consulting Group Inc. (the "Company") on Form 10-K for the year ended December 31, 2023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w:t>
            </w:r>
            <w:r>
              <w:rPr>
                <w:rFonts w:ascii="Arial Narrow;sans-serif" w:hAnsi="Arial Narrow;sans-serif"/>
                <w:b w:val="false"/>
                <w:color w:val="000000"/>
                <w:sz w:val="16"/>
              </w:rPr>
              <w:t>S</w:t>
            </w:r>
            <w:r>
              <w:rPr>
                <w:rFonts w:ascii="Arial Narrow;sans-serif" w:hAnsi="Arial Narrow;sans-serif"/>
                <w:b w:val="false"/>
                <w:color w:val="000000"/>
                <w:sz w:val="20"/>
              </w:rPr>
              <w:t>/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10-K and shall not be considered filed as part of the Form 10-K.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Annual Report of Huron Consulting Group Inc. (the "Company") on Form 10-K for the year ended December 31, 2023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10-K and shall not be considered filed as part of the Form 10-K.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97.1</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HURON CONSULTING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COMPENSATION CLAWBACK POLICY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Effective Date: October 27, 2023</w:t>
      </w:r>
    </w:p>
    <w:p>
      <w:pPr>
        <w:pStyle w:val="TextBody"/>
        <w:bidi w:val="0"/>
        <w:spacing w:lineRule="auto" w:line="288" w:before="180" w:after="283"/>
        <w:ind w:left="0" w:right="0" w:hanging="360"/>
        <w:jc w:val="left"/>
        <w:rPr/>
      </w:pPr>
      <w:r>
        <w:rPr>
          <w:rFonts w:ascii="Times New Roman;sans-serif" w:hAnsi="Times New Roman;sans-serif"/>
          <w:b/>
          <w:color w:val="000000"/>
          <w:sz w:val="24"/>
        </w:rPr>
        <w:t>1.Purpose</w:t>
      </w:r>
      <w:r>
        <w:rPr>
          <w:rFonts w:ascii="Times New Roman;sans-serif" w:hAnsi="Times New Roman;sans-serif"/>
          <w:b w:val="false"/>
          <w:color w:val="000000"/>
          <w:sz w:val="24"/>
        </w:rPr>
        <w:t xml:space="preserve">. The Company has adopted this Policy to comply with Section 954 of the Dodd-Frank Wall Street Reform and Consumer Protection Act of 2010, as codified by Section 10D of the Exchange Act, and Nasdaq Listing Rule 5608, which require the recovery of certain forms of executive compensation in the case of accounting restatements resulting from a material error in an issuer’s financial statements or material noncompliance with financial reporting requirements under the federal securities laws. </w:t>
      </w:r>
    </w:p>
    <w:p>
      <w:pPr>
        <w:pStyle w:val="TextBody"/>
        <w:bidi w:val="0"/>
        <w:spacing w:lineRule="auto" w:line="288" w:before="180" w:after="283"/>
        <w:ind w:left="0" w:right="0" w:hanging="360"/>
        <w:jc w:val="left"/>
        <w:rPr/>
      </w:pPr>
      <w:r>
        <w:rPr>
          <w:rFonts w:ascii="Times New Roman;sans-serif" w:hAnsi="Times New Roman;sans-serif"/>
          <w:b/>
          <w:color w:val="000000"/>
          <w:sz w:val="24"/>
        </w:rPr>
        <w:t>2.Administration.</w:t>
      </w:r>
      <w:r>
        <w:rPr>
          <w:color w:val="000000"/>
        </w:rPr>
        <w:t xml:space="preserve"> </w:t>
      </w:r>
      <w:r>
        <w:rPr>
          <w:rFonts w:ascii="Times New Roman;sans-serif" w:hAnsi="Times New Roman;sans-serif"/>
          <w:b w:val="false"/>
          <w:color w:val="000000"/>
          <w:sz w:val="24"/>
        </w:rPr>
        <w:t xml:space="preserve">This Policy shall be administered by the Board or, if so designated by the Board, the Compensation Committee, in which case references herein to the Board shall be deemed references to the Compensation Committee. </w:t>
      </w:r>
    </w:p>
    <w:p>
      <w:pPr>
        <w:pStyle w:val="TextBody"/>
        <w:bidi w:val="0"/>
        <w:spacing w:lineRule="auto" w:line="288" w:before="180" w:after="283"/>
        <w:ind w:left="0" w:right="0" w:hanging="360"/>
        <w:jc w:val="left"/>
        <w:rPr/>
      </w:pPr>
      <w:r>
        <w:rPr>
          <w:rFonts w:ascii="Times New Roman;sans-serif" w:hAnsi="Times New Roman;sans-serif"/>
          <w:b/>
          <w:color w:val="000000"/>
          <w:sz w:val="24"/>
        </w:rPr>
        <w:t>3.Definitions.</w:t>
      </w:r>
      <w:r>
        <w:rPr>
          <w:color w:val="000000"/>
        </w:rPr>
        <w:t xml:space="preserve"> </w:t>
      </w:r>
      <w:r>
        <w:rPr>
          <w:rFonts w:ascii="Times New Roman;sans-serif" w:hAnsi="Times New Roman;sans-serif"/>
          <w:b w:val="false"/>
          <w:color w:val="000000"/>
          <w:sz w:val="24"/>
        </w:rPr>
        <w:t>For purposes of this Policy, the following capitalized terms shall have the meanings set forth below.</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Acknowledgement Form</w:t>
      </w:r>
      <w:r>
        <w:rPr>
          <w:color w:val="000000"/>
        </w:rPr>
        <w:t xml:space="preserve">” </w:t>
      </w:r>
      <w:r>
        <w:rPr>
          <w:rFonts w:ascii="Times New Roman;sans-serif" w:hAnsi="Times New Roman;sans-serif"/>
          <w:b w:val="false"/>
          <w:color w:val="000000"/>
          <w:sz w:val="24"/>
        </w:rPr>
        <w:t xml:space="preserve">shall mean the acknowledgment form attached hereto as </w:t>
      </w:r>
      <w:r>
        <w:rPr>
          <w:rFonts w:ascii="Times New Roman;sans-serif" w:hAnsi="Times New Roman;sans-serif"/>
          <w:b w:val="false"/>
          <w:color w:val="000000"/>
          <w:sz w:val="24"/>
          <w:u w:val="single"/>
        </w:rPr>
        <w:t>Annex A</w:t>
      </w:r>
      <w:r>
        <w:rPr>
          <w:rFonts w:ascii="Times New Roman;sans-serif" w:hAnsi="Times New Roman;sans-serif"/>
          <w:b w:val="false"/>
          <w:color w:val="000000"/>
          <w:sz w:val="24"/>
        </w:rPr>
        <w:t>.</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 xml:space="preserve">shall mean the Board of Directors of the Company. </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rPr>
        <w:t>Commission</w:t>
      </w:r>
      <w:r>
        <w:rPr>
          <w:color w:val="000000"/>
        </w:rPr>
        <w:t xml:space="preserve">” </w:t>
      </w:r>
      <w:r>
        <w:rPr>
          <w:rFonts w:ascii="Times New Roman;sans-serif" w:hAnsi="Times New Roman;sans-serif"/>
          <w:b w:val="false"/>
          <w:color w:val="000000"/>
          <w:sz w:val="24"/>
        </w:rPr>
        <w:t>shall mean the U.S. Securities and Exchange Commission.</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(d)</w:t>
      </w:r>
      <w:r>
        <w:rPr>
          <w:color w:val="000000"/>
        </w:rPr>
        <w:t>“</w:t>
      </w:r>
      <w:r>
        <w:rPr>
          <w:rFonts w:ascii="Times New Roman;sans-serif" w:hAnsi="Times New Roman;sans-serif"/>
          <w:b/>
          <w:color w:val="000000"/>
          <w:sz w:val="24"/>
        </w:rPr>
        <w:t>Covered Executive</w:t>
      </w:r>
      <w:r>
        <w:rPr>
          <w:color w:val="000000"/>
        </w:rPr>
        <w:t xml:space="preserve">” </w:t>
      </w:r>
      <w:r>
        <w:rPr>
          <w:rFonts w:ascii="Times New Roman;sans-serif" w:hAnsi="Times New Roman;sans-serif"/>
          <w:b w:val="false"/>
          <w:color w:val="000000"/>
          <w:sz w:val="24"/>
        </w:rPr>
        <w:t>shall mean the Company’s current and former executive officers, and such other employees who may from time to time be deemed subject to this Policy by the Board. For purposes of this Policy, an executive officer means an officer as defined in Rule 16a-1(f) under the Exchange Act.</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(e)</w:t>
      </w:r>
      <w:r>
        <w:rPr>
          <w:color w:val="000000"/>
        </w:rPr>
        <w:t>“</w:t>
      </w:r>
      <w:r>
        <w:rPr>
          <w:rFonts w:ascii="Times New Roman;sans-serif" w:hAnsi="Times New Roman;sans-serif"/>
          <w:b/>
          <w:color w:val="000000"/>
          <w:sz w:val="24"/>
        </w:rPr>
        <w:t>Erroneously Awarded Compensation</w:t>
      </w:r>
      <w:r>
        <w:rPr>
          <w:color w:val="000000"/>
        </w:rPr>
        <w:t xml:space="preserve">” </w:t>
      </w:r>
      <w:r>
        <w:rPr>
          <w:rFonts w:ascii="Times New Roman;sans-serif" w:hAnsi="Times New Roman;sans-serif"/>
          <w:b w:val="false"/>
          <w:color w:val="000000"/>
          <w:sz w:val="24"/>
        </w:rPr>
        <w:t>shall mean, with respect to each Covered Executive in connection with a Restatement, the amount of Incentive-based Compensation that exceeds the amount of Incentive-based Compensation that would have been received by the Covered Executive had it been determined based on the restated amounts, without regard to any taxes paid by the Covered Executive.</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(f)</w:t>
      </w:r>
      <w:r>
        <w:rPr>
          <w:color w:val="000000"/>
        </w:rPr>
        <w:t>“</w:t>
      </w:r>
      <w:r>
        <w:rPr>
          <w:rFonts w:ascii="Times New Roman;sans-serif" w:hAnsi="Times New Roman;sans-serif"/>
          <w:b/>
          <w:color w:val="000000"/>
          <w:sz w:val="24"/>
        </w:rPr>
        <w:t>Exchange Act</w:t>
      </w:r>
      <w:r>
        <w:rPr>
          <w:color w:val="000000"/>
        </w:rPr>
        <w:t xml:space="preserve">” </w:t>
      </w:r>
      <w:r>
        <w:rPr>
          <w:rFonts w:ascii="Times New Roman;sans-serif" w:hAnsi="Times New Roman;sans-serif"/>
          <w:b w:val="false"/>
          <w:color w:val="000000"/>
          <w:sz w:val="24"/>
        </w:rPr>
        <w:t>shall mean the Securities Exchange Act of 1934, as amended.</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(g)</w:t>
      </w:r>
      <w:r>
        <w:rPr>
          <w:color w:val="000000"/>
        </w:rPr>
        <w:t>“</w:t>
      </w:r>
      <w:r>
        <w:rPr>
          <w:rFonts w:ascii="Times New Roman;sans-serif" w:hAnsi="Times New Roman;sans-serif"/>
          <w:b/>
          <w:color w:val="000000"/>
          <w:sz w:val="24"/>
        </w:rPr>
        <w:t>Financial Reporting Measures</w:t>
      </w:r>
      <w:r>
        <w:rPr>
          <w:color w:val="000000"/>
        </w:rPr>
        <w:t xml:space="preserve">” </w:t>
      </w:r>
      <w:r>
        <w:rPr>
          <w:rFonts w:ascii="Times New Roman;sans-serif" w:hAnsi="Times New Roman;sans-serif"/>
          <w:b w:val="false"/>
          <w:color w:val="000000"/>
          <w:sz w:val="24"/>
        </w:rPr>
        <w:t xml:space="preserve">shall mean measures that are determined and presented in accordance with the accounting principles used in preparing the Company’s financial statements, and any measures that are derived wholly or in part from such measures, including “Business Criteria” as defined in the Company’s Omnibus Incentive Plan. Stock price and total shareholder return shall also constitute “Financial Reporting Measures.” A Financial Reporting Measure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need not be presented within the Company’s financial statements or included in a filing with the Commission. </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(h)</w:t>
      </w:r>
      <w:r>
        <w:rPr>
          <w:color w:val="000000"/>
        </w:rPr>
        <w:t>“</w:t>
      </w:r>
      <w:r>
        <w:rPr>
          <w:rFonts w:ascii="Times New Roman;sans-serif" w:hAnsi="Times New Roman;sans-serif"/>
          <w:b/>
          <w:color w:val="000000"/>
          <w:sz w:val="24"/>
        </w:rPr>
        <w:t>Incentive-based Compensation</w:t>
      </w:r>
      <w:r>
        <w:rPr>
          <w:color w:val="000000"/>
        </w:rPr>
        <w:t xml:space="preserve">” </w:t>
      </w:r>
      <w:r>
        <w:rPr>
          <w:rFonts w:ascii="Times New Roman;sans-serif" w:hAnsi="Times New Roman;sans-serif"/>
          <w:b w:val="false"/>
          <w:color w:val="000000"/>
          <w:sz w:val="24"/>
        </w:rPr>
        <w:t>shall mean any compensation that is granted, earned, or vested based wholly or in part upon the attainment of a Financial Reporting Measure, including Performance Stock Units. Incentive-based Compensation shall be deemed to have been received during the fiscal period in which the Financial Reporting Measure specified in the Incentive-based Compensation award is attained, even if such Incentive-based Compensation is paid or granted after the end of such fiscal period. For the avoidance of doubt, Incentive-based Compensation does not include annual salary, compensation awarded based on completion of a specified period of service, or compensation awarded based on subjective standards, strategic measures, or operational measures.</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(i)</w:t>
      </w:r>
      <w:r>
        <w:rPr>
          <w:color w:val="000000"/>
        </w:rPr>
        <w:t>“</w:t>
      </w:r>
      <w:r>
        <w:rPr>
          <w:rFonts w:ascii="Times New Roman;sans-serif" w:hAnsi="Times New Roman;sans-serif"/>
          <w:b/>
          <w:color w:val="000000"/>
          <w:sz w:val="24"/>
        </w:rPr>
        <w:t>Nasdaq</w:t>
      </w:r>
      <w:r>
        <w:rPr>
          <w:color w:val="000000"/>
        </w:rPr>
        <w:t xml:space="preserve">” </w:t>
      </w:r>
      <w:r>
        <w:rPr>
          <w:rFonts w:ascii="Times New Roman;sans-serif" w:hAnsi="Times New Roman;sans-serif"/>
          <w:b w:val="false"/>
          <w:color w:val="000000"/>
          <w:sz w:val="24"/>
        </w:rPr>
        <w:t>shall mean the Nasdaq Stock Market LLC.</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(j)</w:t>
      </w:r>
      <w:r>
        <w:rPr>
          <w:color w:val="000000"/>
        </w:rPr>
        <w:t>“</w:t>
      </w:r>
      <w:r>
        <w:rPr>
          <w:rFonts w:ascii="Times New Roman;sans-serif" w:hAnsi="Times New Roman;sans-serif"/>
          <w:b/>
          <w:color w:val="000000"/>
          <w:sz w:val="24"/>
        </w:rPr>
        <w:t>Policy</w:t>
      </w:r>
      <w:r>
        <w:rPr>
          <w:color w:val="000000"/>
        </w:rPr>
        <w:t xml:space="preserve">” </w:t>
      </w:r>
      <w:r>
        <w:rPr>
          <w:rFonts w:ascii="Times New Roman;sans-serif" w:hAnsi="Times New Roman;sans-serif"/>
          <w:b w:val="false"/>
          <w:color w:val="000000"/>
          <w:sz w:val="24"/>
        </w:rPr>
        <w:t>shall mean this compensation clawback policy, as may be amended or restated from time to time.</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(k)</w:t>
      </w:r>
      <w:r>
        <w:rPr>
          <w:color w:val="000000"/>
        </w:rPr>
        <w:t>“</w:t>
      </w:r>
      <w:r>
        <w:rPr>
          <w:rFonts w:ascii="Times New Roman;sans-serif" w:hAnsi="Times New Roman;sans-serif"/>
          <w:b/>
          <w:color w:val="000000"/>
          <w:sz w:val="24"/>
        </w:rPr>
        <w:t>Restatement</w:t>
      </w:r>
      <w:r>
        <w:rPr>
          <w:color w:val="000000"/>
        </w:rPr>
        <w:t xml:space="preserve">” </w:t>
      </w:r>
      <w:r>
        <w:rPr>
          <w:rFonts w:ascii="Times New Roman;sans-serif" w:hAnsi="Times New Roman;sans-serif"/>
          <w:b w:val="false"/>
          <w:color w:val="000000"/>
          <w:sz w:val="24"/>
        </w:rPr>
        <w:t>shall mean an accounting restatement due to material noncompliance by the Company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(l)</w:t>
      </w:r>
      <w:r>
        <w:rPr>
          <w:color w:val="000000"/>
        </w:rPr>
        <w:t>“</w:t>
      </w:r>
      <w:r>
        <w:rPr>
          <w:rFonts w:ascii="Times New Roman;sans-serif" w:hAnsi="Times New Roman;sans-serif"/>
          <w:b/>
          <w:color w:val="000000"/>
          <w:sz w:val="24"/>
        </w:rPr>
        <w:t>Restatement Date</w:t>
      </w:r>
      <w:r>
        <w:rPr>
          <w:color w:val="000000"/>
        </w:rPr>
        <w:t xml:space="preserve">” </w:t>
      </w:r>
      <w:r>
        <w:rPr>
          <w:rFonts w:ascii="Times New Roman;sans-serif" w:hAnsi="Times New Roman;sans-serif"/>
          <w:b w:val="false"/>
          <w:color w:val="000000"/>
          <w:sz w:val="24"/>
        </w:rPr>
        <w:t>shall be the earlier of (i) the date the Board, a committee of the Board, or officer(s) are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pStyle w:val="TextBody"/>
        <w:bidi w:val="0"/>
        <w:spacing w:lineRule="auto" w:line="288" w:before="180" w:after="283"/>
        <w:ind w:left="0" w:right="0" w:hanging="360"/>
        <w:jc w:val="left"/>
        <w:rPr/>
      </w:pPr>
      <w:r>
        <w:rPr>
          <w:rFonts w:ascii="Times New Roman;sans-serif" w:hAnsi="Times New Roman;sans-serif"/>
          <w:b/>
          <w:color w:val="000000"/>
          <w:sz w:val="24"/>
        </w:rPr>
        <w:t>4.Effective Date</w:t>
      </w:r>
      <w:r>
        <w:rPr>
          <w:rFonts w:ascii="Times New Roman;sans-serif" w:hAnsi="Times New Roman;sans-serif"/>
          <w:b w:val="false"/>
          <w:color w:val="000000"/>
          <w:sz w:val="24"/>
        </w:rPr>
        <w:t>. This Policy was adopted by the Board as of October 27, 2023 and shall apply to Incentive-based Compensation that is received on or after October 2, 2023.</w:t>
      </w:r>
    </w:p>
    <w:p>
      <w:pPr>
        <w:pStyle w:val="TextBody"/>
        <w:bidi w:val="0"/>
        <w:spacing w:lineRule="auto" w:line="288" w:before="180" w:after="283"/>
        <w:ind w:left="0" w:right="0" w:hanging="360"/>
        <w:jc w:val="left"/>
        <w:rPr/>
      </w:pPr>
      <w:r>
        <w:rPr>
          <w:rFonts w:ascii="Times New Roman;sans-serif" w:hAnsi="Times New Roman;sans-serif"/>
          <w:b/>
          <w:color w:val="000000"/>
          <w:sz w:val="24"/>
        </w:rPr>
        <w:t>5.Scope</w:t>
      </w:r>
      <w:r>
        <w:rPr>
          <w:rFonts w:ascii="Times New Roman;sans-serif" w:hAnsi="Times New Roman;sans-serif"/>
          <w:b w:val="false"/>
          <w:color w:val="000000"/>
          <w:sz w:val="24"/>
        </w:rPr>
        <w:t xml:space="preserve">. This Policy applies to all Incentive-based Compensation received by the Covered Executives (i) after beginning service as an executive officer, (ii) who served as an executive officer at any time during the performance period for such Incentive-based Compensation, and (iii) during the three (3) completed fiscal years immediately preceding a Restatement Date. In addition to these last three (3) completed fiscal years, the Policy applies to any transition period that results from a change in the Company’s fiscal year within or immediately following those three (3) completed fiscal years, provided, however, that a transition period between the last day of the Company’s previous fiscal year end and the first day of its new fiscal year that comprises a period of nine (9) to twelve (12) months would be deemed a completed fiscal year for purposes of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For the avoidance of doubt, the Company’s obligation to recover Erroneously Awarded Compensation is not dependent on if or when the restated financial statements are filed.</w:t>
      </w:r>
    </w:p>
    <w:p>
      <w:pPr>
        <w:pStyle w:val="TextBody"/>
        <w:bidi w:val="0"/>
        <w:spacing w:lineRule="auto" w:line="288" w:before="180" w:after="283"/>
        <w:ind w:left="0" w:right="0" w:hanging="360"/>
        <w:jc w:val="left"/>
        <w:rPr/>
      </w:pPr>
      <w:r>
        <w:rPr>
          <w:rFonts w:ascii="Times New Roman;sans-serif" w:hAnsi="Times New Roman;sans-serif"/>
          <w:b w:val="false"/>
          <w:color w:val="000000"/>
          <w:sz w:val="24"/>
        </w:rPr>
        <w:t>6.</w:t>
      </w:r>
      <w:r>
        <w:rPr>
          <w:rFonts w:ascii="Times New Roman;sans-serif" w:hAnsi="Times New Roman;sans-serif"/>
          <w:b/>
          <w:color w:val="000000"/>
          <w:sz w:val="24"/>
        </w:rPr>
        <w:t>Recovery</w:t>
      </w:r>
      <w:r>
        <w:rPr>
          <w:rFonts w:ascii="Times New Roman;sans-serif" w:hAnsi="Times New Roman;sans-serif"/>
          <w:b w:val="false"/>
          <w:color w:val="000000"/>
          <w:sz w:val="24"/>
        </w:rPr>
        <w:t>. In the event the Company is required to prepare a Restatement, the Company shall, as promptly as reasonably possible, recover any Erroneously Awarded Compensation received by a Covered Executive during the three (3) completed fiscal years immediately preceding the Restatement Date. For Incentive-based Compensation based on stock price or total shareholder return, the Board shall determine the amount of Erroneously Awarded Compensation based on a reasonable estimate of the effect of the Restatement on the stock price or total shareholder return upon which the Incentive-based Compensation was received and the Company shall document such reasonable estimate and provide such documentation to Nasdaq.</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Subsequent changes in a Covered Executive’s employment status, including retirement or termination of employment, do not affect the Company’s rights to recover Incentive-based Compensation pursuant to this Policy.</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Board shall determine, in its sole discretion, the method of recovering any Incentive-based Compensation pursuant to this Policy. Such methods may include, but are not limited to: (i) direct recovery by reimbursement; (ii) set-off against future compensation; (iii) forfeiture of equity awards; (iv) set-off or cancelation against planned future awards; (v) forfeiture of deferred compensation (subject to compliance with the Internal Revenue Code and related regulations); and/or (vi) any other recovery action approved by the Board and permitted under applicable law.</w:t>
      </w:r>
    </w:p>
    <w:p>
      <w:pPr>
        <w:pStyle w:val="TextBody"/>
        <w:bidi w:val="0"/>
        <w:spacing w:lineRule="auto" w:line="288" w:before="180" w:after="283"/>
        <w:ind w:left="0" w:right="0" w:hanging="360"/>
        <w:jc w:val="left"/>
        <w:rPr/>
      </w:pPr>
      <w:r>
        <w:rPr>
          <w:rFonts w:ascii="Times New Roman;sans-serif" w:hAnsi="Times New Roman;sans-serif"/>
          <w:b/>
          <w:color w:val="000000"/>
          <w:sz w:val="24"/>
        </w:rPr>
        <w:t>7.Impracticability</w:t>
      </w:r>
      <w:r>
        <w:rPr>
          <w:rFonts w:ascii="Times New Roman;sans-serif" w:hAnsi="Times New Roman;sans-serif"/>
          <w:b w:val="false"/>
          <w:color w:val="000000"/>
          <w:sz w:val="24"/>
        </w:rPr>
        <w:t>. The Board shall recover any Erroneously Awarded Compensation in accordance with this Policy unless such recovery would be impracticable, as determined by the Board in accordance with Rule 10D-1 under the Exchange Act and the listing standards of Nasdaq.</w:t>
      </w:r>
    </w:p>
    <w:p>
      <w:pPr>
        <w:pStyle w:val="TextBody"/>
        <w:bidi w:val="0"/>
        <w:spacing w:lineRule="auto" w:line="288" w:before="180" w:after="283"/>
        <w:ind w:left="0" w:right="0" w:hanging="360"/>
        <w:jc w:val="left"/>
        <w:rPr/>
      </w:pPr>
      <w:r>
        <w:rPr>
          <w:rFonts w:ascii="Times New Roman;sans-serif" w:hAnsi="Times New Roman;sans-serif"/>
          <w:b/>
          <w:color w:val="000000"/>
          <w:sz w:val="24"/>
        </w:rPr>
        <w:t>8.No Indemnification</w:t>
      </w:r>
      <w:r>
        <w:rPr>
          <w:rFonts w:ascii="Times New Roman;sans-serif" w:hAnsi="Times New Roman;sans-serif"/>
          <w:b w:val="false"/>
          <w:color w:val="000000"/>
          <w:sz w:val="24"/>
        </w:rPr>
        <w:t>. The Company shall not indemnify any current or former Covered Executive against the loss of Erroneously Awarded Compensation, and shall not pay, or reimburse any Covered Executives, for any insurance policy to fund such executive’s potential recovery obligations.</w:t>
      </w:r>
    </w:p>
    <w:p>
      <w:pPr>
        <w:pStyle w:val="TextBody"/>
        <w:bidi w:val="0"/>
        <w:spacing w:lineRule="auto" w:line="288" w:before="180" w:after="283"/>
        <w:ind w:left="0" w:right="0" w:hanging="360"/>
        <w:jc w:val="left"/>
        <w:rPr/>
      </w:pPr>
      <w:r>
        <w:rPr>
          <w:rFonts w:ascii="Times New Roman;sans-serif" w:hAnsi="Times New Roman;sans-serif"/>
          <w:b/>
          <w:color w:val="000000"/>
          <w:sz w:val="24"/>
        </w:rPr>
        <w:t>9.Acknowledgment.</w:t>
      </w:r>
      <w:r>
        <w:rPr>
          <w:color w:val="000000"/>
        </w:rPr>
        <w:t xml:space="preserve"> </w:t>
      </w:r>
      <w:r>
        <w:rPr>
          <w:rFonts w:ascii="Times New Roman;sans-serif" w:hAnsi="Times New Roman;sans-serif"/>
          <w:b w:val="false"/>
          <w:color w:val="000000"/>
          <w:sz w:val="24"/>
        </w:rPr>
        <w:t>Each Covered Executive shall sign and return to the Company, within 30 calendar days following the later of (i) the effective date of this Policy first set forth above or (ii) the date the individual becomes a Covered Executive, the Acknowledgement Form, pursuant to which the Covered Executive agrees to be bound by, and to comply with, the terms and conditions of this Policy.</w:t>
      </w:r>
    </w:p>
    <w:p>
      <w:pPr>
        <w:pStyle w:val="TextBody"/>
        <w:bidi w:val="0"/>
        <w:spacing w:lineRule="auto" w:line="288" w:before="180" w:after="283"/>
        <w:ind w:left="0" w:right="0" w:hanging="360"/>
        <w:jc w:val="left"/>
        <w:rPr/>
      </w:pPr>
      <w:r>
        <w:rPr>
          <w:rFonts w:ascii="Times New Roman;sans-serif" w:hAnsi="Times New Roman;sans-serif"/>
          <w:b/>
          <w:color w:val="000000"/>
          <w:sz w:val="24"/>
        </w:rPr>
        <w:t>10.Amendment</w:t>
      </w:r>
      <w:r>
        <w:rPr>
          <w:color w:val="000000"/>
        </w:rPr>
        <w:t xml:space="preserve"> </w:t>
      </w:r>
      <w:r>
        <w:rPr>
          <w:rFonts w:ascii="Times New Roman;sans-serif" w:hAnsi="Times New Roman;sans-serif"/>
          <w:b/>
          <w:color w:val="000000"/>
          <w:sz w:val="24"/>
        </w:rPr>
        <w:t>and</w:t>
      </w:r>
      <w:r>
        <w:rPr>
          <w:color w:val="000000"/>
        </w:rPr>
        <w:t xml:space="preserve"> </w:t>
      </w:r>
      <w:r>
        <w:rPr>
          <w:rFonts w:ascii="Times New Roman;sans-serif" w:hAnsi="Times New Roman;sans-serif"/>
          <w:b/>
          <w:color w:val="000000"/>
          <w:sz w:val="24"/>
        </w:rPr>
        <w:t>Interpretation</w:t>
      </w:r>
      <w:r>
        <w:rPr>
          <w:rFonts w:ascii="Times New Roman;sans-serif" w:hAnsi="Times New Roman;sans-serif"/>
          <w:b w:val="false"/>
          <w:color w:val="000000"/>
          <w:sz w:val="24"/>
        </w:rPr>
        <w:t xml:space="preserve">. The Board may amend this Policy from time to time in its discretion, and shall amend this Policy as it deems necessary to reflect the regulations adopted by the Commission and to comply with any rules or standards adopted by Nasdaq or such other national securities exchange on which the Company’s securities are then listed. It is intended that this Policy be interpreted in a manner that is consistent with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requirements of Section 10D of the Exchange Act and any applicable rules or standards adopted by the Commission and Nasdaq, or such other national securities exchange on which the Company’s securities are then listed.</w:t>
      </w:r>
    </w:p>
    <w:p>
      <w:pPr>
        <w:pStyle w:val="TextBody"/>
        <w:bidi w:val="0"/>
        <w:spacing w:lineRule="auto" w:line="288" w:before="180" w:after="283"/>
        <w:ind w:left="0" w:right="0" w:hanging="360"/>
        <w:jc w:val="left"/>
        <w:rPr/>
      </w:pPr>
      <w:r>
        <w:rPr>
          <w:rFonts w:ascii="Times New Roman;sans-serif" w:hAnsi="Times New Roman;sans-serif"/>
          <w:b/>
          <w:color w:val="000000"/>
          <w:sz w:val="24"/>
        </w:rPr>
        <w:t>11.Other Recoupment Rights.</w:t>
      </w:r>
      <w:r>
        <w:rPr>
          <w:color w:val="000000"/>
        </w:rPr>
        <w:t xml:space="preserve"> </w:t>
      </w:r>
      <w:r>
        <w:rPr>
          <w:rFonts w:ascii="Times New Roman;sans-serif" w:hAnsi="Times New Roman;sans-serif"/>
          <w:b w:val="false"/>
          <w:color w:val="000000"/>
          <w:sz w:val="24"/>
        </w:rPr>
        <w:t>This Policy shall be applied to the fullest extent of the law. The Board may require that any employment agreement, equity award agreement, or similar agreement entered into on or after the effective date shall require a Covered Executive to agree to abide by the terms of this Policy as a condition to the grant of any benefit. Any right of recoupment under this Policy is in addition to, and not in lieu of, any other rights of recoupment or remedies that may be available to the Company pursuant to the terms of any employment agreement, equity award agreement, similar agreement, or policy and any other legal remedies available to the Company.</w:t>
      </w:r>
    </w:p>
    <w:p>
      <w:pPr>
        <w:pStyle w:val="TextBody"/>
        <w:bidi w:val="0"/>
        <w:spacing w:lineRule="auto" w:line="288" w:before="180" w:after="283"/>
        <w:ind w:left="0" w:right="0" w:hanging="360"/>
        <w:jc w:val="left"/>
        <w:rPr/>
      </w:pPr>
      <w:r>
        <w:rPr>
          <w:rFonts w:ascii="Times New Roman;sans-serif" w:hAnsi="Times New Roman;sans-serif"/>
          <w:b/>
          <w:color w:val="000000"/>
          <w:sz w:val="24"/>
        </w:rPr>
        <w:t>12.Successors.</w:t>
      </w:r>
      <w:r>
        <w:rPr>
          <w:color w:val="000000"/>
        </w:rPr>
        <w:t xml:space="preserve"> </w:t>
      </w:r>
      <w:r>
        <w:rPr>
          <w:rFonts w:ascii="Times New Roman;sans-serif" w:hAnsi="Times New Roman;sans-serif"/>
          <w:b w:val="false"/>
          <w:color w:val="000000"/>
          <w:sz w:val="24"/>
        </w:rPr>
        <w:t>This Policy shall be binding and enforceable against all Covered Executives and their administrators, beneficiaries, executors, heirs, or other legal representatives.</w:t>
      </w:r>
    </w:p>
    <w:p>
      <w:pPr>
        <w:pStyle w:val="TextBody"/>
        <w:bidi w:val="0"/>
        <w:spacing w:lineRule="auto" w:line="288" w:before="180" w:after="283"/>
        <w:ind w:left="0" w:right="0" w:hanging="360"/>
        <w:jc w:val="left"/>
        <w:rPr/>
      </w:pPr>
      <w:r>
        <w:rPr>
          <w:rFonts w:ascii="Times New Roman;sans-serif" w:hAnsi="Times New Roman;sans-serif"/>
          <w:b/>
          <w:color w:val="000000"/>
          <w:sz w:val="24"/>
        </w:rPr>
        <w:t>13.Venue.</w:t>
      </w:r>
      <w:r>
        <w:rPr>
          <w:color w:val="000000"/>
        </w:rPr>
        <w:t xml:space="preserve"> </w:t>
      </w:r>
      <w:r>
        <w:rPr>
          <w:rFonts w:ascii="Times New Roman;sans-serif" w:hAnsi="Times New Roman;sans-serif"/>
          <w:b w:val="false"/>
          <w:color w:val="000000"/>
          <w:sz w:val="24"/>
        </w:rPr>
        <w:t>All actions arising out of or relating to this Policy shall be brought and determined exclusively in a state or federal court located in Chicago, Illinois.</w:t>
      </w:r>
    </w:p>
    <w:p>
      <w:pPr>
        <w:pStyle w:val="TextBody"/>
        <w:bidi w:val="0"/>
        <w:spacing w:lineRule="auto" w:line="288" w:before="180" w:after="283"/>
        <w:ind w:left="0" w:right="0" w:hanging="360"/>
        <w:jc w:val="left"/>
        <w:rPr/>
      </w:pPr>
      <w:r>
        <w:rPr>
          <w:rFonts w:ascii="Times New Roman;sans-serif" w:hAnsi="Times New Roman;sans-serif"/>
          <w:b/>
          <w:color w:val="000000"/>
          <w:sz w:val="24"/>
        </w:rPr>
        <w:t xml:space="preserve">14.Governing Law. </w:t>
      </w:r>
      <w:r>
        <w:rPr>
          <w:rFonts w:ascii="Times New Roman;sans-serif" w:hAnsi="Times New Roman;sans-serif"/>
          <w:b w:val="false"/>
          <w:color w:val="000000"/>
          <w:sz w:val="24"/>
        </w:rPr>
        <w:t>This Policy shall be governed by and construed in accordance with the internal laws of the State of Illinois, without giving effect to any choice or conflict of law provision or rule (whether of the State of Illinois or any other jurisdiction).</w:t>
      </w:r>
    </w:p>
    <w:p>
      <w:pPr>
        <w:pStyle w:val="TextBody"/>
        <w:bidi w:val="0"/>
        <w:spacing w:before="180" w:after="283"/>
        <w:jc w:val="left"/>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Annex A</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HURON CONSULTING GROUP INC.</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COMPENSATION CLAWBACK POLICY</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ACKNOWLEDGEMENT FORM</w:t>
      </w:r>
    </w:p>
    <w:p>
      <w:pPr>
        <w:pStyle w:val="TextBody"/>
        <w:bidi w:val="0"/>
        <w:spacing w:lineRule="auto" w:line="288" w:before="180" w:after="283"/>
        <w:jc w:val="left"/>
        <w:rPr/>
      </w:pPr>
      <w:r>
        <w:rPr>
          <w:rFonts w:ascii="Times New Roman;sans-serif" w:hAnsi="Times New Roman;sans-serif"/>
          <w:b w:val="false"/>
          <w:color w:val="000000"/>
          <w:sz w:val="24"/>
        </w:rPr>
        <w:t>By signing below, the undersigned acknowledges and confirms that the undersigned has received and reviewed a copy of the Huron Consulting Group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Compensation Clawback Policy (the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Capitalized terms used but not defined in this Acknowledgement Form (this “</w:t>
      </w:r>
      <w:r>
        <w:rPr>
          <w:rFonts w:ascii="Times New Roman;sans-serif" w:hAnsi="Times New Roman;sans-serif"/>
          <w:b/>
          <w:color w:val="000000"/>
          <w:sz w:val="24"/>
        </w:rPr>
        <w:t>Acknowledgement Form</w:t>
      </w:r>
      <w:r>
        <w:rPr>
          <w:color w:val="000000"/>
        </w:rPr>
        <w:t>”</w:t>
      </w:r>
      <w:r>
        <w:rPr>
          <w:rFonts w:ascii="Times New Roman;sans-serif" w:hAnsi="Times New Roman;sans-serif"/>
          <w:b w:val="false"/>
          <w:color w:val="000000"/>
          <w:sz w:val="24"/>
        </w:rPr>
        <w:t>) shall have the meanings set forth in the Policy.</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Incentive-based Compensation subject to recovery under the Policy to the Company to the extent required by, and in a manner consistent with, the Policy.</w:t>
      </w:r>
    </w:p>
    <w:p>
      <w:pPr>
        <w:pStyle w:val="TextBody"/>
        <w:bidi w:val="0"/>
        <w:spacing w:lineRule="auto" w:line="288" w:before="180" w:after="283"/>
        <w:ind w:left="0" w:right="0" w:firstLine="531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88" w:before="180" w:after="283"/>
        <w:ind w:left="0" w:right="0" w:firstLine="576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180" w:after="283"/>
        <w:jc w:val="left"/>
        <w:rPr/>
      </w:pPr>
      <w:r>
        <w:rPr/>
      </w:r>
    </w:p>
    <w:p>
      <w:pPr>
        <w:pStyle w:val="TextBody"/>
        <w:bidi w:val="0"/>
        <w:spacing w:lineRule="auto" w:line="288" w:before="180" w:after="283"/>
        <w:ind w:left="0" w:right="0" w:firstLine="531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88" w:before="180" w:after="283"/>
        <w:ind w:left="0" w:right="0" w:firstLine="5760"/>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p>
      <w:pPr>
        <w:pStyle w:val="TextBody"/>
        <w:bidi w:val="0"/>
        <w:spacing w:before="180" w:after="283"/>
        <w:jc w:val="left"/>
        <w:rPr/>
      </w:pPr>
      <w:r>
        <w:rPr/>
      </w:r>
    </w:p>
    <w:p>
      <w:pPr>
        <w:pStyle w:val="TextBody"/>
        <w:bidi w:val="0"/>
        <w:spacing w:lineRule="auto" w:line="288" w:before="180" w:after="283"/>
        <w:ind w:left="0" w:right="0" w:firstLine="531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88" w:before="180" w:after="283"/>
        <w:ind w:left="0" w:right="0" w:firstLine="576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9848/000128984823000121/exhibit31restatedcertifica.htm" TargetMode="External"/><Relationship Id="rId3" Type="http://schemas.openxmlformats.org/officeDocument/2006/relationships/hyperlink" Target="https://www.sec.gov/Archives/edgar/data/1289848/000128984823000071/amendedandrestatedbylaws51.htm" TargetMode="External"/><Relationship Id="rId4" Type="http://schemas.openxmlformats.org/officeDocument/2006/relationships/hyperlink" Target="http://www.sec.gov/Archives/edgar/data/1289848/000119312504139238/dex41.htm" TargetMode="External"/><Relationship Id="rId5" Type="http://schemas.openxmlformats.org/officeDocument/2006/relationships/hyperlink" Target="http://www.sec.gov/Archives/edgar/data/1289848/000128984820000006/hurn20191231exhibit42.htm" TargetMode="External"/><Relationship Id="rId6" Type="http://schemas.openxmlformats.org/officeDocument/2006/relationships/hyperlink" Target="http://www.sec.gov/Archives/edgar/data/1289848/000094018004000001/dex101.htm" TargetMode="External"/><Relationship Id="rId7" Type="http://schemas.openxmlformats.org/officeDocument/2006/relationships/hyperlink" Target="http://www.sec.gov/Archives/edgar/data/1289848/000119312509036340/dex1012.htm" TargetMode="External"/><Relationship Id="rId8" Type="http://schemas.openxmlformats.org/officeDocument/2006/relationships/hyperlink" Target="http://www.sec.gov/Archives/edgar/data/1289848/000128984817000003/exh101sma-kelly.htm" TargetMode="External"/><Relationship Id="rId9" Type="http://schemas.openxmlformats.org/officeDocument/2006/relationships/hyperlink" Target="http://www.sec.gov/Archives/edgar/data/1289848/000119312513069461/d444342dex1017.htm" TargetMode="External"/><Relationship Id="rId10" Type="http://schemas.openxmlformats.org/officeDocument/2006/relationships/hyperlink" Target="http://www.sec.gov/Archives/edgar/data/1289848/000119312513069461/d444342dex1018.htm" TargetMode="External"/><Relationship Id="rId11" Type="http://schemas.openxmlformats.org/officeDocument/2006/relationships/hyperlink" Target="http://www.sec.gov/Archives/edgar/data/1289848/000119312513069461/d444342dex1019.htm" TargetMode="External"/><Relationship Id="rId12" Type="http://schemas.openxmlformats.org/officeDocument/2006/relationships/hyperlink" Target="http://www.sec.gov/Archives/edgar/data/1289848/000119312513003657/d461972dex101.htm" TargetMode="External"/><Relationship Id="rId13" Type="http://schemas.openxmlformats.org/officeDocument/2006/relationships/hyperlink" Target="http://www.sec.gov/Archives/edgar/data/1289848/000128984820000006/hurnexhibit1013-fifthamend.htm" TargetMode="External"/><Relationship Id="rId14" Type="http://schemas.openxmlformats.org/officeDocument/2006/relationships/hyperlink" Target="http://www.sec.gov/Archives/edgar/data/1289848/000128984819000040/exh101-chicagolease6th.htm" TargetMode="External"/><Relationship Id="rId15" Type="http://schemas.openxmlformats.org/officeDocument/2006/relationships/hyperlink" Target="http://www.sec.gov/Archives/edgar/data/1289848/000119312513069461/d444342dex1020.htm" TargetMode="External"/><Relationship Id="rId16" Type="http://schemas.openxmlformats.org/officeDocument/2006/relationships/hyperlink" Target="http://www.sec.gov/Archives/edgar/data/1289848/000119312515060049/d836724dex1032.htm" TargetMode="External"/><Relationship Id="rId17" Type="http://schemas.openxmlformats.org/officeDocument/2006/relationships/hyperlink" Target="http://www.sec.gov/Archives/edgar/data/1289848/000119312515060049/d836724dex1033.htm" TargetMode="External"/><Relationship Id="rId18" Type="http://schemas.openxmlformats.org/officeDocument/2006/relationships/hyperlink" Target="http://www.sec.gov/Archives/edgar/data/1289848/000119312515060049/d836724dex1034.htm" TargetMode="External"/><Relationship Id="rId19" Type="http://schemas.openxmlformats.org/officeDocument/2006/relationships/hyperlink" Target="http://www.sec.gov/Archives/edgar/data/1289848/000128984820000012/exh101sma-torain.htm" TargetMode="External"/><Relationship Id="rId20" Type="http://schemas.openxmlformats.org/officeDocument/2006/relationships/hyperlink" Target="https://www.sec.gov/Archives/edgar/data/1289848/000128984821000018/hurn2021414exh101.htm" TargetMode="External"/><Relationship Id="rId21" Type="http://schemas.openxmlformats.org/officeDocument/2006/relationships/hyperlink" Target="https://www.sec.gov/Archives/edgar/data/1289848/000128984821000042/hurn2021rsuagreementex101.htm" TargetMode="External"/><Relationship Id="rId22" Type="http://schemas.openxmlformats.org/officeDocument/2006/relationships/hyperlink" Target="https://www.sec.gov/Archives/edgar/data/1289848/000128984822000028/hurnexh101dailsma.htm" TargetMode="External"/><Relationship Id="rId23" Type="http://schemas.openxmlformats.org/officeDocument/2006/relationships/hyperlink" Target="https://www.sec.gov/Archives/edgar/data/1289848/000128984822000059/exh101-thirdamendandrestat.htm" TargetMode="External"/><Relationship Id="rId24" Type="http://schemas.openxmlformats.org/officeDocument/2006/relationships/hyperlink" Target="https://www.sec.gov/Archives/edgar/data/1289848/000128984822000059/exh102-thirdamendandrestat.htm" TargetMode="External"/><Relationship Id="rId25" Type="http://schemas.openxmlformats.org/officeDocument/2006/relationships/hyperlink" Target="https://www.sec.gov/Archives/edgar/data/1289848/000128984822000059/exh103-thirdamendandrestat.htm" TargetMode="External"/><Relationship Id="rId26" Type="http://schemas.openxmlformats.org/officeDocument/2006/relationships/hyperlink" Target="https://www.sec.gov/Archives/edgar/data/1289848/000128984822000065/ex101-husseysmax2023.htm" TargetMode="External"/><Relationship Id="rId27" Type="http://schemas.openxmlformats.org/officeDocument/2006/relationships/hyperlink" Target="https://www.sec.gov/Archives/edgar/data/1289848/000128984822000065/ex102-rothsmax2023.htm" TargetMode="External"/><Relationship Id="rId28" Type="http://schemas.openxmlformats.org/officeDocument/2006/relationships/hyperlink" Target="https://www.sec.gov/Archives/edgar/data/1289848/000128984823000010/hurn20221231exhibit1026.htm" TargetMode="External"/><Relationship Id="rId29" Type="http://schemas.openxmlformats.org/officeDocument/2006/relationships/hyperlink" Target="https://www.sec.gov/Archives/edgar/data/1289848/000128984823000045/exhibit101creditfacilityam.htm" TargetMode="External"/><Relationship Id="rId30" Type="http://schemas.openxmlformats.org/officeDocument/2006/relationships/hyperlink" Target="https://www.sec.gov/Archives/edgar/data/1289848/000128984823000045/exhibit101creditfacilityam.htm" TargetMode="External"/><Relationship Id="rId31" Type="http://schemas.openxmlformats.org/officeDocument/2006/relationships/hyperlink" Target="https://www.sec.gov/Archives/edgar/data/1289848/000128984823000045/exhibit101creditfacilityam.htm" TargetMode="External"/><Relationship Id="rId32" Type="http://schemas.openxmlformats.org/officeDocument/2006/relationships/hyperlink" Target="http://www.sec.gov/Archives/edgar/data/1289848/000128984817000017/exhibit101-amendmentno1toc.htm" TargetMode="External"/><Relationship Id="rId33" Type="http://schemas.openxmlformats.org/officeDocument/2006/relationships/hyperlink" Target="https://www.sec.gov/Archives/edgar/data/1289848/000128984824000034/exhibit101amendmentno2.htm" TargetMode="External"/><Relationship Id="rId34" Type="http://schemas.openxmlformats.org/officeDocument/2006/relationships/hyperlink" Target="https://www.sec.gov/Archives/edgar/data/1289848/000128984824000034/exhibit101amendmentno2.htm" TargetMode="External"/><Relationship Id="rId35" Type="http://schemas.openxmlformats.org/officeDocument/2006/relationships/hyperlink" Target="https://www.sec.gov/Archives/edgar/data/1289848/000128984824000034/exhibit101amendmentno2.htm" TargetMode="External"/><Relationship Id="rId36" Type="http://schemas.openxmlformats.org/officeDocument/2006/relationships/hyperlink" Target="https://www.sec.gov/Archives/edgar/data/1289848/000128984824000034/exhibit101amendmentno2.htm" TargetMode="External"/><Relationship Id="rId37" Type="http://schemas.openxmlformats.org/officeDocument/2006/relationships/hyperlink" Target="https://www.sec.gov/Archives/edgar/data/1289848/000128984824000034/exhibit101amendmentno2.htm" TargetMode="External"/><Relationship Id="rId38" Type="http://schemas.openxmlformats.org/officeDocument/2006/relationships/hyperlink" Target="https://www.sec.gov/Archives/edgar/data/1289848/000128984824000034/exhibit101amendmentno2.htm" TargetMode="External"/><Relationship Id="rId39" Type="http://schemas.openxmlformats.org/officeDocument/2006/relationships/hyperlink" Target="https://www.sec.gov/Archives/edgar/data/1289848/000128984824000034/exhibit101amendmentno2.htm" TargetMode="External"/><Relationship Id="rId40" Type="http://schemas.openxmlformats.org/officeDocument/2006/relationships/hyperlink" Target="https://www.sec.gov/Archives/edgar/data/1289848/000128984824000034/exhibit101amendmentno2.htm" TargetMode="External"/><Relationship Id="rId41" Type="http://schemas.openxmlformats.org/officeDocument/2006/relationships/hyperlink" Target="https://www.sec.gov/Archives/edgar/data/1289848/000128984824000034/exhibit101amendmentno2.htm" TargetMode="External"/><Relationship Id="rId42" Type="http://schemas.openxmlformats.org/officeDocument/2006/relationships/hyperlink" Target="https://www.sec.gov/Archives/edgar/data/1289848/000128984824000034/exhibit101amendmentno2.htm" TargetMode="External"/><Relationship Id="rId43" Type="http://schemas.openxmlformats.org/officeDocument/2006/relationships/hyperlink" Target="https://www.sec.gov/Archives/edgar/data/1289848/000128984824000034/exhibit101amendmentno2.htm" TargetMode="External"/><Relationship Id="rId44" Type="http://schemas.openxmlformats.org/officeDocument/2006/relationships/hyperlink" Target="https://www.sec.gov/Archives/edgar/data/1289848/000128984824000034/exhibit101amendmentno2.htm" TargetMode="External"/><Relationship Id="rId45" Type="http://schemas.openxmlformats.org/officeDocument/2006/relationships/hyperlink" Target="https://www.sec.gov/Archives/edgar/data/1289848/000128984824000034/exhibit101amendmentno2.htm" TargetMode="External"/><Relationship Id="rId46" Type="http://schemas.openxmlformats.org/officeDocument/2006/relationships/hyperlink" Target="https://www.sec.gov/Archives/edgar/data/1289848/000128984824000034/exhibit101amendmentno2.htm" TargetMode="External"/><Relationship Id="rId47" Type="http://schemas.openxmlformats.org/officeDocument/2006/relationships/hyperlink" Target="https://www.sec.gov/Archives/edgar/data/1289848/000128984824000034/exhibit101amendmentno2.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69617</Words>
  <Characters>392725</Characters>
  <CharactersWithSpaces>459448</CharactersWithSpaces>
  <Paragraphs>4725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