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4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133350</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2760" w:right="700" w:hanging="2757"/>
        <w:spacing w:after="0" w:line="40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13335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940" w:space="380"/>
            <w:col w:w="9920"/>
          </w:cols>
          <w:pgMar w:left="320" w:top="229" w:right="339" w:bottom="1440" w:gutter="0" w:footer="0" w:header="0"/>
          <w:type w:val="continuous"/>
        </w:sectPr>
      </w:pPr>
    </w:p>
    <w:p>
      <w:pPr>
        <w:jc w:val="center"/>
        <w:ind w:right="-19"/>
        <w:spacing w:after="0"/>
        <w:rPr>
          <w:sz w:val="20"/>
          <w:szCs w:val="20"/>
          <w:color w:val="auto"/>
        </w:rPr>
      </w:pPr>
      <w:r>
        <w:rPr>
          <w:rFonts w:ascii="Arial" w:cs="Arial" w:eastAsia="Arial" w:hAnsi="Arial"/>
          <w:sz w:val="25"/>
          <w:szCs w:val="25"/>
          <w:b w:val="1"/>
          <w:bCs w:val="1"/>
          <w:color w:val="auto"/>
        </w:rPr>
        <w:t>HURON CONSULTING GROUP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109220</wp:posOffset>
            </wp:positionV>
            <wp:extent cx="1294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780" w:type="dxa"/>
            <w:vAlign w:val="bottom"/>
          </w:tcPr>
          <w:p>
            <w:pPr>
              <w:jc w:val="center"/>
              <w:ind w:left="1318"/>
              <w:spacing w:after="0"/>
              <w:rPr>
                <w:sz w:val="20"/>
                <w:szCs w:val="20"/>
                <w:color w:val="auto"/>
              </w:rPr>
            </w:pPr>
            <w:r>
              <w:rPr>
                <w:rFonts w:ascii="Arial" w:cs="Arial" w:eastAsia="Arial" w:hAnsi="Arial"/>
                <w:sz w:val="18"/>
                <w:szCs w:val="18"/>
                <w:b w:val="1"/>
                <w:bCs w:val="1"/>
                <w:color w:val="auto"/>
                <w:w w:val="98"/>
              </w:rPr>
              <w:t>Delaware</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01-0666114</w:t>
            </w:r>
          </w:p>
        </w:tc>
      </w:tr>
      <w:tr>
        <w:trPr>
          <w:trHeight w:val="148"/>
        </w:trPr>
        <w:tc>
          <w:tcPr>
            <w:tcW w:w="3780" w:type="dxa"/>
            <w:vAlign w:val="bottom"/>
          </w:tcPr>
          <w:p>
            <w:pPr>
              <w:jc w:val="center"/>
              <w:ind w:left="131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80" w:type="dxa"/>
            <w:vAlign w:val="bottom"/>
          </w:tcPr>
          <w:p>
            <w:pPr>
              <w:jc w:val="center"/>
              <w:ind w:left="131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tcPr>
          <w:p>
            <w:pPr>
              <w:jc w:val="center"/>
              <w:ind w:right="1879"/>
              <w:spacing w:after="0"/>
              <w:rPr>
                <w:sz w:val="20"/>
                <w:szCs w:val="20"/>
                <w:color w:val="auto"/>
              </w:rPr>
            </w:pPr>
            <w:r>
              <w:rPr>
                <w:rFonts w:ascii="Arial" w:cs="Arial" w:eastAsia="Arial" w:hAnsi="Arial"/>
                <w:sz w:val="14"/>
                <w:szCs w:val="14"/>
                <w:b w:val="1"/>
                <w:bCs w:val="1"/>
                <w:color w:val="auto"/>
              </w:rPr>
              <w:t>Identification Number)</w:t>
            </w:r>
          </w:p>
        </w:tc>
      </w:tr>
      <w:tr>
        <w:trPr>
          <w:trHeight w:val="280"/>
        </w:trPr>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550 West Van Buren Street</w:t>
            </w:r>
          </w:p>
        </w:tc>
        <w:tc>
          <w:tcPr>
            <w:tcW w:w="392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Chicago, Illinois</w:t>
            </w:r>
          </w:p>
        </w:tc>
        <w:tc>
          <w:tcPr>
            <w:tcW w:w="3920" w:type="dxa"/>
            <w:vAlign w:val="bottom"/>
          </w:tcPr>
          <w:p>
            <w:pPr>
              <w:spacing w:after="0"/>
              <w:rPr>
                <w:sz w:val="18"/>
                <w:szCs w:val="18"/>
                <w:color w:val="auto"/>
              </w:rPr>
            </w:pPr>
          </w:p>
        </w:tc>
      </w:tr>
      <w:tr>
        <w:trPr>
          <w:trHeight w:val="226"/>
        </w:trPr>
        <w:tc>
          <w:tcPr>
            <w:tcW w:w="3780" w:type="dxa"/>
            <w:vAlign w:val="bottom"/>
          </w:tcPr>
          <w:p>
            <w:pPr>
              <w:spacing w:after="0"/>
              <w:rPr>
                <w:sz w:val="19"/>
                <w:szCs w:val="19"/>
                <w:color w:val="auto"/>
              </w:rPr>
            </w:pPr>
          </w:p>
        </w:tc>
        <w:tc>
          <w:tcPr>
            <w:tcW w:w="2860" w:type="dxa"/>
            <w:vAlign w:val="bottom"/>
            <w:gridSpan w:val="3"/>
          </w:tcPr>
          <w:p>
            <w:pPr>
              <w:jc w:val="right"/>
              <w:ind w:right="677"/>
              <w:spacing w:after="0"/>
              <w:rPr>
                <w:sz w:val="20"/>
                <w:szCs w:val="20"/>
                <w:color w:val="auto"/>
              </w:rPr>
            </w:pPr>
            <w:r>
              <w:rPr>
                <w:rFonts w:ascii="Arial" w:cs="Arial" w:eastAsia="Arial" w:hAnsi="Arial"/>
                <w:sz w:val="18"/>
                <w:szCs w:val="18"/>
                <w:b w:val="1"/>
                <w:bCs w:val="1"/>
                <w:color w:val="auto"/>
              </w:rPr>
              <w:t>60607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75"/>
        </w:trPr>
        <w:tc>
          <w:tcPr>
            <w:tcW w:w="3780" w:type="dxa"/>
            <w:vAlign w:val="bottom"/>
          </w:tcPr>
          <w:p>
            <w:pPr>
              <w:spacing w:after="0"/>
              <w:rPr>
                <w:sz w:val="15"/>
                <w:szCs w:val="15"/>
                <w:color w:val="auto"/>
              </w:rPr>
            </w:pPr>
          </w:p>
        </w:tc>
        <w:tc>
          <w:tcPr>
            <w:tcW w:w="3240" w:type="dxa"/>
            <w:vAlign w:val="bottom"/>
            <w:gridSpan w:val="5"/>
          </w:tcPr>
          <w:p>
            <w:pPr>
              <w:jc w:val="center"/>
              <w:ind w:left="359"/>
              <w:spacing w:after="0"/>
              <w:rPr>
                <w:sz w:val="20"/>
                <w:szCs w:val="20"/>
                <w:color w:val="auto"/>
              </w:rPr>
            </w:pPr>
            <w:r>
              <w:rPr>
                <w:rFonts w:ascii="Arial" w:cs="Arial" w:eastAsia="Arial" w:hAnsi="Arial"/>
                <w:sz w:val="14"/>
                <w:szCs w:val="14"/>
                <w:b w:val="1"/>
                <w:bCs w:val="1"/>
                <w:color w:val="auto"/>
              </w:rPr>
              <w:t>(Address of principal executive offices)</w:t>
            </w:r>
          </w:p>
        </w:tc>
        <w:tc>
          <w:tcPr>
            <w:tcW w:w="3920" w:type="dxa"/>
            <w:vAlign w:val="bottom"/>
          </w:tcPr>
          <w:p>
            <w:pPr>
              <w:spacing w:after="0"/>
              <w:rPr>
                <w:sz w:val="15"/>
                <w:szCs w:val="15"/>
                <w:color w:val="auto"/>
              </w:rPr>
            </w:pPr>
          </w:p>
        </w:tc>
      </w:tr>
      <w:tr>
        <w:trPr>
          <w:trHeight w:val="196"/>
        </w:trPr>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(Zip Code)</w:t>
            </w:r>
          </w:p>
        </w:tc>
        <w:tc>
          <w:tcPr>
            <w:tcW w:w="3920" w:type="dxa"/>
            <w:vAlign w:val="bottom"/>
          </w:tcPr>
          <w:p>
            <w:pPr>
              <w:spacing w:after="0"/>
              <w:rPr>
                <w:sz w:val="17"/>
                <w:szCs w:val="17"/>
                <w:color w:val="auto"/>
              </w:rPr>
            </w:pPr>
          </w:p>
        </w:tc>
      </w:tr>
      <w:tr>
        <w:trPr>
          <w:trHeight w:val="303"/>
        </w:trPr>
        <w:tc>
          <w:tcPr>
            <w:tcW w:w="3780" w:type="dxa"/>
            <w:vAlign w:val="bottom"/>
          </w:tcPr>
          <w:p>
            <w:pPr>
              <w:spacing w:after="0"/>
              <w:rPr>
                <w:sz w:val="24"/>
                <w:szCs w:val="24"/>
                <w:color w:val="auto"/>
              </w:rPr>
            </w:pPr>
          </w:p>
        </w:tc>
        <w:tc>
          <w:tcPr>
            <w:tcW w:w="2860" w:type="dxa"/>
            <w:vAlign w:val="bottom"/>
            <w:gridSpan w:val="3"/>
          </w:tcPr>
          <w:p>
            <w:pPr>
              <w:jc w:val="right"/>
              <w:ind w:right="317"/>
              <w:spacing w:after="0"/>
              <w:rPr>
                <w:sz w:val="20"/>
                <w:szCs w:val="20"/>
                <w:color w:val="auto"/>
              </w:rPr>
            </w:pPr>
            <w:r>
              <w:rPr>
                <w:rFonts w:ascii="Arial" w:cs="Arial" w:eastAsia="Arial" w:hAnsi="Arial"/>
                <w:sz w:val="18"/>
                <w:szCs w:val="18"/>
                <w:b w:val="1"/>
                <w:bCs w:val="1"/>
                <w:color w:val="auto"/>
              </w:rPr>
              <w:t>(312) 583-8700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96"/>
        </w:trPr>
        <w:tc>
          <w:tcPr>
            <w:tcW w:w="3780" w:type="dxa"/>
            <w:vAlign w:val="bottom"/>
          </w:tcPr>
          <w:p>
            <w:pPr>
              <w:spacing w:after="0"/>
              <w:rPr>
                <w:sz w:val="17"/>
                <w:szCs w:val="17"/>
                <w:color w:val="auto"/>
              </w:rPr>
            </w:pPr>
          </w:p>
        </w:tc>
        <w:tc>
          <w:tcPr>
            <w:tcW w:w="7160" w:type="dxa"/>
            <w:vAlign w:val="bottom"/>
            <w:gridSpan w:val="6"/>
          </w:tcPr>
          <w:p>
            <w:pPr>
              <w:jc w:val="center"/>
              <w:ind w:right="339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50"/>
        </w:trPr>
        <w:tc>
          <w:tcPr>
            <w:tcW w:w="432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90"/>
        </w:trPr>
        <w:tc>
          <w:tcPr>
            <w:tcW w:w="7020" w:type="dxa"/>
            <w:vAlign w:val="bottom"/>
            <w:gridSpan w:val="6"/>
          </w:tcPr>
          <w:p>
            <w:pPr>
              <w:jc w:val="center"/>
              <w:ind w:right="2680"/>
              <w:spacing w:after="0"/>
              <w:rPr>
                <w:sz w:val="20"/>
                <w:szCs w:val="20"/>
                <w:color w:val="auto"/>
              </w:rPr>
            </w:pPr>
            <w:r>
              <w:rPr>
                <w:rFonts w:ascii="Arial" w:cs="Arial" w:eastAsia="Arial" w:hAnsi="Arial"/>
                <w:sz w:val="17"/>
                <w:szCs w:val="17"/>
                <w:color w:val="auto"/>
              </w:rPr>
              <w:t>Securities registered pursuant to Section 12(b) of the Act:</w:t>
            </w:r>
          </w:p>
        </w:tc>
        <w:tc>
          <w:tcPr>
            <w:tcW w:w="3920" w:type="dxa"/>
            <w:vAlign w:val="bottom"/>
          </w:tcPr>
          <w:p>
            <w:pPr>
              <w:spacing w:after="0"/>
              <w:rPr>
                <w:sz w:val="24"/>
                <w:szCs w:val="24"/>
                <w:color w:val="auto"/>
              </w:rPr>
            </w:pPr>
          </w:p>
        </w:tc>
      </w:tr>
      <w:tr>
        <w:trPr>
          <w:trHeight w:val="108"/>
        </w:trPr>
        <w:tc>
          <w:tcPr>
            <w:tcW w:w="37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223"/>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b w:val="1"/>
                <w:bCs w:val="1"/>
                <w:color w:val="auto"/>
              </w:rPr>
              <w:t>Title of each class</w:t>
            </w:r>
          </w:p>
        </w:tc>
        <w:tc>
          <w:tcPr>
            <w:tcW w:w="5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9"/>
              </w:rPr>
              <w:t>Trading Symbol</w:t>
            </w:r>
          </w:p>
        </w:tc>
        <w:tc>
          <w:tcPr>
            <w:tcW w:w="20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21"/>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color w:val="auto"/>
              </w:rPr>
              <w:t>Common Stock, par value $0.01 per share</w:t>
            </w:r>
          </w:p>
        </w:tc>
        <w:tc>
          <w:tcPr>
            <w:tcW w:w="5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7"/>
                <w:szCs w:val="17"/>
                <w:color w:val="auto"/>
              </w:rPr>
              <w:t>HURN</w:t>
            </w:r>
          </w:p>
        </w:tc>
        <w:tc>
          <w:tcPr>
            <w:tcW w:w="20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39"/>
              <w:spacing w:after="0"/>
              <w:rPr>
                <w:sz w:val="20"/>
                <w:szCs w:val="20"/>
                <w:color w:val="auto"/>
              </w:rPr>
            </w:pPr>
            <w:r>
              <w:rPr>
                <w:rFonts w:ascii="Arial" w:cs="Arial" w:eastAsia="Arial" w:hAnsi="Arial"/>
                <w:sz w:val="17"/>
                <w:szCs w:val="17"/>
                <w:color w:val="auto"/>
              </w:rPr>
              <w:t>Nasdaq Global Select Market</w:t>
            </w:r>
          </w:p>
        </w:tc>
      </w:tr>
    </w:tbl>
    <w:p>
      <w:pPr>
        <w:spacing w:after="0" w:line="72" w:lineRule="exact"/>
        <w:rPr>
          <w:sz w:val="24"/>
          <w:szCs w:val="24"/>
          <w:color w:val="auto"/>
        </w:rPr>
      </w:pPr>
    </w:p>
    <w:p>
      <w:pPr>
        <w:jc w:val="both"/>
        <w:ind w:right="300"/>
        <w:spacing w:after="0" w:line="22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right="80"/>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5"/>
        </w:trPr>
        <w:tc>
          <w:tcPr>
            <w:tcW w:w="232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280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540" w:type="dxa"/>
            <w:vAlign w:val="bottom"/>
            <w:vMerge w:val="continue"/>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ind w:right="8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320"/>
        <w:spacing w:after="0" w:line="26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59" w:lineRule="exact"/>
        <w:rPr>
          <w:sz w:val="24"/>
          <w:szCs w:val="24"/>
          <w:color w:val="auto"/>
        </w:rPr>
      </w:pPr>
    </w:p>
    <w:p>
      <w:pPr>
        <w:spacing w:after="0"/>
        <w:rPr>
          <w:sz w:val="20"/>
          <w:szCs w:val="20"/>
          <w:color w:val="auto"/>
        </w:rPr>
      </w:pPr>
      <w:r>
        <w:rPr>
          <w:rFonts w:ascii="Arial" w:cs="Arial" w:eastAsia="Arial" w:hAnsi="Arial"/>
          <w:sz w:val="17"/>
          <w:szCs w:val="17"/>
          <w:color w:val="auto"/>
        </w:rPr>
        <w:t>As of July 24, 2025, 17,306,887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17780</wp:posOffset>
            </wp:positionV>
            <wp:extent cx="6763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9820" w:type="dxa"/>
            <w:vAlign w:val="bottom"/>
            <w:gridSpan w:val="20"/>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9820" w:type="dxa"/>
            <w:vAlign w:val="bottom"/>
            <w:gridSpan w:val="20"/>
            <w:vMerge w:val="continue"/>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Consolidated Financial Statements (Unaudited)</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9"/>
              </w:rPr>
              <w:t>Consolidated Balance Sheets</w:t>
            </w:r>
          </w:p>
        </w:tc>
        <w:tc>
          <w:tcPr>
            <w:tcW w:w="1400" w:type="dxa"/>
            <w:vAlign w:val="bottom"/>
            <w:tcBorders>
              <w:top w:val="single" w:sz="8" w:color="0000FF"/>
            </w:tcBorders>
            <w:gridSpan w:val="4"/>
          </w:tcPr>
          <w:p>
            <w:pPr>
              <w:spacing w:after="0"/>
              <w:rPr>
                <w:sz w:val="18"/>
                <w:szCs w:val="18"/>
                <w:color w:val="auto"/>
              </w:rPr>
            </w:pPr>
          </w:p>
        </w:tc>
        <w:tc>
          <w:tcPr>
            <w:tcW w:w="4820" w:type="dxa"/>
            <w:vAlign w:val="bottom"/>
            <w:gridSpan w:val="6"/>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w w:val="99"/>
              </w:rPr>
              <w:t>Consolidated Statements of Operations and Other Comprehensive Income</w:t>
            </w:r>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rPr>
              <w:t>Consolidated Statements of Stockholders’ Equity</w:t>
            </w:r>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10"/>
          </w:tcPr>
          <w:p>
            <w:pPr>
              <w:spacing w:after="0"/>
              <w:rPr>
                <w:sz w:val="20"/>
                <w:szCs w:val="20"/>
                <w:color w:val="auto"/>
              </w:rPr>
            </w:pPr>
            <w:r>
              <w:rPr>
                <w:rFonts w:ascii="Arial" w:cs="Arial" w:eastAsia="Arial" w:hAnsi="Arial"/>
                <w:sz w:val="18"/>
                <w:szCs w:val="18"/>
                <w:color w:val="0000FF"/>
                <w:w w:val="99"/>
              </w:rPr>
              <w:t>Consolidated Statements of Cash Flows</w:t>
            </w:r>
          </w:p>
        </w:tc>
        <w:tc>
          <w:tcPr>
            <w:tcW w:w="680" w:type="dxa"/>
            <w:vAlign w:val="bottom"/>
            <w:gridSpan w:val="3"/>
          </w:tcPr>
          <w:p>
            <w:pPr>
              <w:spacing w:after="0"/>
              <w:rPr>
                <w:sz w:val="18"/>
                <w:szCs w:val="18"/>
                <w:color w:val="auto"/>
              </w:rPr>
            </w:pPr>
          </w:p>
        </w:tc>
        <w:tc>
          <w:tcPr>
            <w:tcW w:w="4700" w:type="dxa"/>
            <w:vAlign w:val="bottom"/>
            <w:gridSpan w:val="5"/>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00" w:type="dxa"/>
            <w:vAlign w:val="bottom"/>
            <w:gridSpan w:val="11"/>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5080" w:type="dxa"/>
            <w:vAlign w:val="bottom"/>
            <w:gridSpan w:val="7"/>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25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708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880" w:type="dxa"/>
            <w:vAlign w:val="bottom"/>
            <w:gridSpan w:val="4"/>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48</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2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9"/>
              </w:rPr>
              <w:t>Part II – Other Information</w:t>
            </w:r>
          </w:p>
        </w:tc>
        <w:tc>
          <w:tcPr>
            <w:tcW w:w="7600" w:type="dxa"/>
            <w:vAlign w:val="bottom"/>
            <w:gridSpan w:val="16"/>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48</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22"/>
                <w:szCs w:val="22"/>
                <w:color w:val="auto"/>
              </w:rPr>
            </w:pPr>
          </w:p>
        </w:tc>
        <w:tc>
          <w:tcPr>
            <w:tcW w:w="7100" w:type="dxa"/>
            <w:vAlign w:val="bottom"/>
            <w:gridSpan w:val="12"/>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48</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85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48</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3740" w:type="dxa"/>
            <w:vAlign w:val="bottom"/>
            <w:gridSpan w:val="3"/>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6040" w:type="dxa"/>
            <w:vAlign w:val="bottom"/>
            <w:gridSpan w:val="9"/>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22"/>
                <w:szCs w:val="22"/>
                <w:color w:val="auto"/>
              </w:rPr>
            </w:pPr>
          </w:p>
        </w:tc>
        <w:tc>
          <w:tcPr>
            <w:tcW w:w="6660" w:type="dxa"/>
            <w:vAlign w:val="bottom"/>
            <w:gridSpan w:val="11"/>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180" w:type="dxa"/>
            <w:vAlign w:val="bottom"/>
            <w:gridSpan w:val="13"/>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50</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51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6"/>
        </w:trPr>
        <w:tc>
          <w:tcPr>
            <w:tcW w:w="3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7"/>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PART I - FINANCIAL INFORMATION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00" w:type="dxa"/>
            <w:vAlign w:val="bottom"/>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HURON CONSULTING GROUP INC.</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6820" w:type="dxa"/>
            <w:vAlign w:val="bottom"/>
          </w:tcPr>
          <w:p>
            <w:pPr>
              <w:ind w:left="370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tcPr>
          <w:p>
            <w:pPr>
              <w:spacing w:after="0"/>
              <w:rPr>
                <w:sz w:val="21"/>
                <w:szCs w:val="21"/>
                <w:color w:val="auto"/>
              </w:rPr>
            </w:pPr>
          </w:p>
        </w:tc>
        <w:tc>
          <w:tcPr>
            <w:tcW w:w="68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Receivables from clients, net of allowances of $8,375 and $11,575, respectively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192,958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197,771</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services, net of allowances of $2,260 and $2,203, respectively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160,017</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28,063</w:t>
            </w:r>
          </w:p>
        </w:tc>
        <w:tc>
          <w:tcPr>
            <w:tcW w:w="0" w:type="dxa"/>
            <w:vAlign w:val="bottom"/>
          </w:tcPr>
          <w:p>
            <w:pPr>
              <w:spacing w:after="0"/>
              <w:rPr>
                <w:sz w:val="1"/>
                <w:szCs w:val="1"/>
                <w:color w:val="auto"/>
              </w:rPr>
            </w:pP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409,117</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21,678</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 net of allowances of $11,125 and $0, respectively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19,176</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26,076</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678,743</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1,480,812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1,343,617</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26,768</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247,579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operating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revenues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26,869</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338,820</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643,165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342,857</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28,446</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non-current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443,470</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$0.01 par value; 500,000,000 shares authorized; 20,569,018 and 20,780,928 shares</w:t>
            </w:r>
          </w:p>
        </w:tc>
        <w:tc>
          <w:tcPr>
            <w:tcW w:w="2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issued, respectively</w:t>
            </w:r>
          </w:p>
        </w:tc>
        <w:tc>
          <w:tcPr>
            <w:tcW w:w="2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3,269,816 and 3,065,633 shares, respectively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(160,093)</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177,673</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531,653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561,327</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1,480,812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1,343,617</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380" w:type="dxa"/>
            <w:vAlign w:val="bottom"/>
            <w:gridSpan w:val="4"/>
          </w:tcPr>
          <w:p>
            <w:pPr>
              <w:jc w:val="right"/>
              <w:ind w:right="495"/>
              <w:spacing w:after="0"/>
              <w:rPr>
                <w:sz w:val="20"/>
                <w:szCs w:val="20"/>
                <w:color w:val="auto"/>
              </w:rPr>
            </w:pPr>
            <w:r>
              <w:rPr>
                <w:rFonts w:ascii="Arial" w:cs="Arial" w:eastAsia="Arial" w:hAnsi="Arial"/>
                <w:sz w:val="17"/>
                <w:szCs w:val="17"/>
                <w:b w:val="1"/>
                <w:bCs w:val="1"/>
                <w:color w:val="auto"/>
              </w:rPr>
              <w:t>Six Months Ended</w:t>
            </w:r>
          </w:p>
        </w:tc>
      </w:tr>
      <w:tr>
        <w:trPr>
          <w:trHeight w:val="225"/>
        </w:trPr>
        <w:tc>
          <w:tcPr>
            <w:tcW w:w="5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2024</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7"/>
                <w:szCs w:val="17"/>
                <w:color w:val="auto"/>
              </w:rPr>
              <w:t>Revenues before reimbursable expenses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402,505</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371,654</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798,195</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727,615</w:t>
            </w: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9,250</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9,363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17,701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16,787</w:t>
            </w:r>
          </w:p>
        </w:tc>
      </w:tr>
      <w:tr>
        <w:trPr>
          <w:trHeight w:val="221"/>
        </w:trPr>
        <w:tc>
          <w:tcPr>
            <w:tcW w:w="5780" w:type="dxa"/>
            <w:vAlign w:val="bottom"/>
          </w:tcPr>
          <w:p>
            <w:pPr>
              <w:ind w:left="340"/>
              <w:spacing w:after="0"/>
              <w:rPr>
                <w:sz w:val="20"/>
                <w:szCs w:val="20"/>
                <w:color w:val="auto"/>
              </w:rPr>
            </w:pPr>
            <w:r>
              <w:rPr>
                <w:rFonts w:ascii="Arial" w:cs="Arial" w:eastAsia="Arial" w:hAnsi="Arial"/>
                <w:sz w:val="17"/>
                <w:szCs w:val="17"/>
                <w:color w:val="auto"/>
              </w:rPr>
              <w:t>Total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411,755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381,017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815,896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744,402</w:t>
            </w: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7"/>
                <w:szCs w:val="17"/>
                <w:color w:val="auto"/>
              </w:rPr>
              <w:t>Direct costs (exclusive of depreciation and amortization included below)</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269,028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248,605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547,071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501,908</w:t>
            </w: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17,695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17,011</w:t>
            </w:r>
          </w:p>
        </w:tc>
      </w:tr>
      <w:tr>
        <w:trPr>
          <w:trHeight w:val="227"/>
        </w:trPr>
        <w:tc>
          <w:tcPr>
            <w:tcW w:w="578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80,217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71,410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156,851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144,110</w:t>
            </w: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gains, net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(14,349)</w:t>
            </w:r>
          </w:p>
        </w:tc>
      </w:tr>
      <w:tr>
        <w:trPr>
          <w:trHeight w:val="227"/>
        </w:trPr>
        <w:tc>
          <w:tcPr>
            <w:tcW w:w="578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4,393</w:t>
            </w: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7,117</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12,005</w:t>
            </w:r>
          </w:p>
        </w:tc>
      </w:tr>
      <w:tr>
        <w:trPr>
          <w:trHeight w:val="221"/>
        </w:trPr>
        <w:tc>
          <w:tcPr>
            <w:tcW w:w="57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366,101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321,614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737,510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665,078</w:t>
            </w:r>
          </w:p>
        </w:tc>
      </w:tr>
      <w:tr>
        <w:trPr>
          <w:trHeight w:val="225"/>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79,324</w:t>
            </w:r>
          </w:p>
        </w:tc>
      </w:tr>
      <w:tr>
        <w:trPr>
          <w:trHeight w:val="230"/>
        </w:trPr>
        <w:tc>
          <w:tcPr>
            <w:tcW w:w="578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(13,094)</w:t>
            </w:r>
          </w:p>
        </w:tc>
      </w:tr>
      <w:tr>
        <w:trPr>
          <w:trHeight w:val="227"/>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3,425</w:t>
            </w:r>
          </w:p>
        </w:tc>
      </w:tr>
      <w:tr>
        <w:trPr>
          <w:trHeight w:val="225"/>
        </w:trPr>
        <w:tc>
          <w:tcPr>
            <w:tcW w:w="5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(9,669)</w:t>
            </w:r>
          </w:p>
        </w:tc>
      </w:tr>
      <w:tr>
        <w:trPr>
          <w:trHeight w:val="221"/>
        </w:trPr>
        <w:tc>
          <w:tcPr>
            <w:tcW w:w="5780" w:type="dxa"/>
            <w:vAlign w:val="bottom"/>
          </w:tcPr>
          <w:p>
            <w:pPr>
              <w:ind w:left="20"/>
              <w:spacing w:after="0"/>
              <w:rPr>
                <w:sz w:val="20"/>
                <w:szCs w:val="20"/>
                <w:color w:val="auto"/>
              </w:rPr>
            </w:pPr>
            <w:r>
              <w:rPr>
                <w:rFonts w:ascii="Arial" w:cs="Arial" w:eastAsia="Arial" w:hAnsi="Arial"/>
                <w:sz w:val="17"/>
                <w:szCs w:val="17"/>
                <w:color w:val="auto"/>
              </w:rPr>
              <w:t>Income before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27,708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52,095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49,160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69,655</w:t>
            </w: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8,278</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14,167</w:t>
            </w:r>
          </w:p>
        </w:tc>
      </w:tr>
      <w:tr>
        <w:trPr>
          <w:trHeight w:val="196"/>
        </w:trPr>
        <w:tc>
          <w:tcPr>
            <w:tcW w:w="57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19,430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37,482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43,966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55,488</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7"/>
                <w:szCs w:val="17"/>
                <w:color w:val="auto"/>
              </w:rPr>
              <w:t>Net income per basic share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3.08</w:t>
            </w: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diluted share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r>
      <w:tr>
        <w:trPr>
          <w:trHeight w:val="227"/>
        </w:trPr>
        <w:tc>
          <w:tcPr>
            <w:tcW w:w="5780" w:type="dxa"/>
            <w:vAlign w:val="bottom"/>
          </w:tcPr>
          <w:p>
            <w:pPr>
              <w:ind w:left="20"/>
              <w:spacing w:after="0"/>
              <w:rPr>
                <w:sz w:val="20"/>
                <w:szCs w:val="20"/>
                <w:color w:val="auto"/>
              </w:rPr>
            </w:pPr>
            <w:r>
              <w:rPr>
                <w:rFonts w:ascii="Arial" w:cs="Arial" w:eastAsia="Arial" w:hAnsi="Arial"/>
                <w:sz w:val="17"/>
                <w:szCs w:val="17"/>
                <w:color w:val="auto"/>
              </w:rPr>
              <w:t>Weighted average shares used in calculating earnings per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2"/>
        </w:trPr>
        <w:tc>
          <w:tcPr>
            <w:tcW w:w="5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18,042</w:t>
            </w:r>
          </w:p>
        </w:tc>
      </w:tr>
      <w:tr>
        <w:trPr>
          <w:trHeight w:val="227"/>
        </w:trPr>
        <w:tc>
          <w:tcPr>
            <w:tcW w:w="5780" w:type="dxa"/>
            <w:vAlign w:val="bottom"/>
          </w:tcPr>
          <w:p>
            <w:pPr>
              <w:ind w:left="340"/>
              <w:spacing w:after="0"/>
              <w:rPr>
                <w:sz w:val="20"/>
                <w:szCs w:val="20"/>
                <w:color w:val="auto"/>
              </w:rPr>
            </w:pPr>
            <w:r>
              <w:rPr>
                <w:rFonts w:ascii="Arial" w:cs="Arial" w:eastAsia="Arial" w:hAnsi="Arial"/>
                <w:sz w:val="17"/>
                <w:szCs w:val="17"/>
                <w:color w:val="auto"/>
              </w:rPr>
              <w:t>Diluted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17,772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18,454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18,137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18,741</w:t>
            </w: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19,430</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37,482</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43,966</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55,488</w:t>
            </w: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r>
      <w:tr>
        <w:trPr>
          <w:trHeight w:val="227"/>
        </w:trPr>
        <w:tc>
          <w:tcPr>
            <w:tcW w:w="5780" w:type="dxa"/>
            <w:vAlign w:val="bottom"/>
          </w:tcPr>
          <w:p>
            <w:pPr>
              <w:ind w:left="20"/>
              <w:spacing w:after="0"/>
              <w:rPr>
                <w:sz w:val="20"/>
                <w:szCs w:val="20"/>
                <w:color w:val="auto"/>
              </w:rPr>
            </w:pPr>
            <w:r>
              <w:rPr>
                <w:rFonts w:ascii="Arial" w:cs="Arial" w:eastAsia="Arial" w:hAnsi="Arial"/>
                <w:sz w:val="17"/>
                <w:szCs w:val="17"/>
                <w:color w:val="auto"/>
              </w:rPr>
              <w:t>Unrealized loss on investment, net of tax</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(15,766)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(7,765)</w:t>
            </w: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loss on cash flow hedging instruments, net of tax</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(2,114)</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21"/>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(8,822)</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46,666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12"/>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gridSpan w:val="9"/>
          </w:tcPr>
          <w:p>
            <w:pPr>
              <w:ind w:left="44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7"/>
          </w:tcPr>
          <w:p>
            <w:pPr>
              <w:ind w:left="4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60"/>
              <w:spacing w:after="0" w:line="122"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120"/>
              <w:spacing w:after="0" w:line="122"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3"/>
            <w:vMerge w:val="restart"/>
          </w:tcPr>
          <w:p>
            <w:pPr>
              <w:jc w:val="right"/>
              <w:ind w:right="100"/>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rPr>
                <w:sz w:val="4"/>
                <w:szCs w:val="4"/>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20,844,871</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(3,274,184)</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(189,279)</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127,495</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556,189</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(329)</w:t>
            </w:r>
          </w:p>
        </w:tc>
        <w:tc>
          <w:tcPr>
            <w:tcW w:w="3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494,284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19,430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(4,614)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32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ind w:left="340"/>
              <w:spacing w:after="0" w:line="153"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5,835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4,604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Purchase of business</w:t>
            </w:r>
          </w:p>
        </w:tc>
        <w:tc>
          <w:tcPr>
            <w:tcW w:w="900" w:type="dxa"/>
            <w:vAlign w:val="bottom"/>
          </w:tcPr>
          <w:p>
            <w:pPr>
              <w:jc w:val="right"/>
              <w:spacing w:after="0"/>
              <w:rPr>
                <w:sz w:val="20"/>
                <w:szCs w:val="20"/>
                <w:color w:val="auto"/>
              </w:rPr>
            </w:pPr>
            <w:r>
              <w:rPr>
                <w:rFonts w:ascii="Arial" w:cs="Arial" w:eastAsia="Arial" w:hAnsi="Arial"/>
                <w:sz w:val="14"/>
                <w:szCs w:val="14"/>
                <w:color w:val="auto"/>
              </w:rPr>
              <w:t>147,221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18,553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spacing w:after="0" w:line="153" w:lineRule="exact"/>
              <w:rPr>
                <w:sz w:val="20"/>
                <w:szCs w:val="20"/>
                <w:color w:val="auto"/>
              </w:rPr>
            </w:pPr>
            <w:r>
              <w:rPr>
                <w:rFonts w:ascii="Arial" w:cs="Arial" w:eastAsia="Arial" w:hAnsi="Arial"/>
                <w:sz w:val="14"/>
                <w:szCs w:val="14"/>
                <w:color w:val="auto"/>
              </w:rPr>
              <w:t>Shares redeemed for employee tax</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(2,377)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withholdings</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 repurchases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(429,669)</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(60,993)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(60,997)</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2025</w:t>
            </w:r>
          </w:p>
        </w:tc>
        <w:tc>
          <w:tcPr>
            <w:tcW w:w="900" w:type="dxa"/>
            <w:vAlign w:val="bottom"/>
          </w:tcPr>
          <w:p>
            <w:pPr>
              <w:jc w:val="right"/>
              <w:spacing w:after="0"/>
              <w:rPr>
                <w:sz w:val="20"/>
                <w:szCs w:val="20"/>
                <w:color w:val="auto"/>
              </w:rPr>
            </w:pPr>
            <w:r>
              <w:rPr>
                <w:rFonts w:ascii="Arial" w:cs="Arial" w:eastAsia="Arial" w:hAnsi="Arial"/>
                <w:sz w:val="14"/>
                <w:szCs w:val="14"/>
                <w:color w:val="auto"/>
              </w:rPr>
              <w:t>20,569,243</w:t>
            </w:r>
          </w:p>
        </w:tc>
        <w:tc>
          <w:tcPr>
            <w:tcW w:w="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(3,271,957)</w:t>
            </w:r>
          </w:p>
        </w:tc>
        <w:tc>
          <w:tcPr>
            <w:tcW w:w="4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(189,388)</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93,502</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575,619</w:t>
            </w:r>
          </w:p>
        </w:tc>
        <w:tc>
          <w:tcPr>
            <w:tcW w:w="4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(4,943)</w:t>
            </w:r>
          </w:p>
        </w:tc>
        <w:tc>
          <w:tcPr>
            <w:tcW w:w="32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474,995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 w:type="dxa"/>
            <w:vAlign w:val="bottom"/>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2024</w:t>
            </w:r>
          </w:p>
        </w:tc>
        <w:tc>
          <w:tcPr>
            <w:tcW w:w="900" w:type="dxa"/>
            <w:vAlign w:val="bottom"/>
          </w:tcPr>
          <w:p>
            <w:pPr>
              <w:jc w:val="right"/>
              <w:spacing w:after="0"/>
              <w:rPr>
                <w:sz w:val="20"/>
                <w:szCs w:val="20"/>
                <w:color w:val="auto"/>
              </w:rPr>
            </w:pPr>
            <w:r>
              <w:rPr>
                <w:rFonts w:ascii="Arial" w:cs="Arial" w:eastAsia="Arial" w:hAnsi="Arial"/>
                <w:sz w:val="14"/>
                <w:szCs w:val="14"/>
                <w:color w:val="auto"/>
              </w:rPr>
              <w:t>21,204,110</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(3,116,541)</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(159,605)</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200,235</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433,033</w:t>
            </w:r>
          </w:p>
        </w:tc>
        <w:tc>
          <w:tcPr>
            <w:tcW w:w="4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21,731</w:t>
            </w:r>
          </w:p>
        </w:tc>
        <w:tc>
          <w:tcPr>
            <w:tcW w:w="40" w:type="dxa"/>
            <w:vAlign w:val="bottom"/>
          </w:tcPr>
          <w:p>
            <w:pPr>
              <w:spacing w:after="0"/>
              <w:rPr>
                <w:sz w:val="17"/>
                <w:szCs w:val="17"/>
                <w:color w:val="auto"/>
              </w:rPr>
            </w:pPr>
          </w:p>
        </w:tc>
        <w:tc>
          <w:tcPr>
            <w:tcW w:w="32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495,606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Comprehensive income (loss)</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(7,726)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spacing w:after="0" w:line="153" w:lineRule="exact"/>
              <w:rPr>
                <w:sz w:val="20"/>
                <w:szCs w:val="20"/>
                <w:color w:val="auto"/>
              </w:rPr>
            </w:pPr>
            <w:r>
              <w:rPr>
                <w:rFonts w:ascii="Arial" w:cs="Arial" w:eastAsia="Arial" w:hAnsi="Arial"/>
                <w:sz w:val="14"/>
                <w:szCs w:val="14"/>
                <w:color w:val="auto"/>
              </w:rPr>
              <w:t>Issuance of common stock in</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connection with:</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shd w:val="clear" w:color="auto" w:fill="CCEEFF"/>
          </w:tcPr>
          <w:p>
            <w:pPr>
              <w:ind w:left="340"/>
              <w:spacing w:after="0" w:line="153"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5,516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(221)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4"/>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spacing w:after="0" w:line="153" w:lineRule="exact"/>
              <w:rPr>
                <w:sz w:val="20"/>
                <w:szCs w:val="20"/>
                <w:color w:val="auto"/>
              </w:rPr>
            </w:pPr>
            <w:r>
              <w:rPr>
                <w:rFonts w:ascii="Arial" w:cs="Arial" w:eastAsia="Arial" w:hAnsi="Arial"/>
                <w:sz w:val="14"/>
                <w:szCs w:val="14"/>
                <w:color w:val="auto"/>
              </w:rPr>
              <w:t>Shares redeemed for employee tax</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(1,627)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withholdings</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capital contributions</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3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Share repurchases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(376,493)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(34,368)</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(34,372)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20,834,133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(3,114,873)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(159,537)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175,387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470,515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500,578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2"/>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gridSpan w:val="9"/>
          </w:tcPr>
          <w:p>
            <w:pPr>
              <w:ind w:left="42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7"/>
          </w:tcPr>
          <w:p>
            <w:pPr>
              <w:ind w:left="4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right"/>
              <w:ind w:right="280"/>
              <w:spacing w:after="0" w:line="122"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right"/>
              <w:ind w:right="200"/>
              <w:spacing w:after="0" w:line="122"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3"/>
            <w:vMerge w:val="restart"/>
          </w:tcPr>
          <w:p>
            <w:pPr>
              <w:jc w:val="right"/>
              <w:ind w:right="120"/>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20" w:type="dxa"/>
            <w:vAlign w:val="bottom"/>
            <w:gridSpan w:val="2"/>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4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4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Income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20,762,327</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(3,117,675)</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(160,093)</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177,673</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531,653</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11,886</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561,327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Comprehensive income (loss)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43,966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(16,829)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27,137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6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538,410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60,835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Purchases of businesses</w:t>
            </w:r>
          </w:p>
        </w:tc>
        <w:tc>
          <w:tcPr>
            <w:tcW w:w="900" w:type="dxa"/>
            <w:vAlign w:val="bottom"/>
          </w:tcPr>
          <w:p>
            <w:pPr>
              <w:jc w:val="right"/>
              <w:spacing w:after="0"/>
              <w:rPr>
                <w:sz w:val="20"/>
                <w:szCs w:val="20"/>
                <w:color w:val="auto"/>
              </w:rPr>
            </w:pPr>
            <w:r>
              <w:rPr>
                <w:rFonts w:ascii="Arial" w:cs="Arial" w:eastAsia="Arial" w:hAnsi="Arial"/>
                <w:sz w:val="14"/>
                <w:szCs w:val="14"/>
                <w:color w:val="auto"/>
              </w:rPr>
              <w:t>162,599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20,896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Shares redeemed for employee tax</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(215,117)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(32,507)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(32,507)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(938,280)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(133,856)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20,569,243</w:t>
            </w:r>
          </w:p>
        </w:tc>
        <w:tc>
          <w:tcPr>
            <w:tcW w:w="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(3,271,957)</w:t>
            </w:r>
          </w:p>
        </w:tc>
        <w:tc>
          <w:tcPr>
            <w:tcW w:w="4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(189,388)</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93,502</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575,619</w:t>
            </w:r>
          </w:p>
        </w:tc>
        <w:tc>
          <w:tcPr>
            <w:tcW w:w="40" w:type="dxa"/>
            <w:vAlign w:val="bottom"/>
          </w:tcPr>
          <w:p>
            <w:pPr>
              <w:spacing w:after="0"/>
              <w:rPr>
                <w:sz w:val="16"/>
                <w:szCs w:val="16"/>
                <w:color w:val="auto"/>
              </w:rPr>
            </w:pPr>
          </w:p>
        </w:tc>
        <w:tc>
          <w:tcPr>
            <w:tcW w:w="22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(4,943)</w:t>
            </w:r>
          </w:p>
        </w:tc>
        <w:tc>
          <w:tcPr>
            <w:tcW w:w="40" w:type="dxa"/>
            <w:vAlign w:val="bottom"/>
          </w:tcPr>
          <w:p>
            <w:pPr>
              <w:spacing w:after="0"/>
              <w:rPr>
                <w:sz w:val="16"/>
                <w:szCs w:val="16"/>
                <w:color w:val="auto"/>
              </w:rPr>
            </w:pPr>
          </w:p>
        </w:tc>
        <w:tc>
          <w:tcPr>
            <w:tcW w:w="32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474,995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21,175,554</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(2,975,321)</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(142,136)</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236,962</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415,027</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22,827</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Comprehensive income (loss)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55,488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6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3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550,438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74,820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3,679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(3,684)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Purchase of business</w:t>
            </w:r>
          </w:p>
        </w:tc>
        <w:tc>
          <w:tcPr>
            <w:tcW w:w="900" w:type="dxa"/>
            <w:vAlign w:val="bottom"/>
          </w:tcPr>
          <w:p>
            <w:pPr>
              <w:jc w:val="right"/>
              <w:spacing w:after="0"/>
              <w:rPr>
                <w:sz w:val="20"/>
                <w:szCs w:val="20"/>
                <w:color w:val="auto"/>
              </w:rPr>
            </w:pPr>
            <w:r>
              <w:rPr>
                <w:rFonts w:ascii="Arial" w:cs="Arial" w:eastAsia="Arial" w:hAnsi="Arial"/>
                <w:sz w:val="14"/>
                <w:szCs w:val="14"/>
                <w:color w:val="auto"/>
              </w:rPr>
              <w:t>86,913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8,639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Shares redeemed for employee tax</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(214,372)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(21,080)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(21,080)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capital contributions</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(1,001,191)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(96,675)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20,834,133</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(3,114,873)</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(159,537)</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175,387</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470,515</w:t>
            </w:r>
          </w:p>
        </w:tc>
        <w:tc>
          <w:tcPr>
            <w:tcW w:w="40" w:type="dxa"/>
            <w:vAlign w:val="bottom"/>
          </w:tcPr>
          <w:p>
            <w:pPr>
              <w:spacing w:after="0"/>
              <w:rPr>
                <w:sz w:val="17"/>
                <w:szCs w:val="17"/>
                <w:color w:val="auto"/>
              </w:rPr>
            </w:pPr>
          </w:p>
        </w:tc>
        <w:tc>
          <w:tcPr>
            <w:tcW w:w="22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14,005</w:t>
            </w:r>
          </w:p>
        </w:tc>
        <w:tc>
          <w:tcPr>
            <w:tcW w:w="40" w:type="dxa"/>
            <w:vAlign w:val="bottom"/>
          </w:tcPr>
          <w:p>
            <w:pPr>
              <w:spacing w:after="0"/>
              <w:rPr>
                <w:sz w:val="17"/>
                <w:szCs w:val="17"/>
                <w:color w:val="auto"/>
              </w:rPr>
            </w:pPr>
          </w:p>
        </w:tc>
        <w:tc>
          <w:tcPr>
            <w:tcW w:w="32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500,578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Six Months Ended</w:t>
      </w:r>
    </w:p>
    <w:p>
      <w:pPr>
        <w:jc w:val="center"/>
        <w:ind w:left="820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43,966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55,488</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12,005</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Lease-related impairment charges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2,293</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25,284</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Allowances for doubtful accounts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1,942</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and equipment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equity investment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Credit-related impairment charge on convertible debt investment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acquisitions: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receivables from clients,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(20,372)</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unbilled services,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current income tax receivable / payable,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(2,606)</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other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(14,942)</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accounts payable and other liabilities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(6,978)</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accrued payroll and related benefits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(86,400)</w:t>
            </w: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Increase (decrease) in deferred revenues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w:t>
            </w: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(23,503)</w:t>
            </w:r>
          </w:p>
        </w:tc>
      </w:tr>
      <w:tr>
        <w:trPr>
          <w:trHeight w:val="19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Investments in life insurance policies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(1,361)</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(20,769)</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(14,138)</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note receivable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0"/>
        </w:trPr>
        <w:tc>
          <w:tcPr>
            <w:tcW w:w="82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(70,080)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(39,677)</w:t>
            </w:r>
          </w:p>
        </w:tc>
      </w:tr>
      <w:tr>
        <w:trPr>
          <w:trHeight w:val="19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(32,507)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(21,080)</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(97,264)</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Proceeds from bank borrowings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552,000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618,500</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bank borrowings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(430,938)</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Payments for debt issuance costs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(1,446)</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payments for business acquisitions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09"/>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68,726</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5,497</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12,149</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and equipment expenditures and capitalized software included in current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1,435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3,214</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 issued related to purchases of businesses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Contingent consideration accrued related to purchases of businesses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15,400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Excise tax on net share repurchases included in current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bl>
    <w:p>
      <w:pPr>
        <w:spacing w:after="0" w:line="78"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energy and utilities, industrials and manufacturing, and the public sector. We also provide revenue reporting across two principal capabilities: i) Consulting and Managed Services and ii) Digital, which are methods by which we deliver our services and products.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See Note 15 “Segment Information” for a discussion of our three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and six months ended June 30, 2025 and 2024.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2024 and our Quarterly Report on Form 10-Q for the period ended March 31, 2025. Our results for any interim period are not necessarily indicative of results for a full year or any other interim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December 14, 2023, the Financial Accounting Standards Board (“FASB”) issued Accounting Standards Update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updates annual income tax disclosures by requiring disclosure of specific categories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 reconciliation, as well as disclosure of income taxes paid disaggregated by jurisdiction. ASU 2023-09 will be effective for our annual reporting periods beginning with the fiscal year ending December 31, 2025,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November 4,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which is intended to enhance transparency of the nature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 of expenses, primarily through additional disclosures of certain cost and expenses. ASU 2024-03 will be effective for our annual reporting periods beginning with the fiscal year ending December 31, 2027 and for interim reporting periods beginning in fiscal year 2028,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Advancement Resources</w:t>
      </w:r>
    </w:p>
    <w:p>
      <w:pPr>
        <w:spacing w:after="0" w:line="16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March 1, 2025, we acquired 100% of the ownership interests of Advancement Resources, a research-based, philanthropy-focused professional education services firm. The results of operations of Advancement Resources are included within our consolidated financial statements and results of operations of our Education segment as of the acquisition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Halpin Partnership Limited</w:t>
      </w:r>
    </w:p>
    <w:p>
      <w:pPr>
        <w:spacing w:after="0" w:line="169"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On March 17, 2025, we completed the acquisition of certain assets and liabilities of Halpin Partnership Limited (“Halpin”), a U.K.-based management consultancy specializing in higher education fundraising, governance, and strategy. The results of operations of Halpin are included within our consolidated financial statements and results of operations of our Education segment as of the acquisition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Eclipse Insights LLC</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On June 24, 2025, we completed the acquisition of certain assets and liabilities of Eclipse Insights LLC (“Eclipse Insights”), a revenue cycle consulting firm dedicated to helping healthcare organizations maximize revenue and improve cash flow. The results of operations of Eclipse are included within our consolidated financial statements and results of operations of our Healthcare segment as of the acquisition date.</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These acquisitions were accounted for using the acquisition method of accounting. Contract assets and contract liabilities are recorded at their carrying value under Topic 606: Revenue from Contracts with Customers. The current acquisition date values of assets acquired and liabilities assumed in the Advancement Resources and Eclipse Insights acquisitions are considered preliminary and are based on the information that was available as of the date of each acquisition. We believe that the information provides a reasonable basis for estimating the preliminary values of assets acquired and liabilities assumed but certain items, such as the valuations of the intangible assets and the working capital adjustments, among other items, may be subject to change as additional information is received. Thus, the provisional measurements of assets acquired, including goodwill, and liabilities assumed related to the acquisitions of Advancement Resources and Eclipse Insights are subject to change. We expect to finalize the valuations as soon as practicable, but not later than one year from the acquisition dates. We finalized the measurements of assets acquired and liabilities assumed related to the Halpin acquisition during the second quarter of 2025.</w:t>
      </w:r>
    </w:p>
    <w:p>
      <w:pPr>
        <w:spacing w:after="0" w:line="13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revenues and earnings generated by these acquisitions are not significant to our consolidated financial statements individually or in the aggregate for the three and six months ended June 30, 2025. Refer to Note 5 "Goodwill and Intangible Assets" for additional information on the goodwill and intangibles acquired and Note 11 "Fair Value of Financial Instruments" for additional information on our contingent consideration liabilities.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2025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TVG-Treliant Holdings, LLC.</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July 11, 2025, we acquired 100% of the membership interests of TVG-Treliant Holdings, LLC. (“Treliant”), an advisory and managed services firm that provides expertise to the financial services industry in navigating regulatory requirements. The results of operations of Treliant will be included within our consolidated financial statements and results of operations of our Commercial segment from the date of acquisition.</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initial valuation for this acquisition, including the valuation of assets acquired and liabilities assumed, is not yet complete. We expect to complete the initial valuation, including preliminary valuation of assets acquired and liabilities assumed, in the third quarter of 2025. We expect to finalize the valuation as soon as practicable, but not later than one year from the acquisition date. The acquisition is not expected to be significant to our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value of goodwill by reportable segment for the six months ended June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Healthcare</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Education</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3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643,552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145,981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345,102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1,134,635</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(455,892)</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678,743</w:t>
            </w: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Goodwill recorded in connection with business acquisitions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60,044</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June 30, 2025</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739,070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right="120" w:hanging="412"/>
        <w:spacing w:after="0" w:line="259" w:lineRule="auto"/>
        <w:tabs>
          <w:tab w:leader="none" w:pos="435"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Note 4 "Acquisitions" for additional information on business combinations completed in 2025. Of the $60.0 million of goodwill recorded in the first six months of 2025, $53.8 million related to the acquisition of Eclipse Insights within our Healthcare segment. Goodwill is recognized for the excess of purchase price over the net fair value of assets acquired and liabilities assumed, and largely reflects the expanded market opportunities expected from combining the service offerings of Huron and Eclipse Insights, as well as the assembled workforce of Eclipse Insights. All of the $53.8 million of goodwill is expected to be tax deductible.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2025 and December 31, 2024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June 30, 2025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2024</w:t>
            </w: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line="177"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5"/>
                <w:szCs w:val="15"/>
                <w:color w:val="auto"/>
              </w:rPr>
            </w:pPr>
          </w:p>
        </w:tc>
        <w:tc>
          <w:tcPr>
            <w:tcW w:w="1320" w:type="dxa"/>
            <w:vAlign w:val="bottom"/>
            <w:gridSpan w:val="2"/>
          </w:tcPr>
          <w:p>
            <w:pPr>
              <w:jc w:val="center"/>
              <w:ind w:right="320"/>
              <w:spacing w:after="0" w:line="177"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 to 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Technology and software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2 to 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12,771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Customer contracts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 to 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2 to 5</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the six months ended June 30, 2025, we acquired intangible assets of $ 30.2 million related to our business combinations completed in 2025. Of the $30.2 million of intangible assets acquired, $26.9 million relates to our acquisition of Eclipse Insights and includes</w:t>
      </w:r>
    </w:p>
    <w:p>
      <w:pPr>
        <w:ind w:right="280"/>
        <w:spacing w:after="0" w:line="266" w:lineRule="auto"/>
        <w:rPr>
          <w:sz w:val="20"/>
          <w:szCs w:val="20"/>
          <w:color w:val="auto"/>
        </w:rPr>
      </w:pPr>
      <w:r>
        <w:rPr>
          <w:rFonts w:ascii="Arial" w:cs="Arial" w:eastAsia="Arial" w:hAnsi="Arial"/>
          <w:sz w:val="18"/>
          <w:szCs w:val="18"/>
          <w:color w:val="auto"/>
        </w:rPr>
        <w:t>$24.8 million for customer relationships and $ 2.1 million for technology and software. The acquired customer relationships and technology and software intangible assets have an initial estimated useful life of 10 years and 5 years, respectively.</w:t>
      </w:r>
    </w:p>
    <w:p>
      <w:pPr>
        <w:spacing w:after="0" w:line="3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Identifiable intangible assets with finite lives are amortized over their estimated useful lives using either an accelerated or straight-line basis to correspond to the cash flows expected to be derived from the assets. Intangible asset amortization expense was $ 2.3 million and $1.6 million for the three months ended June 30, 2025 and 2024, respectively; and $4.3 million and $3.3 million for the six months ended June 30, 2025 and 2024,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estimated annual amortization expense for the intangible assets recorded as of June 30,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17"/>
                <w:szCs w:val="17"/>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43"/>
        </w:trPr>
        <w:tc>
          <w:tcPr>
            <w:tcW w:w="88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jc w:val="right"/>
              <w:ind w:right="73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29"/>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11,025</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June 30, 2025 and 2024, we recognized total revenues of $411.8 million and $381.0 million, respectively. Of the $411.8 million total revenues recognized in the second quarter of 2025, we recognized $12.8 million from obligations satisfied, or partially satisfied, in prior periods, of which $11.6 million was primarily due to changes in the estimates of our variable consideration under performance-based billing arrangements and $1.2 million was primarily due to the release of allowances on receivables from clients and unbilled services. Of the $381.0 million total revenues recognized in the second quarter of 2024, we recognized $18.2 million from obligations satisfied, or partially satisfied, in prior periods, of which $13.2 million was primarily due to changes in the estimates of our variable consideration under performance-based billing arrangements and $5.0 million was primarily due to the release of allowances on receivables from clients and unbilled services.</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six months ended June 30, 2025 and 2024, we recognized total revenues of $815.9 million and $744.4 million, respectively. Of the $815.9 million total revenues recognized in the first six months of 2025, we recognized $20.5 million from obligations satisfied, or partially satisfied in prior periods, of which $18.7 million was primarily due to changes in the estimates of our variable consideration under performance-based billing arrangements and $1.8 million was primarily due to the release of allowances on receivables from clients and unbilled services. Of the $744.4 million recognized in the first six months of 2024, we recognized revenues of $20.5 million from obligations satisfied, or partially satisfied, in prior periods, of which $17.2 million was due to changes in the estimates of our variable consideration under performance-based billing arrangements and $3.3 million was due to the release of allowances on receivables from clients and unbilled services.</w:t>
      </w:r>
    </w:p>
    <w:p>
      <w:pPr>
        <w:spacing w:after="0" w:line="1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June 30, 2025, we had $277.1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$277.1 million of performance obligations, we expect to recognize $60.4 million as revenue in 2025, $89.8 million in 2026, and the remaining $126.9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6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9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net balance as of June 30, 2025 and December 31, 2024 was $74.5 million and $60.1 million, respectively. The $14.4 million increase primarily reflects timing differences between the completion of our performance obligations and the amounts billed or billable to clients in accordance with their contractual billing terms.</w:t>
      </w:r>
    </w:p>
    <w:p>
      <w:pPr>
        <w:spacing w:after="0" w:line="12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accounting policy. Our deferred revenues balance as of June 30, 2025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December 31, 2024 was $29.3 million and $26.9 million, respectively. The $2.4 million increase primarily reflects timing differences between client payments in accordance with their contract terms and the completion of our performance obligations. For the three and six months ended June 30, 2025, $4.8 million and $24.7 million of revenues recognized were included in the deferred revenue balance as of December 31, 2024,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under the basic and diluted computations are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5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55,488</w:t>
            </w:r>
          </w:p>
        </w:tc>
      </w:tr>
      <w:tr>
        <w:trPr>
          <w:trHeight w:val="216"/>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9"/>
        </w:trPr>
        <w:tc>
          <w:tcPr>
            <w:tcW w:w="518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r>
    </w:tbl>
    <w:p>
      <w:pPr>
        <w:spacing w:after="0" w:line="1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Less than 0.1 million shares related to unvested restricted stock and outstanding common stock options were excluded from the computation of the weighted average common stock equivalents presented above for both the three and six months ended June 30, 2025. For the three and six months ended June 30, 2024, 0.1 million shares and less than 0.1 million shares, respectively, were excluded from the computation of the weighted average common stock equivalents presented above.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2025. The current authorization extends the share repurchase program through December 31, 2026 with a repurchase amount of $700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2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During the three and six months ended June 30, 2025, we repurchased and retired 429,669 and 938,280 shares for $61.0 million and $133.9 million, respectively, which includes a $0.6 million and $ 0.7 million accrual for excise taxes on the net share repurchases, respectively. Additionally, in the first quarter of 2025, we settled the repurchase of 5,103 shares for $0.6 million which were accrued as of December 31, 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2024, we repurchased and retired 376,493 and 1,001,191 shares for $34.4 million and</w:t>
      </w:r>
    </w:p>
    <w:p>
      <w:pPr>
        <w:spacing w:after="0" w:line="27"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$96.7 million, respectively, which includes a $0.3 million and $0.4 million accrual for excise taxes on the net share repurchases, respectively. Additionally, in the first quarter of 2024, we settled the repurchase of 10,000 shares for $1.0 million which were accrued as of December 31,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$131.3 million remained available for share repurchases under our share repurchase program.</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Financing Arrangements</w:t>
      </w:r>
    </w:p>
    <w:p>
      <w:pPr>
        <w:spacing w:after="0" w:line="17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of June 30, 2025, the Company had a $600 million senior secured revolving credit facility (the “Revolver”) and a $275 million senior secured term loan facility (the “Term Loan”), subject to the terms of the Third Amended and Restated Credit Agreement dated as of November 15, 2022 (as amended, the “Existing Credit Agreement”). In July 2025, the Company entered into the Fourth Amended and Restated Credit Agreement (the "Amended Credit Agreement”) which amended and restated, in its entirety, the Existing Credit Agreement. The Amended Credit Agreement established a $700 million senior secured revolving credit facility (the "Amended Revolver") and a $400 million senior secured term loan facility (the "Amended Term Loan"), both of which mature on July 30, 2030. See “2025 Amended and Restated Credit Agreement” below for additional information.</w:t>
      </w:r>
    </w:p>
    <w:p>
      <w:pPr>
        <w:spacing w:after="0" w:line="1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Existing Credit Agreement in effect as of June 30, 2025, the Revolver and the Term Loan would have fully matured on November 15, 2027. The Term Loan was subject to scheduled quarterly amortization payments of $3.4 million which began June 30, 2024 and would have continued through the maturity date of November 15, 2027, at which time the outstanding principal balance and all accrued interest would be due. As of June 30, 2025, we had total borrowings outstanding under the Existing Credit Agreement of $657.8 million, consisting of $400.0 million outstanding under the Revolver and $257.8 million outstanding under the Term Loan. A summary of the scheduled maturities of those borrowings as of June 30, 2025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Scheduled Maturities of</w:t>
            </w:r>
          </w:p>
        </w:tc>
      </w:tr>
      <w:tr>
        <w:trPr>
          <w:trHeight w:val="243"/>
        </w:trPr>
        <w:tc>
          <w:tcPr>
            <w:tcW w:w="8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Long-Term Debt</w:t>
            </w:r>
          </w:p>
        </w:tc>
      </w:tr>
      <w:tr>
        <w:trPr>
          <w:trHeight w:val="223"/>
        </w:trPr>
        <w:tc>
          <w:tcPr>
            <w:tcW w:w="894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9"/>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r>
      <w:tr>
        <w:trPr>
          <w:trHeight w:val="230"/>
        </w:trPr>
        <w:tc>
          <w:tcPr>
            <w:tcW w:w="8940" w:type="dxa"/>
            <w:vAlign w:val="bottom"/>
          </w:tcPr>
          <w:p>
            <w:pPr>
              <w:jc w:val="right"/>
              <w:ind w:right="8430"/>
              <w:spacing w:after="0"/>
              <w:rPr>
                <w:sz w:val="20"/>
                <w:szCs w:val="20"/>
                <w:color w:val="auto"/>
              </w:rPr>
            </w:pPr>
            <w:r>
              <w:rPr>
                <w:rFonts w:ascii="Arial" w:cs="Arial" w:eastAsia="Arial" w:hAnsi="Arial"/>
                <w:sz w:val="18"/>
                <w:szCs w:val="18"/>
                <w:color w:val="auto"/>
                <w:w w:val="99"/>
              </w:rPr>
              <w:t>2026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13,750</w:t>
            </w:r>
          </w:p>
        </w:tc>
      </w:tr>
      <w:tr>
        <w:trPr>
          <w:trHeight w:val="229"/>
        </w:trPr>
        <w:tc>
          <w:tcPr>
            <w:tcW w:w="894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9"/>
              </w:rPr>
              <w:t>2027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637,188</w:t>
            </w:r>
          </w:p>
        </w:tc>
      </w:tr>
    </w:tbl>
    <w:p>
      <w:pPr>
        <w:spacing w:after="0" w:line="23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Borrowings under the Revolver could be used for working capital, capital expenditures, share repurchases, permitted acquisitions, and other general corporate purposes. The proceeds of the Term Loan were used to reduce borrowings under the Revolver.</w:t>
      </w:r>
    </w:p>
    <w:p>
      <w:pPr>
        <w:spacing w:after="0" w:line="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Existing Credit Agreement provided the option to increase the revolving credit facility or establish additional term loan facilities in an aggregate amount up to $250 million, subject to customary conditions and the approval of any lender whose commitment would be increased, resulting in a maximum available principal amount under the Existing Credit Agreement of $1.13 billion.</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Fees and interest on borrowings under the Existing Credit Agreement varied based on our Consolidated Leverage Ratio (as defined in the Existing Credit Agreement). At our option, these borrowings would bear interest at one, three or six month Term SOFR or, in the case of the Revolver, an alternate base rate, in each case plus the applicable margin. The applicable margin for borrowings under the Revolver would fluctuate between 1.125% per annum and 1.875% per annum, in the case of Term SOFR borrowings, or between 0.125% per annum and</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0.875% per annum, in the case of base rate loans, based upon our Consolidated Leverage Ratio at such time. The applicable margin for the outstanding principal under the Term Loan would range between 1.625% per annum and 2.375% per annum based upon our Consolidated Leverage Ratio at such time. The fees and interest were subject to further adjustment based upon the Company's performance against specified key performance indicators. Based upon the performance of the Company against those key performance indicators in each Reference Year (as defined in the Existing Credit Agreement), certain adjustments to the otherwise applicable rates for interest, commitment fees and letter of credit fees would be made. These annual adjustments would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spacing w:after="0" w:line="133"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Amounts borrowed under the Existing Credit Agreement could be prepaid at any time without premium or penalty. We were required to prepay the amounts outstanding under the Existing Credit Agreement in certain circumstances, including upon an Event of Default (as defined in the Existing Credit Agreement). In addition, we had the right to permanently reduce or terminate the unused portion of the commitments provided under the Existing Credit Agreement at any time.</w:t>
      </w:r>
    </w:p>
    <w:p>
      <w:pPr>
        <w:spacing w:after="0" w:line="1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loans and obligations under the Existing Credit Agreement are secured pursuant to a Third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Existing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Existing Credit Agreement contained usual and customary representations and warranties; affirmative and negative covenants, which included limitations on liens, investments, additional indebtedness, and restricted payments; and two quarterly financial covenants as follows:</w:t>
      </w:r>
    </w:p>
    <w:p>
      <w:pPr>
        <w:spacing w:after="0" w:line="2" w:lineRule="exact"/>
        <w:rPr>
          <w:sz w:val="20"/>
          <w:szCs w:val="20"/>
          <w:color w:val="auto"/>
        </w:rPr>
      </w:pPr>
    </w:p>
    <w:p>
      <w:pPr>
        <w:ind w:right="120" w:firstLine="8"/>
        <w:spacing w:after="0" w:line="252"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would have increased to 4.25 to 1.00 upon the occurrence of a Qualified Acquisition (as defined in the Existing Credit Agreement), and (ii) a minimum Consolidated Interest Coverage Ratio (defined as the ratio of consolidated EBITDA to interest) of 3.00 to 1.00. Consolidated EBITDA for purposes of the financial covenants was calculated on a continuing operations basis and included adjustments to add back non-cash goodwill impairment charges, share-based compensation costs, certain non-cash restructuring charges, pro forma historical EBITDA for businesses acquired, and other specified items in accordance with the Existing Credit Agreement. For purposes of the Consolidated Leverage Ratio, total debt is on a gross basis and is not netted against our cash balances. At June 30, 2025, we were in compliance with these financial covenants with a Consolidated Leverage Ratio of 2.48 to 1.00 and a Consolidated Interest Coverage Ratio of 9.83 to 1.00.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8"/>
        </w:trPr>
        <w:tc>
          <w:tcPr>
            <w:tcW w:w="6500" w:type="dxa"/>
            <w:vAlign w:val="bottom"/>
          </w:tcPr>
          <w:p>
            <w:pPr>
              <w:spacing w:after="0"/>
              <w:rPr>
                <w:sz w:val="17"/>
                <w:szCs w:val="17"/>
                <w:color w:val="auto"/>
              </w:rPr>
            </w:pPr>
          </w:p>
        </w:tc>
        <w:tc>
          <w:tcPr>
            <w:tcW w:w="154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jc w:val="right"/>
              <w:ind w:right="490"/>
              <w:spacing w:after="0" w:line="19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65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2024</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257,813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264,687</w:t>
            </w:r>
          </w:p>
        </w:tc>
      </w:tr>
      <w:tr>
        <w:trPr>
          <w:trHeight w:val="229"/>
        </w:trPr>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Unamortized debt issuance costs - Term Loan</w:t>
            </w:r>
            <w:r>
              <w:rPr>
                <w:rFonts w:ascii="Arial" w:cs="Arial" w:eastAsia="Arial" w:hAnsi="Arial"/>
                <w:sz w:val="23"/>
                <w:szCs w:val="23"/>
                <w:color w:val="auto"/>
                <w:vertAlign w:val="superscript"/>
              </w:rPr>
              <w:t>(1)</w:t>
            </w:r>
          </w:p>
        </w:tc>
        <w:tc>
          <w:tcPr>
            <w:tcW w:w="1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656,915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356,607</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1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Long-term debt, net of current portion</w:t>
            </w:r>
          </w:p>
        </w:tc>
        <w:tc>
          <w:tcPr>
            <w:tcW w:w="15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643,165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342,857</w:t>
            </w:r>
          </w:p>
        </w:tc>
      </w:tr>
      <w:tr>
        <w:trPr>
          <w:trHeight w:val="20"/>
        </w:trPr>
        <w:tc>
          <w:tcPr>
            <w:tcW w:w="65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right="100" w:hanging="652"/>
        <w:spacing w:after="0" w:line="262" w:lineRule="auto"/>
        <w:tabs>
          <w:tab w:leader="none" w:pos="691"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connection with establishing the Term Loan, we incurred $1.4 million of debt issuance costs which were recognized as a discount to the Term Loan. These debt issuance costs were amortized to interest expense using an effective interest rate of 7.34% over the term of the Term Loan. Unamortized debt issuance costs related to the Revolver are included as a component of other non-current assets and amortized to interest expense using the straight-line method over the term of the Revolver.</w:t>
      </w:r>
    </w:p>
    <w:p>
      <w:pPr>
        <w:spacing w:after="0" w:line="12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Borrowings outstanding under the Existing Credit Agreement as of June 30, 2025 and December 31, 2024 carried a weighted average interest rate of 5.6% and 4.7%, respectively, including the effect of the interest rate swaps described in Note 10 “Derivative Instruments and Hedging Activity.”</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borrowing capacity under the Revolver is reduced by any outstanding borrowings under the Revolver and outstanding letters of credit. At June 30, 2025, we had outstanding letters of credit totaling $0.4 million, which are used as security deposits for our office facilities. As of June 30, 2025, the unused borrowing capacity under the Revolver was $199.6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Amended and Restated Credit Agreement</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July 2025, the Company entered into the Amended Credit Agreement, which amended and restated, in its entirety, the Existing Credit Agreement. The Amended Credit Agreement established the $700 million Amended Revolver and the $400 million Amended Term Loan, both of which mature on July 30, 2030. The Amended Term Loan is subject to scheduled quarterly amortization payments of $5.0 million beginning September 30, 2025 and continue through the maturity date of July 30, 2030, at which time the outstanding principal balance and all accrued interest will be due.</w:t>
      </w:r>
    </w:p>
    <w:p>
      <w:pPr>
        <w:spacing w:after="0" w:line="1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initial borrowings under the Amended Credit Agreement were used to reduce current borrowings outstanding under the Existing Credit Agreement, and future borrowings under the Amended Credit Agreement may be used for working capital, capital expenditures, share repurchases, permitted acquisitions, and other general corporate purposes.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Amended Credit Agreement provides the option to increase the revolving credit facility or establish additional term loan facilities in an aggregate amount up to $500 million with further increases permitted to the extent the Pro Forma Consolidated Leverage Ratio (as defined in the Amended Credit Agreement) remains at or below 3.00 to 1.00 following such incremental borrowings, subject to customary conditions and the approval of any lender whose commitment would be increased. These increases result in an available principal amount of $1.6 billion under the Amended Credit Agreement, with further increases permitted.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Fees and interest on borrowings under the Amended Credit Agreement will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1.250% per annum and 1.875% per annum, in the case of Term SOFR borrowings, or between 0.250% per annum and 0.875% per annum, in the case of base rate loans, based upon our Consolidated Leverage Ratio at such time.</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loans and obligations under the Amended Credit Agreement are secured pursuant to a Fourth Amended and Restated Security Agreement and a Fourth Amended and Restated Pledge Agreement (the “Amended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Amended Pledge Agreement) entitled to vote and 100% of the stock or other equity interests in each material first-tier foreign subsidiary not entitled to vote.</w:t>
      </w:r>
    </w:p>
    <w:p>
      <w:pPr>
        <w:spacing w:after="0" w:line="12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Amended Credit Agreement maintains the same prepayment provisions, usual and customary representations and warranties, and affirmative and negative covenants as the Existing Credit Agreement discussed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Restructuring charges for the three and six months ended June 30, 2025 were $0.6 million and $1.9 million, respectively. The $0.6 million of restructuring charges recognized in the second quarter of 2025 primarily consisted of rent and related expenses, net of sublease income, for our previously vacated office spaces. The $1.9 million of restructuring charges recognized in the first six months of 2025 primarily consisted of $1.0 million of rent and related expenses, net of sublease income, for our previously vacated office spaces and a $0.7 million non-cash lease impairment charge driven by updated sublease assumptions for a previously vacated office space.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for the three and six months ended June 30, 2024 were $2.1 million and $4.4 million, respectively. In the second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quarter of 2024, we exited the office space previously occupied by GG+A, which resulted in a $1.4 million non-cash impairment charge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related right-of-use operating lease asset and fixed assets of that office space. Additionally, in the second quarter of 2024, we recognized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$0.6 million of restructuring expense for rent and related expenses, net of sublease income, for our previously vacated office spaces.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million of restructuring charges recognized in the first six months of 2024 included $1.4 million related to the non-cash lease impairment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charges on the right-of-use operating lease asset and fixed assets of the exited office space previously occupied by GG+A; $1.1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rent and related expenses, net of sublease income, for previously vacated office spaces; $1.0 million of severance-related expenses;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$0.8 million related to non-cash lease impairment charges driven by updated sublease assumptions for our previously vacated office spaces.</w:t>
      </w:r>
    </w:p>
    <w:p>
      <w:pPr>
        <w:spacing w:after="0" w:line="153"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The table below sets forth the changes in the carrying value of our restructuring charge liability by restructuring type for the six months ended June 30,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Employee Costs</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29"/>
        </w:trPr>
        <w:tc>
          <w:tcPr>
            <w:tcW w:w="58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58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right="20" w:hanging="412"/>
        <w:spacing w:after="0" w:line="268" w:lineRule="auto"/>
        <w:tabs>
          <w:tab w:leader="none" w:pos="4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and adjustments exclude non-cash items related to vacated office spaces, such as lease impairment charges and accelerated depreciation on abandoned operating lease ROU assets and fixed assets, which are recorded as restructuring charges on our consolidated statements of operations.</w:t>
      </w:r>
    </w:p>
    <w:p>
      <w:pPr>
        <w:spacing w:after="0" w:line="11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All of the restructuring charge liability as of June 30, 2025, which primarily relates to the early termination of a contract in a prior period, is expected to be paid in the next 12 months. The employee costs and other restructuring charge liabilities are included as components of accrued payroll and related benefits and accrued expenses and other current liabilities in our consolidated balance sheet, respectively.</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Activity</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normal course of business, we use forward interest rate swaps to manage the interest rate risk associated with our variable-rate borrowings under our senior secured credit facility and we use foreign exchange forward contracts to manage the foreign currency exchange rate risk associated with our operations in India and Canada. We do not use derivative instruments for trading or other speculative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designated our interest rate swaps and Indian Rupee forward contracts as cash flow hedges. Therefore, changes in the fair value of these derivative instruments are recorded to other comprehensive income to the extent effective and reclassified to earnings upon settlement. Below is additional information on the derivative instruments designed as cash flow hedges in effect during the periods presented. From time to time, we may enter into additional forward interest rate swaps or Indian Rupee forward contracts to further hedge against our interest rate and foreign currency exchange rate risk.</w:t>
      </w:r>
    </w:p>
    <w:p>
      <w:pPr>
        <w:spacing w:after="0" w:line="1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We are party to forward interest rate swap agreements with aggregate notional amounts of $250.0 million as of both</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2025 and December 31, 2024. Under the terms of the interest rate swap agreements, we receive from the counterparty interest on the notional amount based on one month Term SOFR and we pay to the counterparty a stated, fixed rate. The forward interest rate swap agreements have staggered maturities through February 28, 2030.</w:t>
      </w:r>
    </w:p>
    <w:p>
      <w:pPr>
        <w:spacing w:after="0" w:line="12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As of June 30, 2025, it was anticipated that $0.2 million of the gains, net of tax, related to interest rate swaps currently recorded in accumulated other comprehensive income (loss) will be reclassified into interest expense, net of interest income in our consolidated statement of operations within the next 12 months.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Indian Rupee Forward Contracts: </w:t>
      </w:r>
      <w:r>
        <w:rPr>
          <w:rFonts w:ascii="Arial" w:cs="Arial" w:eastAsia="Arial" w:hAnsi="Arial"/>
          <w:sz w:val="18"/>
          <w:szCs w:val="18"/>
          <w:color w:val="auto"/>
        </w:rPr>
        <w:t>We are party to Indian Rupee forward contracts that are scheduled to mature monthly through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2026. As of June 30, 2025 and December 31, 2024, the aggregate notional amounts of these contracts were Indian Rupee (INR) 0.64 billion, or $7.5 million, and Indian Rupee (INR) 1.40 billion, or $16.3 million, respectively, based on the exchange rates in effect as of each period end.</w:t>
      </w:r>
    </w:p>
    <w:p>
      <w:pPr>
        <w:spacing w:after="0" w:line="12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of June 30, 2025, it was anticipated that less than $0.1 million of losses, net of tax, related to these foreign currency forward contracts currently recorded in accumulated other comprehensive income (loss) will be reclassified into earnings in our consolidated statement of operations within the next 12 months.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“Other Comprehensive Income (Loss)” for additional information on our cash flow hedges.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16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Canadian Dollar Forward Contracts: </w:t>
      </w:r>
      <w:r>
        <w:rPr>
          <w:rFonts w:ascii="Arial" w:cs="Arial" w:eastAsia="Arial" w:hAnsi="Arial"/>
          <w:sz w:val="18"/>
          <w:szCs w:val="18"/>
          <w:color w:val="auto"/>
        </w:rPr>
        <w:t>In the first quarter of 2025, we entered into an initial Canadian Dollar forward contract with a notional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$25.0 million that settled on March 31, 2025. Subsequently, on March 31, 2025, we entered into a Canadian Dollar forward contract with a notional amount of $25.0 million that settled on June 30, 2025; and on June 30, 2025, we entered into another Canadian Dollar forward contract with a notional amount of $25.0 million that will settle on September 29, 2025. We did not designate any of these derivatives as accounting hedging instruments. Therefore, changes in the fair value of the derivatives are recorded to other income (expense), net in our consolidated statements of operations. For the three and six months ended June 30, 2025, we recognized $1.1 million and $0.9 million, respectively, of realized gains related to the settled forward contracts. We did not recognize any gain or loss related to the outstanding forward contract entered into on June 30, 2025. From time to time, we may enter into additional Canadian Dollar forward contracts to continue to establish economic hedges against our foreign exchange rate risk.</w:t>
      </w:r>
    </w:p>
    <w:p>
      <w:pPr>
        <w:spacing w:after="0" w:line="127"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The table below sets forth additional information relating to our derivative instruments recognized on our consolidated balance sheets as of June 30, 2025 and December 31, 2024.</w:t>
      </w:r>
    </w:p>
    <w:tbl>
      <w:tblPr>
        <w:tblLayout w:type="fixed"/>
        <w:tblInd w:w="0" w:type="dxa"/>
        <w:tblCellMar>
          <w:top w:w="0" w:type="dxa"/>
          <w:left w:w="0" w:type="dxa"/>
          <w:bottom w:w="0" w:type="dxa"/>
          <w:right w:w="0" w:type="dxa"/>
        </w:tblCellMar>
      </w:tblPr>
      <w:tr>
        <w:trPr>
          <w:trHeight w:val="182"/>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 Instrument</w:t>
            </w:r>
          </w:p>
        </w:tc>
        <w:tc>
          <w:tcPr>
            <w:tcW w:w="47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Balance Sheet Location</w:t>
            </w:r>
          </w:p>
        </w:tc>
        <w:tc>
          <w:tcPr>
            <w:tcW w:w="260" w:type="dxa"/>
            <w:vAlign w:val="bottom"/>
          </w:tcPr>
          <w:p>
            <w:pPr>
              <w:spacing w:after="0"/>
              <w:rPr>
                <w:sz w:val="15"/>
                <w:szCs w:val="15"/>
                <w:color w:val="auto"/>
              </w:rPr>
            </w:pPr>
          </w:p>
        </w:tc>
        <w:tc>
          <w:tcPr>
            <w:tcW w:w="1360" w:type="dxa"/>
            <w:vAlign w:val="bottom"/>
            <w:gridSpan w:val="2"/>
          </w:tcPr>
          <w:p>
            <w:pPr>
              <w:ind w:left="140"/>
              <w:spacing w:after="0" w:line="182" w:lineRule="exact"/>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5"/>
                <w:szCs w:val="15"/>
                <w:color w:val="auto"/>
              </w:rPr>
            </w:pPr>
          </w:p>
        </w:tc>
        <w:tc>
          <w:tcPr>
            <w:tcW w:w="1380" w:type="dxa"/>
            <w:vAlign w:val="bottom"/>
          </w:tcPr>
          <w:p>
            <w:pPr>
              <w:jc w:val="right"/>
              <w:ind w:right="110"/>
              <w:spacing w:after="0" w:line="18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3360" w:type="dxa"/>
            <w:vAlign w:val="bottom"/>
            <w:vMerge w:val="continue"/>
          </w:tcPr>
          <w:p>
            <w:pPr>
              <w:spacing w:after="0"/>
              <w:rPr>
                <w:sz w:val="21"/>
                <w:szCs w:val="21"/>
                <w:color w:val="auto"/>
              </w:rPr>
            </w:pPr>
          </w:p>
        </w:tc>
        <w:tc>
          <w:tcPr>
            <w:tcW w:w="47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Cash Flow Hedges</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4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rate swaps</w:t>
            </w:r>
          </w:p>
        </w:tc>
        <w:tc>
          <w:tcPr>
            <w:tcW w:w="47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Cash Flow Hedges</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4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Deferred compensation and other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forward contracts</w:t>
            </w:r>
          </w:p>
        </w:tc>
        <w:tc>
          <w:tcPr>
            <w:tcW w:w="4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All of our derivative instruments are transacted under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22" w:right="339" w:bottom="1440" w:gutter="0" w:footer="0" w:header="0"/>
        </w:sectPr>
      </w:pPr>
    </w:p>
    <w:p>
      <w:pPr>
        <w:spacing w:after="0" w:line="1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 w:lineRule="exact"/>
        <w:rPr>
          <w:sz w:val="20"/>
          <w:szCs w:val="20"/>
          <w:color w:val="auto"/>
        </w:rPr>
      </w:pPr>
      <w:r>
        <w:rPr>
          <w:sz w:val="20"/>
          <w:szCs w:val="20"/>
          <w:color w:val="auto"/>
        </w:rPr>
        <w:br w:type="column"/>
      </w:r>
    </w:p>
    <w:p>
      <w:pPr>
        <w:ind w:right="460"/>
        <w:spacing w:after="0" w:line="28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09" w:lineRule="exact"/>
        <w:rPr>
          <w:sz w:val="20"/>
          <w:szCs w:val="20"/>
          <w:color w:val="auto"/>
        </w:rPr>
      </w:pPr>
    </w:p>
    <w:p>
      <w:pPr>
        <w:sectPr>
          <w:pgSz w:w="11900" w:h="16838" w:orient="portrait"/>
          <w:cols w:equalWidth="0" w:num="2">
            <w:col w:w="1820" w:space="720"/>
            <w:col w:w="8700"/>
          </w:cols>
          <w:pgMar w:left="320" w:top="122" w:right="339" w:bottom="1440" w:gutter="0" w:footer="0" w:header="0"/>
          <w:type w:val="continuous"/>
        </w:sectPr>
      </w:pPr>
    </w:p>
    <w:p>
      <w:pPr>
        <w:ind w:left="2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7"/>
          <w:szCs w:val="17"/>
          <w:color w:val="auto"/>
        </w:rPr>
        <w:t>Unobservable inputs for the asset or liability, and include situations in which there is little, if any, market</w:t>
      </w:r>
    </w:p>
    <w:p>
      <w:pPr>
        <w:spacing w:after="0" w:line="4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activity for the asset or liability.</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60"/>
        <w:spacing w:after="0" w:line="273"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2025 and December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2025</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32,790</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46,789</w:t>
            </w:r>
          </w:p>
        </w:tc>
      </w:tr>
      <w:tr>
        <w:trPr>
          <w:trHeight w:val="223"/>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47,501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80,291</w:t>
            </w: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3,923</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15,400</w:t>
            </w:r>
          </w:p>
        </w:tc>
      </w:tr>
      <w:tr>
        <w:trPr>
          <w:trHeight w:val="223"/>
        </w:trPr>
        <w:tc>
          <w:tcPr>
            <w:tcW w:w="5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19,378</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December 31, 2024</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2,981</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62,344</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42,083</w:t>
            </w:r>
          </w:p>
        </w:tc>
      </w:tr>
      <w:tr>
        <w:trPr>
          <w:trHeight w:val="223"/>
        </w:trPr>
        <w:tc>
          <w:tcPr>
            <w:tcW w:w="5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107,408</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5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bl>
    <w:p>
      <w:pPr>
        <w:spacing w:after="0" w:line="23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 Refer to Note 10 “Derivative Instruments and Hedging Activity” for additional information on our interest rate swaps.</w:t>
      </w:r>
    </w:p>
    <w:p>
      <w:pPr>
        <w:spacing w:after="0" w:line="12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i w:val="1"/>
          <w:iCs w:val="1"/>
          <w:color w:val="auto"/>
        </w:rPr>
        <w:t>Foreign exchange forward contracts</w:t>
      </w:r>
      <w:r>
        <w:rPr>
          <w:rFonts w:ascii="Arial" w:cs="Arial" w:eastAsia="Arial" w:hAnsi="Arial"/>
          <w:sz w:val="18"/>
          <w:szCs w:val="18"/>
          <w:color w:val="auto"/>
        </w:rPr>
        <w:t>: The fair values of our foreign exchange forward contracts were derived using estimates to settle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forward contracts agreements, which are based on the net present value of expected future cash flows on each contract utilizing market-based inputs, including both forward and spot prices, and a discount rate reflecting the risks involved. Refer to Note 10 “Derivative Instruments and Hedging Activity” for additional information on our foreign exchange forward contracts.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Since 2014, we have invested $40.9 million in the form of 1.69%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spacing w:after="0" w:line="122"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(loss). To the extent any decrease in fair value is the result of a credit impairment, such credit-related impairment charge is recorded to other income (expense), net in our consolidated statement of operations.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Additionally, we estimate the credit-related impairment charge as the difference between the present value of expected cash flows to be generated from the investment and the cost basis, limited to the difference between the fair value and cost basis.</w:t>
      </w:r>
    </w:p>
    <w:p>
      <w:pPr>
        <w:spacing w:after="0" w:line="1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hybrid analysis and calculation of the credit-related impairment charge utilize certain assumptions, all of which are Level 3 inputs. In the case of the hybrid analysis, these assumptions include the assumed holding period through the maturity date of January 17, 2027; the applicable waterfall distribution at the end of the expected holding period based on the rights and privileges of the various instruments; cash flow projections discounted at the risk-adjusted rate of 24.0% and 23.5% as of June 30, 2025 and December 31, 2024, respectively; and the concluded equity volatility of 40.0% as of both June 30, 2025 and December 31, 2024. In the case of the credit-related impairment charge recorded in the second quarter of 2025, these assumptions include the assumed holding period through the maturity date of January 17, 2027; the applicable waterfall distribution at the end of the expected holding period based on the rights and privileges of the various instruments; the concluded equity volatility of 40.0%; and cash flow projections discounted at the risk-adjusted rate in a range of 2.0% to</w:t>
      </w:r>
    </w:p>
    <w:p>
      <w:pPr>
        <w:ind w:right="100"/>
        <w:spacing w:after="0" w:line="255" w:lineRule="auto"/>
        <w:rPr>
          <w:sz w:val="20"/>
          <w:szCs w:val="20"/>
          <w:color w:val="auto"/>
        </w:rPr>
      </w:pPr>
      <w:r>
        <w:rPr>
          <w:rFonts w:ascii="Arial" w:cs="Arial" w:eastAsia="Arial" w:hAnsi="Arial"/>
          <w:sz w:val="18"/>
          <w:szCs w:val="18"/>
          <w:color w:val="auto"/>
        </w:rPr>
        <w:t>12.1%, with a weighted average of 8.6% calculated using the relative present value of expected cash flows. The use of alternative estimates and assumptions could increase or decrease the estimated fair value of the investment or the calculated credit-related impairment charge, which would result in different impacts to our consolidated balance sheet and statements of operations and other comprehensive income. Actual results may differ from our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six months ended June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center"/>
              <w:ind w:left="2070"/>
              <w:spacing w:after="0"/>
              <w:rPr>
                <w:sz w:val="20"/>
                <w:szCs w:val="20"/>
                <w:color w:val="auto"/>
              </w:rPr>
            </w:pPr>
            <w:r>
              <w:rPr>
                <w:rFonts w:ascii="Arial" w:cs="Arial" w:eastAsia="Arial" w:hAnsi="Arial"/>
                <w:sz w:val="18"/>
                <w:szCs w:val="18"/>
                <w:color w:val="auto"/>
                <w:w w:val="98"/>
              </w:rPr>
              <w:t>62,344</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Unrealized losses included in other comprehensive income (loss)</w:t>
            </w:r>
          </w:p>
        </w:tc>
        <w:tc>
          <w:tcPr>
            <w:tcW w:w="2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(18,429)</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included in earnings</w:t>
            </w:r>
          </w:p>
        </w:tc>
        <w:tc>
          <w:tcPr>
            <w:tcW w:w="24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center"/>
              <w:ind w:left="2070"/>
              <w:spacing w:after="0"/>
              <w:rPr>
                <w:sz w:val="20"/>
                <w:szCs w:val="20"/>
                <w:color w:val="auto"/>
              </w:rPr>
            </w:pPr>
            <w:r>
              <w:rPr>
                <w:rFonts w:ascii="Arial" w:cs="Arial" w:eastAsia="Arial" w:hAnsi="Arial"/>
                <w:sz w:val="18"/>
                <w:szCs w:val="18"/>
                <w:color w:val="auto"/>
                <w:w w:val="98"/>
              </w:rPr>
              <w:t>(11,125)</w:t>
            </w:r>
          </w:p>
        </w:tc>
      </w:tr>
      <w:tr>
        <w:trPr>
          <w:trHeight w:val="223"/>
        </w:trPr>
        <w:tc>
          <w:tcPr>
            <w:tcW w:w="8140" w:type="dxa"/>
            <w:vAlign w:val="bottom"/>
          </w:tcPr>
          <w:p>
            <w:pPr>
              <w:ind w:left="20"/>
              <w:spacing w:after="0" w:line="223" w:lineRule="exact"/>
              <w:rPr>
                <w:sz w:val="20"/>
                <w:szCs w:val="20"/>
                <w:color w:val="auto"/>
              </w:rPr>
            </w:pPr>
            <w:r>
              <w:rPr>
                <w:rFonts w:ascii="Arial" w:cs="Arial" w:eastAsia="Arial" w:hAnsi="Arial"/>
                <w:sz w:val="18"/>
                <w:szCs w:val="18"/>
                <w:color w:val="auto"/>
              </w:rPr>
              <w:t>Balance as of June 30, 2025</w:t>
            </w:r>
            <w:r>
              <w:rPr>
                <w:rFonts w:ascii="Arial" w:cs="Arial" w:eastAsia="Arial" w:hAnsi="Arial"/>
                <w:sz w:val="23"/>
                <w:szCs w:val="23"/>
                <w:color w:val="auto"/>
                <w:vertAlign w:val="superscript"/>
              </w:rPr>
              <w:t>(1)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tcPr>
          <w:p>
            <w:pPr>
              <w:jc w:val="center"/>
              <w:ind w:left="2070"/>
              <w:spacing w:after="0"/>
              <w:rPr>
                <w:sz w:val="20"/>
                <w:szCs w:val="20"/>
                <w:color w:val="auto"/>
              </w:rPr>
            </w:pPr>
            <w:r>
              <w:rPr>
                <w:rFonts w:ascii="Arial" w:cs="Arial" w:eastAsia="Arial" w:hAnsi="Arial"/>
                <w:sz w:val="18"/>
                <w:szCs w:val="18"/>
                <w:color w:val="auto"/>
                <w:w w:val="98"/>
              </w:rPr>
              <w:t>32,790</w:t>
            </w: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right="240" w:hanging="412"/>
        <w:spacing w:after="0" w:line="287" w:lineRule="auto"/>
        <w:tabs>
          <w:tab w:leader="none" w:pos="4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total decrease in fair value of $29.6 million in the first six months of 2025 was driven by a decrease in the projected cash flows of Shorelight, which reflects the current federal regulatory environment in which Shorelight operates.</w:t>
      </w:r>
    </w:p>
    <w:p>
      <w:pPr>
        <w:spacing w:after="0" w:line="99"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Since our initial investment in 2014, we recognized a total unrealized gain of $3.0 million within other comprehensive income (loss) and an $11.1 million allowance for credit losses within earnings. The $ 11.1 million credit-related impairment charge was recognized in the second quarter of 2025. As of June 30, 2025 and December 31, 2024, our cost basis was $40.9 million.</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In connection with certain business acquisitions, we may be required to pay post-closing</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to the sellers if specific financial performance targets are met over a number of years as specified in the related purchase agreements. 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in a range of 6.0% to 6.1% with a weighted average of</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6.0% as of June 30, 2025. The weighted average discount rate was calculated using the relative fair values of the contingent consideration liabilities as of June 30, 2025. As of December 31, 2024, the discount rate used in the fair value measurement of our contingent consideration liability was 5.6%. The fair value of the contingent consideration is reassessed quarterly based on assumptions used in our latest projections and input provided by practice leaders and management. Any change in the fair value estimate is recorded to other losses (gains), net in our consolidated statement of operations for that period. The carrying value is recorded in accrued expenses and other current liabilities or deferred compensation and other liabilities, based on the expected timing of payment, in our consolidated balance sheets. The use of alternative estimates and assumptions could increase or decrease the estimated fair value of our contingent consideration liability, which</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would result in different impacts to our consolidated balance sheets and consolidated statements of operations. Actual results may differ from our estimates.</w:t>
      </w:r>
    </w:p>
    <w:p>
      <w:pPr>
        <w:spacing w:after="0" w:line="99" w:lineRule="exact"/>
        <w:rPr>
          <w:sz w:val="20"/>
          <w:szCs w:val="20"/>
          <w:color w:val="auto"/>
        </w:rPr>
      </w:pPr>
    </w:p>
    <w:p>
      <w:pPr>
        <w:ind w:right="440"/>
        <w:spacing w:after="0" w:line="273"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six months ended June 30, 2025.</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December 31, 2024</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Payment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2025</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28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Contingent Consideration for</w:t>
            </w:r>
          </w:p>
        </w:tc>
      </w:tr>
      <w:tr>
        <w:trPr>
          <w:trHeight w:val="243"/>
        </w:trPr>
        <w:tc>
          <w:tcPr>
            <w:tcW w:w="2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18"/>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15,400</w:t>
            </w:r>
          </w:p>
        </w:tc>
      </w:tr>
      <w:tr>
        <w:trPr>
          <w:trHeight w:val="229"/>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5"/>
        </w:trPr>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-779145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-479425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-187960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100"/>
          </w:cols>
          <w:pgMar w:left="320" w:top="122" w:right="339" w:bottom="1440" w:gutter="0" w:footer="0" w:header="0"/>
          <w:type w:val="continuous"/>
        </w:sectPr>
      </w:pPr>
    </w:p>
    <w:p>
      <w:pPr>
        <w:spacing w:after="0" w:line="10" w:lineRule="exact"/>
        <w:rPr>
          <w:sz w:val="20"/>
          <w:szCs w:val="20"/>
          <w:color w:val="auto"/>
        </w:rPr>
      </w:pPr>
    </w:p>
    <w:p>
      <w:pPr>
        <w:ind w:left="420" w:hanging="412"/>
        <w:spacing w:after="0" w:line="262" w:lineRule="auto"/>
        <w:tabs>
          <w:tab w:leader="none" w:pos="4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our second quarter 2025 business combination, we recognized a $15.4 million contingent consideration liability which represents the acquisition date fair value of the contingent consideration arrangement, pursuant to which we may be required to pay additional consideration to the sellers if specific revenues before reimbursable expenses targets are met over a two-year term. The maximum amount of contingent consideration that may be paid is $22.0 million.</w:t>
      </w:r>
    </w:p>
    <w:p>
      <w:pPr>
        <w:spacing w:after="0" w:line="122" w:lineRule="exact"/>
        <w:rPr>
          <w:rFonts w:ascii="Arial" w:cs="Arial" w:eastAsia="Arial" w:hAnsi="Arial"/>
          <w:sz w:val="18"/>
          <w:szCs w:val="18"/>
          <w:color w:val="auto"/>
        </w:rPr>
      </w:pPr>
    </w:p>
    <w:p>
      <w:pPr>
        <w:ind w:left="420" w:right="140" w:hanging="412"/>
        <w:spacing w:after="0" w:line="287" w:lineRule="auto"/>
        <w:tabs>
          <w:tab w:leader="none" w:pos="4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$15.4 million contingent consideration liability was recorded to deferred compensation and other liabilities in our consolidated balance sheet as of June 30,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fourth quarter of 2019, we invested $5.0 million in a hospital-at-home company. The investment was made in the form of preferred stock. To determine the appropriate accounting treatment for our preferred stock investment, we performed a VIE analysis and concluded that the company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to be that of an equity security with no readily determinable fair value and we elected to apply the measurement alternative.</w:t>
      </w:r>
    </w:p>
    <w:p>
      <w:pPr>
        <w:spacing w:after="0" w:line="12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the second quarter of 2025, the hospital-at-home company merged with a third-party who provides healthcare services and, as a result, our preferred stock investment was restructured as an investment in common stock and preferred stock of the consolidated entity. To determine the appropriate accounting treatment for our equity investment, we performed a VIE analysis and concluded that the company does not meet the definition of a VIE. We also reviewed the characteristics of our investment to confirm that the equity securities do not warrant equity method accounting. After we reviewed all of the terms of the equity securities, we concluded the appropriate accounting treatment for our investment to be that of equity securities with no readily determinable fair value. We elected to continue to apply the measurement alternative and will continue to do so until the investment does not qualify to be so measured.</w:t>
      </w:r>
    </w:p>
    <w:p>
      <w:pPr>
        <w:spacing w:after="0" w:line="1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same or similar equity instruments occurred or if factors indicate that a significant decrease in value has occurred. We remeasure to the fair value of the equity securities using such identified information with changes in the fair value recorded to other income (expense), net in our consolidated statement of operations. The carrying value of the equity investment is recorded in long-term investments in our consolidated balance sheets.</w:t>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first quarter of 2025, we recognized a non-cash impairment charge of $4.2 million on our preferred stock investment based on the valuation anticipated from the hospital-at-home company's merger. Upon the completion of the merger in the second quarter of 2025, we recognized an additional $0.8 million non-cash impairment charge based on the final valuation utilized in the merger. The non-cash impairment charges were recorded to other income (expense), net in our consolidated statement of operations. Since our initial investment in 2019, we have recognized cumulative unrealized losses of $31.3 million and cumulative unrealized gains of $28.6 million. As of June 30, 2025 and December 31, 2024, the carrying value of our equity investment was $2.4 million and $7.4 million, respectively, with a cost basis of $5.0 million.</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Existing Credit Agreement. Refer to Note 8 “Financing Arrangements” for additional information on our senior secured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 (Loss)</w:t>
      </w:r>
    </w:p>
    <w:p>
      <w:pPr>
        <w:spacing w:after="0" w:line="171"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color w:val="auto"/>
        </w:rPr>
        <w:t>The tables below set forth the components of other comprehensive income (loss), net of tax, for the three and six months ended June 30, 2025 and 2024.</w:t>
      </w: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gridSpan w:val="12"/>
          </w:tcPr>
          <w:p>
            <w:pPr>
              <w:jc w:val="center"/>
              <w:ind w:right="240"/>
              <w:spacing w:after="0" w:line="182" w:lineRule="exact"/>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15"/>
                <w:szCs w:val="15"/>
                <w:color w:val="auto"/>
              </w:rPr>
            </w:pPr>
          </w:p>
        </w:tc>
        <w:tc>
          <w:tcPr>
            <w:tcW w:w="3040" w:type="dxa"/>
            <w:vAlign w:val="bottom"/>
            <w:gridSpan w:val="7"/>
          </w:tcPr>
          <w:p>
            <w:pPr>
              <w:jc w:val="center"/>
              <w:ind w:right="90"/>
              <w:spacing w:after="0" w:line="182" w:lineRule="exact"/>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rPr>
              <w:t>June 30, 2025</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June 30, 2024</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rPr>
              <w:t>Before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180" w:type="dxa"/>
            <w:vAlign w:val="bottom"/>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8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Tax</w:t>
            </w:r>
          </w:p>
        </w:tc>
        <w:tc>
          <w:tcPr>
            <w:tcW w:w="200" w:type="dxa"/>
            <w:vAlign w:val="bottom"/>
          </w:tcPr>
          <w:p>
            <w:pPr>
              <w:spacing w:after="0"/>
              <w:rPr>
                <w:sz w:val="14"/>
                <w:szCs w:val="14"/>
                <w:color w:val="auto"/>
              </w:rPr>
            </w:pPr>
          </w:p>
        </w:tc>
        <w:tc>
          <w:tcPr>
            <w:tcW w:w="8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5"/>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(Expense)</w:t>
            </w: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(Expense)</w:t>
            </w: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Taxes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18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Taxes</w:t>
            </w:r>
          </w:p>
        </w:tc>
        <w:tc>
          <w:tcPr>
            <w:tcW w:w="180" w:type="dxa"/>
            <w:vAlign w:val="bottom"/>
          </w:tcPr>
          <w:p>
            <w:pPr>
              <w:spacing w:after="0"/>
              <w:rPr>
                <w:sz w:val="21"/>
                <w:szCs w:val="21"/>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Taxes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Benefit</w:t>
            </w:r>
          </w:p>
        </w:tc>
        <w:tc>
          <w:tcPr>
            <w:tcW w:w="20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Unrealized gain (loss) on investment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(4,236)</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unrealized gain (loss) on interest rate swaps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i w:val="1"/>
                <w:iCs w:val="1"/>
                <w:color w:val="auto"/>
              </w:rPr>
              <w:t>Foreign exchange forward contracts: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4700" w:type="dxa"/>
            <w:vAlign w:val="bottom"/>
            <w:shd w:val="clear" w:color="auto" w:fill="CCEEFF"/>
          </w:tcPr>
          <w:p>
            <w:pPr>
              <w:ind w:left="460"/>
              <w:spacing w:after="0" w:line="156" w:lineRule="exact"/>
              <w:rPr>
                <w:sz w:val="20"/>
                <w:szCs w:val="20"/>
                <w:color w:val="auto"/>
              </w:rPr>
            </w:pPr>
            <w:r>
              <w:rPr>
                <w:rFonts w:ascii="Arial" w:cs="Arial" w:eastAsia="Arial" w:hAnsi="Arial"/>
                <w:sz w:val="18"/>
                <w:szCs w:val="18"/>
                <w:color w:val="auto"/>
              </w:rPr>
              <w:t>Net unrealized gain (loss) on foreign exchange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3"/>
                <w:szCs w:val="13"/>
                <w:color w:val="auto"/>
              </w:rPr>
            </w:pP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forward contracts</w:t>
            </w:r>
          </w:p>
        </w:tc>
        <w:tc>
          <w:tcPr>
            <w:tcW w:w="18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gridSpan w:val="3"/>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10"/>
          </w:tcPr>
          <w:p>
            <w:pPr>
              <w:jc w:val="center"/>
              <w:ind w:left="550"/>
              <w:spacing w:after="0"/>
              <w:rPr>
                <w:sz w:val="20"/>
                <w:szCs w:val="20"/>
                <w:color w:val="auto"/>
              </w:rPr>
            </w:pPr>
            <w:r>
              <w:rPr>
                <w:rFonts w:ascii="Arial" w:cs="Arial" w:eastAsia="Arial" w:hAnsi="Arial"/>
                <w:sz w:val="18"/>
                <w:szCs w:val="18"/>
                <w:b w:val="1"/>
                <w:bCs w:val="1"/>
                <w:color w:val="auto"/>
                <w:w w:val="99"/>
              </w:rPr>
              <w:t>Six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9"/>
              </w:rPr>
              <w:t>Six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8"/>
                <w:szCs w:val="18"/>
                <w:b w:val="1"/>
                <w:bCs w:val="1"/>
                <w:color w:val="auto"/>
              </w:rPr>
              <w:t>June 30, 2025</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June 30, 2024</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Before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jc w:val="center"/>
              <w:ind w:right="300"/>
              <w:spacing w:after="0" w:line="169" w:lineRule="exact"/>
              <w:rPr>
                <w:sz w:val="20"/>
                <w:szCs w:val="20"/>
                <w:color w:val="auto"/>
              </w:rPr>
            </w:pPr>
            <w:r>
              <w:rPr>
                <w:rFonts w:ascii="Arial" w:cs="Arial" w:eastAsia="Arial" w:hAnsi="Arial"/>
                <w:sz w:val="18"/>
                <w:szCs w:val="18"/>
                <w:b w:val="1"/>
                <w:bCs w:val="1"/>
                <w:color w:val="auto"/>
                <w:w w:val="96"/>
              </w:rPr>
              <w:t>Tax</w:t>
            </w:r>
          </w:p>
        </w:tc>
        <w:tc>
          <w:tcPr>
            <w:tcW w:w="18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8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Tax</w:t>
            </w:r>
          </w:p>
        </w:tc>
        <w:tc>
          <w:tcPr>
            <w:tcW w:w="200" w:type="dxa"/>
            <w:vAlign w:val="bottom"/>
          </w:tcPr>
          <w:p>
            <w:pPr>
              <w:spacing w:after="0"/>
              <w:rPr>
                <w:sz w:val="14"/>
                <w:szCs w:val="14"/>
                <w:color w:val="auto"/>
              </w:rPr>
            </w:pPr>
          </w:p>
        </w:tc>
        <w:tc>
          <w:tcPr>
            <w:tcW w:w="8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5"/>
          </w:tcPr>
          <w:p>
            <w:pPr>
              <w:jc w:val="center"/>
              <w:ind w:right="160"/>
              <w:spacing w:after="0" w:line="176" w:lineRule="exact"/>
              <w:rPr>
                <w:sz w:val="20"/>
                <w:szCs w:val="20"/>
                <w:color w:val="auto"/>
              </w:rPr>
            </w:pPr>
            <w:r>
              <w:rPr>
                <w:rFonts w:ascii="Arial" w:cs="Arial" w:eastAsia="Arial" w:hAnsi="Arial"/>
                <w:sz w:val="18"/>
                <w:szCs w:val="18"/>
                <w:b w:val="1"/>
                <w:bCs w:val="1"/>
                <w:color w:val="auto"/>
                <w:w w:val="99"/>
              </w:rPr>
              <w:t>(Expense)</w:t>
            </w: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(Expense)</w:t>
            </w: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Taxes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rPr>
              <w:t>Benefit</w:t>
            </w:r>
          </w:p>
        </w:tc>
        <w:tc>
          <w:tcPr>
            <w:tcW w:w="18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Taxes</w:t>
            </w:r>
          </w:p>
        </w:tc>
        <w:tc>
          <w:tcPr>
            <w:tcW w:w="180" w:type="dxa"/>
            <w:vAlign w:val="bottom"/>
          </w:tcPr>
          <w:p>
            <w:pPr>
              <w:spacing w:after="0"/>
              <w:rPr>
                <w:sz w:val="21"/>
                <w:szCs w:val="21"/>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Taxes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Benefit</w:t>
            </w:r>
          </w:p>
        </w:tc>
        <w:tc>
          <w:tcPr>
            <w:tcW w:w="20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Unrealized gain (loss) on investment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(18,429)</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(4,860)</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unrealized gain (loss) on interest rate swaps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Foreign exchange forward contracts: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6" w:lineRule="exact"/>
              <w:rPr>
                <w:sz w:val="20"/>
                <w:szCs w:val="20"/>
                <w:color w:val="auto"/>
              </w:rPr>
            </w:pPr>
            <w:r>
              <w:rPr>
                <w:rFonts w:ascii="Arial" w:cs="Arial" w:eastAsia="Arial" w:hAnsi="Arial"/>
                <w:sz w:val="18"/>
                <w:szCs w:val="18"/>
                <w:color w:val="auto"/>
              </w:rPr>
              <w:t>Net unrealized gain (loss) on foreign exchange forward</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3"/>
                <w:szCs w:val="13"/>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8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3"/>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before tax amounts reclassified from accumulated other comprehensive income (loss) related to our interest rate swaps and foreign exchange forward contracts designated as cash flow hedges are recorded to interest expense, net of interest income and direct costs, respectively, on our consolidated statement of operations. The related tax amounts reclassified from accumulated other comprehensive income (loss) are recorded to income tax expense (benefit) on our consolidated statement of operations. Refer to Note 10 “Derivative Instruments and Hedging Activity” for additional information on our derivative instruments.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net of tax, includes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00" w:type="dxa"/>
            <w:vAlign w:val="bottom"/>
          </w:tcPr>
          <w:p>
            <w:pPr>
              <w:spacing w:after="0"/>
              <w:rPr>
                <w:sz w:val="20"/>
                <w:szCs w:val="20"/>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Foreign Currency</w:t>
            </w:r>
          </w:p>
        </w:tc>
        <w:tc>
          <w:tcPr>
            <w:tcW w:w="1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Cash Flow Hedges</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7" w:lineRule="exact"/>
              <w:rPr>
                <w:sz w:val="20"/>
                <w:szCs w:val="20"/>
                <w:color w:val="auto"/>
              </w:rPr>
            </w:pPr>
            <w:r>
              <w:rPr>
                <w:rFonts w:ascii="Arial" w:cs="Arial" w:eastAsia="Arial" w:hAnsi="Arial"/>
                <w:sz w:val="18"/>
                <w:szCs w:val="18"/>
                <w:b w:val="1"/>
                <w:bCs w:val="1"/>
                <w:color w:val="auto"/>
                <w:w w:val="99"/>
              </w:rPr>
              <w:t>Interest Rate</w:t>
            </w:r>
          </w:p>
        </w:tc>
        <w:tc>
          <w:tcPr>
            <w:tcW w:w="1720" w:type="dxa"/>
            <w:vAlign w:val="bottom"/>
            <w:gridSpan w:val="2"/>
          </w:tcPr>
          <w:p>
            <w:pPr>
              <w:ind w:left="80"/>
              <w:spacing w:after="0" w:line="177" w:lineRule="exact"/>
              <w:rPr>
                <w:sz w:val="20"/>
                <w:szCs w:val="20"/>
                <w:color w:val="auto"/>
              </w:rPr>
            </w:pPr>
            <w:r>
              <w:rPr>
                <w:rFonts w:ascii="Arial" w:cs="Arial" w:eastAsia="Arial" w:hAnsi="Arial"/>
                <w:sz w:val="18"/>
                <w:szCs w:val="18"/>
                <w:b w:val="1"/>
                <w:bCs w:val="1"/>
                <w:color w:val="auto"/>
              </w:rPr>
              <w:t>Foreign Exchange</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Swaps</w:t>
            </w:r>
          </w:p>
        </w:tc>
        <w:tc>
          <w:tcPr>
            <w:tcW w:w="1840" w:type="dxa"/>
            <w:vAlign w:val="bottom"/>
            <w:gridSpan w:val="3"/>
          </w:tcPr>
          <w:p>
            <w:pPr>
              <w:ind w:left="60"/>
              <w:spacing w:after="0"/>
              <w:rPr>
                <w:sz w:val="20"/>
                <w:szCs w:val="20"/>
                <w:color w:val="auto"/>
              </w:rPr>
            </w:pPr>
            <w:r>
              <w:rPr>
                <w:rFonts w:ascii="Arial" w:cs="Arial" w:eastAsia="Arial" w:hAnsi="Arial"/>
                <w:sz w:val="18"/>
                <w:szCs w:val="18"/>
                <w:b w:val="1"/>
                <w:bCs w:val="1"/>
                <w:color w:val="auto"/>
              </w:rPr>
              <w:t>Forward Contracts</w:t>
            </w:r>
          </w:p>
        </w:tc>
        <w:tc>
          <w:tcPr>
            <w:tcW w:w="3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rPr>
              <w:t>(5,912)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7"/>
              </w:rPr>
              <w:t>2,220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change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7"/>
              </w:rPr>
              <w:t>3,284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rPr>
              <w:t>(4,588)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(16,829)</w:t>
            </w: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2025</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June 30, 2025, our effective tax rate was 29.9% as we recognized income tax expense of $8.3 million on income of $27.7 million. The effective tax rate of 29.9% was less favorable than the statutory rate, inclusive of state income taxes, of 26.0%, primarily due to the establishment of a valuation allowance for a deferred tax asset recorded as the result of the capital loss on our investment in a hospital-at-home company as well as certain nondeductible expense items, partially offset by a tax benefit related to non-taxable gains on our investments used to fund our deferred compensation liability.</w:t>
      </w:r>
    </w:p>
    <w:p>
      <w:pPr>
        <w:spacing w:after="0" w:line="1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three months ended June 30, 2024, our effective tax rate was 28.1% as we recognized income tax expense of $14.6 million on income of $52.1 million. The effective tax rate of 28.1% was less favorable than the statutory rate, inclusive of state income taxes, of 26.1%, primarily due to certain nondeductible expense items.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six months ended June 30, 2025, our effective tax rate was 10.6% as we recognized income tax expense of $5.2 million on income of $49.2 million. The effective tax rate of 10.6% was more favorable than the statutory rate, inclusive of state income taxes, of 26.0%, primarily due to a discrete tax benefit for share-based compensation awards that vested during the first quarter of 2025,This favorable item was partially offset by the establishment of a valuation allowance for a deferred tax asset recorded as the result of the capital loss on our investment in a hospital-at-home company and certain nondeductible expenses.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six months ended June 30, 2024, our effective tax rate was 20.3% as we recognized income tax expense of $14.2 million on income of $69.7 million. The effective tax rate of 20.3% was more favorable than the statutory rate, inclusive of state income taxes, of 26.1% primarily due to a discrete tax benefit for share-based compensation awards that vested during the first quarter of 2024 and a tax benefit related to non-taxable gains on our investments used to fund our deferred compensation liability. These favorable items were partially offset by certain nondeductible expense items.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Contingencies and Guarantees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6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the second quarter of 2024, we recognized a pre-tax $15.0 million litigation settlement gain related to a completed legal matter in which Huron was the plaintiff, which is included in other gains, net on our consolidated statement of operations.</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6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Guarantees in the form of letters of credit totaling $0.4 million were outstanding at both June 30, 2025 and December 31, 2024, which are used as security deposits for our office facilities.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June 30, 2025 and December 31, 2024, the total estimated fair value of our outstanding contingent consideration liabilities was $15.4 million and $0.2 million, respectively. Refer to Note 11 "Fair Value of Financial Instruments" for additional information on our contingent consideration liabilities.</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provide our services and products and manage our business under three reportable segments: Healthcare, Education, and Commercial, which align our business by industry.</w:t>
      </w:r>
    </w:p>
    <w:p>
      <w:pPr>
        <w:spacing w:after="0" w:line="9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71" w:lineRule="exact"/>
        <w:rPr>
          <w:rFonts w:ascii="Arial" w:cs="Arial" w:eastAsia="Arial" w:hAnsi="Arial"/>
          <w:sz w:val="18"/>
          <w:szCs w:val="18"/>
          <w:b w:val="1"/>
          <w:bCs w:val="1"/>
          <w:color w:val="auto"/>
        </w:rPr>
      </w:pPr>
    </w:p>
    <w:p>
      <w:pPr>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business operations and care delivery transformation; digital offerings, spanning technology and analytic-related services, including enterprise health record (“EHR”), enterprise resource planning (“ERP”) and enterprise performance management (“EPM”), customer relationship management (“CRM”), data management, artificial intelligence (“AI”) and automation, and technology managed services, and a portfolio of software products; human capital management; revenue cycle managed services and outsourcing; financial advisory consulting; and strategy and innovation consulting. In June 2025, we enhanced our consulting offerings through the acquisition of Eclipse Insights, a leading provider of revenue cycle solutions.</w:t>
      </w:r>
    </w:p>
    <w:p>
      <w:pPr>
        <w:spacing w:after="0" w:line="131"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1" w:lineRule="exact"/>
        <w:rPr>
          <w:rFonts w:ascii="Arial" w:cs="Arial" w:eastAsia="Arial" w:hAnsi="Arial"/>
          <w:sz w:val="18"/>
          <w:szCs w:val="18"/>
          <w:color w:val="auto"/>
        </w:rPr>
      </w:pPr>
    </w:p>
    <w:p>
      <w:pPr>
        <w:ind w:left="660" w:right="60"/>
        <w:spacing w:after="0" w:line="272" w:lineRule="auto"/>
        <w:rPr>
          <w:rFonts w:ascii="Arial" w:cs="Arial" w:eastAsia="Arial" w:hAnsi="Arial"/>
          <w:sz w:val="18"/>
          <w:szCs w:val="18"/>
          <w:color w:val="auto"/>
        </w:rPr>
      </w:pPr>
      <w:r>
        <w:rPr>
          <w:rFonts w:ascii="Arial" w:cs="Arial" w:eastAsia="Arial" w:hAnsi="Arial"/>
          <w:sz w:val="17"/>
          <w:szCs w:val="17"/>
          <w:color w:val="auto"/>
        </w:rPr>
        <w:t>Our Education segment serves public and private colleges and universities, research institutes, not-for-profit organizations and other education-related organizations. Our education and research-focused services and products include our digital offerings, spanning technology and analytic-related services, including student information systems, ERP and EPM, CRM, data management, AI and automation, and technology managed services and our Huron Research Suite product suite (the leading software suite designed to facilitate and improve research administration service delivery and compliance); our research-focused consulting and managed services; our strategy and operations consulting services, which span finance, accounting, operations and athletics to organization and talent strategy and student and academic strategy; and our global philanthropy consulting services, which were bolstered by the acquisitions of Grenzebach Glier and Associates (“GG+A”) in March 2024 and Advancement Resources and Halpin in March 2025.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w:t>
      </w:r>
    </w:p>
    <w:p>
      <w:pPr>
        <w:spacing w:after="0" w:line="171" w:lineRule="exact"/>
        <w:rPr>
          <w:rFonts w:ascii="Arial" w:cs="Arial" w:eastAsia="Arial" w:hAnsi="Arial"/>
          <w:sz w:val="18"/>
          <w:szCs w:val="18"/>
          <w:b w:val="1"/>
          <w:bCs w:val="1"/>
          <w:color w:val="auto"/>
        </w:rPr>
      </w:pPr>
    </w:p>
    <w:p>
      <w:pPr>
        <w:ind w:left="660" w:right="1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advisory (special situation advisory and corporate finance advisory) consulting services, and strategy and innovation consulting services. In December 2024, we expanded our Commercial consulting and digital services offerings through the acquisition of AXIA Consulting, Inc. (“AXIA Consulting”), a leading provider of supply chain-focused consulting and technology solutions who has deep expertise in the industrials and manufacturing and retail sectors.</w:t>
      </w:r>
    </w:p>
    <w:p>
      <w:pPr>
        <w:spacing w:after="0" w:line="12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Our chief operating decision maker (“CODM”), who is our chief executive officer, manages the business under these three reportable segments. Our CODM uses segment operating income in the annual budgeting and quarterly forecasting process as well as on a monthly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basis for evaluating the performance of each segment and making decisions about allocating capital and other resources to each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CODM does not evaluate segments using asset information.</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w:t>
      </w:r>
    </w:p>
    <w:p>
      <w:pPr>
        <w:spacing w:after="0" w:line="12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table below sets forth information about our operating segments for the three and six months ended June 30, 2025 and 2024,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5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Revenues before reimbursable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197,822</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190,098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396,312</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370,840</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203,271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195,681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406,592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380,650</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Direct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256,071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242,815</w:t>
            </w: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w:t>
            </w: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26,359</w:t>
            </w: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r>
      <w:tr>
        <w:trPr>
          <w:trHeight w:val="230"/>
        </w:trPr>
        <w:tc>
          <w:tcPr>
            <w:tcW w:w="56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282,710</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59,651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55,246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115,967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97,940</w:t>
            </w:r>
          </w:p>
        </w:tc>
      </w:tr>
      <w:tr>
        <w:trPr>
          <w:trHeight w:val="203"/>
        </w:trPr>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Education: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before reimbursable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234,336</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238,731</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169,597</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4,540</w:t>
            </w: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11,445</w:t>
            </w: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56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segment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99,357</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94,394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201,313</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185,983</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52,748</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Revenues before reimbursable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75,382</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58,803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149,834</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122,439</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152,602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125,021</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9"/>
        </w:trPr>
        <w:tc>
          <w:tcPr>
            <w:tcW w:w="5620" w:type="dxa"/>
            <w:vAlign w:val="bottom"/>
          </w:tcPr>
          <w:p>
            <w:pPr>
              <w:ind w:left="360"/>
              <w:spacing w:after="0"/>
              <w:rPr>
                <w:sz w:val="20"/>
                <w:szCs w:val="20"/>
                <w:color w:val="auto"/>
              </w:rPr>
            </w:pPr>
            <w:r>
              <w:rPr>
                <w:rFonts w:ascii="Arial" w:cs="Arial" w:eastAsia="Arial" w:hAnsi="Arial"/>
                <w:sz w:val="18"/>
                <w:szCs w:val="18"/>
                <w:color w:val="auto"/>
              </w:rPr>
              <w:t>Direct costs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89,417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5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9,820</w:t>
            </w: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56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128,799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101,967</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12,507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23,803</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23,054</w:t>
            </w:r>
          </w:p>
        </w:tc>
      </w:tr>
      <w:tr>
        <w:trPr>
          <w:trHeight w:val="203"/>
        </w:trPr>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Revenues before reimbursable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402,505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371,654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798,195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727,615</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16,787</w:t>
            </w: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411,755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815,896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744,402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5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104,487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95,053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195,159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173,742</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96,565</w:t>
            </w: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(14,349)</w:t>
            </w: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4,280</w:t>
            </w: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79,324</w:t>
            </w: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69,655</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segment items in each segment consists of restructuring charges for all periods presented.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tables illustrate the disaggregation of segment total revenues and segment revenues before reimbursable expenses by our two principal capabilities: i) Consulting and Managed Services and ii) Digital, and includes a reconciliation to consolidated total revenues and consolidated revenues before reimbursable expenses. We manage our business on the basis of revenues before reimbursable expenses, which we believe is the most accurate reflection of our services because it eliminates the effect of reimbursable expenses that we bill to our clients at cost.</w:t>
      </w: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80"/>
              <w:spacing w:after="0" w:line="184" w:lineRule="exact"/>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6"/>
                <w:szCs w:val="16"/>
                <w:color w:val="auto"/>
              </w:rPr>
            </w:pPr>
          </w:p>
        </w:tc>
        <w:tc>
          <w:tcPr>
            <w:tcW w:w="2440" w:type="dxa"/>
            <w:vAlign w:val="bottom"/>
            <w:gridSpan w:val="4"/>
          </w:tcPr>
          <w:p>
            <w:pPr>
              <w:jc w:val="right"/>
              <w:ind w:right="490"/>
              <w:spacing w:after="0" w:line="184" w:lineRule="exact"/>
              <w:rPr>
                <w:sz w:val="20"/>
                <w:szCs w:val="20"/>
                <w:color w:val="auto"/>
              </w:rPr>
            </w:pPr>
            <w:r>
              <w:rPr>
                <w:rFonts w:ascii="Arial" w:cs="Arial" w:eastAsia="Arial" w:hAnsi="Arial"/>
                <w:sz w:val="18"/>
                <w:szCs w:val="18"/>
                <w:b w:val="1"/>
                <w:bCs w:val="1"/>
                <w:color w:val="auto"/>
              </w:rPr>
              <w:t>Six Months Ended</w:t>
            </w:r>
          </w:p>
        </w:tc>
      </w:tr>
      <w:tr>
        <w:trPr>
          <w:trHeight w:val="243"/>
        </w:trPr>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 by Capability</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23"/>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150,148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138,464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297,181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265,816</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109,411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114,834</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203,271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195,681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406,592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380,650</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68,351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65,178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133,009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121,072</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123,693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117,659</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131,686</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125,186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256,702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238,731</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16,225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20,919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33,317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43,589</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119,285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81,432</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76,798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60,150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152,602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125,021</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234,724</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224,561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463,507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430,477</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352,389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313,925</w:t>
            </w:r>
          </w:p>
        </w:tc>
      </w:tr>
      <w:tr>
        <w:trPr>
          <w:trHeight w:val="232"/>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411,755</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381,017</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815,896</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744,402</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5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before Reimbursable Expenses by Capability</w:t>
            </w:r>
          </w:p>
        </w:tc>
        <w:tc>
          <w:tcPr>
            <w:tcW w:w="2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23"/>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145,755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133,987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289,129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258,198</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107,183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112,642</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 before reimbursable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197,822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190,098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396,312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370,840</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67,329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63,831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130,873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118,940</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121,176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115,396</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 before reimbursable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129,301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122,753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252,049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234,336</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20,521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33,041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42,760</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79,679</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 before reimbursable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75,382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58,803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149,834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122,439</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229,122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218,339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453,043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419,898</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345,152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307,717</w:t>
            </w:r>
          </w:p>
        </w:tc>
      </w:tr>
      <w:tr>
        <w:trPr>
          <w:trHeight w:val="232"/>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 before reimbursable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402,505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371,654</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798,195</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727,615</w:t>
            </w:r>
          </w:p>
        </w:tc>
      </w:tr>
    </w:tbl>
    <w:p>
      <w:pPr>
        <w:spacing w:after="0" w:line="215"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For the three and six months ended June 30, 2025 and 2024, substantially all of our revenues were recognized over time. During the three and six months ended June 30, 2025 and 2024, no single client generated greater than 10% of our consolidated total revenues. At June 30, 2025 and December 31, 2024, no single client accounted for greater than 10% of our combined balance of receivables from clients, net and unbilled services,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 July 2025, we acquired TVG-Treliant Holdings, LLC., an advisory and managed services firm that provides expertise to the financial services industry in navigating regulatory requirements. Refer to Note 4 “Acquisitions” for additional information.</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July 2025, we entered into the Fourth Amended and Restated Credit Agreement which governs our senior secured credit facility. Refer to Note 8 “Financing Arrangements” for additional information.</w:t>
      </w: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3"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i w:val="1"/>
          <w:iCs w:val="1"/>
          <w:color w:val="auto"/>
        </w:rPr>
        <w:t>In this Quarterly Report on Form 10-Q, unless the context otherwise requires, the terms “Huron,” “Company,” “we,” “us” and “our” refer to Huron Consulting Group Inc. and its subsidiaries.</w:t>
      </w:r>
    </w:p>
    <w:p>
      <w:pPr>
        <w:spacing w:after="0" w:line="1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or volatility in market conditions, including as a result of current global trade tensions and/or tariffs. These forward-looking statements involve known and unknown risks, uncertainties, and other factors, including, among others, those described under Item 1A. “Risk Factors,” in our Annual Report on Form 10-K for the year ended December 31, 2024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combination of our deep industry expertise and breadth of our offerings is the foundation of our growth strategy and why our clients choose Huron as their trusted advisor. Key focus areas of our growth strategy include:</w:t>
      </w:r>
    </w:p>
    <w:p>
      <w:pPr>
        <w:spacing w:after="0" w:line="99" w:lineRule="exact"/>
        <w:rPr>
          <w:sz w:val="20"/>
          <w:szCs w:val="20"/>
          <w:color w:val="auto"/>
        </w:rPr>
      </w:pPr>
    </w:p>
    <w:p>
      <w:pPr>
        <w:ind w:left="660" w:hanging="328"/>
        <w:spacing w:after="0" w:line="262"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Sustaining Accelerated Growth in Healthcare and Education: </w:t>
      </w:r>
      <w:r>
        <w:rPr>
          <w:rFonts w:ascii="Arial" w:cs="Arial" w:eastAsia="Arial" w:hAnsi="Arial"/>
          <w:sz w:val="18"/>
          <w:szCs w:val="18"/>
          <w:color w:val="auto"/>
        </w:rPr>
        <w:t>Huron holds leading market positions in healthcare and education,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comprehensive offerings to the largest health systems, academic medical centers, colleges and universities, and research institutes in the United States and abroad. The Company will continue to broaden its portfolio of offerings in healthcare and education to address the evolving needs in those industries due to competitive, regulatory, financial, and broader market changes.</w:t>
      </w:r>
    </w:p>
    <w:p>
      <w:pPr>
        <w:spacing w:after="0" w:line="122" w:lineRule="exact"/>
        <w:rPr>
          <w:rFonts w:ascii="Arial" w:cs="Arial" w:eastAsia="Arial" w:hAnsi="Arial"/>
          <w:sz w:val="18"/>
          <w:szCs w:val="18"/>
          <w:color w:val="auto"/>
        </w:rPr>
      </w:pPr>
    </w:p>
    <w:p>
      <w:pPr>
        <w:ind w:left="660" w:right="100" w:hanging="328"/>
        <w:spacing w:after="0" w:line="259"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Growing Our Businesses in Commercial Industries: </w:t>
      </w:r>
      <w:r>
        <w:rPr>
          <w:rFonts w:ascii="Arial" w:cs="Arial" w:eastAsia="Arial" w:hAnsi="Arial"/>
          <w:sz w:val="18"/>
          <w:szCs w:val="18"/>
          <w:color w:val="auto"/>
        </w:rPr>
        <w:t>Through its deep industry and capability expertise and nimble approach,</w:t>
      </w:r>
      <w:r>
        <w:rPr>
          <w:rFonts w:ascii="Arial" w:cs="Arial" w:eastAsia="Arial" w:hAnsi="Arial"/>
          <w:sz w:val="18"/>
          <w:szCs w:val="18"/>
          <w:b w:val="1"/>
          <w:bCs w:val="1"/>
          <w:color w:val="auto"/>
        </w:rPr>
        <w:t xml:space="preserve"> </w:t>
      </w:r>
      <w:r>
        <w:rPr>
          <w:rFonts w:ascii="Arial" w:cs="Arial" w:eastAsia="Arial" w:hAnsi="Arial"/>
          <w:sz w:val="18"/>
          <w:szCs w:val="18"/>
          <w:color w:val="auto"/>
        </w:rPr>
        <w:t>Huron has grown its client base and expanded on its strengths to grow into a distinct player in key end markets and offerings across commercial industries. Huron’s commercial industry focus has increased the diversification of the Company’s portfolio and end markets while expanding the range of capabilities it can deliver to clients, providing new avenues for growth and an important balance to its healthcare and education businesses.</w:t>
      </w:r>
    </w:p>
    <w:p>
      <w:pPr>
        <w:spacing w:after="0" w:line="125" w:lineRule="exact"/>
        <w:rPr>
          <w:rFonts w:ascii="Arial" w:cs="Arial" w:eastAsia="Arial" w:hAnsi="Arial"/>
          <w:sz w:val="18"/>
          <w:szCs w:val="18"/>
          <w:color w:val="auto"/>
        </w:rPr>
      </w:pPr>
    </w:p>
    <w:p>
      <w:pPr>
        <w:ind w:left="660" w:right="100" w:hanging="328"/>
        <w:spacing w:after="0" w:line="268"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Growing Global Digital Capability: </w:t>
      </w:r>
      <w:r>
        <w:rPr>
          <w:rFonts w:ascii="Arial" w:cs="Arial" w:eastAsia="Arial" w:hAnsi="Arial"/>
          <w:sz w:val="18"/>
          <w:szCs w:val="18"/>
          <w:color w:val="auto"/>
        </w:rPr>
        <w:t>As data and technology persist and evolve across industries, Huron’s ability to provide a broad</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of digital offerings that support the strategic and operational needs of its clients is at the foundation of the Company’s strategy. Huron will continue to advance its integrated global digital platform to support its strong growth trajectory.</w:t>
      </w:r>
    </w:p>
    <w:p>
      <w:pPr>
        <w:spacing w:after="0" w:line="116" w:lineRule="exact"/>
        <w:rPr>
          <w:rFonts w:ascii="Arial" w:cs="Arial" w:eastAsia="Arial" w:hAnsi="Arial"/>
          <w:sz w:val="18"/>
          <w:szCs w:val="18"/>
          <w:color w:val="auto"/>
        </w:rPr>
      </w:pPr>
    </w:p>
    <w:p>
      <w:pPr>
        <w:ind w:left="660" w:right="80" w:hanging="328"/>
        <w:spacing w:after="0" w:line="259"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Solid Foundation for Margin Expansion and Organic Reinvestment: </w:t>
      </w:r>
      <w:r>
        <w:rPr>
          <w:rFonts w:ascii="Arial" w:cs="Arial" w:eastAsia="Arial" w:hAnsi="Arial"/>
          <w:sz w:val="18"/>
          <w:szCs w:val="18"/>
          <w:color w:val="auto"/>
        </w:rPr>
        <w:t>The Company is well-positioned to further achieve margin</w:t>
      </w:r>
      <w:r>
        <w:rPr>
          <w:rFonts w:ascii="Arial" w:cs="Arial" w:eastAsia="Arial" w:hAnsi="Arial"/>
          <w:sz w:val="18"/>
          <w:szCs w:val="18"/>
          <w:b w:val="1"/>
          <w:bCs w:val="1"/>
          <w:color w:val="auto"/>
        </w:rPr>
        <w:t xml:space="preserve"> </w:t>
      </w:r>
      <w:r>
        <w:rPr>
          <w:rFonts w:ascii="Arial" w:cs="Arial" w:eastAsia="Arial" w:hAnsi="Arial"/>
          <w:sz w:val="18"/>
          <w:szCs w:val="18"/>
          <w:color w:val="auto"/>
        </w:rPr>
        <w:t>expansion as well as strong annual adjusted diluted earnings per share growth while also reinvesting in organic growth. We are committed to operating income margin expansion by improving the operational efficiency of our delivery for clients, including through our global delivery platform in India, increasing utilization, continuing to execute on our pricing realization initiatives, and scaling our selling, general, and administrative expenses as we grow.</w:t>
      </w:r>
    </w:p>
    <w:p>
      <w:pPr>
        <w:spacing w:after="0" w:line="125" w:lineRule="exact"/>
        <w:rPr>
          <w:rFonts w:ascii="Arial" w:cs="Arial" w:eastAsia="Arial" w:hAnsi="Arial"/>
          <w:sz w:val="18"/>
          <w:szCs w:val="18"/>
          <w:color w:val="auto"/>
        </w:rPr>
      </w:pPr>
    </w:p>
    <w:p>
      <w:pPr>
        <w:ind w:left="660" w:right="40" w:hanging="328"/>
        <w:spacing w:after="0" w:line="268"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Strong Balance Sheet and Cash Flows: </w:t>
      </w:r>
      <w:r>
        <w:rPr>
          <w:rFonts w:ascii="Arial" w:cs="Arial" w:eastAsia="Arial" w:hAnsi="Arial"/>
          <w:sz w:val="18"/>
          <w:szCs w:val="18"/>
          <w:color w:val="auto"/>
        </w:rPr>
        <w:t>A resilient, flexible balance sheet is the foundation of our financial strength, and strong</w:t>
      </w:r>
      <w:r>
        <w:rPr>
          <w:rFonts w:ascii="Arial" w:cs="Arial" w:eastAsia="Arial" w:hAnsi="Arial"/>
          <w:sz w:val="18"/>
          <w:szCs w:val="18"/>
          <w:b w:val="1"/>
          <w:bCs w:val="1"/>
          <w:color w:val="auto"/>
        </w:rPr>
        <w:t xml:space="preserve"> </w:t>
      </w:r>
      <w:r>
        <w:rPr>
          <w:rFonts w:ascii="Arial" w:cs="Arial" w:eastAsia="Arial" w:hAnsi="Arial"/>
          <w:sz w:val="18"/>
          <w:szCs w:val="18"/>
          <w:color w:val="auto"/>
        </w:rPr>
        <w:t>free cash flows have and will continue to be the hallmark of Huron’s business model. The Company is committed to deploying capital in a strategic and balanced way, including returning capital to shareholders and executing strategic, tuck-in acquisitions.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 AND PRODUCTS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energy and utilities, industrials and manufacturing, and the public sector. We also provide revenue reporting across two principal capabilities: i) Consulting and Managed Services and ii) Digital, which are methods by which we deliver our services and products.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Industries</w:t>
      </w:r>
    </w:p>
    <w:p>
      <w:pPr>
        <w:spacing w:after="0" w:line="1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69" w:lineRule="exact"/>
        <w:rPr>
          <w:rFonts w:ascii="Arial" w:cs="Arial" w:eastAsia="Arial" w:hAnsi="Arial"/>
          <w:sz w:val="18"/>
          <w:szCs w:val="18"/>
          <w:b w:val="1"/>
          <w:bCs w:val="1"/>
          <w:color w:val="auto"/>
        </w:rPr>
      </w:pPr>
    </w:p>
    <w:p>
      <w:pPr>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business operations and care delivery transformation; digital offerings, spanning technology and analytic-related services, including enterprise health record (“EHR”), enterprise resource planning (“ERP”) and enterprise performance management (“EPM”), customer relationship management (“CRM”), data management, artificial intelligence (“AI”) and automation, and technology managed services, and a portfolio of software products; human capital management; revenue cycle managed services and outsourcing; financial advisory consulting; and strategy and innovation consulting. In June 2025, we enhanced our consulting offerings through the acquisition of Eclipse Insights, a leading provider of revenue cycle solutions.</w:t>
      </w:r>
    </w:p>
    <w:p>
      <w:pPr>
        <w:spacing w:after="0" w:line="133"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69" w:lineRule="exact"/>
        <w:rPr>
          <w:rFonts w:ascii="Arial" w:cs="Arial" w:eastAsia="Arial" w:hAnsi="Arial"/>
          <w:sz w:val="18"/>
          <w:szCs w:val="18"/>
          <w:b w:val="1"/>
          <w:bCs w:val="1"/>
          <w:color w:val="auto"/>
        </w:rPr>
      </w:pPr>
    </w:p>
    <w:p>
      <w:pPr>
        <w:ind w:left="6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Our Education segment serves public and private colleges and universities, research institutes, not-for-profit organizations and other education-related organizations. Our education and research-focused services and products include our digital offerings, spanning technology and analytic-related services, including student information systems, ERP and EPM, CRM, data management, AI and automation, and technology managed services and our Huron Research Suite product suite (the leading software suite designed to facilitate and improve research administration service delivery and compliance); our research-focused consulting and managed services; our strategy and operations consulting services, which span finance, accounting, operations and athletics to organization and talent strategy and student and academic strategy; and our global philanthropy consulting services, which were bolstered by the acquisitions of Grenzebach Glier and Associates (“GG+A”) in March 2024 and Advancement Resources and Halpin in March 2025.</w:t>
      </w:r>
    </w:p>
    <w:p>
      <w:pPr>
        <w:spacing w:after="0" w:line="119"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Commercial</w:t>
      </w:r>
    </w:p>
    <w:p>
      <w:pPr>
        <w:spacing w:after="0" w:line="169" w:lineRule="exact"/>
        <w:rPr>
          <w:rFonts w:ascii="Arial" w:cs="Arial" w:eastAsia="Arial" w:hAnsi="Arial"/>
          <w:sz w:val="18"/>
          <w:szCs w:val="18"/>
          <w:b w:val="1"/>
          <w:bCs w:val="1"/>
          <w:i w:val="1"/>
          <w:iCs w:val="1"/>
          <w:color w:val="auto"/>
        </w:rPr>
      </w:pPr>
    </w:p>
    <w:p>
      <w:pPr>
        <w:ind w:left="660" w:right="16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advisory (special situation advisory and corporate finance advisory) consulting services, and strategy and innovation consulting services. In December 2024, we expanded our Commercial consulting and digital services offerings through the acquisition of AXIA Consulting, Inc. (“AXIA Consulting”), a leading provider of supply chain-focused consulting and technology solutions who has deep expertise in the industrials and manufacturing and retail sectors.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Capabilities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Within each of our operating segments, we provide our offerings under two principal capabilities: i) Consulting and Managed Services and ii) Digital.</w:t>
      </w:r>
    </w:p>
    <w:p>
      <w:pPr>
        <w:spacing w:after="0" w:line="10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Consulting and Managed Services</w:t>
      </w:r>
    </w:p>
    <w:p>
      <w:pPr>
        <w:spacing w:after="0" w:line="169" w:lineRule="exact"/>
        <w:rPr>
          <w:rFonts w:ascii="Arial" w:cs="Arial" w:eastAsia="Arial" w:hAnsi="Arial"/>
          <w:sz w:val="18"/>
          <w:szCs w:val="18"/>
          <w:color w:val="auto"/>
        </w:rPr>
      </w:pPr>
    </w:p>
    <w:p>
      <w:pPr>
        <w:ind w:left="660" w:right="80"/>
        <w:spacing w:after="0" w:line="274" w:lineRule="auto"/>
        <w:rPr>
          <w:rFonts w:ascii="Arial" w:cs="Arial" w:eastAsia="Arial" w:hAnsi="Arial"/>
          <w:sz w:val="18"/>
          <w:szCs w:val="18"/>
          <w:color w:val="auto"/>
        </w:rPr>
      </w:pPr>
      <w:r>
        <w:rPr>
          <w:rFonts w:ascii="Arial" w:cs="Arial" w:eastAsia="Arial" w:hAnsi="Arial"/>
          <w:sz w:val="17"/>
          <w:szCs w:val="17"/>
          <w:color w:val="auto"/>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managed services and outsourcing at our healthcare, education and research-focused clients, where our projects are often coupled with our digital services and product offerings and management consulting services to sustain improved performance.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Digital</w:t>
      </w:r>
    </w:p>
    <w:p>
      <w:pPr>
        <w:spacing w:after="0" w:line="169" w:lineRule="exact"/>
        <w:rPr>
          <w:rFonts w:ascii="Arial" w:cs="Arial" w:eastAsia="Arial" w:hAnsi="Arial"/>
          <w:sz w:val="18"/>
          <w:szCs w:val="18"/>
          <w:b w:val="1"/>
          <w:bCs w:val="1"/>
          <w:i w:val="1"/>
          <w:iCs w:val="1"/>
          <w:color w:val="auto"/>
        </w:rPr>
      </w:pPr>
    </w:p>
    <w:p>
      <w:pPr>
        <w:ind w:left="660" w:right="2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 We have invested organically and inorganically to expand our Digital offerings, which now span beyond traditional ERP implementations into a broader set of administrative systems, industry-specific systems of record and systems of engagement that act as the “digital front door” to an organization. We have grown our data, analytics, AI and automation offerings to deliver a unified and actionable technology ecosystem for our clients. Through our acquisition of AXIA Consulting, we have also expanded our supply chain management (“SCM”) offerings and broadened our technology portfolio with advanced Microsoft capabilities, while strengthening Huron's ability to empower clients to align their people and processes to support their digital-first goals.</w:t>
      </w:r>
    </w:p>
    <w:p>
      <w:pPr>
        <w:spacing w:after="0" w:line="131" w:lineRule="exact"/>
        <w:rPr>
          <w:rFonts w:ascii="Arial" w:cs="Arial" w:eastAsia="Arial" w:hAnsi="Arial"/>
          <w:sz w:val="18"/>
          <w:szCs w:val="18"/>
          <w:b w:val="1"/>
          <w:bCs w:val="1"/>
          <w:i w:val="1"/>
          <w:iCs w:val="1"/>
          <w:color w:val="auto"/>
        </w:rPr>
      </w:pPr>
    </w:p>
    <w:p>
      <w:pPr>
        <w:ind w:left="66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expanded our ecosystem to work with more than 30 technology partners. For example, we are a Leading Modern Oracle Network Partner; a Summit-level consulting partner with Salesforce.com and a Premium Partner with Salesforce.org; a Workday Services, Preferred Channel, Extend, and Application Management Services Partner; an Amazon Web Services consulting partner; a Microsoft Solutions Partner, an Informatica Platinum Partner; an SAP Concur implementation partner; and a Boomi Elite Partner.</w:t>
      </w:r>
    </w:p>
    <w:p>
      <w:pPr>
        <w:spacing w:after="0" w:line="122" w:lineRule="exact"/>
        <w:rPr>
          <w:rFonts w:ascii="Arial" w:cs="Arial" w:eastAsia="Arial" w:hAnsi="Arial"/>
          <w:sz w:val="18"/>
          <w:szCs w:val="18"/>
          <w:b w:val="1"/>
          <w:bCs w:val="1"/>
          <w:i w:val="1"/>
          <w:iCs w:val="1"/>
          <w:color w:val="auto"/>
        </w:rPr>
      </w:pPr>
    </w:p>
    <w:p>
      <w:pPr>
        <w:ind w:left="660" w:right="10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2024 Best in KLAS® report; and Huron Intelligence™ Analytic Suite in Healthcare, a predictive analytics suite to improve care delivery while lowering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before Reimbursable Expenses</w:t>
      </w:r>
    </w:p>
    <w:p>
      <w:pPr>
        <w:spacing w:after="0" w:line="16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before reimbursable expenses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before reimbursable expenses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spacing w:after="0" w:line="12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generate our revenues before reimbursable expenses from providing professional services and software products under the following four types of billing arrangements: fixed-fee (including software license revenue); time-and-expense; performance-based; and software support, maintenance and subscriptions.</w:t>
      </w:r>
    </w:p>
    <w:p>
      <w:pPr>
        <w:spacing w:after="0" w:line="117" w:lineRule="exact"/>
        <w:rPr>
          <w:sz w:val="20"/>
          <w:szCs w:val="20"/>
          <w:color w:val="auto"/>
        </w:rPr>
      </w:pPr>
    </w:p>
    <w:p>
      <w:pPr>
        <w:ind w:left="660" w:right="40" w:hanging="328"/>
        <w:spacing w:after="0" w:line="268"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Fixed-fee (including software license revenue): </w:t>
      </w:r>
      <w:r>
        <w:rPr>
          <w:rFonts w:ascii="Arial" w:cs="Arial" w:eastAsia="Arial" w:hAnsi="Arial"/>
          <w:sz w:val="18"/>
          <w:szCs w:val="18"/>
          <w:color w:val="auto"/>
        </w:rPr>
        <w:t>In fixed-fee billing arrangements, we agree to a pre-established fee in exchange for a</w:t>
      </w:r>
      <w:r>
        <w:rPr>
          <w:rFonts w:ascii="Arial" w:cs="Arial" w:eastAsia="Arial" w:hAnsi="Arial"/>
          <w:sz w:val="18"/>
          <w:szCs w:val="18"/>
          <w:i w:val="1"/>
          <w:iCs w:val="1"/>
          <w:color w:val="auto"/>
        </w:rPr>
        <w:t xml:space="preserve"> </w:t>
      </w:r>
      <w:r>
        <w:rPr>
          <w:rFonts w:ascii="Arial" w:cs="Arial" w:eastAsia="Arial" w:hAnsi="Arial"/>
          <w:sz w:val="18"/>
          <w:szCs w:val="18"/>
          <w:color w:val="auto"/>
        </w:rPr>
        <w:t>predetermined set of professional services. We set the fees based on our estimates of the costs and timing for completing the engagements. Fixed-fee arrangements also include software licenses for our research administration and compliance software.</w:t>
      </w:r>
    </w:p>
    <w:p>
      <w:pPr>
        <w:spacing w:after="0" w:line="116" w:lineRule="exact"/>
        <w:rPr>
          <w:rFonts w:ascii="Arial" w:cs="Arial" w:eastAsia="Arial" w:hAnsi="Arial"/>
          <w:sz w:val="18"/>
          <w:szCs w:val="18"/>
          <w:color w:val="auto"/>
        </w:rPr>
      </w:pPr>
    </w:p>
    <w:p>
      <w:pPr>
        <w:jc w:val="both"/>
        <w:ind w:left="660" w:right="180" w:hanging="328"/>
        <w:spacing w:after="0" w:line="268"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Time-and-expense: </w:t>
      </w:r>
      <w:r>
        <w:rPr>
          <w:rFonts w:ascii="Arial" w:cs="Arial" w:eastAsia="Arial" w:hAnsi="Arial"/>
          <w:sz w:val="18"/>
          <w:szCs w:val="18"/>
          <w:color w:val="auto"/>
        </w:rPr>
        <w:t>Under time-and-expense billing arrangements, we invoice our clients based on the number of hours worked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revenue-generating professionals at agreed upon rates. Time-and-expense arrangements also include speaking engagements, conferences and publications purchased by our clients.</w:t>
      </w:r>
    </w:p>
    <w:p>
      <w:pPr>
        <w:spacing w:after="0" w:line="116" w:lineRule="exact"/>
        <w:rPr>
          <w:rFonts w:ascii="Arial" w:cs="Arial" w:eastAsia="Arial" w:hAnsi="Arial"/>
          <w:sz w:val="18"/>
          <w:szCs w:val="18"/>
          <w:color w:val="auto"/>
        </w:rPr>
      </w:pPr>
    </w:p>
    <w:p>
      <w:pPr>
        <w:ind w:left="660" w:right="120" w:hanging="328"/>
        <w:spacing w:after="0" w:line="257"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w:t>
      </w:r>
      <w:r>
        <w:rPr>
          <w:rFonts w:ascii="Arial" w:cs="Arial" w:eastAsia="Arial" w:hAnsi="Arial"/>
          <w:sz w:val="18"/>
          <w:szCs w:val="18"/>
          <w:color w:val="auto"/>
        </w:rPr>
        <w:t>In performance-based billing arrangements, fees are tied to the attainment of contractually defined objectives.</w:t>
      </w:r>
      <w:r>
        <w:rPr>
          <w:rFonts w:ascii="Arial" w:cs="Arial" w:eastAsia="Arial" w:hAnsi="Arial"/>
          <w:sz w:val="18"/>
          <w:szCs w:val="18"/>
          <w:i w:val="1"/>
          <w:iCs w:val="1"/>
          <w:color w:val="auto"/>
        </w:rPr>
        <w:t xml:space="preserve"> </w:t>
      </w:r>
      <w:r>
        <w:rPr>
          <w:rFonts w:ascii="Arial" w:cs="Arial" w:eastAsia="Arial" w:hAnsi="Arial"/>
          <w:sz w:val="18"/>
          <w:szCs w:val="18"/>
          <w:color w:val="auto"/>
        </w:rPr>
        <w:t>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spacing w:after="0" w:line="128" w:lineRule="exact"/>
        <w:rPr>
          <w:rFonts w:ascii="Arial" w:cs="Arial" w:eastAsia="Arial" w:hAnsi="Arial"/>
          <w:sz w:val="18"/>
          <w:szCs w:val="18"/>
          <w:color w:val="auto"/>
        </w:rPr>
      </w:pPr>
    </w:p>
    <w:p>
      <w:pPr>
        <w:ind w:left="660" w:right="200" w:hanging="328"/>
        <w:spacing w:after="0" w:line="259"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Software support, maintenance and subscriptions: </w:t>
      </w:r>
      <w:r>
        <w:rPr>
          <w:rFonts w:ascii="Arial" w:cs="Arial" w:eastAsia="Arial" w:hAnsi="Arial"/>
          <w:sz w:val="18"/>
          <w:szCs w:val="18"/>
          <w:color w:val="auto"/>
        </w:rPr>
        <w:t>Clients that have purchased one of our software licenses can pay an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for software support and maintenance. We also generate subscription revenue from our cloud-based analytic tools and solutions including our cloud-based revenue cycle management software and research administration and compliance software. Software support, maintenance and subscription revenues are recognized ratably over the support or subscription period. These fees are generally billed in advance and included in deferred revenues until recognized.</w:t>
      </w:r>
    </w:p>
    <w:p>
      <w:pPr>
        <w:sectPr>
          <w:pgSz w:w="11900" w:h="16838" w:orient="portrait"/>
          <w:cols w:equalWidth="0" w:num="1">
            <w:col w:w="11240"/>
          </w:cols>
          <w:pgMar w:left="320" w:top="121" w:right="339" w:bottom="1053"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53"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6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client engagements, are included in total revenues. We manage our business on the basis of revenues before reimbursable expenses, which we believe is the most accurate reflection of our services because it eliminates the effect of reimbursable expenses that we bill to our clients at cost.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spacing w:after="0" w:line="12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Selling, general and administrative expenses primarily consists of compensation costs for our support personnel, which includes salaries, performance bonuses, share-based compensation, signing and retention bonuses, payroll taxes, benefits and deferred compensation expense attributable to the change in market value of our deferred compensation liability. Changes in the market value of our deferred compensation liability are offset with the changes in market value of investments that are used to fund our deferred compensation liability, which are recorded within other income (expense), net. Also included in selling, general and administrative expenses are third-party professional fees, software licenses and data hosting expenses, rent and other office-related expenses, sales- and marketing-related expenses, recruiting and training expenses, and practice administration and meeting expenses.</w:t>
      </w:r>
    </w:p>
    <w:p>
      <w:pPr>
        <w:spacing w:after="0" w:line="12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Other operating expenses include restructuring charges, other gains and losses, depreciation expense, and amortization expense related to internally developed software costs and intangible assets acquired in business combinations.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corporate expenses not allocated at the segment level include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assess our results of operations using the following non-GAAP financial measures: earnings before interest, taxes, depreciation and amortization (“EBITDA”), adjusted EBITDA, adjusted EBITDA as a percentage of revenues before reimbursable expenses,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w:t>
      </w:r>
    </w:p>
    <w:p>
      <w:pPr>
        <w:sectPr>
          <w:pgSz w:w="11900" w:h="16838" w:orient="portrait"/>
          <w:cols w:equalWidth="0" w:num="1">
            <w:col w:w="11200"/>
          </w:cols>
          <w:pgMar w:left="320" w:top="121" w:right="379" w:bottom="837"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837"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exclude the effect of amortization of intangible assets from the calculation of adjusted net income, as it</w:t>
      </w:r>
      <w:r>
        <w:rPr>
          <w:rFonts w:ascii="Arial" w:cs="Arial" w:eastAsia="Arial" w:hAnsi="Arial"/>
          <w:sz w:val="18"/>
          <w:szCs w:val="18"/>
          <w:i w:val="1"/>
          <w:iCs w:val="1"/>
          <w:color w:val="auto"/>
        </w:rPr>
        <w:t xml:space="preserve"> </w:t>
      </w:r>
      <w:r>
        <w:rPr>
          <w:rFonts w:ascii="Arial" w:cs="Arial" w:eastAsia="Arial" w:hAnsi="Arial"/>
          <w:sz w:val="18"/>
          <w:szCs w:val="18"/>
          <w:color w:val="auto"/>
        </w:rPr>
        <w:t>is inconsistent in its amount and frequency and is significantly affected by the timing and size of our acquisitions.</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restructuring various parts of our business. These restructuring charges have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were not impacted by these items. We do not include normal, recurring, cash operating expenses in our restructuring charges.</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2024 litigation settlement gain: </w:t>
      </w:r>
      <w:r>
        <w:rPr>
          <w:rFonts w:ascii="Arial" w:cs="Arial" w:eastAsia="Arial" w:hAnsi="Arial"/>
          <w:sz w:val="18"/>
          <w:szCs w:val="18"/>
          <w:color w:val="auto"/>
        </w:rPr>
        <w:t>In the second quarter of 2024, we settled a litigation matter in which Huron was the plaintiff for $15.0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on a pre-tax basis. This $15.0 million settlement gain was recorded as a component of other gains, net on our consolidated statement of operations. We have excluded from our non-GAAP measures $11.7 million, which is the value of the settlement gain that exceeds the third-party legal costs incurred during 2024 specific to this litigation matter, as this net gain is not indicative of the ongoing performance of our business. Of the $3.3 million third-party legal costs incurred for this matter in the first half of 2024, $ 2.7 million was incurred in the first quarter and $0.6 million was incurred in the second quarter. Our third-party legal expenses are recorded as a component of selling, general and administrative expenses on our statement of operations.</w:t>
      </w:r>
    </w:p>
    <w:p>
      <w:pPr>
        <w:spacing w:after="0" w:line="12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 xml:space="preserve">Other losses (gains), net: </w:t>
      </w:r>
      <w:r>
        <w:rPr>
          <w:rFonts w:ascii="Arial" w:cs="Arial" w:eastAsia="Arial" w:hAnsi="Arial"/>
          <w:sz w:val="18"/>
          <w:szCs w:val="18"/>
          <w:color w:val="auto"/>
        </w:rPr>
        <w:t>We exclude the effects of other losses and gains, which primarily relate to changes in the estimated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liabilities for contingent consideration related to business acquisitions and litigation settlement losses and gains, to permit comparability with periods that are not impacted by these items. These items are recorded as a component of other losses (gains), net on our consolidated statement of operations.</w:t>
      </w:r>
    </w:p>
    <w:p>
      <w:pPr>
        <w:spacing w:after="0" w:line="12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 the impact of third-party advisory, legal, and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other corporate costs incurred directly related to the evaluation and/or consummation of business acquisitions.</w:t>
      </w:r>
    </w:p>
    <w:p>
      <w:pPr>
        <w:spacing w:after="0" w:line="9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Unrealized losses (gains) on long-term investments</w:t>
      </w:r>
      <w:r>
        <w:rPr>
          <w:rFonts w:ascii="Arial" w:cs="Arial" w:eastAsia="Arial" w:hAnsi="Arial"/>
          <w:sz w:val="18"/>
          <w:szCs w:val="18"/>
          <w:color w:val="auto"/>
        </w:rPr>
        <w:t>: We exclude the effect of unrealized losses and gains related to our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which include non-cash credit-related impairment charges on our convertible debt investment in Shorelight Holdings, LLC and changes in the fair value of our equity investment in a hospital-at-home company arising from observable price changes or impairment charges. These unrealized losses and gains are included as a component of other income (expense), net on our consolidated statements of operations. We believe these unrealized losses and gains are not indicative of the ongoing performance of our business and their exclusion permits comparability with prior periods.</w:t>
      </w:r>
    </w:p>
    <w:p>
      <w:pPr>
        <w:spacing w:after="0" w:line="12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exclude the effect of foreign currency transaction losses and gains from the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adjusted EBITDA because the amount of each loss or gain is significantly affected by changes in foreign exchange rates.</w:t>
      </w:r>
    </w:p>
    <w:p>
      <w:pPr>
        <w:spacing w:after="0" w:line="99"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exclude the effects of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Revenue-Generating Professionals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Managed Services professionals who provide revenue cycle management and research administration managed services and outsourcing at our healthcare, education and research-focused clients.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Utilization Rate</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w:t>
      </w:r>
    </w:p>
    <w:p>
      <w:pPr>
        <w:sectPr>
          <w:pgSz w:w="11900" w:h="16838" w:orient="portrait"/>
          <w:cols w:equalWidth="0" w:num="1">
            <w:col w:w="11220"/>
          </w:cols>
          <w:pgMar w:left="320" w:top="121" w:right="359" w:bottom="729"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729"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second quarter of 2025 include the following:</w:t>
      </w:r>
    </w:p>
    <w:p>
      <w:pPr>
        <w:spacing w:after="0" w:line="171" w:lineRule="exact"/>
        <w:rPr>
          <w:sz w:val="20"/>
          <w:szCs w:val="20"/>
          <w:color w:val="auto"/>
        </w:rPr>
      </w:pPr>
    </w:p>
    <w:p>
      <w:pPr>
        <w:ind w:left="660" w:right="40" w:hanging="328"/>
        <w:spacing w:after="0" w:line="287"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before reimbursable expenses increased 8.3% to $402.5 million for the second quarter of 2025 from $371.7 million for the second quarter of 2024.</w:t>
      </w:r>
    </w:p>
    <w:p>
      <w:pPr>
        <w:spacing w:after="0" w:line="98" w:lineRule="exact"/>
        <w:rPr>
          <w:rFonts w:ascii="Arial" w:cs="Arial" w:eastAsia="Arial" w:hAnsi="Arial"/>
          <w:sz w:val="18"/>
          <w:szCs w:val="18"/>
          <w:color w:val="auto"/>
        </w:rPr>
      </w:pPr>
    </w:p>
    <w:p>
      <w:pPr>
        <w:ind w:left="660" w:right="60" w:hanging="328"/>
        <w:spacing w:after="0" w:line="287"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as a percentage of total revenues was 4.7% for the second quarter of 2025, compared to 9.8% for the second quarter of 2024.</w:t>
      </w:r>
    </w:p>
    <w:p>
      <w:pPr>
        <w:spacing w:after="0" w:line="98" w:lineRule="exact"/>
        <w:rPr>
          <w:rFonts w:ascii="Arial" w:cs="Arial" w:eastAsia="Arial" w:hAnsi="Arial"/>
          <w:sz w:val="18"/>
          <w:szCs w:val="18"/>
          <w:color w:val="auto"/>
        </w:rPr>
      </w:pPr>
    </w:p>
    <w:p>
      <w:pPr>
        <w:ind w:left="660" w:right="260" w:hanging="328"/>
        <w:spacing w:after="0" w:line="287"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as a percentage of revenues before reimbursable expenses increased to 15.1% for the second quarter of 2025, compared to 15.0% for the second quarter of 2024.</w:t>
      </w:r>
    </w:p>
    <w:p>
      <w:pPr>
        <w:spacing w:after="0" w:line="98" w:lineRule="exact"/>
        <w:rPr>
          <w:rFonts w:ascii="Arial" w:cs="Arial" w:eastAsia="Arial" w:hAnsi="Arial"/>
          <w:sz w:val="18"/>
          <w:szCs w:val="18"/>
          <w:color w:val="auto"/>
        </w:rPr>
      </w:pPr>
    </w:p>
    <w:p>
      <w:pPr>
        <w:ind w:left="660" w:right="220" w:hanging="328"/>
        <w:spacing w:after="0" w:line="282" w:lineRule="auto"/>
        <w:tabs>
          <w:tab w:leader="none" w:pos="6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Diluted EPS was $1.09 for the second quarter of 2025, compared to $2.03 for the second quarter of 2024. Diluted EPS for the second quarter of 2025 includes a non-cash credit-related impairment charge on our convertible debt investment in a third-party, which had an unfavorable $0.46 impact on diluted EPS. Diluted EPS for the second quarter of 2024 includes a litigation settlement gain related to a completed legal matter in which Huron was the plaintiff, which had a favorable $0.60 impact on diluted EPS.</w:t>
      </w:r>
    </w:p>
    <w:p>
      <w:pPr>
        <w:spacing w:after="0" w:line="107"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diluted EPS increased 12.5% to $1.89 for the second quarter of 2025, compared to $1.68 for the second quarter of 2024.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Returned $133.9 million to shareholders in the first six months of 2025 by repurchasing 938,280 shares of our common stock.</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before reimbursable expenses increased $30.9 million, or 8.3%, to $402.5 million for the second quarter of 2025 from $371.7 million for the second quarter of 2024. The increase in revenues before reimbursable expenses reflects continued strength in demand for our Digital capabilities within our Commercial and Education segments and our Consulting and Managed Services capabilities within our Healthcare and Education segments. The increase includes $13.1 million of incremental revenues before reimbursable expenses from our acquisition of AXIA Consulting in December 2024. These increases were partially offset by a decrease in demand for our Consulting and Managed Services capability within our Commercial segment and our Digital capability within our Healthcare segment.</w:t>
      </w:r>
    </w:p>
    <w:p>
      <w:pPr>
        <w:spacing w:after="0" w:line="12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Revenues before reimbursable expenses within our Consulting and Managed Services capability increased 4.9% in the second quarter of 2025 to $229.1 million, compared to $218.3 million in the second quarter of 2024; and reflected strengthened demand in our Healthcare and Education segments, partially offset by a decrease in demand in our Commercial segment. The utilization rate within our Consulting capability increased to 77.0% in the second quarter of 2025, compared to 73.7% in the second quarter of 2024.</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before reimbursable expenses within our Digital capability increased 13.1% in the second quarter of 2025 to $173.4 million, compared to $ 153.3 million in the second quarter of 2024; and reflected strengthened demand in our Commercial and Education segments, partially offset by a decrease in demand in our Healthcare segment. The increase includes $13.1 million of incremental revenues before reimbursable expenses from our acquisition of AXIA Consulting in December 2024. The utilization rate within our Digital capability increased to 77.8% in the second quarter of 2025, compared to 75.0% in the second quarter of 2024.</w:t>
      </w:r>
    </w:p>
    <w:p>
      <w:pPr>
        <w:spacing w:after="0" w:line="1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total number of revenue-generating professionals, excluding Managed Services professionals, increased 7.8% to 4,963 as of June 30, 2025, compared to 4,604 as of June 30, 2024, as a result of the acquisitions completed since the second quarter of 2024 and hiring to support the overall increase in demand for our services. The number of Managed Services professionals increased 54.2% to 1,918 as of June 30, 2025 from 1,244 as of June 30, 2024, as a result of hiring to support the increase in demand for our services. We proactively plan and manage the size and composition of our workforce and take actions as needed to address changes in the anticipated demand for our services as employee compensation costs are the most significant portion of our operating expenses.</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was $19.4 million, or 4.7% of total revenues, for the second quarter of 2025 compared to $37.5 million, or 9.8% of total revenues, for the same period last year. Net income for the second quarter of 2025 includes an $8.2 million non-cash credit-related impairment charge, net of tax, related to our convertible debt investment in a third-party. Net income for the second quarter of 2024 includes an $ 11.1 million litigation settlement gain, net of tax, related to a completed legal matter in which Huron was the plaintiff. Diluted earnings per share for the second quarter of 2025 was $1.09, compared to $2.03 for the second quarter of 2024. The non-cash credit-related impairment charge recognized in the second quarter of 2025 had an unfavorable $0.46 impact on diluted earnings per share for the period. The litigation settlement gain recognized in the second quarter of 2024 had a favorable $0.60 impact on diluted earnings per share in the prior year period. Adjusted diluted earnings per share increased 12.5% to $1.89 for the second quarter of 2025, compared to $1.68 for the second quarter of 2024.</w:t>
      </w:r>
    </w:p>
    <w:p>
      <w:pPr>
        <w:spacing w:after="0" w:line="12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Adjusted EBITDA increased $4.9 million, or 8.8%, to $60.6 million, or 15.1% of revenues before reimbursable expenses, for the second quarter of 2025, compared to $55.7 million, or 15.0% of revenues before reimbursable expenses, for the same period last year.</w:t>
      </w:r>
    </w:p>
    <w:p>
      <w:pPr>
        <w:spacing w:after="0" w:line="9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the first six months of 2025, we deployed $133.9 million of capital to repurchase 938,280 shares of our common stock, representing 5.3% of our common stock outstanding as of December 31, 2024.</w:t>
      </w:r>
    </w:p>
    <w:p>
      <w:pPr>
        <w:sectPr>
          <w:pgSz w:w="11900" w:h="16838" w:orient="portrait"/>
          <w:cols w:equalWidth="0" w:num="1">
            <w:col w:w="11220"/>
          </w:cols>
          <w:pgMar w:left="320" w:top="121" w:right="359" w:bottom="999"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999"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7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following tables set forth, for the periods indicated, selected segment and consolidated operating results and other operating data, including non-GAAP measures.</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ind w:left="20" w:right="540"/>
        <w:spacing w:after="0" w:line="265"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43"/>
        </w:trPr>
        <w:tc>
          <w:tcPr>
            <w:tcW w:w="1020" w:type="dxa"/>
            <w:vAlign w:val="bottom"/>
          </w:tcPr>
          <w:p>
            <w:pPr>
              <w:spacing w:after="0"/>
              <w:rPr>
                <w:sz w:val="21"/>
                <w:szCs w:val="21"/>
                <w:color w:val="auto"/>
              </w:rPr>
            </w:pPr>
          </w:p>
        </w:tc>
        <w:tc>
          <w:tcPr>
            <w:tcW w:w="204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9"/>
              </w:rPr>
              <w:t>June 30,</w:t>
            </w:r>
          </w:p>
        </w:tc>
        <w:tc>
          <w:tcPr>
            <w:tcW w:w="1040" w:type="dxa"/>
            <w:vAlign w:val="bottom"/>
          </w:tcPr>
          <w:p>
            <w:pPr>
              <w:spacing w:after="0"/>
              <w:rPr>
                <w:sz w:val="21"/>
                <w:szCs w:val="21"/>
                <w:color w:val="auto"/>
              </w:rPr>
            </w:pPr>
          </w:p>
        </w:tc>
        <w:tc>
          <w:tcPr>
            <w:tcW w:w="1940" w:type="dxa"/>
            <w:vAlign w:val="bottom"/>
            <w:gridSpan w:val="3"/>
          </w:tcPr>
          <w:p>
            <w:pPr>
              <w:jc w:val="center"/>
              <w:ind w:right="930"/>
              <w:spacing w:after="0"/>
              <w:rPr>
                <w:sz w:val="20"/>
                <w:szCs w:val="20"/>
                <w:color w:val="auto"/>
              </w:rPr>
            </w:pPr>
            <w:r>
              <w:rPr>
                <w:rFonts w:ascii="Arial" w:cs="Arial" w:eastAsia="Arial" w:hAnsi="Arial"/>
                <w:sz w:val="18"/>
                <w:szCs w:val="18"/>
                <w:b w:val="1"/>
                <w:bCs w:val="1"/>
                <w:color w:val="auto"/>
                <w:w w:val="99"/>
              </w:rPr>
              <w:t>June 30,</w:t>
            </w:r>
          </w:p>
        </w:tc>
      </w:tr>
      <w:tr>
        <w:trPr>
          <w:trHeight w:val="250"/>
        </w:trPr>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-7620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4480" w:space="720"/>
            <w:col w:w="6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197,822</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190,098</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396,312</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370,840</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59,651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115,967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97,940</w:t>
            </w:r>
          </w:p>
        </w:tc>
        <w:tc>
          <w:tcPr>
            <w:tcW w:w="0" w:type="dxa"/>
            <w:vAlign w:val="bottom"/>
          </w:tcPr>
          <w:p>
            <w:pPr>
              <w:spacing w:after="0"/>
              <w:rPr>
                <w:sz w:val="1"/>
                <w:szCs w:val="1"/>
                <w:color w:val="auto"/>
              </w:rPr>
            </w:pPr>
          </w:p>
        </w:tc>
      </w:tr>
      <w:tr>
        <w:trPr>
          <w:trHeight w:val="176"/>
        </w:trPr>
        <w:tc>
          <w:tcPr>
            <w:tcW w:w="5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30.2 %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29.1 %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129,301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122,753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252,049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234,336</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52,748</w:t>
            </w:r>
          </w:p>
        </w:tc>
        <w:tc>
          <w:tcPr>
            <w:tcW w:w="0" w:type="dxa"/>
            <w:vAlign w:val="bottom"/>
          </w:tcPr>
          <w:p>
            <w:pPr>
              <w:spacing w:after="0"/>
              <w:rPr>
                <w:sz w:val="1"/>
                <w:szCs w:val="1"/>
                <w:color w:val="auto"/>
              </w:rPr>
            </w:pPr>
          </w:p>
        </w:tc>
      </w:tr>
      <w:tr>
        <w:trPr>
          <w:trHeight w:val="175"/>
        </w:trPr>
        <w:tc>
          <w:tcPr>
            <w:tcW w:w="5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75,382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58,803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149,834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122,439</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23,054</w:t>
            </w:r>
          </w:p>
        </w:tc>
        <w:tc>
          <w:tcPr>
            <w:tcW w:w="0" w:type="dxa"/>
            <w:vAlign w:val="bottom"/>
          </w:tcPr>
          <w:p>
            <w:pPr>
              <w:spacing w:after="0"/>
              <w:rPr>
                <w:sz w:val="1"/>
                <w:szCs w:val="1"/>
                <w:color w:val="auto"/>
              </w:rPr>
            </w:pPr>
          </w:p>
        </w:tc>
      </w:tr>
      <w:tr>
        <w:trPr>
          <w:trHeight w:val="176"/>
        </w:trPr>
        <w:tc>
          <w:tcPr>
            <w:tcW w:w="5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16.6 %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402,505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371,654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798,195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727,615</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9,250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17,701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16,787</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411,755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381,017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815,896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744,402</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54,281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96,565</w:t>
            </w:r>
          </w:p>
        </w:tc>
        <w:tc>
          <w:tcPr>
            <w:tcW w:w="0" w:type="dxa"/>
            <w:vAlign w:val="bottom"/>
          </w:tcPr>
          <w:p>
            <w:pPr>
              <w:spacing w:after="0"/>
              <w:rPr>
                <w:sz w:val="1"/>
                <w:szCs w:val="1"/>
                <w:color w:val="auto"/>
              </w:rPr>
            </w:pPr>
          </w:p>
        </w:tc>
      </w:tr>
      <w:tr>
        <w:trPr>
          <w:trHeight w:val="229"/>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Other gains, net</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(14,349)</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8,345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45,654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79,324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(17,946)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(29,226)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(9,669)</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27,708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69,655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14,613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43,966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55,488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0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Number of revenue-generating professionals by segment</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(at period end):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Commercial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(excluding Managed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Managed Services</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 before reimbursable expenses by capability: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Consulting and Managed Services</w:t>
            </w:r>
            <w:r>
              <w:rPr>
                <w:rFonts w:ascii="Arial" w:cs="Arial" w:eastAsia="Arial" w:hAnsi="Arial"/>
                <w:sz w:val="23"/>
                <w:szCs w:val="23"/>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229,122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218,339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453,043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419,898</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173,383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153,315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345,152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307,717</w:t>
            </w:r>
          </w:p>
        </w:tc>
        <w:tc>
          <w:tcPr>
            <w:tcW w:w="0" w:type="dxa"/>
            <w:vAlign w:val="bottom"/>
          </w:tcPr>
          <w:p>
            <w:pPr>
              <w:spacing w:after="0"/>
              <w:rPr>
                <w:sz w:val="1"/>
                <w:szCs w:val="1"/>
                <w:color w:val="auto"/>
              </w:rPr>
            </w:pPr>
          </w:p>
        </w:tc>
      </w:tr>
      <w:tr>
        <w:trPr>
          <w:trHeight w:val="232"/>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402,505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371,654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798,195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727,615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right="1060"/>
        <w:spacing w:after="0" w:line="265"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2918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20"/>
        <w:spacing w:after="0" w:line="244" w:lineRule="auto"/>
        <w:rPr>
          <w:sz w:val="20"/>
          <w:szCs w:val="20"/>
          <w:color w:val="auto"/>
        </w:rPr>
      </w:pPr>
      <w:r>
        <w:rPr>
          <w:rFonts w:ascii="Arial" w:cs="Arial" w:eastAsia="Arial" w:hAnsi="Arial"/>
          <w:sz w:val="18"/>
          <w:szCs w:val="18"/>
          <w:b w:val="1"/>
          <w:bCs w:val="1"/>
          <w:color w:val="auto"/>
        </w:rPr>
        <w:t>Number of revenue-generating professionals by capability (at period end):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Consulting</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Managed Services</w:t>
      </w:r>
      <w:r>
        <w:rPr>
          <w:rFonts w:ascii="Arial" w:cs="Arial" w:eastAsia="Arial" w:hAnsi="Arial"/>
          <w:sz w:val="23"/>
          <w:szCs w:val="23"/>
          <w:color w:val="auto"/>
          <w:vertAlign w:val="superscript"/>
        </w:rPr>
        <w:t>(2)</w:t>
      </w:r>
    </w:p>
    <w:p>
      <w:pPr>
        <w:ind w:left="20"/>
        <w:spacing w:after="0"/>
        <w:rPr>
          <w:sz w:val="20"/>
          <w:szCs w:val="20"/>
          <w:color w:val="auto"/>
        </w:rPr>
      </w:pPr>
      <w:r>
        <w:rPr>
          <w:rFonts w:ascii="Arial" w:cs="Arial" w:eastAsia="Arial" w:hAnsi="Arial"/>
          <w:sz w:val="18"/>
          <w:szCs w:val="18"/>
          <w:color w:val="auto"/>
        </w:rPr>
        <w:t>Digital</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Utilization rate by capability</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p>
      <w:pPr>
        <w:ind w:left="20"/>
        <w:spacing w:after="0"/>
        <w:rPr>
          <w:sz w:val="20"/>
          <w:szCs w:val="20"/>
          <w:color w:val="auto"/>
        </w:rPr>
      </w:pPr>
      <w:r>
        <w:rPr>
          <w:rFonts w:ascii="Arial" w:cs="Arial" w:eastAsia="Arial" w:hAnsi="Arial"/>
          <w:sz w:val="18"/>
          <w:szCs w:val="18"/>
          <w:color w:val="auto"/>
        </w:rPr>
        <w:t>Consulting</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Digital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Three Months Ended</w:t>
            </w:r>
          </w:p>
        </w:tc>
        <w:tc>
          <w:tcPr>
            <w:tcW w:w="2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43"/>
        </w:trPr>
        <w:tc>
          <w:tcPr>
            <w:tcW w:w="192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June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June 30,</w:t>
            </w:r>
          </w:p>
        </w:tc>
        <w:tc>
          <w:tcPr>
            <w:tcW w:w="1000" w:type="dxa"/>
            <w:vAlign w:val="bottom"/>
            <w:tcBorders>
              <w:bottom w:val="single" w:sz="8" w:color="auto"/>
            </w:tcBorders>
          </w:tcPr>
          <w:p>
            <w:pPr>
              <w:spacing w:after="0"/>
              <w:rPr>
                <w:sz w:val="21"/>
                <w:szCs w:val="21"/>
                <w:color w:val="auto"/>
              </w:rPr>
            </w:pPr>
          </w:p>
        </w:tc>
      </w:tr>
      <w:tr>
        <w:trPr>
          <w:trHeight w:val="250"/>
        </w:trPr>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r>
      <w:tr>
        <w:trPr>
          <w:trHeight w:val="636"/>
        </w:trPr>
        <w:tc>
          <w:tcPr>
            <w:tcW w:w="1400" w:type="dxa"/>
            <w:vAlign w:val="bottom"/>
          </w:tcPr>
          <w:p>
            <w:pPr>
              <w:jc w:val="right"/>
              <w:ind w:right="150"/>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4"/>
                <w:szCs w:val="24"/>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1,691</w:t>
            </w:r>
          </w:p>
        </w:tc>
      </w:tr>
      <w:tr>
        <w:trPr>
          <w:trHeight w:val="229"/>
        </w:trPr>
        <w:tc>
          <w:tcPr>
            <w:tcW w:w="1400" w:type="dxa"/>
            <w:vAlign w:val="bottom"/>
          </w:tcPr>
          <w:p>
            <w:pPr>
              <w:jc w:val="right"/>
              <w:ind w:right="150"/>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1,244</w:t>
            </w:r>
          </w:p>
        </w:tc>
      </w:tr>
      <w:tr>
        <w:trPr>
          <w:trHeight w:val="235"/>
        </w:trPr>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2,913</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2,913</w:t>
            </w:r>
          </w:p>
        </w:tc>
      </w:tr>
      <w:tr>
        <w:trPr>
          <w:trHeight w:val="232"/>
        </w:trPr>
        <w:tc>
          <w:tcPr>
            <w:tcW w:w="1400" w:type="dxa"/>
            <w:vAlign w:val="bottom"/>
          </w:tcPr>
          <w:p>
            <w:pPr>
              <w:jc w:val="right"/>
              <w:ind w:right="150"/>
              <w:spacing w:after="0"/>
              <w:rPr>
                <w:sz w:val="20"/>
                <w:szCs w:val="20"/>
                <w:color w:val="auto"/>
              </w:rPr>
            </w:pPr>
            <w:r>
              <w:rPr>
                <w:rFonts w:ascii="Arial" w:cs="Arial" w:eastAsia="Arial" w:hAnsi="Arial"/>
                <w:sz w:val="18"/>
                <w:szCs w:val="18"/>
                <w:color w:val="auto"/>
              </w:rPr>
              <w:t>6,881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6,881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5,848</w:t>
            </w:r>
          </w:p>
        </w:tc>
      </w:tr>
      <w:tr>
        <w:trPr>
          <w:trHeight w:val="660"/>
        </w:trPr>
        <w:tc>
          <w:tcPr>
            <w:tcW w:w="1400" w:type="dxa"/>
            <w:vAlign w:val="bottom"/>
          </w:tcPr>
          <w:p>
            <w:pPr>
              <w:jc w:val="right"/>
              <w:spacing w:after="0"/>
              <w:rPr>
                <w:sz w:val="20"/>
                <w:szCs w:val="20"/>
                <w:color w:val="auto"/>
              </w:rPr>
            </w:pPr>
            <w:r>
              <w:rPr>
                <w:rFonts w:ascii="Arial" w:cs="Arial" w:eastAsia="Arial" w:hAnsi="Arial"/>
                <w:sz w:val="18"/>
                <w:szCs w:val="18"/>
                <w:color w:val="auto"/>
              </w:rPr>
              <w:t>77.0 %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73.7 %</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75.6 %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72.0 %</w:t>
            </w:r>
          </w:p>
        </w:tc>
      </w:tr>
      <w:tr>
        <w:trPr>
          <w:trHeight w:val="239"/>
        </w:trPr>
        <w:tc>
          <w:tcPr>
            <w:tcW w:w="1400" w:type="dxa"/>
            <w:vAlign w:val="bottom"/>
          </w:tcPr>
          <w:p>
            <w:pPr>
              <w:jc w:val="right"/>
              <w:spacing w:after="0"/>
              <w:rPr>
                <w:sz w:val="20"/>
                <w:szCs w:val="20"/>
                <w:color w:val="auto"/>
              </w:rPr>
            </w:pPr>
            <w:r>
              <w:rPr>
                <w:rFonts w:ascii="Arial" w:cs="Arial" w:eastAsia="Arial" w:hAnsi="Arial"/>
                <w:sz w:val="18"/>
                <w:szCs w:val="18"/>
                <w:color w:val="auto"/>
              </w:rPr>
              <w:t>77.8 %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78.0 %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-1167765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-876300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-575945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-293370</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300"/>
            <w:col w:w="5940"/>
          </w:cols>
          <w:pgMar w:left="320" w:top="121" w:right="339" w:bottom="1440" w:gutter="0" w:footer="0" w:header="0"/>
        </w:sectPr>
      </w:pPr>
    </w:p>
    <w:p>
      <w:pPr>
        <w:spacing w:after="0" w:line="115" w:lineRule="exact"/>
        <w:rPr>
          <w:sz w:val="20"/>
          <w:szCs w:val="20"/>
          <w:color w:val="auto"/>
        </w:rPr>
      </w:pPr>
    </w:p>
    <w:p>
      <w:pPr>
        <w:ind w:left="340" w:right="180" w:hanging="332"/>
        <w:spacing w:after="0" w:line="281"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18"/>
          <w:szCs w:val="18"/>
          <w:color w:val="auto"/>
        </w:rPr>
        <w:t>The majority of our revenue-generating professionals within our Commercial segment can provide services across all of our industries, including healthcare and education, and the related costs of these professionals are allocated to each of the segments.</w:t>
      </w:r>
    </w:p>
    <w:p>
      <w:pPr>
        <w:spacing w:after="0" w:line="1" w:lineRule="exact"/>
        <w:rPr>
          <w:rFonts w:ascii="Arial" w:cs="Arial" w:eastAsia="Arial" w:hAnsi="Arial"/>
          <w:sz w:val="16"/>
          <w:szCs w:val="16"/>
          <w:color w:val="auto"/>
        </w:rPr>
      </w:pPr>
    </w:p>
    <w:p>
      <w:pPr>
        <w:ind w:left="340" w:right="300" w:hanging="332"/>
        <w:spacing w:after="0" w:line="262" w:lineRule="auto"/>
        <w:tabs>
          <w:tab w:leader="none" w:pos="4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separately presented the total number of revenue-generating professionals within our Managed Services capabilities of our Healthcare and Education segments. Our Healthcare Managed Services professionals provide revenue cycle billing, collections, insurance verification and change integrity services to clients. Our Education Managed Services professionals provide research administration managed services and outsourcing at our education and research-focused clients.</w:t>
      </w:r>
    </w:p>
    <w:p>
      <w:pPr>
        <w:spacing w:after="0" w:line="14" w:lineRule="exact"/>
        <w:rPr>
          <w:sz w:val="20"/>
          <w:szCs w:val="20"/>
          <w:color w:val="auto"/>
        </w:rPr>
      </w:pPr>
    </w:p>
    <w:p>
      <w:pPr>
        <w:ind w:left="340" w:right="100"/>
        <w:spacing w:after="0" w:line="281" w:lineRule="auto"/>
        <w:rPr>
          <w:sz w:val="20"/>
          <w:szCs w:val="20"/>
          <w:color w:val="auto"/>
        </w:rPr>
      </w:pPr>
      <w:r>
        <w:rPr>
          <w:rFonts w:ascii="Arial" w:cs="Arial" w:eastAsia="Arial" w:hAnsi="Arial"/>
          <w:sz w:val="18"/>
          <w:szCs w:val="18"/>
          <w:color w:val="auto"/>
        </w:rPr>
        <w:t>The number of Managed Services revenue-generating professionals within our Healthcare segment was 1,807 and 1,116 as of June 30, 2025 and 2024, respectively.</w:t>
      </w:r>
    </w:p>
    <w:p>
      <w:pPr>
        <w:spacing w:after="0" w:line="1" w:lineRule="exact"/>
        <w:rPr>
          <w:sz w:val="20"/>
          <w:szCs w:val="20"/>
          <w:color w:val="auto"/>
        </w:rPr>
      </w:pPr>
    </w:p>
    <w:p>
      <w:pPr>
        <w:ind w:left="340" w:right="40"/>
        <w:spacing w:after="0" w:line="281" w:lineRule="auto"/>
        <w:rPr>
          <w:sz w:val="20"/>
          <w:szCs w:val="20"/>
          <w:color w:val="auto"/>
        </w:rPr>
      </w:pPr>
      <w:r>
        <w:rPr>
          <w:rFonts w:ascii="Arial" w:cs="Arial" w:eastAsia="Arial" w:hAnsi="Arial"/>
          <w:sz w:val="18"/>
          <w:szCs w:val="18"/>
          <w:color w:val="auto"/>
        </w:rPr>
        <w:t>The number of Managed Services revenue-generating professionals within our Education segment was 111 and 128 as of June 30, 2025 and 2024, respectively.</w:t>
      </w:r>
    </w:p>
    <w:p>
      <w:pPr>
        <w:spacing w:after="0" w:line="1" w:lineRule="exact"/>
        <w:rPr>
          <w:sz w:val="20"/>
          <w:szCs w:val="20"/>
          <w:color w:val="auto"/>
        </w:rPr>
      </w:pPr>
    </w:p>
    <w:p>
      <w:pPr>
        <w:ind w:left="340" w:right="260" w:hanging="332"/>
        <w:spacing w:after="0" w:line="268" w:lineRule="auto"/>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Managed Services capability revenues before reimbursable expenses within our Healthcare segment was $21.0 million and $16.7 million for the three months ended June 30, 2025 and 2024, respectively; and $39.3 million and $34.2 million for the six months ended June 30, 2025 and 2024, respectively.</w:t>
      </w:r>
    </w:p>
    <w:p>
      <w:pPr>
        <w:spacing w:after="0" w:line="9" w:lineRule="exact"/>
        <w:rPr>
          <w:sz w:val="20"/>
          <w:szCs w:val="20"/>
          <w:color w:val="auto"/>
        </w:rPr>
      </w:pPr>
    </w:p>
    <w:p>
      <w:pPr>
        <w:ind w:left="340" w:right="40"/>
        <w:spacing w:after="0" w:line="268" w:lineRule="auto"/>
        <w:rPr>
          <w:sz w:val="20"/>
          <w:szCs w:val="20"/>
          <w:color w:val="auto"/>
        </w:rPr>
      </w:pPr>
      <w:r>
        <w:rPr>
          <w:rFonts w:ascii="Arial" w:cs="Arial" w:eastAsia="Arial" w:hAnsi="Arial"/>
          <w:sz w:val="18"/>
          <w:szCs w:val="18"/>
          <w:color w:val="auto"/>
        </w:rPr>
        <w:t>Managed Services capability revenues before reimbursable expenses within our Education segment was $7.4 million and $6.8 million for the three months ended June 30, 2025 and 2024, respectively; and $14.7 million and $14.2 million for the six months ended June 30, 2025 and 2024, respectively.</w:t>
      </w:r>
    </w:p>
    <w:p>
      <w:pPr>
        <w:spacing w:after="0" w:line="9" w:lineRule="exact"/>
        <w:rPr>
          <w:sz w:val="20"/>
          <w:szCs w:val="20"/>
          <w:color w:val="auto"/>
        </w:rPr>
      </w:pPr>
    </w:p>
    <w:p>
      <w:pPr>
        <w:ind w:left="340" w:right="420" w:hanging="332"/>
        <w:spacing w:after="0" w:line="268" w:lineRule="auto"/>
        <w:tabs>
          <w:tab w:leader="none" w:pos="4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Non-GAAP Measures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Reconciliation of Net Income to EBITDA and Adjusted EBITDA</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gridSpan w:val="8"/>
          </w:tcPr>
          <w:p>
            <w:pPr>
              <w:jc w:val="center"/>
              <w:ind w:right="230"/>
              <w:spacing w:after="0" w:line="190" w:lineRule="exact"/>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6"/>
          </w:tcPr>
          <w:p>
            <w:pPr>
              <w:ind w:left="220"/>
              <w:spacing w:after="0" w:line="190"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5"/>
          </w:tcPr>
          <w:p>
            <w:pPr>
              <w:jc w:val="center"/>
              <w:ind w:left="35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2024</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 before reimbursable expenses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402,505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371,654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798,195</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727,615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Reimbursable expenses</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17,701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16,787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revenues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411,755</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381,017</w:t>
            </w: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815,896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744,402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Net income</w:t>
            </w: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tcBorders>
              <w:top w:val="single" w:sz="8" w:color="CCEEFF"/>
            </w:tcBorders>
            <w:gridSpan w:val="2"/>
            <w:vMerge w:val="continue"/>
          </w:tcPr>
          <w:p>
            <w:pPr>
              <w:spacing w:after="0"/>
              <w:rPr>
                <w:sz w:val="17"/>
                <w:szCs w:val="17"/>
                <w:color w:val="auto"/>
              </w:rPr>
            </w:pPr>
          </w:p>
        </w:tc>
        <w:tc>
          <w:tcPr>
            <w:tcW w:w="48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19,430</w:t>
            </w: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37,482</w:t>
            </w:r>
          </w:p>
        </w:tc>
        <w:tc>
          <w:tcPr>
            <w:tcW w:w="1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43,966</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gridSpan w:val="2"/>
          </w:tcPr>
          <w:p>
            <w:pPr>
              <w:jc w:val="center"/>
              <w:ind w:right="23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55,488</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as a percentage of total revenues</w:t>
            </w:r>
          </w:p>
        </w:tc>
        <w:tc>
          <w:tcPr>
            <w:tcW w:w="4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Add back:</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Interest expense, net of interest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14,928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13,094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14,467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12,425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EBITDA</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44,307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78,555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95,174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Restructuring charges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2024 litigation settlement gain</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Other losses (gains), net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w w:val="93"/>
              </w:rPr>
              <w:t>(71)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Transaction-related expenses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Unrealized losses on long-term investments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11,929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transaction losses (gains), net</w:t>
            </w:r>
          </w:p>
        </w:tc>
        <w:tc>
          <w:tcPr>
            <w:tcW w:w="4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60,579</w:t>
            </w:r>
          </w:p>
        </w:tc>
        <w:tc>
          <w:tcPr>
            <w:tcW w:w="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55,684</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102,070</w:t>
            </w:r>
          </w:p>
        </w:tc>
        <w:tc>
          <w:tcPr>
            <w:tcW w:w="100" w:type="dxa"/>
            <w:vAlign w:val="bottom"/>
          </w:tcPr>
          <w:p>
            <w:pPr>
              <w:spacing w:after="0"/>
              <w:rPr>
                <w:sz w:val="19"/>
                <w:szCs w:val="19"/>
                <w:color w:val="auto"/>
              </w:rPr>
            </w:pPr>
          </w:p>
        </w:tc>
        <w:tc>
          <w:tcPr>
            <w:tcW w:w="46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89,502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Adjusted EBITDA as a percentage of revenues before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reimbursable expenses</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400" w:type="dxa"/>
            <w:vAlign w:val="bottom"/>
            <w:tcBorders>
              <w:bottom w:val="single" w:sz="8" w:color="CCEEFF"/>
            </w:tcBorders>
            <w:gridSpan w:val="2"/>
            <w:vMerge w:val="continue"/>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8100" w:type="dxa"/>
            <w:vAlign w:val="bottom"/>
            <w:gridSpan w:val="11"/>
          </w:tcPr>
          <w:p>
            <w:pPr>
              <w:spacing w:after="0"/>
              <w:rPr>
                <w:sz w:val="20"/>
                <w:szCs w:val="20"/>
                <w:color w:val="auto"/>
              </w:rPr>
            </w:pPr>
            <w:r>
              <w:rPr>
                <w:rFonts w:ascii="Arial" w:cs="Arial" w:eastAsia="Arial" w:hAnsi="Arial"/>
                <w:sz w:val="18"/>
                <w:szCs w:val="18"/>
                <w:b w:val="1"/>
                <w:bCs w:val="1"/>
                <w:i w:val="1"/>
                <w:iCs w:val="1"/>
                <w:color w:val="auto"/>
                <w:w w:val="99"/>
              </w:rPr>
              <w:t>Reconciliation of Net Income to Adjusted Net Income and Adjusted Diluted Earnings per Share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7"/>
          </w:tcPr>
          <w:p>
            <w:pPr>
              <w:ind w:left="30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37,482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Weighted average shares - diluted</w:t>
            </w: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17,772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18,454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18,137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18,741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Add back:</w:t>
            </w: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53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2,302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Restructuring charges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2024 litigation settlement gain</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Other losses (gains), net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Transaction-related expenses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Unrealized losses on long-term investments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11,929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16,139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effect of adjustments</w:t>
            </w:r>
          </w:p>
        </w:tc>
        <w:tc>
          <w:tcPr>
            <w:tcW w:w="4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adjustments, net of tax</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14,235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(6,536)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20,806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33,665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30,946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Adjusted weighted average shares - diluted</w:t>
            </w: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17,772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18,454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18,137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18,741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2025 Compared to Three Months Ended June 30,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before Reimbursable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before reimbursable expenses by segment and capability for the three months ended June 30, 2025 and 2024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3"/>
            <w:vMerge w:val="restart"/>
          </w:tcPr>
          <w:p>
            <w:pPr>
              <w:jc w:val="right"/>
              <w:ind w:right="4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before Reimbursable Expenses (in thousands)</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197,822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190,098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7,724</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16,579</w:t>
            </w:r>
          </w:p>
        </w:tc>
        <w:tc>
          <w:tcPr>
            <w:tcW w:w="14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 before reimbursable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371,654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30,851</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229,122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218,339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10,783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173,383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 before reimbursable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402,505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371,654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Revenues before reimbursable expenses increased $30.9 million, or 8.3%, to $402.5 million for the second quarter of 2025 from $ 371.7 million for the second quarter of 2024. The overall increase in revenues before reimbursable expenses reflects continued strength in demand for our Digital capabilities within our Commercial and Education segments and our Consulting and Managed Services capabilities within our Healthcare and Education segments. The increase includes $13.1 million of incremental revenues before reimbursable expenses from our acquisition of AXIA Consulting in December 2024. These increases were partially offset by decreases in demand for our Consulting and Managed Services capability within our Commercial segment and our Digital capability within our Healthcare segment. Additional information on our revenues before reimbursable expenses by segment follows.</w:t>
      </w:r>
    </w:p>
    <w:p>
      <w:pPr>
        <w:spacing w:after="0" w:line="129" w:lineRule="exact"/>
        <w:rPr>
          <w:sz w:val="20"/>
          <w:szCs w:val="20"/>
          <w:color w:val="auto"/>
        </w:rPr>
      </w:pPr>
    </w:p>
    <w:p>
      <w:pPr>
        <w:ind w:left="660" w:right="60" w:hanging="328"/>
        <w:spacing w:after="0" w:line="269" w:lineRule="auto"/>
        <w:tabs>
          <w:tab w:leader="none" w:pos="669" w:val="left"/>
        </w:tabs>
        <w:numPr>
          <w:ilvl w:val="0"/>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 xml:space="preserve">Healthcare </w:t>
      </w:r>
      <w:r>
        <w:rPr>
          <w:rFonts w:ascii="Arial" w:cs="Arial" w:eastAsia="Arial" w:hAnsi="Arial"/>
          <w:sz w:val="17"/>
          <w:szCs w:val="17"/>
          <w:color w:val="auto"/>
        </w:rPr>
        <w:t>revenues before reimbursable expenses increased $7.7 million, or 4.1%, driven by continued strength in demand for our</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improvement and financial advisory solutions within our Consulting and Managed Services capability. These increases in demand were partially offset by a decrease in demand for our technology and analytics services within our Digital capability and a decrease in revenues before reimbursable expenses due to the divestiture of our Studer Education practice in the fourth quarter of 2024. The Studer Education business generated $3.5 million of revenues before reimbursable expenses in the second quarter of</w:t>
      </w:r>
    </w:p>
    <w:p>
      <w:pPr>
        <w:spacing w:after="0" w:line="2" w:lineRule="exact"/>
        <w:rPr>
          <w:rFonts w:ascii="Arial" w:cs="Arial" w:eastAsia="Arial" w:hAnsi="Arial"/>
          <w:sz w:val="17"/>
          <w:szCs w:val="17"/>
          <w:b w:val="1"/>
          <w:bCs w:val="1"/>
          <w:i w:val="1"/>
          <w:iCs w:val="1"/>
          <w:color w:val="auto"/>
        </w:rPr>
      </w:pPr>
    </w:p>
    <w:p>
      <w:pPr>
        <w:ind w:left="660" w:right="40"/>
        <w:spacing w:after="0" w:line="266" w:lineRule="auto"/>
        <w:rPr>
          <w:rFonts w:ascii="Arial" w:cs="Arial" w:eastAsia="Arial" w:hAnsi="Arial"/>
          <w:sz w:val="17"/>
          <w:szCs w:val="17"/>
          <w:b w:val="1"/>
          <w:bCs w:val="1"/>
          <w:i w:val="1"/>
          <w:iCs w:val="1"/>
          <w:color w:val="auto"/>
        </w:rPr>
      </w:pPr>
      <w:r>
        <w:rPr>
          <w:rFonts w:ascii="Arial" w:cs="Arial" w:eastAsia="Arial" w:hAnsi="Arial"/>
          <w:sz w:val="18"/>
          <w:szCs w:val="18"/>
          <w:color w:val="auto"/>
        </w:rPr>
        <w:t>2024. Revenues before reimbursable expenses in the second quarter of 2025 included $0.6 million of incremental revenues from our acquisitions of AXIA Consulting and Eclipse Insights.</w:t>
      </w:r>
    </w:p>
    <w:p>
      <w:pPr>
        <w:spacing w:after="0" w:line="117"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The number of revenue-generating professionals, excluding Managed Services professionals, within our Healthcare segment grew</w:t>
      </w:r>
    </w:p>
    <w:p>
      <w:pPr>
        <w:spacing w:after="0" w:line="27" w:lineRule="exact"/>
        <w:rPr>
          <w:rFonts w:ascii="Arial" w:cs="Arial" w:eastAsia="Arial" w:hAnsi="Arial"/>
          <w:sz w:val="17"/>
          <w:szCs w:val="17"/>
          <w:b w:val="1"/>
          <w:bCs w:val="1"/>
          <w:i w:val="1"/>
          <w:iCs w:val="1"/>
          <w:color w:val="auto"/>
        </w:rPr>
      </w:pPr>
    </w:p>
    <w:p>
      <w:pPr>
        <w:ind w:left="660" w:right="180"/>
        <w:spacing w:after="0" w:line="266" w:lineRule="auto"/>
        <w:rPr>
          <w:rFonts w:ascii="Arial" w:cs="Arial" w:eastAsia="Arial" w:hAnsi="Arial"/>
          <w:sz w:val="17"/>
          <w:szCs w:val="17"/>
          <w:b w:val="1"/>
          <w:bCs w:val="1"/>
          <w:i w:val="1"/>
          <w:iCs w:val="1"/>
          <w:color w:val="auto"/>
        </w:rPr>
      </w:pPr>
      <w:r>
        <w:rPr>
          <w:rFonts w:ascii="Arial" w:cs="Arial" w:eastAsia="Arial" w:hAnsi="Arial"/>
          <w:sz w:val="18"/>
          <w:szCs w:val="18"/>
          <w:color w:val="auto"/>
        </w:rPr>
        <w:t>8.7% to 1,329 as of June 30, 2025, compared to 1,223 as of June 30, 2024. Our acquisition of Eclipse Insights in June 2025 added approximately 40 revenue-generating professionals.</w:t>
      </w:r>
    </w:p>
    <w:p>
      <w:pPr>
        <w:spacing w:after="0" w:line="117" w:lineRule="exact"/>
        <w:rPr>
          <w:rFonts w:ascii="Arial" w:cs="Arial" w:eastAsia="Arial" w:hAnsi="Arial"/>
          <w:sz w:val="17"/>
          <w:szCs w:val="17"/>
          <w:b w:val="1"/>
          <w:bCs w:val="1"/>
          <w:i w:val="1"/>
          <w:iCs w:val="1"/>
          <w:color w:val="auto"/>
        </w:rPr>
      </w:pPr>
    </w:p>
    <w:p>
      <w:pPr>
        <w:ind w:left="660" w:right="120" w:hanging="328"/>
        <w:spacing w:after="0" w:line="262" w:lineRule="auto"/>
        <w:tabs>
          <w:tab w:leader="none" w:pos="669"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revenues before reimbursable expenses increased $6.5 million, or 5.3%, driven by continued strength in demand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and operations solution within our Consulting and Managed Services capability, as well as strengthened demand for our software products within our Digital capability. Revenues before reimbursable expenses in the second quarter of 2025 included $2.2 million of incremental revenues from our acquisitions of AXIA Consulting, Advancement Resources and Halpin.</w:t>
      </w:r>
    </w:p>
    <w:p>
      <w:pPr>
        <w:spacing w:after="0" w:line="122"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number of revenue-generating professionals within our Education segment, excluding Managed Services professionals, grew</w:t>
      </w:r>
    </w:p>
    <w:p>
      <w:pPr>
        <w:spacing w:after="0" w:line="27" w:lineRule="exact"/>
        <w:rPr>
          <w:rFonts w:ascii="Arial" w:cs="Arial" w:eastAsia="Arial" w:hAnsi="Arial"/>
          <w:sz w:val="18"/>
          <w:szCs w:val="18"/>
          <w:b w:val="1"/>
          <w:bCs w:val="1"/>
          <w:i w:val="1"/>
          <w:iCs w:val="1"/>
          <w:color w:val="auto"/>
        </w:rPr>
      </w:pPr>
    </w:p>
    <w:p>
      <w:pPr>
        <w:ind w:left="660" w:right="60"/>
        <w:spacing w:after="0" w:line="266" w:lineRule="auto"/>
        <w:rPr>
          <w:rFonts w:ascii="Arial" w:cs="Arial" w:eastAsia="Arial" w:hAnsi="Arial"/>
          <w:sz w:val="18"/>
          <w:szCs w:val="18"/>
          <w:b w:val="1"/>
          <w:bCs w:val="1"/>
          <w:i w:val="1"/>
          <w:iCs w:val="1"/>
          <w:color w:val="auto"/>
        </w:rPr>
      </w:pPr>
      <w:r>
        <w:rPr>
          <w:rFonts w:ascii="Arial" w:cs="Arial" w:eastAsia="Arial" w:hAnsi="Arial"/>
          <w:sz w:val="18"/>
          <w:szCs w:val="18"/>
          <w:color w:val="auto"/>
        </w:rPr>
        <w:t>4.8% to 1,169 as of June 30, 2025, compared to 1,115 as of June 30, 2024. Our acquisitions of Advancement Resources and Halpin in March 2025 added approximately 30 revenue-generating professionals.</w:t>
      </w:r>
    </w:p>
    <w:p>
      <w:pPr>
        <w:spacing w:after="0" w:line="117" w:lineRule="exact"/>
        <w:rPr>
          <w:rFonts w:ascii="Arial" w:cs="Arial" w:eastAsia="Arial" w:hAnsi="Arial"/>
          <w:sz w:val="18"/>
          <w:szCs w:val="18"/>
          <w:b w:val="1"/>
          <w:bCs w:val="1"/>
          <w:i w:val="1"/>
          <w:iCs w:val="1"/>
          <w:color w:val="auto"/>
        </w:rPr>
      </w:pPr>
    </w:p>
    <w:p>
      <w:pPr>
        <w:ind w:left="660" w:right="60" w:hanging="328"/>
        <w:spacing w:after="0" w:line="282" w:lineRule="auto"/>
        <w:tabs>
          <w:tab w:leader="none" w:pos="669" w:val="left"/>
        </w:tabs>
        <w:numPr>
          <w:ilvl w:val="0"/>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 xml:space="preserve">Commercial </w:t>
      </w:r>
      <w:r>
        <w:rPr>
          <w:rFonts w:ascii="Arial" w:cs="Arial" w:eastAsia="Arial" w:hAnsi="Arial"/>
          <w:sz w:val="17"/>
          <w:szCs w:val="17"/>
          <w:color w:val="auto"/>
        </w:rPr>
        <w:t>revenues before reimbursable expenses increased $16.6 million, or 28.2%, which included $12.3 million of incremental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revenues before reimbursable expenses from our acquisition of AXIA Consulting completed in December 2024 and strengthened demand for our technology and analytics services within our Digital capability. These increases were partially offset by decreases in demand for our financial advisory and strategy and innovation solutions within our Consulting and Managed Services capability.</w:t>
      </w:r>
    </w:p>
    <w:p>
      <w:pPr>
        <w:spacing w:after="0" w:line="107" w:lineRule="exact"/>
        <w:rPr>
          <w:rFonts w:ascii="Arial" w:cs="Arial" w:eastAsia="Arial" w:hAnsi="Arial"/>
          <w:sz w:val="17"/>
          <w:szCs w:val="17"/>
          <w:b w:val="1"/>
          <w:bCs w:val="1"/>
          <w:i w:val="1"/>
          <w:iCs w:val="1"/>
          <w:color w:val="auto"/>
        </w:rPr>
      </w:pPr>
    </w:p>
    <w:p>
      <w:pPr>
        <w:ind w:left="660" w:right="20"/>
        <w:spacing w:after="0" w:line="268" w:lineRule="auto"/>
        <w:rPr>
          <w:rFonts w:ascii="Arial" w:cs="Arial" w:eastAsia="Arial" w:hAnsi="Arial"/>
          <w:sz w:val="17"/>
          <w:szCs w:val="17"/>
          <w:b w:val="1"/>
          <w:bCs w:val="1"/>
          <w:i w:val="1"/>
          <w:iCs w:val="1"/>
          <w:color w:val="auto"/>
        </w:rPr>
      </w:pPr>
      <w:r>
        <w:rPr>
          <w:rFonts w:ascii="Arial" w:cs="Arial" w:eastAsia="Arial" w:hAnsi="Arial"/>
          <w:sz w:val="18"/>
          <w:szCs w:val="18"/>
          <w:color w:val="auto"/>
        </w:rPr>
        <w:t>The number of revenue-generating professionals within our Commercial segment, the majority of which provide services across all of our industries, grew 8.8% to 2,465 as of June 30, 2025, compared to 2,266 as of June 30, 2024, including our acquisition of AXIA Consulting in December 2024 which added approximately 130 revenue-generating professionals.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second quarter of 2025 increased $44.5 million, or 13.8%, over the second quarter of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before reimbursable expenses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30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Three Months Ended June 30,</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4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amounts as a percentage of revenues before</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5"/>
            <w:vMerge w:val="continue"/>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90"/>
              <w:spacing w:after="0" w:line="156" w:lineRule="exact"/>
              <w:rPr>
                <w:sz w:val="20"/>
                <w:szCs w:val="20"/>
                <w:color w:val="auto"/>
              </w:rPr>
            </w:pPr>
            <w:r>
              <w:rPr>
                <w:rFonts w:ascii="Arial" w:cs="Arial" w:eastAsia="Arial" w:hAnsi="Arial"/>
                <w:sz w:val="18"/>
                <w:szCs w:val="18"/>
                <w:b w:val="1"/>
                <w:bCs w:val="1"/>
                <w:color w:val="auto"/>
              </w:rPr>
              <w:t>Increase /</w:t>
            </w:r>
          </w:p>
        </w:tc>
        <w:tc>
          <w:tcPr>
            <w:tcW w:w="0" w:type="dxa"/>
            <w:vAlign w:val="bottom"/>
          </w:tcPr>
          <w:p>
            <w:pPr>
              <w:spacing w:after="0"/>
              <w:rPr>
                <w:sz w:val="1"/>
                <w:szCs w:val="1"/>
                <w:color w:val="auto"/>
              </w:rPr>
            </w:pPr>
          </w:p>
        </w:tc>
      </w:tr>
      <w:tr>
        <w:trPr>
          <w:trHeight w:val="237"/>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reimbursable expenses)</w:t>
            </w:r>
          </w:p>
        </w:tc>
        <w:tc>
          <w:tcPr>
            <w:tcW w:w="380" w:type="dxa"/>
            <w:vAlign w:val="bottom"/>
          </w:tcPr>
          <w:p>
            <w:pPr>
              <w:spacing w:after="0"/>
              <w:rPr>
                <w:sz w:val="20"/>
                <w:szCs w:val="20"/>
                <w:color w:val="auto"/>
              </w:rPr>
            </w:pPr>
          </w:p>
        </w:tc>
        <w:tc>
          <w:tcPr>
            <w:tcW w:w="2440" w:type="dxa"/>
            <w:vAlign w:val="bottom"/>
            <w:gridSpan w:val="2"/>
          </w:tcPr>
          <w:p>
            <w:pPr>
              <w:jc w:val="right"/>
              <w:ind w:right="111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2024</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269,028</w:t>
            </w:r>
          </w:p>
        </w:tc>
        <w:tc>
          <w:tcPr>
            <w:tcW w:w="1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66.8%</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248,605</w:t>
            </w: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66.9%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20,423</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9,250</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9,427</w:t>
            </w:r>
          </w:p>
        </w:tc>
        <w:tc>
          <w:tcPr>
            <w:tcW w:w="40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80,217</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71,410</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Other gains, net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(15,917)</w:t>
            </w:r>
          </w:p>
        </w:tc>
        <w:tc>
          <w:tcPr>
            <w:tcW w:w="40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15,846</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44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4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366,101</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91.0%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321,614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Direct costs increased $ 20.4 million, or 8.2%, to $ 269.0 million for the second quarter of 2025 from $248.6 million for the second quarter of 2024. The $20.4 million increase primarily related to a $ 12.7 million increase in compensation costs for our revenue-generating professionals and a $5.7 million increase in contractor expenses. The increase in compensation costs reflects our investment to grow our talented team to meet increased market demand and is primarily attributable to a $ 15.4 million increase in salaries and related expenses driven by increased headcount and annual salary increases that went into effect in the first quarter of 2025 and a $1.1 million increase in signing, retention and other bonus expense; partially offset by a $2.9 million decrease in performance bonus expense. As a percentage of revenues before reimbursable expenses, direct costs decreased to 66.8% during the second quarter of 2025, compared to 66.9% during the second quarter of 2024. This decrease was primarily due to the decrease in performance bonus expense for our revenue-generating professionals; largely offset by an increase in contractor expenses, as a percentage of revenues before reimbursable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6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Selling, general and administrative expenses increased by $8.8 million, or 12.3%, to $ 80.2 million in the second quarter of 2025 from $71.4 million in the second quarter of 2024. The $8.8 million increase includes a $ 4.6 million increase in compensation costs for our support personnel; a $1.4 million increase in software and data hosting expenses; a $1.2 million increase in legal expenses, driven by professional fees for our programmatic acquisition activity; and a $1.0 million increase in promotion and marketing expenses. These increases were partially offset by a $2.2 million decrease in bad debt expense. The $4.6 million increase in compensation costs for our support personnel was driven by a $3.0 million increase in deferred compensation expense attributable to the change in market value of our deferred compensation liability and a $2.3 million increase in salaries and related expenses. The increase in deferred compensation expense is offset by an increase in the gain recognized for the change in the market value of investments that are used to fund our deferred compensation liability and recognized in other income (expense), net. As a percentage of revenues before reimbursable expenses, selling, general and administrative expenses increased to 19.9% during the second quarter of 2025, compared to 19.2% during the second quarter of 2024, which was primarily driven by the increase in our deferred compensation expense attributable to the change in market value of our deferred compensation liability, as a percentage of revenues before reimbursable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 Net</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gains, net totaled $0.1 million in the second quarter of 2025 compared to $15.9 million in the second quarter of 2024. The $0.1 million of other gains, net in the second quarter of 2025 consisted of a remeasurement gain to decrease the fair value of a contingent consideration liability related to business combinations. The $15.9 million of other gains, net in the second quarter of 2024 consisted of a pre-tax $15.0 million litigation settlement gain for a completed legal matter in which Huron was the plaintiff, as well as $0.9 million of remeasurement gains to decrease the fair value of our contingent consideration liabilities related to business combinations.</w:t>
      </w:r>
    </w:p>
    <w:p>
      <w:pPr>
        <w:spacing w:after="0" w:line="1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See Note 11 “Fair Value of Financial Instruments” within the notes to our consolidated financial statements for additional information on the fair value of contingent consideration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69"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Restructuring charges for the second quarter of 2025 were $0.6 million, compared to $2.1 million for the second quarter of 2024. The $0.6 million of restructuring charges recognized in the second quarter of 2025 primarily consisted of rent and related expenses, net of sublease income, for our previously vacated office spaces.</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$2.1 million of restructuring charges recognized in the second quarter of 2024 included a $ 1.4 million non-cash impairment charge on the right-of-use operating lease asset and fixed assets for the office space previously occupied by GG+A, which we exited in the second quarter of 2024. Additionally, in the second quarter of 2024, we recognized $0.6 million of restructuring expense for rent and related expenses, net of sublease income, for our previously vacated office spaces.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6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Depreciation and amortization expense increased $1.1 million, or 18.0%, to $7.1 million in the second quarter of 2025, compared to $6.0 million in the second quarter of 2024. The $1.1 million increase in depreciation and amortization expense was primarily attributable to increases in amortization of intangible assets acquired in business acquisitions and internally developed software.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Operating income decreased $13.7 million, or 23.1%, to $45.7 million in the second quarter of 2025 from $59.4 million in the second quarter of 2024. Operating margin, which is defined as operating income expressed as a percentage of revenues before reimbursable expenses was 11.3% for the three months ended June 30, 2025, compared to 16.0% for the three months ended June 30,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and operating margin for each of our segments as well as unallocated corporate expenses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 June 30,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59,651</w:t>
            </w: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55,246</w:t>
            </w: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32,329</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30,792</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12,507</w:t>
            </w: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9,015</w:t>
            </w: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r>
      <w:tr>
        <w:trPr>
          <w:trHeight w:val="270"/>
        </w:trPr>
        <w:tc>
          <w:tcPr>
            <w:tcW w:w="4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Unallocated Corporate Expenses (in</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thousands)</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2"/>
        </w:trPr>
        <w:tc>
          <w:tcPr>
            <w:tcW w:w="4020" w:type="dxa"/>
            <w:vAlign w:val="bottom"/>
          </w:tcPr>
          <w:p>
            <w:pPr>
              <w:ind w:left="20"/>
              <w:spacing w:after="0"/>
              <w:rPr>
                <w:sz w:val="20"/>
                <w:szCs w:val="20"/>
                <w:color w:val="auto"/>
              </w:rPr>
            </w:pPr>
            <w:r>
              <w:rPr>
                <w:rFonts w:ascii="Arial" w:cs="Arial" w:eastAsia="Arial" w:hAnsi="Arial"/>
                <w:sz w:val="18"/>
                <w:szCs w:val="18"/>
                <w:color w:val="auto"/>
              </w:rPr>
              <w:t>Unallocated corporate expenses</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54,281</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45,626</w:t>
            </w:r>
          </w:p>
        </w:tc>
        <w:tc>
          <w:tcPr>
            <w:tcW w:w="10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8,655</w:t>
            </w:r>
          </w:p>
        </w:tc>
      </w:tr>
    </w:tbl>
    <w:p>
      <w:pPr>
        <w:spacing w:after="0" w:line="228" w:lineRule="exact"/>
        <w:rPr>
          <w:sz w:val="20"/>
          <w:szCs w:val="20"/>
          <w:color w:val="auto"/>
        </w:rPr>
      </w:pPr>
    </w:p>
    <w:p>
      <w:pPr>
        <w:ind w:left="660" w:hanging="328"/>
        <w:spacing w:after="0" w:line="256" w:lineRule="auto"/>
        <w:tabs>
          <w:tab w:leader="none" w:pos="669"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increased $4.4 million, or 8.0%, primarily due to the increase in revenues before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as well as decreases in bad debt expense and salaries and related expenses for our support personnel; partially offset by increases in compensation costs for our revenue-generating professionals and contractor expenses. The increase in compensation costs for our revenue-generating professionals was primarily driven by an increase in headcount and annual salary increases that went into effect in the first quarter of 2025. Healthcare operating margin increased to 30.2% from 29.1% primarily due to the decreases in bad debt expense and salaries and related expenses for our support personnel; partially off by an increase in contractor expenses, as a percentage of revenues before reimbursable expenses.</w:t>
      </w:r>
    </w:p>
    <w:p>
      <w:pPr>
        <w:spacing w:after="0" w:line="128" w:lineRule="exact"/>
        <w:rPr>
          <w:rFonts w:ascii="Arial" w:cs="Arial" w:eastAsia="Arial" w:hAnsi="Arial"/>
          <w:sz w:val="18"/>
          <w:szCs w:val="18"/>
          <w:b w:val="1"/>
          <w:bCs w:val="1"/>
          <w:i w:val="1"/>
          <w:iCs w:val="1"/>
          <w:color w:val="auto"/>
        </w:rPr>
      </w:pPr>
    </w:p>
    <w:p>
      <w:pPr>
        <w:ind w:left="660" w:right="20" w:hanging="328"/>
        <w:spacing w:after="0" w:line="254" w:lineRule="auto"/>
        <w:tabs>
          <w:tab w:leader="none" w:pos="669"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$1.5 million, or 5.0%, primarily due to the increase in revenues before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a decrease in performance bonus expense for our revenue-generating professionals; partially offset by increases in salaries and related expenses for our revenue-generating professionals and support personnel, project costs, contractor expenses, and amortization of internally developed software. The increases in salaries and related expenses for our revenue-generating professionals and support personnel were primarily driven by an increase in headcount and annual salary increases that went into effect in the first quarter of 2025. Education operating margin decreased to 25.0% from 25.1% primarily driven by the increases in project costs, salaries and related expenses for our support personnel, amortization of internally developed software, and contractor expenses, as percentages of revenues before reimbursable expenses; largely offset by revenue growth that outpaced the increase in salaries and related expenses for our revenue-generating professionals and the decrease in performance bonus expenses for our revenue-generating professionals.</w:t>
      </w:r>
    </w:p>
    <w:p>
      <w:pPr>
        <w:spacing w:after="0" w:line="131" w:lineRule="exact"/>
        <w:rPr>
          <w:rFonts w:ascii="Arial" w:cs="Arial" w:eastAsia="Arial" w:hAnsi="Arial"/>
          <w:sz w:val="18"/>
          <w:szCs w:val="18"/>
          <w:b w:val="1"/>
          <w:bCs w:val="1"/>
          <w:i w:val="1"/>
          <w:iCs w:val="1"/>
          <w:color w:val="auto"/>
        </w:rPr>
      </w:pPr>
    </w:p>
    <w:p>
      <w:pPr>
        <w:ind w:left="660" w:right="20" w:hanging="328"/>
        <w:spacing w:after="0" w:line="256" w:lineRule="auto"/>
        <w:tabs>
          <w:tab w:leader="none" w:pos="669"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increased $3.5 million, or 38.7%, primarily due to the increase in revenues before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partially offset by increases in compensation costs for our revenue-generating professionals and contractor expenses. The increase in compensation costs was primarily due to the increased headcount, driven by our acquisition of AXIA Consulting, and annual salary increases that went into effect in the first quarter of 2025; partially offset by a decrease in performance bonus expense. Commercial operating margin increased to 16.6% from 15.3% primarily due revenue growth that outpaced the increases in compensation costs for our revenue-generating professionals; partially offset by an increase in contractor expenses, as a percentage of revenues before reimbursable expenses.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60" w:hanging="328"/>
        <w:spacing w:after="0" w:line="257"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Unallocated corporate expenses </w:t>
      </w:r>
      <w:r>
        <w:rPr>
          <w:rFonts w:ascii="Arial" w:cs="Arial" w:eastAsia="Arial" w:hAnsi="Arial"/>
          <w:sz w:val="18"/>
          <w:szCs w:val="18"/>
          <w:color w:val="auto"/>
        </w:rPr>
        <w:t>increased $8.7 million, or 19.0%, primarily due to increases in compensation costs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personnel, legal expenses, and third-party professional fees. The increase in compensation costs for our support personnel was primarily driven by an increase in deferred compensation expense attributable to the change in market value of our deferred compensation liability and an increase in headcount and annual salary increases that went into effect in the first quarter of 2025. The increases in legal expenses and third-party professional fees was primarily driven by professional fees for our programmatic acquisition activity.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Interest expense, net of interest income increased $1.3 million to $ 9.3 million in the second quarter of 2025 from $8.0 million in the second quarter of 2024, which was primarily attributable to higher levels of borrowing and higher interest rates under our Amended Credit Facility during the second quarter of 2025 compared to the second quarter of 2024. See “Liquidity and Capital Resources” below and Note 8 “Financing Arrangements” within the notes to our consolidated financial statements for additional information about our Amended Credit Facility.</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 income (expense), net totaled expense of $8.7 million in the second quarter of 2025, compared to income of $0.6 million in the second quarter of 2024. In the second quarter of 2025, we recognized a pre-tax $11.1 million non-cash credit-related impairment charge related to our convertible debt investment in a third-party, a non-cash impairment charge of $0.8 million on our equity investment in a hospital-at-home company, and $0.2 million of foreign currency transaction losses. These losses were offset by a $3.5 million gain for the market value of our investments that are used to fund our deferred compensation liability. In the second quarter of 2024, we recognized a $0.5 million gain for the market value of our deferred compensation investments and $0.1 million of foreign currency transaction gains. The change in the market value of our investments that are used to fund our deferred compensation liability are offset with deferred compensation expense which is recognized as a component of selling, general and administrative expenses on our consolidated statements of operations. See Note 11 “Fair Value of Financial Instruments” within the notes to our consolidated financial statements for additional information on our convertible debt and equity investments. See Note 10 “Derivative Instruments and Hedging Activity” within the notes to our consolidated financial statements for additional information on our foreign exchange forward contracts.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June 30, 2025, our effective tax rate was 29.9% as we recognized income tax expense of $8.3 million on income of $27.7 million. The effective tax rate of 29.9% was less favorable than the statutory rate, inclusive of state income taxes, of 26.0%, primarily due to the establishment of a valuation allowance for a deferred tax asset recorded as the result of the capital loss on our investment in a hospital-at-home company as well as certain nondeductible expense items, partially offset by a tax benefit related to non-taxable gains on our investments used to fund our deferred compensation liability.</w:t>
      </w:r>
    </w:p>
    <w:p>
      <w:pPr>
        <w:spacing w:after="0" w:line="1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three months ended June 30, 2024, our effective tax rate was 28.1% as we recognized income tax expense of $14.6 million on income of $52.1 million. The effective tax rate of 28.1% was less favorable than the statutory rate, inclusive of state income taxes, of 26.1%, primarily due to certain nondeductible expense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income decreased $18.1 million, or 48.2%, to $ 19.4 million for the three months ended June 30, 2025 from $37.5 million for the same period last year driven by the $11.1 million litigation settlement gain, net of tax, recognized in the second quarter 2024 related to a completed legal matter in which Huron was the plaintiff and the $8.2 million non-cash credit-related impairment charge, net of tax, recognized in the second quarter of 2025 related to our convertible debt investment in a third-party. Diluted earnings per share for the second quarter of 2025 decreased to $1.09 from $2.03 for the second quarter of 2024; driven by the decrease in net income, partially offset by a reduction in diluted shares outstanding resulting from share repurchases made under our share repurchase plan. The non-cash credit-related impairment charge on our convertible debt investment had an unfavorable $0.46 impact on diluted EPS during the second quarter of 2025, while the litigation settlement gain related to a completed legal matter in which Huron was the plaintiff had a favorable $0.60 impact on diluted EPS for the prior year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EBITDA decreased $22.0 million, or 33.2%, to $44.3 million for the second quarter of 2025 from $66.3 million for the second quarter of 2024. The decrease in EBITDA was primarily attributable to the pre-tax $ 15.0 million litigation settlement gain recognized in the second quarter of 2024 for a completed legal matter in which Huron was the plaintiff, the pre-tax $11.1 million non-cash credit-related impairment charge related to our convertible debt investment in a third-party, and the increase in unallocated corporate expenses, excluding the impact of the change in the market value of our deferred compensation liability; partially offset by the increases in segment operating income for all three operating segments, excluding segment depreciation and amortization.</w:t>
      </w:r>
    </w:p>
    <w:p>
      <w:pPr>
        <w:spacing w:after="0" w:line="12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Adjusted EBITDA increased $4.9 million, or 8.8%, to $60.6 million in the second quarter of 2025 from $55.7 million in the second quarter of 2024. The increase in adjusted EBITDA was primarily attributable to the increases in segment operating income for all three operating segments, excluding segment depreciation and amortization and segment restructuring charges; partially offset by the increase in unallocated corporate expenses, excluding the impact of the change in the market value of our deferred compensation liability and transaction-related expenses.</w:t>
      </w:r>
    </w:p>
    <w:p>
      <w:pPr>
        <w:sectPr>
          <w:pgSz w:w="11900" w:h="16838" w:orient="portrait"/>
          <w:cols w:equalWidth="0" w:num="1">
            <w:col w:w="11240"/>
          </w:cols>
          <w:pgMar w:left="320" w:top="122" w:right="339" w:bottom="567"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567"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and Adjusted Earnings per Share</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Adjusted net income increased $2.7 million, or 8.8%, to $33.7 million in the second quarter of 2025, compared to $30.9 million in the second quarter of 2024. As a result of the increase in adjusted net income as well as a reduction in diluted shares outstanding resulting from share repurchases made under our share repurchase plan, adjusted diluted earnings per share increased to $1.89 for the second quarter of 2025 compared to $1.68 for the second quarter of 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2025 Compared to Six Months Ended June 30,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before Reimbursable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before reimbursable expenses by segment and capability for the six months ended June 30, 2025 and 2024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17"/>
                <w:szCs w:val="17"/>
                <w:color w:val="auto"/>
              </w:rPr>
            </w:pPr>
          </w:p>
        </w:tc>
        <w:tc>
          <w:tcPr>
            <w:tcW w:w="2440" w:type="dxa"/>
            <w:vAlign w:val="bottom"/>
            <w:gridSpan w:val="3"/>
            <w:vMerge w:val="restart"/>
          </w:tcPr>
          <w:p>
            <w:pPr>
              <w:jc w:val="right"/>
              <w:ind w:right="4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before Reimbursable Expenses (in thousands)</w:t>
            </w:r>
          </w:p>
        </w:tc>
        <w:tc>
          <w:tcPr>
            <w:tcW w:w="2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396,312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370,840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25,472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252,049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17,713</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149,834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122,439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27,395</w:t>
            </w:r>
          </w:p>
        </w:tc>
        <w:tc>
          <w:tcPr>
            <w:tcW w:w="14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 before reimbursable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798,195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727,615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70,580</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453,043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419,898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33,145</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345,152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307,717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37,435</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 before reimbursable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798,195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727,615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Revenues before reimbursable expenses increased $70.6 million, or 9.7%, to $798.2 million for the first six months of 2025 from $ 727.6 million for the first six months of 2024. The overall increase in revenues before reimbursable expenses reflects continued strength in demand for our Digital capabilities within our Commercial and Education segments and our Consulting and Managed Services capabilities within our Healthcare and Education segments. The increase includes $24.9 million of incremental revenues before reimbursable expenses from our acquisition of AXIA Consulting in December 2024. These increases were partially offset by decreases in demand for our Consulting and Managed Services capability within our Commercial segment and our Digital capability within our Healthcare segment. Additional information on our revenues before reimbursable expenses by segment follows.</w:t>
      </w:r>
    </w:p>
    <w:p>
      <w:pPr>
        <w:spacing w:after="0" w:line="129" w:lineRule="exact"/>
        <w:rPr>
          <w:sz w:val="20"/>
          <w:szCs w:val="20"/>
          <w:color w:val="auto"/>
        </w:rPr>
      </w:pPr>
    </w:p>
    <w:p>
      <w:pPr>
        <w:ind w:left="660" w:right="260" w:hanging="328"/>
        <w:spacing w:after="0" w:line="256" w:lineRule="auto"/>
        <w:tabs>
          <w:tab w:leader="none" w:pos="669"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before reimbursable expenses increased $25.5 million, or 6.9%, driven by continued strength in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our performance improvement and financial advisory solutions within our Consulting and Managed Services capability. These increases were partially offset by a decrease in revenues before reimbursable expenses due to the divestiture of our Studer Education practice in the fourth quarter of 2024 and a decrease in revenues before reimbursable expenses for our technology and analytics services within our Digital capability. The Studer Education business generated $6.9 million of revenues before reimbursable expenses in the first six months of 2024. Revenues before reimbursable expenses in the first six months of 2025 included $0.8 million of incremental revenues from our acquisitions of AXIA Consulting and Eclipse Insights.</w:t>
      </w:r>
    </w:p>
    <w:p>
      <w:pPr>
        <w:spacing w:after="0" w:line="128"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number of revenue-generating professionals, excluding Managed Services professionals, within our Healthcare segment grew</w:t>
      </w:r>
    </w:p>
    <w:p>
      <w:pPr>
        <w:spacing w:after="0" w:line="27" w:lineRule="exact"/>
        <w:rPr>
          <w:rFonts w:ascii="Arial" w:cs="Arial" w:eastAsia="Arial" w:hAnsi="Arial"/>
          <w:sz w:val="18"/>
          <w:szCs w:val="18"/>
          <w:b w:val="1"/>
          <w:bCs w:val="1"/>
          <w:i w:val="1"/>
          <w:iCs w:val="1"/>
          <w:color w:val="auto"/>
        </w:rPr>
      </w:pPr>
    </w:p>
    <w:p>
      <w:pPr>
        <w:ind w:left="660" w:right="180"/>
        <w:spacing w:after="0" w:line="266" w:lineRule="auto"/>
        <w:rPr>
          <w:rFonts w:ascii="Arial" w:cs="Arial" w:eastAsia="Arial" w:hAnsi="Arial"/>
          <w:sz w:val="18"/>
          <w:szCs w:val="18"/>
          <w:b w:val="1"/>
          <w:bCs w:val="1"/>
          <w:i w:val="1"/>
          <w:iCs w:val="1"/>
          <w:color w:val="auto"/>
        </w:rPr>
      </w:pPr>
      <w:r>
        <w:rPr>
          <w:rFonts w:ascii="Arial" w:cs="Arial" w:eastAsia="Arial" w:hAnsi="Arial"/>
          <w:sz w:val="18"/>
          <w:szCs w:val="18"/>
          <w:color w:val="auto"/>
        </w:rPr>
        <w:t>8.7% to 1,329 as of June 30, 2025, compared to 1,223 as of June 30, 2024. Our acquisition of Eclipse Insights in June 2025 added approximately 40 revenue-generating professionals.</w:t>
      </w:r>
    </w:p>
    <w:p>
      <w:pPr>
        <w:spacing w:after="0" w:line="117" w:lineRule="exact"/>
        <w:rPr>
          <w:rFonts w:ascii="Arial" w:cs="Arial" w:eastAsia="Arial" w:hAnsi="Arial"/>
          <w:sz w:val="18"/>
          <w:szCs w:val="18"/>
          <w:b w:val="1"/>
          <w:bCs w:val="1"/>
          <w:i w:val="1"/>
          <w:iCs w:val="1"/>
          <w:color w:val="auto"/>
        </w:rPr>
      </w:pPr>
    </w:p>
    <w:p>
      <w:pPr>
        <w:ind w:left="660" w:right="20" w:hanging="328"/>
        <w:spacing w:after="0" w:line="262" w:lineRule="auto"/>
        <w:tabs>
          <w:tab w:leader="none" w:pos="669"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revenues before reimbursable expenses increased $17.7 million, or 7.6%, driven by continued strength in demand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and operations solution within our Consulting and Managed Services capability and our software products within our Digital capability, as well as $6.1 million of incremental revenues before reimbursable expenses from our acquisitions of GG+A, Advancement Resources, AXIA Consulting, and Halpin.</w:t>
      </w:r>
    </w:p>
    <w:p>
      <w:pPr>
        <w:spacing w:after="0" w:line="12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Education segment, excluding Managed Services professionals, grew</w:t>
      </w:r>
    </w:p>
    <w:p>
      <w:pPr>
        <w:spacing w:after="0" w:line="27" w:lineRule="exact"/>
        <w:rPr>
          <w:rFonts w:ascii="Arial" w:cs="Arial" w:eastAsia="Arial" w:hAnsi="Arial"/>
          <w:sz w:val="18"/>
          <w:szCs w:val="18"/>
          <w:b w:val="1"/>
          <w:bCs w:val="1"/>
          <w:color w:val="auto"/>
        </w:rPr>
      </w:pPr>
    </w:p>
    <w:p>
      <w:pPr>
        <w:ind w:left="660" w:right="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4.8% to 1,169 as of June 30, 2025, compared to 1,115 as of June 30, 2024. Our acquisitions of Advancement Resources and Halpin in March 2025 added approximately 30 revenue-generating professionals.</w:t>
      </w:r>
    </w:p>
    <w:p>
      <w:pPr>
        <w:spacing w:after="0" w:line="117" w:lineRule="exact"/>
        <w:rPr>
          <w:rFonts w:ascii="Arial" w:cs="Arial" w:eastAsia="Arial" w:hAnsi="Arial"/>
          <w:sz w:val="18"/>
          <w:szCs w:val="18"/>
          <w:b w:val="1"/>
          <w:bCs w:val="1"/>
          <w:color w:val="auto"/>
        </w:rPr>
      </w:pPr>
    </w:p>
    <w:p>
      <w:pPr>
        <w:ind w:left="660" w:right="60" w:hanging="328"/>
        <w:spacing w:after="0" w:line="282" w:lineRule="auto"/>
        <w:tabs>
          <w:tab w:leader="none" w:pos="669"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 xml:space="preserve">Commercial </w:t>
      </w:r>
      <w:r>
        <w:rPr>
          <w:rFonts w:ascii="Arial" w:cs="Arial" w:eastAsia="Arial" w:hAnsi="Arial"/>
          <w:sz w:val="17"/>
          <w:szCs w:val="17"/>
          <w:color w:val="auto"/>
        </w:rPr>
        <w:t>revenues before reimbursable expenses increased $27.4 million, or 22.4%, which included $23.5 million of incremental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revenues before reimbursable expenses from our acquisition of AXIA Consulting completed in December 2024 and strengthened demand for our technology and analytics services within our Digital capability. These increases were partially offset by decreases in demand for our financial advisory and strategy and innovation solutions within our Consulting and Managed Services capability.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The number of revenue-generating professionals within our Commercial segment, the majority of which provide services across all of our industries, grew 8.8% to 2,465 as of June 30, 2025, compared to 2,266 as of June 30, 2024, including our acquisition of AXIA Consulting in December 2024 which added approximately 130 revenue-generating professionals.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first six months of 2025 increased $72.4 million, or 10.9%, over the first six months of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before reimbursable expenses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 June 30,</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40" w:type="dxa"/>
            <w:vAlign w:val="bottom"/>
            <w:gridSpan w:val="2"/>
            <w:vMerge w:val="restart"/>
          </w:tcPr>
          <w:p>
            <w:pPr>
              <w:ind w:left="20"/>
              <w:spacing w:after="0" w:line="176" w:lineRule="exact"/>
              <w:rPr>
                <w:sz w:val="20"/>
                <w:szCs w:val="20"/>
                <w:color w:val="auto"/>
              </w:rPr>
            </w:pPr>
            <w:r>
              <w:rPr>
                <w:rFonts w:ascii="Arial" w:cs="Arial" w:eastAsia="Arial" w:hAnsi="Arial"/>
                <w:sz w:val="18"/>
                <w:szCs w:val="18"/>
                <w:b w:val="1"/>
                <w:bCs w:val="1"/>
                <w:color w:val="auto"/>
              </w:rPr>
              <w:t>amounts as a percentage of revenues before</w:t>
            </w: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vMerge w:val="restart"/>
          </w:tcPr>
          <w:p>
            <w:pPr>
              <w:jc w:val="right"/>
              <w:ind w:right="190"/>
              <w:spacing w:after="0" w:line="176" w:lineRule="exact"/>
              <w:rPr>
                <w:sz w:val="20"/>
                <w:szCs w:val="20"/>
                <w:color w:val="auto"/>
              </w:rPr>
            </w:pPr>
            <w:r>
              <w:rPr>
                <w:rFonts w:ascii="Arial" w:cs="Arial" w:eastAsia="Arial" w:hAnsi="Arial"/>
                <w:sz w:val="18"/>
                <w:szCs w:val="18"/>
                <w:b w:val="1"/>
                <w:bCs w:val="1"/>
                <w:color w:val="auto"/>
              </w:rPr>
              <w:t>Increase /</w:t>
            </w:r>
          </w:p>
        </w:tc>
        <w:tc>
          <w:tcPr>
            <w:tcW w:w="0" w:type="dxa"/>
            <w:vAlign w:val="bottom"/>
          </w:tcPr>
          <w:p>
            <w:pPr>
              <w:spacing w:after="0"/>
              <w:rPr>
                <w:sz w:val="1"/>
                <w:szCs w:val="1"/>
                <w:color w:val="auto"/>
              </w:rPr>
            </w:pPr>
          </w:p>
        </w:tc>
      </w:tr>
      <w:tr>
        <w:trPr>
          <w:trHeight w:val="102"/>
        </w:trPr>
        <w:tc>
          <w:tcPr>
            <w:tcW w:w="40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2025</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2024</w:t>
            </w: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reimbursable expenses)</w:t>
            </w:r>
          </w:p>
        </w:tc>
        <w:tc>
          <w:tcPr>
            <w:tcW w:w="3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547,071</w:t>
            </w: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68.5%</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501,908</w:t>
            </w: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69.0%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45,163</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17,695</w:t>
            </w:r>
          </w:p>
        </w:tc>
        <w:tc>
          <w:tcPr>
            <w:tcW w:w="28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17,011</w:t>
            </w:r>
          </w:p>
        </w:tc>
        <w:tc>
          <w:tcPr>
            <w:tcW w:w="40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156,851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144,110</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Other gains, net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(14,349)</w:t>
            </w:r>
          </w:p>
        </w:tc>
        <w:tc>
          <w:tcPr>
            <w:tcW w:w="40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14,278</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14,066</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12,005</w:t>
            </w:r>
          </w:p>
        </w:tc>
        <w:tc>
          <w:tcPr>
            <w:tcW w:w="4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737,510</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92.4%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665,078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Direct costs increased $ 45.2 million, or 9.0%, to $ 547.1 million for the first six months of 2025 from $501.9 million for the first six months of 2024. The $45.2 million increase primarily related to a $38.1 million increase in compensation costs for our revenue-generating professionals, a $5.3 million increase in contractor expenses, and a $1.4 million increase in technology costs. The increase in compensation costs reflects our investment to grow our talented team to meet increased market demand and is primarily attributable to a $31.9 million increase in salaries and related expenses driven by increased headcount and annual salary increases that went into effect in the first quarter of 2025, a $4.7 million increase in performance bonus expense and a $1.4 million increase in signing, retention and other bonus expense. As a percentage of revenues before reimbursable expenses, direct costs decreased to 68.5% during the first six months of 2025, compared to 69.0% during the first six months of 2024. This decrease was primarily due to revenue growth that outpaced the increase in compensation costs for our revenue-generating professionals; partially offset by an increase in contractor expenses, as a percentage of revenues before reimbursable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6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general and administrative expenses increased by $12.7 million, or 8.8%, to $156.9 million in the first six months of 2025 from $144.1 million in the first six months of 2024. The $12.7 million increase includes a $7.4 million increase in compensation costs for our support personnel, a $3.5 million increase in software and data hosting expenses, a $1.4 million increase in promotion and marketing expenses, a $1.1 million increase in severance expenses, and a $1.0 million increase in third-party professional fees; partially offset by a $2.3 million decrease in legal expenses and a $2.0 million decrease in bad debt expense. The $7.4 million increase in compensation costs for our support personnel was driven by a $6.4 million increase in salaries and related expenses and a $1.9 million increase in performance bonus expense. As a percentage of revenues before reimbursable expenses, selling, general and administrative expenses decreased to 19.7% during the first six months of 2025, compared to 19.8% during the first six months of 2024, which was primarily driven by the decreases in legal expenses and bad debt expense; largely offset by the increase in software and data hosting expenses, as a percentage of revenues before reimbursable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 Net</w:t>
      </w:r>
    </w:p>
    <w:p>
      <w:pPr>
        <w:spacing w:after="0" w:line="169"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Other gains, net totaled $0.1 million in the first six months of 2025 and $14.3 million in the first six months of 2024. The $0.1 million of other gains, net in the first six months of 2025 consisted of a remeasurement gain to decrease the fair value of a contingent consideration liability related to business combinations. The $14.3 million of other gains, net in the first six months of 2024 primarily consisted of a pre-tax $15.0 million litigation settlement gain for a completed legal matter in which Huron was the plaintiff.</w:t>
      </w:r>
    </w:p>
    <w:p>
      <w:pPr>
        <w:spacing w:after="0" w:line="12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See Note 11 “Fair Value of Financial Instruments” within the notes to our consolidated financial statements for additional information on the fair value of contingent consideration liabilities.</w:t>
      </w:r>
    </w:p>
    <w:p>
      <w:pPr>
        <w:sectPr>
          <w:pgSz w:w="11900" w:h="16838" w:orient="portrait"/>
          <w:cols w:equalWidth="0" w:num="1">
            <w:col w:w="11240"/>
          </w:cols>
          <w:pgMar w:left="320" w:top="122" w:right="339" w:bottom="891"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891"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6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Restructuring charges for the first six months of 2025 were $1.9 million, compared to $4.4 million for the first six months of 2024. The $1.9 million of restructuring charges recognized in the first six months of 2025 primarily consisted of $1.0 million of rent and related expenses, net of sublease income, for our previously vacated office spaces and a $0.7 million non-cash lease impairment charge driven by updated sublease assumptions for a previously vacated office space.</w:t>
      </w:r>
    </w:p>
    <w:p>
      <w:pPr>
        <w:spacing w:after="0" w:line="1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$4.4 million of restructuring charges incurred in the first six months of 2024 included a $1.4 million non-cash impairment charge on the right-of-use operating lease asset and fixed assets for the office space previously occupied by GG+A, which we exited in the second quarter of 2024. Additionally, in the first six months of 2024, we recognized $1.1 million of rent and related expenses, net of sublease income, for previously vacated office spaces; $1.0 million of severance-related expenses; and $0.8 million related to non-cash lease impairment charges driven by updated sublease assumptions for our previously vacated office spaces.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Depreciation and amortization expense increased $2.1 million, or 17.2%, to $14.1 million for the first six months of 2025, compared to $12.0 million for the first six months of 2024. The $2.1 million increase in depreciation and amortization expense was primarily attributable to increases in amortization of internally developed software and intangible assets acquired in 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Operating income decreased $ 0.9 million, or 1.2%, to $78.4 million in the first six months of 2025 from $79.3 million in the first six months of 2024. Operating margin, which is defined as operating income expressed as a percentage of revenues before reimbursable expenses, decreased to 9.8% for the first six months of 2025, compared to 10.9% for the first six months of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and operating margin for each of our segments as well as unallocated corporate expenses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115,967</w:t>
            </w: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97,940</w:t>
            </w: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18,027</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55,389</w:t>
            </w: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52,748</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2,641</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23,803</w:t>
            </w: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23,054</w:t>
            </w: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57"/>
        </w:trPr>
        <w:tc>
          <w:tcPr>
            <w:tcW w:w="4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Unallocated Corporate Expenses (in</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thousands)</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2"/>
        </w:trPr>
        <w:tc>
          <w:tcPr>
            <w:tcW w:w="4020" w:type="dxa"/>
            <w:vAlign w:val="bottom"/>
          </w:tcPr>
          <w:p>
            <w:pPr>
              <w:ind w:left="20"/>
              <w:spacing w:after="0"/>
              <w:rPr>
                <w:sz w:val="20"/>
                <w:szCs w:val="20"/>
                <w:color w:val="auto"/>
              </w:rPr>
            </w:pPr>
            <w:r>
              <w:rPr>
                <w:rFonts w:ascii="Arial" w:cs="Arial" w:eastAsia="Arial" w:hAnsi="Arial"/>
                <w:sz w:val="18"/>
                <w:szCs w:val="18"/>
                <w:color w:val="auto"/>
              </w:rPr>
              <w:t>Unallocated corporate expenses</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106,652</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96,565</w:t>
            </w:r>
          </w:p>
        </w:tc>
        <w:tc>
          <w:tcPr>
            <w:tcW w:w="10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10,087</w:t>
            </w:r>
          </w:p>
        </w:tc>
      </w:tr>
    </w:tbl>
    <w:p>
      <w:pPr>
        <w:spacing w:after="0" w:line="228" w:lineRule="exact"/>
        <w:rPr>
          <w:sz w:val="20"/>
          <w:szCs w:val="20"/>
          <w:color w:val="auto"/>
        </w:rPr>
      </w:pPr>
    </w:p>
    <w:p>
      <w:pPr>
        <w:ind w:left="660" w:right="180" w:hanging="328"/>
        <w:spacing w:after="0" w:line="255" w:lineRule="auto"/>
        <w:tabs>
          <w:tab w:leader="none" w:pos="669"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increased $18.0 million, or 18.4%, primarily due to the increase in revenues before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as well as decreases in practice administration and meeting expenses, salaries and related expenses for our support personnel, and bad debt expense; partially offset by increases in compensation costs for our revenue-generating professionals and technology costs. The increases in compensation costs for our revenue-generating professionals were primarily driven by an increase in headcount and annual salary increases that went into effect in the first quarter of 2025, as well as an increase in performance bonus expense. Healthcare operating margin increased to 29.3% from 26.4% primarily due to revenue growth that outpaced the increase in salaries and related expenses for our revenue-generating professionals and decreases in salaries and related expenses for our support personnel and practice administration and meeting expenses.</w:t>
      </w:r>
    </w:p>
    <w:p>
      <w:pPr>
        <w:spacing w:after="0" w:line="130" w:lineRule="exact"/>
        <w:rPr>
          <w:rFonts w:ascii="Arial" w:cs="Arial" w:eastAsia="Arial" w:hAnsi="Arial"/>
          <w:sz w:val="18"/>
          <w:szCs w:val="18"/>
          <w:b w:val="1"/>
          <w:bCs w:val="1"/>
          <w:i w:val="1"/>
          <w:iCs w:val="1"/>
          <w:color w:val="auto"/>
        </w:rPr>
      </w:pPr>
    </w:p>
    <w:p>
      <w:pPr>
        <w:ind w:left="660" w:hanging="328"/>
        <w:spacing w:after="0" w:line="255" w:lineRule="auto"/>
        <w:tabs>
          <w:tab w:leader="none" w:pos="669"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$2.6 million, or 5.0%, primarily due to the increase in revenues before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partially offset by increases in compensation costs for our revenue-generating professionals and support personnel, amortization of internally developed software, practice administration and meeting expenses, contractor expenses, project costs, and promotion and marketing expenses. The increases in compensation costs for our revenue-generating professionals and support personnel were primarily driven by an increase in headcount and annual salary increases that went into effect in the first quarter of 2025. Education operating margin decreased to 22.0% from 22.5% primarily driven by the increases in salaries and related expenses for our support personnel, amortization of internally developed software, and practice administration and meeting expenses, as percentages of revenues before reimbursable expenses; partially offset by revenue growth that outpaced the increase in salaries and related expenses for our revenue-generating professionals.</w:t>
      </w:r>
    </w:p>
    <w:p>
      <w:pPr>
        <w:spacing w:after="0" w:line="126" w:lineRule="exact"/>
        <w:rPr>
          <w:rFonts w:ascii="Arial" w:cs="Arial" w:eastAsia="Arial" w:hAnsi="Arial"/>
          <w:sz w:val="18"/>
          <w:szCs w:val="18"/>
          <w:b w:val="1"/>
          <w:bCs w:val="1"/>
          <w:i w:val="1"/>
          <w:iCs w:val="1"/>
          <w:color w:val="auto"/>
        </w:rPr>
      </w:pPr>
    </w:p>
    <w:p>
      <w:pPr>
        <w:ind w:left="660" w:right="100" w:hanging="328"/>
        <w:spacing w:after="0" w:line="257" w:lineRule="auto"/>
        <w:tabs>
          <w:tab w:leader="none" w:pos="669"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increased $0.7 million, or 3.2%, primarily due to the increase in revenues before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largely offset by increases in compensation costs for our revenue-generating professionals and support personnel and contractor expenses. The increase in compensation costs for our revenue-generating professionals and support personnel was primarily due to the increased headcount, driven by our acquisition of AXIA Consulting, and annual salary increases that went into effect in the first quarter of 2025, as well as an increase in performance bonus expense. Commercial operating margin decreased to 15.9% from 18.8% primarily due</w:t>
      </w:r>
    </w:p>
    <w:p>
      <w:pPr>
        <w:sectPr>
          <w:pgSz w:w="11900" w:h="16838" w:orient="portrait"/>
          <w:cols w:equalWidth="0" w:num="1">
            <w:col w:w="11240"/>
          </w:cols>
          <w:pgMar w:left="320" w:top="122" w:right="339" w:bottom="1067"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067"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to the increases in contractor expenses and salaries and related expenses for our revenue-generating professionals, as percentages of revenues before reimbursable expenses, partially offset by revenue growth that outpaced the increase in performance bonus expense for our revenue-generating professionals.</w:t>
      </w:r>
    </w:p>
    <w:p>
      <w:pPr>
        <w:spacing w:after="0" w:line="117" w:lineRule="exact"/>
        <w:rPr>
          <w:sz w:val="20"/>
          <w:szCs w:val="20"/>
          <w:color w:val="auto"/>
        </w:rPr>
      </w:pPr>
    </w:p>
    <w:p>
      <w:pPr>
        <w:ind w:left="660" w:right="160" w:hanging="328"/>
        <w:spacing w:after="0" w:line="259"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Unallocated corporate expenses </w:t>
      </w:r>
      <w:r>
        <w:rPr>
          <w:rFonts w:ascii="Arial" w:cs="Arial" w:eastAsia="Arial" w:hAnsi="Arial"/>
          <w:sz w:val="18"/>
          <w:szCs w:val="18"/>
          <w:color w:val="auto"/>
        </w:rPr>
        <w:t>increased $10.1 million, or 10.4%, primarily due to increases in compensation costs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personnel, software and data hosting expenses, third-party professional fees, and practice administration and meeting expenses; partially offset by a decrease in legal expenses. The increase in compensation costs for our support personnel was primarily driven by an increase in headcount and annual salary increases that went into effect in the first quarter of 2025, as well as an increase in performance bonus expense.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expense, net of interest income increased $1.8 million to $14.9 million in the first six months of 2025 from $13.1 million in the first six months of 2024, which was primarily attributable to higher levels of borrowing and higher interest rates under our Amended Credit Facility during the first six months of 2025 compared to the first six months of 2024. See “Liquidity and Capital Resources” below and Note 8 “Financing Arrangements” within the notes to our consolidated financial statements for additional information about our senior secured credit facility.</w:t>
      </w:r>
    </w:p>
    <w:p>
      <w:pPr>
        <w:spacing w:after="0" w:line="1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income (expense), net totaled expense of $14.3 million in the first six months of 2025, compared to income of $3.4 million in the first six months of 2024. In the first six months of 2025, we recognized a pre-tax $11.1 million non-cash credit-related impairment charge related to our convertible debt investment in a third-party, non-cash impairment charges of $5.0 million on our equity investment in a hospital-at-home company and $0.6 million of foreign currency transaction losses; partially offset by a $2.5 million gain recognized for the market value of our investments that are used to fund our deferred compensation liability. In the first six months of 2024, we recognized a $2.8 million gain for the market value of our deferred compensation investments and $0.6 million of foreign currency transaction gains. The change in the market value of our investments that are used to fund our deferred compensation liability are offset with deferred compensation expense which is recognized as a component of selling, general and administrative expenses on our consolidated statements of operations. See Note 10 “Fair Value of Financial Instruments” within the notes to our consolidated financial statements for additional information on our convertible debt and equity investments. See Note 9 “Derivative Instruments and Hedging Activity” within the notes to our consolidated financial statements for additional information on our foreign exchange forward contracts.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six months ended June 30, 2025, our effective tax rate was 10.6% as we recognized income tax expense of $5.2 million on income of $49.2 million. The effective tax rate of 10.6% was more favorable than the statutory rate, inclusive of state income taxes, of 26.0%, primarily due to a discrete tax benefit for share-based compensation awards that vested during the first quarter of 2025. This favorable item was partially offset by the establishment of a valuation allowance for a deferred tax asset recorded as the result of the capital loss on our investment in a hospital-at-home company and certain nondeductible expenses.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six months ended June 30, 2024, our effective tax rate was 20.3% as we recognized income tax expense of $14.2 million on income of $69.7 million. The effective tax rate of 20.3% was more favorable than the statutory rate, inclusive of state income taxes, of 26.1%, primarily due to a discrete tax benefit for share-based compensation awards that vested during the first quarter of 2024 and a tax benefit related to non-taxable gains on our investments used to fund our deferred compensation liability. These favorable items were partially offset by certain nondeductible expense items.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income decreased $11.5 million, or 20.8%, to $44.0 million for the six months ended June 30, 2025 from $55.5 million for the same period last year, driven by the $11.1 million litigation settlement gain, net of tax, recognized in the second quarter 2024 related to a completed legal matter in which Huron was the plaintiff and the $8.2 million non-cash credit-related impairment charge, net of tax, recognized in the second quarter of 2025 related to our convertible debt investment in a third-party. Diluted earnings per share for the six months ended June 30, 2025 decreased to $2.42 compared to $2.96 for the six months ended June 30, 2024; driven by the decrease in net income, partially offset by a reduction in diluted shares outstanding resulting from share repurchases made under our share repurchase plan. The non-cash credit-related impairment charge on our convertible debt investment had an unfavorable $0.45 impact on diluted EPS during the first six months of 2025, while the litigation settlement gain related to a completed legal matter in which Huron was the plaintiff had a favorable $0.59 impact on diluted EPS for the prior year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EBITDA decreased $16.6 million, or 17.5%, to $ 78.6 million for the six months ended June 30, 2025 from $95.2 million for the six months ended June 30, 2024. The decrease in EBITDA was primarily attributable to the pre-tax $15.0 million litigation settlement gain recognized in the second quarter of 2024 for a completed legal matter in which Huron was the plaintiff; the pre-tax $11.1 million non-cash credit-related impairment charge, recognized in the second quarter of 2025 related to our convertible debt investment in a third-party; the increase in unallocated corporate expenses, excluding the impact of the change in the market value of our deferred compensation liability; and the $5.0 million of non-cash impairment charges recognized on our equity investment in a hospital-at-home company in the first six months of 2025. These decreases were partially offset by the increases in segment operating income for all three operating segments, excluding segment depreciation and amortization.</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Adjusted EBITDA increased $12.6 million, or 14.0%, to $102.1 million in the first six months of 2025 from $ 89.5 million in the first six months of 2024. The increase in adjusted EBITDA was primarily attributable to the increases in segment operating income for all three operating segments, excluding segment depreciation and amortization and segment restructuring charges; partially offset by the increase in unallocated corporate expenses, excluding the impacts of the change in the market value of our deferred compensation liability and transaction-related expenses.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Adjusted net income increased $10.6 million, or 19.5%, to $64.8 million in the first six months of 2025 compared to $54.2 million in the first six months of 2024. As a result of the increase in adjusted net income as well as a reduction in diluted shares outstanding resulting from share repurchases made under our share repurchase plan, adjusted diluted earnings per share increased to $3.57 for the six months ended June 30, 2025, compared to $2.89 for the six months ended June 30, 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and cash equivalents were $ 61.0 million and $21.9 million at June 30, 2025 and December 31, 2024, respectively. As of June 30, 2025, our primary sources of liquidity are cash on hand, cash flows from our U.S. operations, and borrowing capacity available under our credit facility.</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8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r>
      <w:tr>
        <w:trPr>
          <w:trHeight w:val="223"/>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2024</w:t>
            </w:r>
          </w:p>
        </w:tc>
      </w:tr>
      <w:tr>
        <w:trPr>
          <w:trHeight w:val="223"/>
        </w:trPr>
        <w:tc>
          <w:tcPr>
            <w:tcW w:w="8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(23,503)</w:t>
            </w:r>
          </w:p>
        </w:tc>
      </w:tr>
      <w:tr>
        <w:trPr>
          <w:trHeight w:val="230"/>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(39,677)</w:t>
            </w:r>
          </w:p>
        </w:tc>
      </w:tr>
      <w:tr>
        <w:trPr>
          <w:trHeight w:val="230"/>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68,726</w:t>
            </w:r>
          </w:p>
        </w:tc>
      </w:tr>
      <w:tr>
        <w:trPr>
          <w:trHeight w:val="229"/>
        </w:trPr>
        <w:tc>
          <w:tcPr>
            <w:tcW w:w="8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operating activities increased by $3.3 million to $26.8 million for the six months ended June 30, 2025 from $23.5 million for the six months ended June 30, 2024. The increase in net cash used in operating activities was primarily related to an increase in payments for salaries and related expenses for our revenue-generating professionals, an increase in the amount paid for annual performance bonuses in the first quarter of 2025 compared to the first quarter of 2024, and an increase in payments for selling, general and administrative expenses; partially offset by an increase in cash collections in the first six months of 2025.</w:t>
      </w:r>
    </w:p>
    <w:p>
      <w:pPr>
        <w:sectPr>
          <w:pgSz w:w="11900" w:h="16838" w:orient="portrait"/>
          <w:cols w:equalWidth="0" w:num="1">
            <w:col w:w="11240"/>
          </w:cols>
          <w:pgMar w:left="320" w:top="122" w:right="339" w:bottom="648"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648"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an equity investment in a hospital-at-home company, and investments in life insurance policies that are used to fund our deferred compensation liability.</w:t>
      </w:r>
    </w:p>
    <w:p>
      <w:pPr>
        <w:spacing w:after="0" w:line="1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Net cash used in investing activities was $ 70.1 million for the six months ended June 30, 2025, which primarily consisted of $53.1 million for purchases of businesses; $10.9 million for payments related to internally developed software to advance our Education and Healthcare software products; $3.9 million for purchases of property and equipment, primarily related to purchases of computers and related equipment and leasehold improvements for certain office spaces; and $2.3 million for contributions to our life insurance policies.</w:t>
      </w:r>
    </w:p>
    <w:p>
      <w:pPr>
        <w:spacing w:after="0" w:line="12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Net cash used in investing activities was $ 39.7 million for the six months ended June 30, 2024, which primarily consisted of $20.8 million for purchases of businesses; $14.1 million for payments related to internally developed software to advance our Healthcare and Education software products; $3.7 million for purchases of property and equipment, primarily related to purchases of computers and related equipment and leasehold improvements for certain office spaces; and $1.4 million for contributions to our life insurance policies.</w:t>
      </w:r>
    </w:p>
    <w:p>
      <w:pPr>
        <w:spacing w:after="0" w:line="20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2025 will total approximately $35 million to $40 million; primarily consisting of software development costs, information technology-related equipment to support our corporate infrastructure, and leasehold improvements and furniture and fixtures for certain office locations.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financing activities was $135.8 million for the six months ended June 30, 2025. During the six months ended June 30, 2025, we borrowed $552.0 million and made repayments on our borrowings of $251.9 million. The net borrowings of $300.1 million were primarily used to fund our operations, including our annual performance bonus payments in the first quarter of 2025, and our programmatic business acquisitions. Additionally, during the first six months of 2025, we paid $134.4 million for the settlement of share repurchases and we reacquired $32.5 million of common stock as a result of tax withholdings upon vesting of share-based compensation. These uses of cash for financing activities were partially offset by $2.6 million of cash received from stock option exercises in the first six months of 2025.</w:t>
      </w:r>
    </w:p>
    <w:p>
      <w:pPr>
        <w:spacing w:after="0" w:line="12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cash provided by financing activities was $68.7 million for the six months ended June 30, 2024. During the six months ended June 30, 2024, we borrowed $618.5 million and made repayments on our borrowings of $430.9 million. The borrowings and repayments during the first six months of 2024 include the $275.0 million Term Loan proceeds which were used to repay borrowings under the Revolver in the first quarter of 2024. The net borrowings of $187.6 million were primarily used to fund our operations including our annual performance bonus payments in the first quarter of 2024. Additionally, during the first six months of 2024, we paid $97.3 million for the settlement of share repurchases and we reacquired $21.1 million of common stock as a result of tax withholdings upon vesting of share-based compensation. We also made payments of $ 1.4 million for debt issuance costs related to the Term Loan. These uses of cash for financing activities were partially offset by $1.2 million cash received from stock option exercises in the first six months of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2025. The current authorization extends the share repurchase program through December 31, 2026 with a repurchase amount of $700 million, of which $131.3 million remains available as of June 30, 2025.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June 30, 2025, the Company had a $600 million senior secured revolving credit facility (the “Revolver”) and a $275 million senior secured term loan facility (the “Term Loan”), subject to the terms of the Third Amended and Restated Credit Agreement dated as of November 15, 2022 (as amended, the “Existing Credit Agreement”), both of which fully mature on November 15, 2027. In July 2025, the Company entered into the Fourth Amended and Restated Credit Agreement (the "Amended Credit Agreement”), which amended and restated, in its entirety, the Existing Credit Agreement.</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Borrowings outstanding under the Existing Credit Agreement at June 30, 2025 and December 31, 2024 totaled $657.8 million and</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$357.7 million, respectively. Of the $657.8 million outstanding as of June 30, 2025, $400.0 million was outstanding under the Revolver and $257.8 million was outstanding under the Term Loan. Of the $357.7 million outstanding as of December 31, 2024, $93.0 million was outstanding under the Revolver and $ 264.7 million was outstanding under the Term Loan. These borrowings carried a weighted average interest rate of 5.6% at June 30, 2025 and 4.7% at December 31, 2024, including the impact of the interest rate swaps described in Note 10 “Derivative Instruments and Hedging Activity” within the notes to the consolidated financial statements. As of June 30, 2025, the unused borrowing capacity under the Revolver was $199.6 million. Refer to Note 8 “Financing Arrangements” within the notes to the consolidated financial statements for additional information on the Existing Credit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Amended and Restated Credit Agreement</w:t>
      </w:r>
    </w:p>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Amended Credit Agreement established a $700 million senior secured revolving credit facility (the "Amended Revolver") and a $400 million senior secured term loan facility (the "Amended Term Loan"), both of which mature on July 30, 2030. The Amended Term Loan is subject to scheduled quarterly amortization payments of $5.0 million beginning September 30, 2025 and continue through the maturity date of July 30, 2030, at which time the outstanding principal balance and all accrued interest will be due.</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Fees and interest on borrowings under the Amended Credit Agreement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1.250% per annum and 1.875% per annum, in the case of Term SOFR borrowings, or between 0.250% per annum and 0.875% per annum, in the case of base rate loans, based upon our Consolidated Leverage Ratio at such time.</w:t>
      </w:r>
    </w:p>
    <w:p>
      <w:pPr>
        <w:spacing w:after="0" w:line="1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2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2" w:lineRule="exact"/>
        <w:rPr>
          <w:sz w:val="20"/>
          <w:szCs w:val="20"/>
          <w:color w:val="auto"/>
        </w:rPr>
      </w:pPr>
    </w:p>
    <w:p>
      <w:pPr>
        <w:ind w:right="40" w:firstLine="8"/>
        <w:spacing w:after="0" w:line="253" w:lineRule="auto"/>
        <w:tabs>
          <w:tab w:leader="none" w:pos="2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w:t>
      </w:r>
    </w:p>
    <w:p>
      <w:pPr>
        <w:spacing w:after="0" w:line="129" w:lineRule="exact"/>
        <w:rPr>
          <w:sz w:val="20"/>
          <w:szCs w:val="20"/>
          <w:color w:val="auto"/>
        </w:rPr>
      </w:pPr>
    </w:p>
    <w:p>
      <w:pPr>
        <w:jc w:val="both"/>
        <w:ind w:right="220"/>
        <w:spacing w:after="0" w:line="291"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spacing w:after="0" w:line="9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Refer to Note 8 “Financing Arrangements” within the notes to the consolidated financial statements for additional information on the Amended Credit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Financing Needs</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primary financing need is to fund our long-term growth. Our growth strategy is to expand our service offerings, which may require investments in new hires, acquisitions of complementary businesses, possible expansion into other geographic areas, and related capital expenditures.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w:t>
      </w:r>
    </w:p>
    <w:p>
      <w:pPr>
        <w:sectPr>
          <w:pgSz w:w="11900" w:h="16838" w:orient="portrait"/>
          <w:cols w:equalWidth="0" w:num="1">
            <w:col w:w="11240"/>
          </w:cols>
          <w:pgMar w:left="320" w:top="122" w:right="339" w:bottom="945"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945"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2024. There have been no material changes to our critical accounting policies during the six months ended June 30, 2025.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See Note 3 “New Accounting Pronouncements” within the notes to the consolidated financial statements for information on new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July 2025, we acquired TVG-Treliant Holdings, LLC., an advisory and managed services firm that provides expertise to the financial services industry in navigating regulatory requirements. Refer to Note 4 “Acquisitions” within the notes to the consolidated financial statements for additional information.</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July 2025, we entered into the Fourth Amended and Restated Credit Agreement which governs our senior secured credit facility. Refer to Note 8 “Financing Arrangements” within the notes to the consolidated financial statements for additional information.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exposure to changes in interest rates associated with borrowings under our senior secured credit facility. At our option, these borrowings bear interest at one, three or six month Term SOFR or, in the case of the Revolver, an alternate base rate. At June 30, 2025, we had borrowings outstanding under the credit facility totaling $657.8 million that carried a weighted average interest rate of 5.6%, including the impact of the interest rate swaps described below. A hypothetical 100 basis point change in the interest rate would have a $4.1 million effect on our pretax income on an annualized basis, including the effect of the interest rate swaps. At December 31, 2024, we had borrowings outstanding under the credit facility totaling $357.7 million that carried a weighted average interest rate of 4.7% including the impact of the interest rate swaps described below. A hypothetical 100 basis point change in the interest rate would have had a $1.1 million effect on our pretax income on an annualized basis, including the effect of the interest rate swaps.</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both June 30, 2025 and December 31, 2024, the aggregate notional amount of our forward interest rate swap agreements was $250.0 million. The outstanding interest rate swap agreements as of June 30, 2025 are scheduled to mature on a staggered basis through February 28, 2030.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7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have exposure to changes in foreign currency exchange rates associated with our operations in India and Canada. We hedge a portion of our cash flow exposure related to our INR-denominated intercompany expenses and our translation risk related to our USD-denominated intercompany receivables in Canada by entering into foreign exchange forward contracts.</w:t>
      </w:r>
    </w:p>
    <w:p>
      <w:pPr>
        <w:spacing w:after="0" w:line="11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i w:val="1"/>
          <w:iCs w:val="1"/>
          <w:color w:val="auto"/>
        </w:rPr>
        <w:t xml:space="preserve">Indian Rupee Forward Contracts: </w:t>
      </w:r>
      <w:r>
        <w:rPr>
          <w:rFonts w:ascii="Arial" w:cs="Arial" w:eastAsia="Arial" w:hAnsi="Arial"/>
          <w:sz w:val="18"/>
          <w:szCs w:val="18"/>
          <w:color w:val="auto"/>
        </w:rPr>
        <w:t>As of June 30, 2025 and December 31, 2024, the aggregate notional amounts of these contracts were</w:t>
      </w:r>
      <w:r>
        <w:rPr>
          <w:rFonts w:ascii="Arial" w:cs="Arial" w:eastAsia="Arial" w:hAnsi="Arial"/>
          <w:sz w:val="18"/>
          <w:szCs w:val="18"/>
          <w:i w:val="1"/>
          <w:iCs w:val="1"/>
          <w:color w:val="auto"/>
        </w:rPr>
        <w:t xml:space="preserve"> </w:t>
      </w:r>
      <w:r>
        <w:rPr>
          <w:rFonts w:ascii="Arial" w:cs="Arial" w:eastAsia="Arial" w:hAnsi="Arial"/>
          <w:sz w:val="18"/>
          <w:szCs w:val="18"/>
          <w:color w:val="auto"/>
        </w:rPr>
        <w:t>Indian Rupee (INR) 0.64 billion, or $7.5 million, and Indian Rupee (INR) 1.40 billion, or $16.3 million, respectively, based on the exchange rates in effect as of each period end. The outstanding foreign exchange forward contracts as of June 30, 2025 are scheduled to mature monthly through April 30, 2026.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Canadian Dollar Forward Contracts: </w:t>
      </w:r>
      <w:r>
        <w:rPr>
          <w:rFonts w:ascii="Arial" w:cs="Arial" w:eastAsia="Arial" w:hAnsi="Arial"/>
          <w:sz w:val="18"/>
          <w:szCs w:val="18"/>
          <w:color w:val="auto"/>
        </w:rPr>
        <w:t>As of June 30, 2025, the notional amount of our outstanding Canadian Dollar forward contract was</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$25.0 million which is scheduled to settle on September 29, 2025. We had no outstanding Canadian Dollar forward contracts as of December 31, 2024.</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use a sensitivity analysis to determine the effects that market foreign currency exchange rate fluctuations may have on the fair value of our foreign exchange forward contract portfolio. The sensitivity of the portfolio is computed based on the market value of future cash flows as affected by changes in exchange rates. This sensitivity analysis represents the hypothetical changes in value of the derivatives and does not reflect the offsetting gain or loss on the underlying exposure. A hypothetical 100 basis point change in the USD to INR and USD to CAD exchange rates would have an immaterial impact on the fair value of our derivative instruments as of June 30, 2025 and December 31, 2024.</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To the extent any decrease in fair value is the result of a credit impairment - calculated as the difference between the present value of expected cash flows to be generated from the investment and the cost basis, limited to the difference between the fair value and cost basis - such credit impairment charge is recorded to other income (expense), net in our consolidated statement of operations. As of June 30, 2025, the fair value of the investment was $32.8 million with a total cost basis of $40.9 million. The fair value of $ 32.8 million as of June 30, 2025 includes a non-cash credit-related impairment charge of $11.1 million. At December 31, 2024, the fair value of the investment was $62.3 million, with a total cost basis of $40.9 million.The decrease in fair value in the first six months of 2025 was driven by a decrease in the projected cash flows of Shorelight, which reflects the current federal regulatory environment in which Shorelight operates.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an equity investment in a privately-held hospital-at-home company, which we account for as an equity security without a readily determinable fair value using the measurement alternative. As such, the investment is carried at cost minus impairment, plus or minus changes resulting from observable price changes in orderly transactions for the identical or similar investment. As of June 30, 2025 and December 31, 2024, the carrying value of the investment was $2.4 million and $7.4 million, respectively, with a total cost basis of $5.0 million. In the first quarter of 2025, we recognized a non-cash impairment charge of $4.2 million on our investment based on the valuation anticipated from the hospital-at-home company's merger with a third-party. Upon the completion of the merger in the second quarter of 2025, we recognized an additional $0.8 million non-cash impairment charge based on the final valuation utilized in the merger. The non-cash impairment charges were recorded to other income (expense), net in our consolidated statement of operations.</w:t>
      </w:r>
    </w:p>
    <w:p>
      <w:pPr>
        <w:sectPr>
          <w:pgSz w:w="11900" w:h="16838" w:orient="portrait"/>
          <w:cols w:equalWidth="0" w:num="1">
            <w:col w:w="11240"/>
          </w:cols>
          <w:pgMar w:left="320" w:top="122" w:right="339" w:bottom="581"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581"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Refer to Note 11 “Fair Value of Financial Instruments” within the notes to our consolidated financial statements for additional on these investments.</w:t>
      </w:r>
    </w:p>
    <w:p>
      <w:pPr>
        <w:spacing w:after="0" w:line="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10 “Derivative Instruments and Hedging Activity” within the notes to our consolidated financial statements for additional information on our derivative instruments.</w:t>
      </w:r>
    </w:p>
    <w:p>
      <w:pPr>
        <w:spacing w:after="0" w:line="16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2025. Based on this evaluation, our Chief Executive Officer and Chief Financial Officer have concluded that, as of June 30, 2025,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June 30, 2025 that has materially affected, or is reasonably likely to materially affect, our internal control over financial reporting.</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6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6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2024 (the "2024 Form 10-K"), which was filed with the Securities and Exchange Commission on February 25, 2025, for a complete description of the material risks we face. There have been no material changes to the Company’s risk factors since the 2024 Form 10-K.</w:t>
      </w:r>
    </w:p>
    <w:p>
      <w:pPr>
        <w:spacing w:after="0" w:line="15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June 24, 2025, as partial consideration for our acquisition of Eclipse, we issued 147,221 shares of our common stock, par value $0.01 per share, with an aggregate value of $ 19.8 million. The issuance was exempt from registration under Section 4(a)(2) of the Securities Act of 1933, as amended, as a transaction by an issuer not involving a public offering.</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Stock Ownership Participation Program and 2012 Omnibus Incentive Plan permit the netting of common stock upon vesting of restricted stock awards to satisfy individual tax withholding requirements. During the quarter ended June 30, 2025, we reacquired 2,377 shares of common stock with a weighted average fair market value of $136.97 as a result of such tax withholdings.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2025. The current authorization extends the share repurchase program through December 31, 2026 with a repurchase amount of $700 million, of which $131.3 million remains available as of June 30, 2025.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June 30, 2025.</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Average Price</w:t>
            </w: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89"/>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15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29"/>
        </w:trPr>
        <w:tc>
          <w:tcPr>
            <w:tcW w:w="3700" w:type="dxa"/>
            <w:vAlign w:val="bottom"/>
            <w:gridSpan w:val="2"/>
            <w:vMerge w:val="continue"/>
          </w:tcPr>
          <w:p>
            <w:pPr>
              <w:spacing w:after="0"/>
              <w:rPr>
                <w:sz w:val="19"/>
                <w:szCs w:val="19"/>
                <w:color w:val="auto"/>
              </w:rPr>
            </w:pPr>
          </w:p>
        </w:tc>
        <w:tc>
          <w:tcPr>
            <w:tcW w:w="158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 per Share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jc w:val="center"/>
              <w:ind w:right="70"/>
              <w:spacing w:after="0" w:line="230"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2025 - April 30, 2025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334,442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140.14</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332,254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145,143,959</w:t>
            </w: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May 1, 2025 - May 31, 2025</w:t>
            </w:r>
          </w:p>
        </w:tc>
        <w:tc>
          <w:tcPr>
            <w:tcW w:w="1580" w:type="dxa"/>
            <w:vAlign w:val="bottom"/>
          </w:tcPr>
          <w:p>
            <w:pPr>
              <w:jc w:val="right"/>
              <w:spacing w:after="0"/>
              <w:rPr>
                <w:sz w:val="20"/>
                <w:szCs w:val="20"/>
                <w:color w:val="auto"/>
              </w:rPr>
            </w:pPr>
            <w:r>
              <w:rPr>
                <w:rFonts w:ascii="Arial" w:cs="Arial" w:eastAsia="Arial" w:hAnsi="Arial"/>
                <w:sz w:val="18"/>
                <w:szCs w:val="18"/>
                <w:color w:val="auto"/>
              </w:rPr>
              <w:t>64,406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140.81</w:t>
            </w:r>
          </w:p>
        </w:tc>
        <w:tc>
          <w:tcPr>
            <w:tcW w:w="1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64,406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136,072,789</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2025 - June 30,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131,316,363</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432,046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140.54</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980" w:right="300" w:hanging="972"/>
        <w:spacing w:after="0" w:line="281" w:lineRule="auto"/>
        <w:tabs>
          <w:tab w:leader="none" w:pos="10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shares repurchased included 2,188 shares in April 2025 and 189 shares in June 2025 to satisfy employee tax withholding requirements. These shares do not reduce the repurchase authority under the share repurchase program.</w:t>
      </w:r>
    </w:p>
    <w:p>
      <w:pPr>
        <w:spacing w:after="0" w:line="1" w:lineRule="exact"/>
        <w:rPr>
          <w:rFonts w:ascii="Arial" w:cs="Arial" w:eastAsia="Arial" w:hAnsi="Arial"/>
          <w:sz w:val="18"/>
          <w:szCs w:val="18"/>
          <w:color w:val="auto"/>
        </w:rPr>
      </w:pPr>
    </w:p>
    <w:p>
      <w:pPr>
        <w:ind w:left="1020" w:hanging="101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describes contracts, instructions or written plans for the sale or purchase of our securities adopted by our officers and/or directors during the second quarter of 2025, each of which is intended to satisfy the affirmative defense conditions of Rule 10b5-1(c), referred to as Rule 10b5-1 trading plans.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Date of Rule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Scheduled Expiration</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5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and Title</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9"/>
              </w:rPr>
              <w:t>Action</w:t>
            </w:r>
          </w:p>
        </w:tc>
        <w:tc>
          <w:tcPr>
            <w:tcW w:w="16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10b5-1 Trading</w:t>
            </w:r>
          </w:p>
        </w:tc>
        <w:tc>
          <w:tcPr>
            <w:tcW w:w="20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Date of Rule 10b5-1</w:t>
            </w: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Number of Shares</w:t>
            </w:r>
          </w:p>
        </w:tc>
        <w:tc>
          <w:tcPr>
            <w:tcW w:w="0" w:type="dxa"/>
            <w:vAlign w:val="bottom"/>
          </w:tcPr>
          <w:p>
            <w:pPr>
              <w:spacing w:after="0"/>
              <w:rPr>
                <w:sz w:val="1"/>
                <w:szCs w:val="1"/>
                <w:color w:val="auto"/>
              </w:rPr>
            </w:pPr>
          </w:p>
        </w:tc>
      </w:tr>
      <w:tr>
        <w:trPr>
          <w:trHeight w:val="243"/>
        </w:trPr>
        <w:tc>
          <w:tcPr>
            <w:tcW w:w="5000" w:type="dxa"/>
            <w:vAlign w:val="bottom"/>
            <w:gridSpan w:val="2"/>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Plan Action</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Trading Plan</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rPr>
              <w:t>to be Sold</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James Roth - Vice Chairman of the Board</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Adoption</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5/8/2025</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1/9/2026</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Ekta Singh-Bushell - Director</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rPr>
              <w:t>Adoption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5/15/2025</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5/15/2026</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944</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Debra Zumwalt - Director</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Adoption</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5/16/2025</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5/15/2026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1,276</w:t>
            </w:r>
          </w:p>
        </w:tc>
        <w:tc>
          <w:tcPr>
            <w:tcW w:w="0" w:type="dxa"/>
            <w:vAlign w:val="bottom"/>
          </w:tcPr>
          <w:p>
            <w:pPr>
              <w:spacing w:after="0"/>
              <w:rPr>
                <w:sz w:val="1"/>
                <w:szCs w:val="1"/>
                <w:color w:val="auto"/>
              </w:rPr>
            </w:pPr>
          </w:p>
        </w:tc>
      </w:tr>
      <w:tr>
        <w:trPr>
          <w:trHeight w:val="175"/>
        </w:trPr>
        <w:tc>
          <w:tcPr>
            <w:tcW w:w="5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 Ronald Dail - Executive Vice President and Chief</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rPr>
              <w:t>Adoption</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9"/>
              </w:rPr>
              <w:t>5/28/2025</w:t>
            </w:r>
          </w:p>
        </w:tc>
        <w:tc>
          <w:tcPr>
            <w:tcW w:w="120" w:type="dxa"/>
            <w:vAlign w:val="bottom"/>
          </w:tcPr>
          <w:p>
            <w:pPr>
              <w:spacing w:after="0"/>
              <w:rPr>
                <w:sz w:val="15"/>
                <w:szCs w:val="15"/>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9"/>
              </w:rPr>
              <w:t>5/4/2026</w:t>
            </w:r>
          </w:p>
        </w:tc>
        <w:tc>
          <w:tcPr>
            <w:tcW w:w="10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47"/>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Operating Officer</w:t>
            </w:r>
          </w:p>
        </w:tc>
        <w:tc>
          <w:tcPr>
            <w:tcW w:w="980" w:type="dxa"/>
            <w:vAlign w:val="bottom"/>
            <w:gridSpan w:val="2"/>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second quarter of 2025, none of our officers or directors modified or terminated contracts, instructions or written plans for the sale or purchase of our securities intended to satisfy the affirmative defense condition of Rule 10b5-1(c) or adopted, modified or terminated a non-Rule 10b5-1 trading arrangement (as defined in Item 408(c) of Regulation S-K).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rPr>
              <w:t>Exhibit</w:t>
            </w:r>
          </w:p>
        </w:tc>
        <w:tc>
          <w:tcPr>
            <w:tcW w:w="32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Exhibit Description</w:t>
            </w:r>
          </w:p>
        </w:tc>
        <w:tc>
          <w:tcPr>
            <w:tcW w:w="164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rPr>
              <w:t>Filed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Furnished</w:t>
            </w:r>
          </w:p>
        </w:tc>
        <w:tc>
          <w:tcPr>
            <w:tcW w:w="8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Form</w:t>
            </w:r>
          </w:p>
        </w:tc>
        <w:tc>
          <w:tcPr>
            <w:tcW w:w="9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Period</w:t>
            </w:r>
          </w:p>
        </w:tc>
        <w:tc>
          <w:tcPr>
            <w:tcW w:w="11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85"/>
        </w:trPr>
        <w:tc>
          <w:tcPr>
            <w:tcW w:w="15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40" w:type="dxa"/>
            <w:vAlign w:val="bottom"/>
            <w:vMerge w:val="continue"/>
          </w:tcPr>
          <w:p>
            <w:pPr>
              <w:spacing w:after="0"/>
              <w:rPr>
                <w:sz w:val="16"/>
                <w:szCs w:val="16"/>
                <w:color w:val="auto"/>
              </w:rPr>
            </w:pPr>
          </w:p>
        </w:tc>
        <w:tc>
          <w:tcPr>
            <w:tcW w:w="1640" w:type="dxa"/>
            <w:vAlign w:val="bottom"/>
          </w:tcPr>
          <w:p>
            <w:pPr>
              <w:jc w:val="center"/>
              <w:ind w:left="708"/>
              <w:spacing w:after="0"/>
              <w:rPr>
                <w:sz w:val="20"/>
                <w:szCs w:val="20"/>
                <w:color w:val="auto"/>
              </w:rPr>
            </w:pPr>
            <w:r>
              <w:rPr>
                <w:rFonts w:ascii="Arial" w:cs="Arial" w:eastAsia="Arial" w:hAnsi="Arial"/>
                <w:sz w:val="14"/>
                <w:szCs w:val="14"/>
                <w:b w:val="1"/>
                <w:bCs w:val="1"/>
                <w:color w:val="auto"/>
              </w:rPr>
              <w:t>herewith</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800" w:type="dxa"/>
            <w:vAlign w:val="bottom"/>
            <w:vMerge w:val="continue"/>
          </w:tcPr>
          <w:p>
            <w:pPr>
              <w:spacing w:after="0"/>
              <w:rPr>
                <w:sz w:val="16"/>
                <w:szCs w:val="16"/>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Ending</w:t>
            </w:r>
          </w:p>
        </w:tc>
        <w:tc>
          <w:tcPr>
            <w:tcW w:w="1180" w:type="dxa"/>
            <w:vAlign w:val="bottom"/>
            <w:vMerge w:val="continue"/>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tbl>
      <w:tblPr>
        <w:tblLayout w:type="fixed"/>
        <w:tblInd w:w="0" w:type="dxa"/>
        <w:tblCellMar>
          <w:top w:w="0" w:type="dxa"/>
          <w:left w:w="0" w:type="dxa"/>
          <w:bottom w:w="0" w:type="dxa"/>
          <w:right w:w="0" w:type="dxa"/>
        </w:tblCellMar>
      </w:tblPr>
      <w:tr>
        <w:trPr>
          <w:trHeight w:val="169"/>
        </w:trPr>
        <w:tc>
          <w:tcPr>
            <w:tcW w:w="820" w:type="dxa"/>
            <w:vAlign w:val="bottom"/>
            <w:tcBorders>
              <w:top w:val="single" w:sz="8" w:color="auto"/>
            </w:tcBorders>
          </w:tcPr>
          <w:p>
            <w:pPr>
              <w:jc w:val="right"/>
              <w:ind w:right="339"/>
              <w:spacing w:after="0" w:line="169"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580" w:type="dxa"/>
            <w:vAlign w:val="bottom"/>
            <w:tcBorders>
              <w:top w:val="single" w:sz="8" w:color="auto"/>
            </w:tcBorders>
            <w:gridSpan w:val="6"/>
          </w:tcPr>
          <w:p>
            <w:pPr>
              <w:spacing w:after="0" w:line="169" w:lineRule="exact"/>
              <w:rPr>
                <w:rFonts w:ascii="Arial" w:cs="Arial" w:eastAsia="Arial" w:hAnsi="Arial"/>
                <w:sz w:val="16"/>
                <w:szCs w:val="16"/>
                <w:color w:val="0000FF"/>
              </w:rPr>
            </w:pPr>
            <w:hyperlink r:id="rId79">
              <w:r>
                <w:rPr>
                  <w:rFonts w:ascii="Arial" w:cs="Arial" w:eastAsia="Arial" w:hAnsi="Arial"/>
                  <w:sz w:val="16"/>
                  <w:szCs w:val="16"/>
                  <w:color w:val="0000FF"/>
                </w:rPr>
                <w:t>Huron Consulting Group Inc. Amended and Restated 2012</w:t>
              </w:r>
            </w:hyperlink>
          </w:p>
        </w:tc>
      </w:tr>
      <w:tr>
        <w:trPr>
          <w:trHeight w:val="142"/>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Omnibus Incentive Plan, effective May 9, 2025.</w:t>
              </w:r>
            </w:hyperlink>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820" w:type="dxa"/>
            <w:vAlign w:val="bottom"/>
          </w:tcPr>
          <w:p>
            <w:pPr>
              <w:jc w:val="right"/>
              <w:ind w:right="3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gridSpan w:val="6"/>
          </w:tcPr>
          <w:p>
            <w:pPr>
              <w:spacing w:after="0"/>
              <w:rPr>
                <w:rFonts w:ascii="Arial" w:cs="Arial" w:eastAsia="Arial" w:hAnsi="Arial"/>
                <w:sz w:val="16"/>
                <w:szCs w:val="16"/>
                <w:color w:val="0000FF"/>
              </w:rPr>
            </w:pPr>
            <w:hyperlink r:id="rId79">
              <w:r>
                <w:rPr>
                  <w:rFonts w:ascii="Arial" w:cs="Arial" w:eastAsia="Arial" w:hAnsi="Arial"/>
                  <w:sz w:val="16"/>
                  <w:szCs w:val="16"/>
                  <w:color w:val="0000FF"/>
                </w:rPr>
                <w:t>Huron Consulting Group Inc. Amended and Restated Stock</w:t>
              </w:r>
            </w:hyperlink>
          </w:p>
        </w:tc>
      </w:tr>
      <w:tr>
        <w:trPr>
          <w:trHeight w:val="142"/>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Ownership Participation Plan, effective May 9, 2025.</w:t>
              </w:r>
            </w:hyperlink>
          </w:p>
        </w:tc>
        <w:tc>
          <w:tcPr>
            <w:tcW w:w="500" w:type="dxa"/>
            <w:vAlign w:val="bottom"/>
            <w:tcBorders>
              <w:top w:val="single" w:sz="8" w:color="0000FF"/>
            </w:tcBorders>
            <w:gridSpan w:val="2"/>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6"/>
        </w:trPr>
        <w:tc>
          <w:tcPr>
            <w:tcW w:w="920" w:type="dxa"/>
            <w:vAlign w:val="bottom"/>
            <w:gridSpan w:val="2"/>
          </w:tcPr>
          <w:p>
            <w:pPr>
              <w:jc w:val="right"/>
              <w:ind w:right="520"/>
              <w:spacing w:after="0" w:line="196" w:lineRule="exact"/>
              <w:rPr>
                <w:sz w:val="20"/>
                <w:szCs w:val="20"/>
                <w:color w:val="auto"/>
              </w:rPr>
            </w:pPr>
            <w:r>
              <w:rPr>
                <w:rFonts w:ascii="Arial" w:cs="Arial" w:eastAsia="Arial" w:hAnsi="Arial"/>
                <w:sz w:val="16"/>
                <w:szCs w:val="16"/>
                <w:color w:val="auto"/>
                <w:w w:val="97"/>
              </w:rPr>
              <w:t>10.3</w:t>
            </w:r>
            <w:r>
              <w:rPr>
                <w:rFonts w:ascii="Arial" w:cs="Arial" w:eastAsia="Arial" w:hAnsi="Arial"/>
                <w:sz w:val="21"/>
                <w:szCs w:val="21"/>
                <w:color w:val="auto"/>
                <w:w w:val="97"/>
                <w:vertAlign w:val="superscript"/>
              </w:rPr>
              <w:t>†</w:t>
            </w:r>
          </w:p>
        </w:tc>
        <w:tc>
          <w:tcPr>
            <w:tcW w:w="20" w:type="dxa"/>
            <w:vAlign w:val="bottom"/>
          </w:tcPr>
          <w:p>
            <w:pPr>
              <w:spacing w:after="0"/>
              <w:rPr>
                <w:sz w:val="17"/>
                <w:szCs w:val="17"/>
                <w:color w:val="auto"/>
              </w:rPr>
            </w:pPr>
          </w:p>
        </w:tc>
        <w:tc>
          <w:tcPr>
            <w:tcW w:w="4580" w:type="dxa"/>
            <w:vAlign w:val="bottom"/>
            <w:gridSpan w:val="6"/>
          </w:tcPr>
          <w:p>
            <w:pPr>
              <w:spacing w:after="0"/>
              <w:rPr>
                <w:rFonts w:ascii="Arial" w:cs="Arial" w:eastAsia="Arial" w:hAnsi="Arial"/>
                <w:sz w:val="16"/>
                <w:szCs w:val="16"/>
                <w:color w:val="0000FF"/>
              </w:rPr>
            </w:pPr>
            <w:hyperlink r:id="rId80">
              <w:r>
                <w:rPr>
                  <w:rFonts w:ascii="Arial" w:cs="Arial" w:eastAsia="Arial" w:hAnsi="Arial"/>
                  <w:sz w:val="16"/>
                  <w:szCs w:val="16"/>
                  <w:color w:val="0000FF"/>
                </w:rPr>
                <w:t>Fourth Amended and Restated Credit Agreement, dated as of</w:t>
              </w:r>
            </w:hyperlink>
          </w:p>
        </w:tc>
      </w:tr>
      <w:tr>
        <w:trPr>
          <w:trHeight w:val="144"/>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tcBorders>
              <w:top w:val="single" w:sz="8" w:color="0000FF"/>
            </w:tcBorders>
            <w:gridSpan w:val="5"/>
          </w:tcPr>
          <w:p>
            <w:pPr>
              <w:spacing w:after="0" w:line="144" w:lineRule="exact"/>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July 30, 2025, among Huron Consulting Group Inc., as</w:t>
              </w:r>
            </w:hyperlink>
          </w:p>
        </w:tc>
        <w:tc>
          <w:tcPr>
            <w:tcW w:w="160" w:type="dxa"/>
            <w:vAlign w:val="bottom"/>
          </w:tcPr>
          <w:p>
            <w:pPr>
              <w:spacing w:after="0"/>
              <w:rPr>
                <w:sz w:val="12"/>
                <w:szCs w:val="12"/>
                <w:color w:val="auto"/>
              </w:rPr>
            </w:pPr>
          </w:p>
        </w:tc>
      </w:tr>
    </w:tbl>
    <w:p>
      <w:pPr>
        <w:ind w:left="940" w:right="1520"/>
        <w:spacing w:after="0" w:line="216" w:lineRule="auto"/>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Borrower, certain subsidiaries as Guarantors, the Lenders</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Party, Hereto and Bank of America, N.A., as Administrative</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Agent and Collateral Agent, JPMorgan Chase Bank, N.A. and</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PNC Capital Markets, LLC, as Co-Syndication Agents, TD</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Bank, N.A., Bank of Montreal, Fifth Third Bank, National</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Association and U.S. Bank National Association as Co-</w:t>
        </w:r>
      </w:hyperlink>
      <w:hyperlink r:id="rId80">
        <w:r>
          <w:rPr>
            <w:rFonts w:ascii="Arial" w:cs="Arial" w:eastAsia="Arial" w:hAnsi="Arial"/>
            <w:sz w:val="16"/>
            <w:szCs w:val="16"/>
            <w:u w:val="single" w:color="auto"/>
            <w:color w:val="0000FF"/>
          </w:rPr>
          <w:t>Documentation Agents, and BofA Securities, Inc., JPMorgan</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Chase Bank, N.A. and PNC Capital Markets, LLC as Joint</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Lead Arrangers and Joint Bookrunners.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74"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20"/>
                <w:szCs w:val="20"/>
                <w:color w:val="auto"/>
              </w:rPr>
            </w:pPr>
            <w:r>
              <w:rPr>
                <w:rFonts w:ascii="Arial" w:cs="Arial" w:eastAsia="Arial" w:hAnsi="Arial"/>
                <w:sz w:val="16"/>
                <w:szCs w:val="16"/>
                <w:color w:val="auto"/>
              </w:rPr>
              <w:t>DEF 14A</w:t>
            </w:r>
          </w:p>
        </w:tc>
        <w:tc>
          <w:tcPr>
            <w:tcW w:w="1480" w:type="dxa"/>
            <w:vAlign w:val="bottom"/>
          </w:tcPr>
          <w:p>
            <w:pPr>
              <w:ind w:left="520"/>
              <w:spacing w:after="0"/>
              <w:rPr>
                <w:sz w:val="20"/>
                <w:szCs w:val="20"/>
                <w:color w:val="auto"/>
              </w:rPr>
            </w:pPr>
            <w:r>
              <w:rPr>
                <w:rFonts w:ascii="Arial" w:cs="Arial" w:eastAsia="Arial" w:hAnsi="Arial"/>
                <w:sz w:val="16"/>
                <w:szCs w:val="16"/>
                <w:color w:val="auto"/>
              </w:rPr>
              <w:t>Appendix A</w:t>
            </w:r>
          </w:p>
        </w:tc>
        <w:tc>
          <w:tcPr>
            <w:tcW w:w="880" w:type="dxa"/>
            <w:vAlign w:val="bottom"/>
          </w:tcPr>
          <w:p>
            <w:pPr>
              <w:jc w:val="right"/>
              <w:spacing w:after="0"/>
              <w:rPr>
                <w:sz w:val="20"/>
                <w:szCs w:val="20"/>
                <w:color w:val="auto"/>
              </w:rPr>
            </w:pPr>
            <w:r>
              <w:rPr>
                <w:rFonts w:ascii="Arial" w:cs="Arial" w:eastAsia="Arial" w:hAnsi="Arial"/>
                <w:sz w:val="16"/>
                <w:szCs w:val="16"/>
                <w:color w:val="auto"/>
              </w:rPr>
              <w:t>3/28/2025</w:t>
            </w:r>
          </w:p>
        </w:tc>
      </w:tr>
      <w:tr>
        <w:trPr>
          <w:trHeight w:val="378"/>
        </w:trPr>
        <w:tc>
          <w:tcPr>
            <w:tcW w:w="1160" w:type="dxa"/>
            <w:vAlign w:val="bottom"/>
          </w:tcPr>
          <w:p>
            <w:pPr>
              <w:spacing w:after="0"/>
              <w:rPr>
                <w:sz w:val="20"/>
                <w:szCs w:val="20"/>
                <w:color w:val="auto"/>
              </w:rPr>
            </w:pPr>
            <w:r>
              <w:rPr>
                <w:rFonts w:ascii="Arial" w:cs="Arial" w:eastAsia="Arial" w:hAnsi="Arial"/>
                <w:sz w:val="16"/>
                <w:szCs w:val="16"/>
                <w:color w:val="auto"/>
              </w:rPr>
              <w:t>DEF 14A</w:t>
            </w:r>
          </w:p>
        </w:tc>
        <w:tc>
          <w:tcPr>
            <w:tcW w:w="1480" w:type="dxa"/>
            <w:vAlign w:val="bottom"/>
          </w:tcPr>
          <w:p>
            <w:pPr>
              <w:ind w:left="520"/>
              <w:spacing w:after="0"/>
              <w:rPr>
                <w:sz w:val="20"/>
                <w:szCs w:val="20"/>
                <w:color w:val="auto"/>
              </w:rPr>
            </w:pPr>
            <w:r>
              <w:rPr>
                <w:rFonts w:ascii="Arial" w:cs="Arial" w:eastAsia="Arial" w:hAnsi="Arial"/>
                <w:sz w:val="16"/>
                <w:szCs w:val="16"/>
                <w:color w:val="auto"/>
              </w:rPr>
              <w:t>Appendix B</w:t>
            </w:r>
          </w:p>
        </w:tc>
        <w:tc>
          <w:tcPr>
            <w:tcW w:w="880" w:type="dxa"/>
            <w:vAlign w:val="bottom"/>
          </w:tcPr>
          <w:p>
            <w:pPr>
              <w:jc w:val="right"/>
              <w:spacing w:after="0"/>
              <w:rPr>
                <w:sz w:val="20"/>
                <w:szCs w:val="20"/>
                <w:color w:val="auto"/>
              </w:rPr>
            </w:pPr>
            <w:r>
              <w:rPr>
                <w:rFonts w:ascii="Arial" w:cs="Arial" w:eastAsia="Arial" w:hAnsi="Arial"/>
                <w:sz w:val="16"/>
                <w:szCs w:val="16"/>
                <w:color w:val="auto"/>
              </w:rPr>
              <w:t>3/28/2025</w:t>
            </w:r>
          </w:p>
        </w:tc>
      </w:tr>
    </w:tbl>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92" w:lineRule="exact"/>
        <w:rPr>
          <w:rFonts w:ascii="Arial" w:cs="Arial" w:eastAsia="Arial" w:hAnsi="Arial"/>
          <w:sz w:val="16"/>
          <w:szCs w:val="16"/>
          <w:u w:val="single" w:color="auto"/>
          <w:color w:val="0000FF"/>
        </w:rPr>
      </w:pPr>
    </w:p>
    <w:p>
      <w:pPr>
        <w:ind w:left="200"/>
        <w:spacing w:after="0"/>
        <w:tabs>
          <w:tab w:leader="none" w:pos="1920" w:val="left"/>
          <w:tab w:leader="none" w:pos="278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7/31/2025</w:t>
      </w:r>
    </w:p>
    <w:p>
      <w:pPr>
        <w:spacing w:after="0" w:line="837" w:lineRule="exact"/>
        <w:rPr>
          <w:rFonts w:ascii="Arial" w:cs="Arial" w:eastAsia="Arial" w:hAnsi="Arial"/>
          <w:sz w:val="16"/>
          <w:szCs w:val="16"/>
          <w:u w:val="single" w:color="auto"/>
          <w:color w:val="0000FF"/>
        </w:rPr>
      </w:pPr>
    </w:p>
    <w:p>
      <w:pPr>
        <w:sectPr>
          <w:pgSz w:w="11900" w:h="16838" w:orient="portrait"/>
          <w:cols w:equalWidth="0" w:num="2">
            <w:col w:w="6880" w:space="720"/>
            <w:col w:w="364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182"/>
        </w:trPr>
        <w:tc>
          <w:tcPr>
            <w:tcW w:w="920" w:type="dxa"/>
            <w:vAlign w:val="bottom"/>
          </w:tcPr>
          <w:p>
            <w:pPr>
              <w:jc w:val="right"/>
              <w:ind w:right="519"/>
              <w:spacing w:after="0" w:line="182" w:lineRule="exact"/>
              <w:rPr>
                <w:sz w:val="20"/>
                <w:szCs w:val="20"/>
                <w:color w:val="auto"/>
              </w:rPr>
            </w:pPr>
            <w:r>
              <w:rPr>
                <w:rFonts w:ascii="Arial" w:cs="Arial" w:eastAsia="Arial" w:hAnsi="Arial"/>
                <w:sz w:val="16"/>
                <w:szCs w:val="16"/>
                <w:color w:val="auto"/>
                <w:w w:val="96"/>
              </w:rPr>
              <w:t>10.4</w:t>
            </w:r>
          </w:p>
        </w:tc>
        <w:tc>
          <w:tcPr>
            <w:tcW w:w="4560" w:type="dxa"/>
            <w:vAlign w:val="bottom"/>
            <w:gridSpan w:val="7"/>
          </w:tcPr>
          <w:p>
            <w:pPr>
              <w:spacing w:after="0" w:line="182" w:lineRule="exact"/>
              <w:rPr>
                <w:rFonts w:ascii="Arial" w:cs="Arial" w:eastAsia="Arial" w:hAnsi="Arial"/>
                <w:sz w:val="16"/>
                <w:szCs w:val="16"/>
                <w:color w:val="0000FF"/>
              </w:rPr>
            </w:pPr>
            <w:hyperlink r:id="rId81">
              <w:r>
                <w:rPr>
                  <w:rFonts w:ascii="Arial" w:cs="Arial" w:eastAsia="Arial" w:hAnsi="Arial"/>
                  <w:sz w:val="16"/>
                  <w:szCs w:val="16"/>
                  <w:color w:val="0000FF"/>
                </w:rPr>
                <w:t>Fourth Amended and Restated Security Agreement, dated as</w:t>
              </w:r>
            </w:hyperlink>
          </w:p>
        </w:tc>
        <w:tc>
          <w:tcPr>
            <w:tcW w:w="560" w:type="dxa"/>
            <w:vAlign w:val="bottom"/>
          </w:tcPr>
          <w:p>
            <w:pPr>
              <w:spacing w:after="0"/>
              <w:rPr>
                <w:sz w:val="15"/>
                <w:szCs w:val="15"/>
                <w:color w:val="auto"/>
              </w:rPr>
            </w:pPr>
          </w:p>
        </w:tc>
      </w:tr>
      <w:tr>
        <w:trPr>
          <w:trHeight w:val="142"/>
        </w:trPr>
        <w:tc>
          <w:tcPr>
            <w:tcW w:w="920" w:type="dxa"/>
            <w:vAlign w:val="bottom"/>
          </w:tcPr>
          <w:p>
            <w:pPr>
              <w:spacing w:after="0"/>
              <w:rPr>
                <w:sz w:val="12"/>
                <w:szCs w:val="12"/>
                <w:color w:val="auto"/>
              </w:rPr>
            </w:pPr>
          </w:p>
        </w:tc>
        <w:tc>
          <w:tcPr>
            <w:tcW w:w="12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81">
              <w:r>
                <w:rPr>
                  <w:rFonts w:ascii="Arial" w:cs="Arial" w:eastAsia="Arial" w:hAnsi="Arial"/>
                  <w:sz w:val="16"/>
                  <w:szCs w:val="16"/>
                  <w:color w:val="0000FF"/>
                </w:rPr>
                <w:t>of July 30, 2025.</w:t>
              </w:r>
            </w:hyperlink>
          </w:p>
        </w:tc>
        <w:tc>
          <w:tcPr>
            <w:tcW w:w="3200" w:type="dxa"/>
            <w:vAlign w:val="bottom"/>
            <w:tcBorders>
              <w:top w:val="single" w:sz="8" w:color="0000FF"/>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96"/>
        </w:trPr>
        <w:tc>
          <w:tcPr>
            <w:tcW w:w="920" w:type="dxa"/>
            <w:vAlign w:val="bottom"/>
          </w:tcPr>
          <w:p>
            <w:pPr>
              <w:jc w:val="right"/>
              <w:ind w:right="519"/>
              <w:spacing w:after="0"/>
              <w:rPr>
                <w:sz w:val="20"/>
                <w:szCs w:val="20"/>
                <w:color w:val="auto"/>
              </w:rPr>
            </w:pPr>
            <w:r>
              <w:rPr>
                <w:rFonts w:ascii="Arial" w:cs="Arial" w:eastAsia="Arial" w:hAnsi="Arial"/>
                <w:sz w:val="16"/>
                <w:szCs w:val="16"/>
                <w:color w:val="auto"/>
                <w:w w:val="96"/>
              </w:rPr>
              <w:t>10.5</w:t>
            </w:r>
          </w:p>
        </w:tc>
        <w:tc>
          <w:tcPr>
            <w:tcW w:w="4560" w:type="dxa"/>
            <w:vAlign w:val="bottom"/>
            <w:gridSpan w:val="7"/>
          </w:tcPr>
          <w:p>
            <w:pPr>
              <w:spacing w:after="0"/>
              <w:rPr>
                <w:rFonts w:ascii="Arial" w:cs="Arial" w:eastAsia="Arial" w:hAnsi="Arial"/>
                <w:sz w:val="16"/>
                <w:szCs w:val="16"/>
                <w:color w:val="0000FF"/>
              </w:rPr>
            </w:pPr>
            <w:hyperlink r:id="rId82">
              <w:r>
                <w:rPr>
                  <w:rFonts w:ascii="Arial" w:cs="Arial" w:eastAsia="Arial" w:hAnsi="Arial"/>
                  <w:sz w:val="16"/>
                  <w:szCs w:val="16"/>
                  <w:color w:val="0000FF"/>
                </w:rPr>
                <w:t>Fourth Amended and Restated Pledge Agreement, dated as of</w:t>
              </w:r>
            </w:hyperlink>
          </w:p>
        </w:tc>
        <w:tc>
          <w:tcPr>
            <w:tcW w:w="560" w:type="dxa"/>
            <w:vAlign w:val="bottom"/>
          </w:tcPr>
          <w:p>
            <w:pPr>
              <w:spacing w:after="0"/>
              <w:rPr>
                <w:sz w:val="17"/>
                <w:szCs w:val="17"/>
                <w:color w:val="auto"/>
              </w:rPr>
            </w:pPr>
          </w:p>
        </w:tc>
      </w:tr>
      <w:tr>
        <w:trPr>
          <w:trHeight w:val="142"/>
        </w:trPr>
        <w:tc>
          <w:tcPr>
            <w:tcW w:w="920" w:type="dxa"/>
            <w:vAlign w:val="bottom"/>
          </w:tcPr>
          <w:p>
            <w:pPr>
              <w:spacing w:after="0"/>
              <w:rPr>
                <w:sz w:val="12"/>
                <w:szCs w:val="12"/>
                <w:color w:val="auto"/>
              </w:rPr>
            </w:pPr>
          </w:p>
        </w:tc>
        <w:tc>
          <w:tcPr>
            <w:tcW w:w="10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82">
              <w:r>
                <w:rPr>
                  <w:rFonts w:ascii="Arial" w:cs="Arial" w:eastAsia="Arial" w:hAnsi="Arial"/>
                  <w:sz w:val="16"/>
                  <w:szCs w:val="16"/>
                  <w:color w:val="0000FF"/>
                </w:rPr>
                <w:t>July 30, 2025.</w:t>
              </w:r>
            </w:hyperlink>
          </w:p>
        </w:tc>
        <w:tc>
          <w:tcPr>
            <w:tcW w:w="3480" w:type="dxa"/>
            <w:vAlign w:val="bottom"/>
            <w:tcBorders>
              <w:top w:val="single" w:sz="8" w:color="0000FF"/>
            </w:tcBorders>
            <w:gridSpan w:val="5"/>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96"/>
        </w:trPr>
        <w:tc>
          <w:tcPr>
            <w:tcW w:w="920" w:type="dxa"/>
            <w:vAlign w:val="bottom"/>
          </w:tcPr>
          <w:p>
            <w:pPr>
              <w:jc w:val="right"/>
              <w:ind w:right="519"/>
              <w:spacing w:after="0"/>
              <w:rPr>
                <w:sz w:val="20"/>
                <w:szCs w:val="20"/>
                <w:color w:val="auto"/>
              </w:rPr>
            </w:pPr>
            <w:r>
              <w:rPr>
                <w:rFonts w:ascii="Arial" w:cs="Arial" w:eastAsia="Arial" w:hAnsi="Arial"/>
                <w:sz w:val="16"/>
                <w:szCs w:val="16"/>
                <w:color w:val="auto"/>
                <w:w w:val="96"/>
              </w:rPr>
              <w:t>31.1</w:t>
            </w:r>
          </w:p>
        </w:tc>
        <w:tc>
          <w:tcPr>
            <w:tcW w:w="4560" w:type="dxa"/>
            <w:vAlign w:val="bottom"/>
            <w:gridSpan w:val="7"/>
          </w:tcPr>
          <w:p>
            <w:pPr>
              <w:spacing w:after="0"/>
              <w:rPr>
                <w:sz w:val="20"/>
                <w:szCs w:val="20"/>
                <w:color w:val="auto"/>
              </w:rPr>
            </w:pPr>
            <w:r>
              <w:rPr>
                <w:rFonts w:ascii="Arial" w:cs="Arial" w:eastAsia="Arial" w:hAnsi="Arial"/>
                <w:sz w:val="16"/>
                <w:szCs w:val="16"/>
                <w:color w:val="0000FF"/>
              </w:rPr>
              <w:t>Certification of the Chief Executive Officer, pursuant to Rule</w:t>
            </w:r>
          </w:p>
        </w:tc>
        <w:tc>
          <w:tcPr>
            <w:tcW w:w="560" w:type="dxa"/>
            <w:vAlign w:val="bottom"/>
          </w:tcPr>
          <w:p>
            <w:pPr>
              <w:ind w:left="460"/>
              <w:spacing w:after="0"/>
              <w:rPr>
                <w:sz w:val="20"/>
                <w:szCs w:val="20"/>
                <w:color w:val="auto"/>
              </w:rPr>
            </w:pPr>
            <w:r>
              <w:rPr>
                <w:rFonts w:ascii="Arial" w:cs="Arial" w:eastAsia="Arial" w:hAnsi="Arial"/>
                <w:sz w:val="16"/>
                <w:szCs w:val="16"/>
                <w:color w:val="auto"/>
                <w:w w:val="74"/>
              </w:rPr>
              <w:t>X</w:t>
            </w:r>
          </w:p>
        </w:tc>
      </w:tr>
      <w:tr>
        <w:trPr>
          <w:trHeight w:val="142"/>
        </w:trPr>
        <w:tc>
          <w:tcPr>
            <w:tcW w:w="92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13a-14(a)/15d-14(a), as adopted pursuant to Section 302 of</w:t>
            </w:r>
          </w:p>
        </w:tc>
        <w:tc>
          <w:tcPr>
            <w:tcW w:w="300" w:type="dxa"/>
            <w:vAlign w:val="bottom"/>
            <w:tcBorders>
              <w:bottom w:val="single" w:sz="8" w:color="0000FF"/>
            </w:tcBorders>
            <w:gridSpan w:val="3"/>
          </w:tcPr>
          <w:p>
            <w:pPr>
              <w:ind w:left="60"/>
              <w:spacing w:after="0" w:line="142" w:lineRule="exact"/>
              <w:rPr>
                <w:sz w:val="20"/>
                <w:szCs w:val="20"/>
                <w:color w:val="auto"/>
              </w:rPr>
            </w:pPr>
            <w:r>
              <w:rPr>
                <w:rFonts w:ascii="Arial" w:cs="Arial" w:eastAsia="Arial" w:hAnsi="Arial"/>
                <w:sz w:val="16"/>
                <w:szCs w:val="16"/>
                <w:color w:val="0000FF"/>
                <w:w w:val="98"/>
              </w:rPr>
              <w:t>the</w:t>
            </w:r>
          </w:p>
        </w:tc>
        <w:tc>
          <w:tcPr>
            <w:tcW w:w="5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080" w:type="dxa"/>
            <w:vAlign w:val="bottom"/>
            <w:tcBorders>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480" w:type="dxa"/>
            <w:vAlign w:val="bottom"/>
            <w:gridSpan w:val="4"/>
          </w:tcPr>
          <w:p>
            <w:pPr>
              <w:spacing w:after="0"/>
              <w:rPr>
                <w:sz w:val="12"/>
                <w:szCs w:val="12"/>
                <w:color w:val="auto"/>
              </w:rPr>
            </w:pPr>
          </w:p>
        </w:tc>
        <w:tc>
          <w:tcPr>
            <w:tcW w:w="5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20"/>
                <w:szCs w:val="20"/>
                <w:color w:val="auto"/>
              </w:rPr>
            </w:pPr>
            <w:r>
              <w:rPr>
                <w:rFonts w:ascii="Arial" w:cs="Arial" w:eastAsia="Arial" w:hAnsi="Arial"/>
                <w:sz w:val="16"/>
                <w:szCs w:val="16"/>
                <w:color w:val="auto"/>
              </w:rPr>
              <w:t>8-K</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10.2</w:t>
            </w:r>
          </w:p>
        </w:tc>
        <w:tc>
          <w:tcPr>
            <w:tcW w:w="1000" w:type="dxa"/>
            <w:vAlign w:val="bottom"/>
          </w:tcPr>
          <w:p>
            <w:pPr>
              <w:jc w:val="right"/>
              <w:spacing w:after="0"/>
              <w:rPr>
                <w:sz w:val="20"/>
                <w:szCs w:val="20"/>
                <w:color w:val="auto"/>
              </w:rPr>
            </w:pPr>
            <w:r>
              <w:rPr>
                <w:rFonts w:ascii="Arial" w:cs="Arial" w:eastAsia="Arial" w:hAnsi="Arial"/>
                <w:sz w:val="16"/>
                <w:szCs w:val="16"/>
                <w:color w:val="auto"/>
              </w:rPr>
              <w:t>7/31/2025</w:t>
            </w:r>
          </w:p>
        </w:tc>
      </w:tr>
      <w:tr>
        <w:trPr>
          <w:trHeight w:val="378"/>
        </w:trPr>
        <w:tc>
          <w:tcPr>
            <w:tcW w:w="980" w:type="dxa"/>
            <w:vAlign w:val="bottom"/>
          </w:tcPr>
          <w:p>
            <w:pPr>
              <w:spacing w:after="0"/>
              <w:rPr>
                <w:sz w:val="20"/>
                <w:szCs w:val="20"/>
                <w:color w:val="auto"/>
              </w:rPr>
            </w:pPr>
            <w:r>
              <w:rPr>
                <w:rFonts w:ascii="Arial" w:cs="Arial" w:eastAsia="Arial" w:hAnsi="Arial"/>
                <w:sz w:val="16"/>
                <w:szCs w:val="16"/>
                <w:color w:val="auto"/>
              </w:rPr>
              <w:t>8-K</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10.3</w:t>
            </w:r>
          </w:p>
        </w:tc>
        <w:tc>
          <w:tcPr>
            <w:tcW w:w="1000" w:type="dxa"/>
            <w:vAlign w:val="bottom"/>
          </w:tcPr>
          <w:p>
            <w:pPr>
              <w:jc w:val="right"/>
              <w:spacing w:after="0"/>
              <w:rPr>
                <w:sz w:val="20"/>
                <w:szCs w:val="20"/>
                <w:color w:val="auto"/>
              </w:rPr>
            </w:pPr>
            <w:r>
              <w:rPr>
                <w:rFonts w:ascii="Arial" w:cs="Arial" w:eastAsia="Arial" w:hAnsi="Arial"/>
                <w:sz w:val="16"/>
                <w:szCs w:val="16"/>
                <w:color w:val="auto"/>
              </w:rPr>
              <w:t>7/31/2025</w:t>
            </w:r>
          </w:p>
        </w:tc>
      </w:tr>
    </w:tbl>
    <w:p>
      <w:pPr>
        <w:spacing w:after="0" w:line="615" w:lineRule="exact"/>
        <w:rPr>
          <w:sz w:val="20"/>
          <w:szCs w:val="20"/>
          <w:color w:val="auto"/>
        </w:rPr>
      </w:pPr>
    </w:p>
    <w:p>
      <w:pPr>
        <w:sectPr>
          <w:pgSz w:w="11900" w:h="16838" w:orient="portrait"/>
          <w:cols w:equalWidth="0" w:num="2">
            <w:col w:w="7080" w:space="720"/>
            <w:col w:w="344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42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Certification of the Chief Financial Officer, pursuant to Rule</w:t>
            </w:r>
          </w:p>
        </w:tc>
        <w:tc>
          <w:tcPr>
            <w:tcW w:w="340" w:type="dxa"/>
            <w:vAlign w:val="bottom"/>
            <w:gridSpan w:val="2"/>
          </w:tcPr>
          <w:p>
            <w:pPr>
              <w:spacing w:after="0"/>
              <w:rPr>
                <w:sz w:val="16"/>
                <w:szCs w:val="16"/>
                <w:color w:val="auto"/>
              </w:rPr>
            </w:pPr>
          </w:p>
        </w:tc>
        <w:tc>
          <w:tcPr>
            <w:tcW w:w="1500" w:type="dxa"/>
            <w:vAlign w:val="bottom"/>
          </w:tcPr>
          <w:p>
            <w:pPr>
              <w:ind w:left="460"/>
              <w:spacing w:after="0"/>
              <w:rPr>
                <w:sz w:val="20"/>
                <w:szCs w:val="20"/>
                <w:color w:val="auto"/>
              </w:rPr>
            </w:pPr>
            <w:r>
              <w:rPr>
                <w:rFonts w:ascii="Arial" w:cs="Arial" w:eastAsia="Arial" w:hAnsi="Arial"/>
                <w:sz w:val="16"/>
                <w:szCs w:val="16"/>
                <w:color w:val="auto"/>
              </w:rPr>
              <w:t>X</w:t>
            </w:r>
          </w:p>
        </w:tc>
      </w:tr>
      <w:tr>
        <w:trPr>
          <w:trHeight w:val="142"/>
        </w:trPr>
        <w:tc>
          <w:tcPr>
            <w:tcW w:w="920" w:type="dxa"/>
            <w:vAlign w:val="bottom"/>
          </w:tcPr>
          <w:p>
            <w:pPr>
              <w:spacing w:after="0"/>
              <w:rPr>
                <w:sz w:val="12"/>
                <w:szCs w:val="12"/>
                <w:color w:val="auto"/>
              </w:rPr>
            </w:pPr>
          </w:p>
        </w:tc>
        <w:tc>
          <w:tcPr>
            <w:tcW w:w="4560" w:type="dxa"/>
            <w:vAlign w:val="bottom"/>
            <w:tcBorders>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13a-14(a)/15d-14(a), as adopted pursuant to Section 302 of the</w:t>
            </w:r>
          </w:p>
        </w:tc>
        <w:tc>
          <w:tcPr>
            <w:tcW w:w="15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08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480" w:type="dxa"/>
            <w:vAlign w:val="bottom"/>
            <w:gridSpan w:val="6"/>
          </w:tcPr>
          <w:p>
            <w:pPr>
              <w:spacing w:after="0"/>
              <w:rPr>
                <w:sz w:val="12"/>
                <w:szCs w:val="12"/>
                <w:color w:val="auto"/>
              </w:rPr>
            </w:pPr>
          </w:p>
        </w:tc>
        <w:tc>
          <w:tcPr>
            <w:tcW w:w="1500" w:type="dxa"/>
            <w:vAlign w:val="bottom"/>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4560" w:type="dxa"/>
            <w:vAlign w:val="bottom"/>
            <w:gridSpan w:val="7"/>
          </w:tcPr>
          <w:p>
            <w:pPr>
              <w:spacing w:after="0"/>
              <w:rPr>
                <w:sz w:val="20"/>
                <w:szCs w:val="20"/>
                <w:color w:val="auto"/>
              </w:rPr>
            </w:pPr>
            <w:r>
              <w:rPr>
                <w:rFonts w:ascii="Arial" w:cs="Arial" w:eastAsia="Arial" w:hAnsi="Arial"/>
                <w:sz w:val="16"/>
                <w:szCs w:val="16"/>
                <w:color w:val="0000FF"/>
              </w:rPr>
              <w:t>Certification of the Chief Executive Officer, pursuant to 18</w:t>
            </w:r>
          </w:p>
        </w:tc>
        <w:tc>
          <w:tcPr>
            <w:tcW w:w="1500" w:type="dxa"/>
            <w:vAlign w:val="bottom"/>
          </w:tcPr>
          <w:p>
            <w:pPr>
              <w:ind w:left="1380"/>
              <w:spacing w:after="0"/>
              <w:rPr>
                <w:sz w:val="20"/>
                <w:szCs w:val="20"/>
                <w:color w:val="auto"/>
              </w:rPr>
            </w:pPr>
            <w:r>
              <w:rPr>
                <w:rFonts w:ascii="Arial" w:cs="Arial" w:eastAsia="Arial" w:hAnsi="Arial"/>
                <w:sz w:val="16"/>
                <w:szCs w:val="16"/>
                <w:color w:val="auto"/>
                <w:w w:val="93"/>
              </w:rPr>
              <w:t>X</w:t>
            </w:r>
          </w:p>
        </w:tc>
      </w:tr>
      <w:tr>
        <w:trPr>
          <w:trHeight w:val="142"/>
        </w:trPr>
        <w:tc>
          <w:tcPr>
            <w:tcW w:w="920" w:type="dxa"/>
            <w:vAlign w:val="bottom"/>
          </w:tcPr>
          <w:p>
            <w:pPr>
              <w:spacing w:after="0"/>
              <w:rPr>
                <w:sz w:val="12"/>
                <w:szCs w:val="12"/>
                <w:color w:val="auto"/>
              </w:rPr>
            </w:pPr>
          </w:p>
        </w:tc>
        <w:tc>
          <w:tcPr>
            <w:tcW w:w="412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U.S.C. Section 1350, as adopted pursuant to Section 906</w:t>
            </w:r>
          </w:p>
        </w:tc>
        <w:tc>
          <w:tcPr>
            <w:tcW w:w="440" w:type="dxa"/>
            <w:vAlign w:val="bottom"/>
            <w:gridSpan w:val="3"/>
          </w:tcPr>
          <w:p>
            <w:pPr>
              <w:ind w:left="40"/>
              <w:spacing w:after="0" w:line="142" w:lineRule="exact"/>
              <w:rPr>
                <w:sz w:val="20"/>
                <w:szCs w:val="20"/>
                <w:color w:val="auto"/>
              </w:rPr>
            </w:pPr>
            <w:r>
              <w:rPr>
                <w:rFonts w:ascii="Arial" w:cs="Arial" w:eastAsia="Arial" w:hAnsi="Arial"/>
                <w:sz w:val="16"/>
                <w:szCs w:val="16"/>
                <w:color w:val="0000FF"/>
              </w:rPr>
              <w:t>of</w:t>
            </w:r>
          </w:p>
        </w:tc>
        <w:tc>
          <w:tcPr>
            <w:tcW w:w="15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3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the Sarbanes-Oxley Act of 2002.</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32.2</w:t>
            </w:r>
          </w:p>
        </w:tc>
        <w:tc>
          <w:tcPr>
            <w:tcW w:w="4560" w:type="dxa"/>
            <w:vAlign w:val="bottom"/>
            <w:gridSpan w:val="7"/>
          </w:tcPr>
          <w:p>
            <w:pPr>
              <w:spacing w:after="0"/>
              <w:rPr>
                <w:sz w:val="20"/>
                <w:szCs w:val="20"/>
                <w:color w:val="auto"/>
              </w:rPr>
            </w:pPr>
            <w:r>
              <w:rPr>
                <w:rFonts w:ascii="Arial" w:cs="Arial" w:eastAsia="Arial" w:hAnsi="Arial"/>
                <w:sz w:val="16"/>
                <w:szCs w:val="16"/>
                <w:color w:val="0000FF"/>
              </w:rPr>
              <w:t>Certification of the Chief Financial Officer, pursuant to 18</w:t>
            </w:r>
          </w:p>
        </w:tc>
        <w:tc>
          <w:tcPr>
            <w:tcW w:w="1500" w:type="dxa"/>
            <w:vAlign w:val="bottom"/>
          </w:tcPr>
          <w:p>
            <w:pPr>
              <w:ind w:left="1380"/>
              <w:spacing w:after="0"/>
              <w:rPr>
                <w:sz w:val="20"/>
                <w:szCs w:val="20"/>
                <w:color w:val="auto"/>
              </w:rPr>
            </w:pPr>
            <w:r>
              <w:rPr>
                <w:rFonts w:ascii="Arial" w:cs="Arial" w:eastAsia="Arial" w:hAnsi="Arial"/>
                <w:sz w:val="16"/>
                <w:szCs w:val="16"/>
                <w:color w:val="auto"/>
                <w:w w:val="93"/>
              </w:rPr>
              <w:t>X</w:t>
            </w:r>
          </w:p>
        </w:tc>
      </w:tr>
      <w:tr>
        <w:trPr>
          <w:trHeight w:val="142"/>
        </w:trPr>
        <w:tc>
          <w:tcPr>
            <w:tcW w:w="920" w:type="dxa"/>
            <w:vAlign w:val="bottom"/>
          </w:tcPr>
          <w:p>
            <w:pPr>
              <w:spacing w:after="0"/>
              <w:rPr>
                <w:sz w:val="12"/>
                <w:szCs w:val="12"/>
                <w:color w:val="auto"/>
              </w:rPr>
            </w:pPr>
          </w:p>
        </w:tc>
        <w:tc>
          <w:tcPr>
            <w:tcW w:w="406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9"/>
              </w:rPr>
              <w:t>U.S.C. Section 1350, as adopted pursuant to Section 906</w:t>
            </w:r>
          </w:p>
        </w:tc>
        <w:tc>
          <w:tcPr>
            <w:tcW w:w="500" w:type="dxa"/>
            <w:vAlign w:val="bottom"/>
            <w:gridSpan w:val="4"/>
          </w:tcPr>
          <w:p>
            <w:pPr>
              <w:ind w:left="100"/>
              <w:spacing w:after="0" w:line="142" w:lineRule="exact"/>
              <w:rPr>
                <w:sz w:val="20"/>
                <w:szCs w:val="20"/>
                <w:color w:val="auto"/>
              </w:rPr>
            </w:pPr>
            <w:r>
              <w:rPr>
                <w:rFonts w:ascii="Arial" w:cs="Arial" w:eastAsia="Arial" w:hAnsi="Arial"/>
                <w:sz w:val="16"/>
                <w:szCs w:val="16"/>
                <w:color w:val="0000FF"/>
              </w:rPr>
              <w:t>of</w:t>
            </w:r>
          </w:p>
        </w:tc>
        <w:tc>
          <w:tcPr>
            <w:tcW w:w="15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3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the Sarbanes-Oxley Act of 2002.</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Arial" w:cs="Arial" w:eastAsia="Arial" w:hAnsi="Arial"/>
                <w:sz w:val="16"/>
                <w:szCs w:val="16"/>
                <w:color w:val="auto"/>
              </w:rPr>
              <w:t>101.INS</w:t>
            </w:r>
          </w:p>
        </w:tc>
        <w:tc>
          <w:tcPr>
            <w:tcW w:w="4560" w:type="dxa"/>
            <w:vAlign w:val="bottom"/>
            <w:gridSpan w:val="7"/>
          </w:tcPr>
          <w:p>
            <w:pPr>
              <w:spacing w:after="0" w:line="183" w:lineRule="exact"/>
              <w:rPr>
                <w:sz w:val="20"/>
                <w:szCs w:val="20"/>
                <w:color w:val="auto"/>
              </w:rPr>
            </w:pPr>
            <w:r>
              <w:rPr>
                <w:rFonts w:ascii="Arial" w:cs="Arial" w:eastAsia="Arial" w:hAnsi="Arial"/>
                <w:sz w:val="16"/>
                <w:szCs w:val="16"/>
                <w:color w:val="auto"/>
              </w:rPr>
              <w:t>Inline XBRL Instance Document - the instance document does</w:t>
            </w:r>
          </w:p>
        </w:tc>
        <w:tc>
          <w:tcPr>
            <w:tcW w:w="1500" w:type="dxa"/>
            <w:vAlign w:val="bottom"/>
          </w:tcPr>
          <w:p>
            <w:pPr>
              <w:ind w:left="460"/>
              <w:spacing w:after="0" w:line="183" w:lineRule="exact"/>
              <w:rPr>
                <w:sz w:val="20"/>
                <w:szCs w:val="20"/>
                <w:color w:val="auto"/>
              </w:rPr>
            </w:pPr>
            <w:r>
              <w:rPr>
                <w:rFonts w:ascii="Arial" w:cs="Arial" w:eastAsia="Arial" w:hAnsi="Arial"/>
                <w:sz w:val="16"/>
                <w:szCs w:val="16"/>
                <w:color w:val="auto"/>
              </w:rPr>
              <w:t>X</w:t>
            </w:r>
          </w:p>
        </w:tc>
      </w:tr>
      <w:tr>
        <w:trPr>
          <w:trHeight w:val="162"/>
        </w:trPr>
        <w:tc>
          <w:tcPr>
            <w:tcW w:w="920" w:type="dxa"/>
            <w:vAlign w:val="bottom"/>
          </w:tcPr>
          <w:p>
            <w:pPr>
              <w:spacing w:after="0"/>
              <w:rPr>
                <w:sz w:val="14"/>
                <w:szCs w:val="14"/>
                <w:color w:val="auto"/>
              </w:rPr>
            </w:pPr>
          </w:p>
        </w:tc>
        <w:tc>
          <w:tcPr>
            <w:tcW w:w="4560" w:type="dxa"/>
            <w:vAlign w:val="bottom"/>
            <w:gridSpan w:val="7"/>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1500" w:type="dxa"/>
            <w:vAlign w:val="bottom"/>
          </w:tcPr>
          <w:p>
            <w:pPr>
              <w:spacing w:after="0"/>
              <w:rPr>
                <w:sz w:val="14"/>
                <w:szCs w:val="14"/>
                <w:color w:val="auto"/>
              </w:rPr>
            </w:pPr>
          </w:p>
        </w:tc>
      </w:tr>
      <w:tr>
        <w:trPr>
          <w:trHeight w:val="215"/>
        </w:trPr>
        <w:tc>
          <w:tcPr>
            <w:tcW w:w="9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Arial" w:cs="Arial" w:eastAsia="Arial" w:hAnsi="Arial"/>
                <w:sz w:val="16"/>
                <w:szCs w:val="16"/>
                <w:color w:val="auto"/>
              </w:rPr>
              <w:t>are embedded within the Inline XBRL document.</w:t>
            </w:r>
          </w:p>
        </w:tc>
        <w:tc>
          <w:tcPr>
            <w:tcW w:w="1500" w:type="dxa"/>
            <w:vAlign w:val="bottom"/>
          </w:tcPr>
          <w:p>
            <w:pPr>
              <w:spacing w:after="0"/>
              <w:rPr>
                <w:sz w:val="18"/>
                <w:szCs w:val="18"/>
                <w:color w:val="auto"/>
              </w:rPr>
            </w:pPr>
          </w:p>
        </w:tc>
      </w:tr>
      <w:tr>
        <w:trPr>
          <w:trHeight w:val="215"/>
        </w:trPr>
        <w:tc>
          <w:tcPr>
            <w:tcW w:w="920" w:type="dxa"/>
            <w:vAlign w:val="bottom"/>
          </w:tcPr>
          <w:p>
            <w:pPr>
              <w:spacing w:after="0"/>
              <w:rPr>
                <w:sz w:val="20"/>
                <w:szCs w:val="20"/>
                <w:color w:val="auto"/>
              </w:rPr>
            </w:pPr>
            <w:r>
              <w:rPr>
                <w:rFonts w:ascii="Arial" w:cs="Arial" w:eastAsia="Arial" w:hAnsi="Arial"/>
                <w:sz w:val="16"/>
                <w:szCs w:val="16"/>
                <w:color w:val="auto"/>
              </w:rPr>
              <w:t>101.SCH</w:t>
            </w:r>
          </w:p>
        </w:tc>
        <w:tc>
          <w:tcPr>
            <w:tcW w:w="456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c>
          <w:tcPr>
            <w:tcW w:w="1500" w:type="dxa"/>
            <w:vAlign w:val="bottom"/>
          </w:tcPr>
          <w:p>
            <w:pPr>
              <w:ind w:left="460"/>
              <w:spacing w:after="0"/>
              <w:rPr>
                <w:sz w:val="20"/>
                <w:szCs w:val="20"/>
                <w:color w:val="auto"/>
              </w:rPr>
            </w:pPr>
            <w:r>
              <w:rPr>
                <w:rFonts w:ascii="Arial" w:cs="Arial" w:eastAsia="Arial" w:hAnsi="Arial"/>
                <w:sz w:val="16"/>
                <w:szCs w:val="16"/>
                <w:color w:val="auto"/>
              </w:rPr>
              <w:t>X</w:t>
            </w:r>
          </w:p>
        </w:tc>
      </w:tr>
      <w:tr>
        <w:trPr>
          <w:trHeight w:val="164"/>
        </w:trPr>
        <w:tc>
          <w:tcPr>
            <w:tcW w:w="920" w:type="dxa"/>
            <w:vAlign w:val="bottom"/>
          </w:tcPr>
          <w:p>
            <w:pPr>
              <w:spacing w:after="0" w:line="164" w:lineRule="exact"/>
              <w:rPr>
                <w:sz w:val="20"/>
                <w:szCs w:val="20"/>
                <w:color w:val="auto"/>
              </w:rPr>
            </w:pPr>
            <w:r>
              <w:rPr>
                <w:rFonts w:ascii="Arial" w:cs="Arial" w:eastAsia="Arial" w:hAnsi="Arial"/>
                <w:sz w:val="16"/>
                <w:szCs w:val="16"/>
                <w:color w:val="auto"/>
              </w:rPr>
              <w:t>101.CAL</w:t>
            </w:r>
          </w:p>
        </w:tc>
        <w:tc>
          <w:tcPr>
            <w:tcW w:w="4560" w:type="dxa"/>
            <w:vAlign w:val="bottom"/>
            <w:gridSpan w:val="7"/>
          </w:tcPr>
          <w:p>
            <w:pPr>
              <w:spacing w:after="0" w:line="164" w:lineRule="exact"/>
              <w:rPr>
                <w:sz w:val="20"/>
                <w:szCs w:val="20"/>
                <w:color w:val="auto"/>
              </w:rPr>
            </w:pPr>
            <w:r>
              <w:rPr>
                <w:rFonts w:ascii="Arial" w:cs="Arial" w:eastAsia="Arial" w:hAnsi="Arial"/>
                <w:sz w:val="16"/>
                <w:szCs w:val="16"/>
                <w:color w:val="auto"/>
              </w:rPr>
              <w:t>Inline XBRL Taxonomy Extension Calculation Linkbase</w:t>
            </w:r>
          </w:p>
        </w:tc>
        <w:tc>
          <w:tcPr>
            <w:tcW w:w="150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r>
      <w:tr>
        <w:trPr>
          <w:trHeight w:val="215"/>
        </w:trPr>
        <w:tc>
          <w:tcPr>
            <w:tcW w:w="9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Arial" w:cs="Arial" w:eastAsia="Arial" w:hAnsi="Arial"/>
                <w:sz w:val="16"/>
                <w:szCs w:val="16"/>
                <w:color w:val="auto"/>
              </w:rPr>
              <w:t>Document</w:t>
            </w:r>
          </w:p>
        </w:tc>
        <w:tc>
          <w:tcPr>
            <w:tcW w:w="1500" w:type="dxa"/>
            <w:vAlign w:val="bottom"/>
          </w:tcPr>
          <w:p>
            <w:pPr>
              <w:spacing w:after="0"/>
              <w:rPr>
                <w:sz w:val="18"/>
                <w:szCs w:val="18"/>
                <w:color w:val="auto"/>
              </w:rPr>
            </w:pPr>
          </w:p>
        </w:tc>
      </w:tr>
      <w:tr>
        <w:trPr>
          <w:trHeight w:val="215"/>
        </w:trPr>
        <w:tc>
          <w:tcPr>
            <w:tcW w:w="920" w:type="dxa"/>
            <w:vAlign w:val="bottom"/>
          </w:tcPr>
          <w:p>
            <w:pPr>
              <w:spacing w:after="0"/>
              <w:rPr>
                <w:sz w:val="20"/>
                <w:szCs w:val="20"/>
                <w:color w:val="auto"/>
              </w:rPr>
            </w:pPr>
            <w:r>
              <w:rPr>
                <w:rFonts w:ascii="Arial" w:cs="Arial" w:eastAsia="Arial" w:hAnsi="Arial"/>
                <w:sz w:val="16"/>
                <w:szCs w:val="16"/>
                <w:color w:val="auto"/>
              </w:rPr>
              <w:t>101.LAB</w:t>
            </w:r>
          </w:p>
        </w:tc>
        <w:tc>
          <w:tcPr>
            <w:tcW w:w="456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500" w:type="dxa"/>
            <w:vAlign w:val="bottom"/>
          </w:tcPr>
          <w:p>
            <w:pPr>
              <w:ind w:left="460"/>
              <w:spacing w:after="0"/>
              <w:rPr>
                <w:sz w:val="20"/>
                <w:szCs w:val="20"/>
                <w:color w:val="auto"/>
              </w:rPr>
            </w:pPr>
            <w:r>
              <w:rPr>
                <w:rFonts w:ascii="Arial" w:cs="Arial" w:eastAsia="Arial" w:hAnsi="Arial"/>
                <w:sz w:val="16"/>
                <w:szCs w:val="16"/>
                <w:color w:val="auto"/>
              </w:rPr>
              <w:t>X</w:t>
            </w:r>
          </w:p>
        </w:tc>
      </w:tr>
      <w:tr>
        <w:trPr>
          <w:trHeight w:val="164"/>
        </w:trPr>
        <w:tc>
          <w:tcPr>
            <w:tcW w:w="920" w:type="dxa"/>
            <w:vAlign w:val="bottom"/>
          </w:tcPr>
          <w:p>
            <w:pPr>
              <w:spacing w:after="0" w:line="164" w:lineRule="exact"/>
              <w:rPr>
                <w:sz w:val="20"/>
                <w:szCs w:val="20"/>
                <w:color w:val="auto"/>
              </w:rPr>
            </w:pPr>
            <w:r>
              <w:rPr>
                <w:rFonts w:ascii="Arial" w:cs="Arial" w:eastAsia="Arial" w:hAnsi="Arial"/>
                <w:sz w:val="16"/>
                <w:szCs w:val="16"/>
                <w:color w:val="auto"/>
              </w:rPr>
              <w:t>101.PRE</w:t>
            </w:r>
          </w:p>
        </w:tc>
        <w:tc>
          <w:tcPr>
            <w:tcW w:w="4560" w:type="dxa"/>
            <w:vAlign w:val="bottom"/>
            <w:gridSpan w:val="7"/>
          </w:tcPr>
          <w:p>
            <w:pPr>
              <w:spacing w:after="0" w:line="164" w:lineRule="exact"/>
              <w:rPr>
                <w:sz w:val="20"/>
                <w:szCs w:val="20"/>
                <w:color w:val="auto"/>
              </w:rPr>
            </w:pPr>
            <w:r>
              <w:rPr>
                <w:rFonts w:ascii="Arial" w:cs="Arial" w:eastAsia="Arial" w:hAnsi="Arial"/>
                <w:sz w:val="16"/>
                <w:szCs w:val="16"/>
                <w:color w:val="auto"/>
              </w:rPr>
              <w:t>Inline XBRL Taxonomy Extension Presentation Linkbase</w:t>
            </w:r>
          </w:p>
        </w:tc>
        <w:tc>
          <w:tcPr>
            <w:tcW w:w="150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r>
      <w:tr>
        <w:trPr>
          <w:trHeight w:val="215"/>
        </w:trPr>
        <w:tc>
          <w:tcPr>
            <w:tcW w:w="9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Arial" w:cs="Arial" w:eastAsia="Arial" w:hAnsi="Arial"/>
                <w:sz w:val="16"/>
                <w:szCs w:val="16"/>
                <w:color w:val="auto"/>
              </w:rPr>
              <w:t>Document</w:t>
            </w:r>
          </w:p>
        </w:tc>
        <w:tc>
          <w:tcPr>
            <w:tcW w:w="1500" w:type="dxa"/>
            <w:vAlign w:val="bottom"/>
          </w:tcPr>
          <w:p>
            <w:pPr>
              <w:spacing w:after="0"/>
              <w:rPr>
                <w:sz w:val="18"/>
                <w:szCs w:val="18"/>
                <w:color w:val="auto"/>
              </w:rPr>
            </w:pPr>
          </w:p>
        </w:tc>
      </w:tr>
      <w:tr>
        <w:trPr>
          <w:trHeight w:val="163"/>
        </w:trPr>
        <w:tc>
          <w:tcPr>
            <w:tcW w:w="920" w:type="dxa"/>
            <w:vAlign w:val="bottom"/>
          </w:tcPr>
          <w:p>
            <w:pPr>
              <w:spacing w:after="0" w:line="164" w:lineRule="exact"/>
              <w:rPr>
                <w:sz w:val="20"/>
                <w:szCs w:val="20"/>
                <w:color w:val="auto"/>
              </w:rPr>
            </w:pPr>
            <w:r>
              <w:rPr>
                <w:rFonts w:ascii="Arial" w:cs="Arial" w:eastAsia="Arial" w:hAnsi="Arial"/>
                <w:sz w:val="16"/>
                <w:szCs w:val="16"/>
                <w:color w:val="auto"/>
              </w:rPr>
              <w:t>101.DEF</w:t>
            </w:r>
          </w:p>
        </w:tc>
        <w:tc>
          <w:tcPr>
            <w:tcW w:w="4560" w:type="dxa"/>
            <w:vAlign w:val="bottom"/>
            <w:gridSpan w:val="7"/>
          </w:tcPr>
          <w:p>
            <w:pPr>
              <w:spacing w:after="0" w:line="164" w:lineRule="exact"/>
              <w:rPr>
                <w:sz w:val="20"/>
                <w:szCs w:val="20"/>
                <w:color w:val="auto"/>
              </w:rPr>
            </w:pPr>
            <w:r>
              <w:rPr>
                <w:rFonts w:ascii="Arial" w:cs="Arial" w:eastAsia="Arial" w:hAnsi="Arial"/>
                <w:sz w:val="16"/>
                <w:szCs w:val="16"/>
                <w:color w:val="auto"/>
              </w:rPr>
              <w:t>Inline XBRL Taxonomy Extension Definition Linkbase</w:t>
            </w:r>
          </w:p>
        </w:tc>
        <w:tc>
          <w:tcPr>
            <w:tcW w:w="150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r>
      <w:tr>
        <w:trPr>
          <w:trHeight w:val="215"/>
        </w:trPr>
        <w:tc>
          <w:tcPr>
            <w:tcW w:w="9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Arial" w:cs="Arial" w:eastAsia="Arial" w:hAnsi="Arial"/>
                <w:sz w:val="16"/>
                <w:szCs w:val="16"/>
                <w:color w:val="auto"/>
              </w:rPr>
              <w:t>Document</w:t>
            </w:r>
          </w:p>
        </w:tc>
        <w:tc>
          <w:tcPr>
            <w:tcW w:w="1500" w:type="dxa"/>
            <w:vAlign w:val="bottom"/>
          </w:tcPr>
          <w:p>
            <w:pPr>
              <w:spacing w:after="0"/>
              <w:rPr>
                <w:sz w:val="18"/>
                <w:szCs w:val="18"/>
                <w:color w:val="auto"/>
              </w:rPr>
            </w:pPr>
          </w:p>
        </w:tc>
      </w:tr>
      <w:tr>
        <w:trPr>
          <w:trHeight w:val="163"/>
        </w:trPr>
        <w:tc>
          <w:tcPr>
            <w:tcW w:w="920" w:type="dxa"/>
            <w:vAlign w:val="bottom"/>
          </w:tcPr>
          <w:p>
            <w:pPr>
              <w:spacing w:after="0" w:line="164" w:lineRule="exact"/>
              <w:rPr>
                <w:sz w:val="20"/>
                <w:szCs w:val="20"/>
                <w:color w:val="auto"/>
              </w:rPr>
            </w:pPr>
            <w:r>
              <w:rPr>
                <w:rFonts w:ascii="Arial" w:cs="Arial" w:eastAsia="Arial" w:hAnsi="Arial"/>
                <w:sz w:val="16"/>
                <w:szCs w:val="16"/>
                <w:color w:val="auto"/>
              </w:rPr>
              <w:t>104</w:t>
            </w:r>
          </w:p>
        </w:tc>
        <w:tc>
          <w:tcPr>
            <w:tcW w:w="4560" w:type="dxa"/>
            <w:vAlign w:val="bottom"/>
            <w:gridSpan w:val="7"/>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150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r>
      <w:tr>
        <w:trPr>
          <w:trHeight w:val="215"/>
        </w:trPr>
        <w:tc>
          <w:tcPr>
            <w:tcW w:w="9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Arial" w:cs="Arial" w:eastAsia="Arial" w:hAnsi="Arial"/>
                <w:sz w:val="16"/>
                <w:szCs w:val="16"/>
                <w:color w:val="auto"/>
              </w:rPr>
              <w:t>contained in Exhibit 101)</w:t>
            </w:r>
          </w:p>
        </w:tc>
        <w:tc>
          <w:tcPr>
            <w:tcW w:w="1500" w:type="dxa"/>
            <w:vAlign w:val="bottom"/>
          </w:tcPr>
          <w:p>
            <w:pPr>
              <w:spacing w:after="0"/>
              <w:rPr>
                <w:sz w:val="18"/>
                <w:szCs w:val="18"/>
                <w:color w:val="auto"/>
              </w:rPr>
            </w:pPr>
          </w:p>
        </w:tc>
      </w:tr>
    </w:tbl>
    <w:p>
      <w:pPr>
        <w:spacing w:after="0" w:line="239"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the exhibit is a management contract or compensatory plan or arrangement.</w:t>
      </w:r>
    </w:p>
    <w:p>
      <w:pPr>
        <w:spacing w:after="0" w:line="171" w:lineRule="exact"/>
        <w:rPr>
          <w:sz w:val="20"/>
          <w:szCs w:val="20"/>
          <w:color w:val="auto"/>
        </w:rPr>
      </w:pPr>
    </w:p>
    <w:p>
      <w:pPr>
        <w:ind w:right="140" w:firstLine="8"/>
        <w:spacing w:after="0" w:line="28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Pursuant to Regulation S-K 601(a)(5), certain exhibits to this Exhibit have been omitted. The Company agrees to furnish supplementally to the Securities and Exchange Commission, upon its request, a copy of any or all omitted exhibits.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32"/>
        </w:trPr>
        <w:tc>
          <w:tcPr>
            <w:tcW w:w="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49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gridSpan w:val="2"/>
          </w:tcPr>
          <w:p>
            <w:pPr>
              <w:ind w:left="440"/>
              <w:spacing w:after="0"/>
              <w:rPr>
                <w:sz w:val="20"/>
                <w:szCs w:val="20"/>
                <w:color w:val="auto"/>
              </w:rPr>
            </w:pPr>
            <w:r>
              <w:rPr>
                <w:rFonts w:ascii="Arial" w:cs="Arial" w:eastAsia="Arial" w:hAnsi="Arial"/>
                <w:sz w:val="18"/>
                <w:szCs w:val="18"/>
                <w:color w:val="auto"/>
              </w:rPr>
              <w:t>July 31, 2025</w:t>
            </w:r>
          </w:p>
        </w:tc>
        <w:tc>
          <w:tcPr>
            <w:tcW w:w="5200" w:type="dxa"/>
            <w:vAlign w:val="bottom"/>
          </w:tcPr>
          <w:p>
            <w:pPr>
              <w:jc w:val="center"/>
              <w:spacing w:after="0"/>
              <w:rPr>
                <w:sz w:val="20"/>
                <w:szCs w:val="20"/>
                <w:color w:val="auto"/>
              </w:rPr>
            </w:pPr>
            <w:r>
              <w:rPr>
                <w:rFonts w:ascii="Arial" w:cs="Arial" w:eastAsia="Arial" w:hAnsi="Arial"/>
                <w:sz w:val="18"/>
                <w:szCs w:val="18"/>
                <w:color w:val="auto"/>
              </w:rPr>
              <w:t>/s/  JOHN D. KELLY</w:t>
            </w:r>
          </w:p>
        </w:tc>
      </w:tr>
      <w:tr>
        <w:trPr>
          <w:trHeight w:val="218"/>
        </w:trPr>
        <w:tc>
          <w:tcPr>
            <w:tcW w:w="68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r>
        <w:trPr>
          <w:trHeight w:val="181"/>
        </w:trPr>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200" w:type="dxa"/>
            <w:vAlign w:val="bottom"/>
          </w:tcPr>
          <w:p>
            <w:pPr>
              <w:ind w:left="1560"/>
              <w:spacing w:after="0" w:line="181" w:lineRule="exact"/>
              <w:rPr>
                <w:sz w:val="20"/>
                <w:szCs w:val="20"/>
                <w:color w:val="auto"/>
              </w:rPr>
            </w:pPr>
            <w:r>
              <w:rPr>
                <w:rFonts w:ascii="Arial" w:cs="Arial" w:eastAsia="Arial" w:hAnsi="Arial"/>
                <w:sz w:val="18"/>
                <w:szCs w:val="18"/>
                <w:color w:val="auto"/>
              </w:rPr>
              <w:t>Executive Vice President,</w:t>
            </w:r>
          </w:p>
        </w:tc>
      </w:tr>
      <w:tr>
        <w:trPr>
          <w:trHeight w:val="239"/>
        </w:trPr>
        <w:tc>
          <w:tcPr>
            <w:tcW w:w="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22"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73"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6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68" w:lineRule="auto"/>
        <w:tabs>
          <w:tab w:leader="none" w:pos="3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8"/>
          <w:szCs w:val="18"/>
          <w:color w:val="auto"/>
        </w:rPr>
      </w:pPr>
    </w:p>
    <w:p>
      <w:pPr>
        <w:ind w:left="340" w:right="160" w:hanging="332"/>
        <w:spacing w:after="0" w:line="298" w:lineRule="auto"/>
        <w:tabs>
          <w:tab w:leader="none" w:pos="3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40" w:hanging="332"/>
        <w:spacing w:after="0" w:line="276" w:lineRule="auto"/>
        <w:tabs>
          <w:tab w:leader="none" w:pos="3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45" w:lineRule="exact"/>
        <w:rPr>
          <w:rFonts w:ascii="Arial" w:cs="Arial" w:eastAsia="Arial" w:hAnsi="Arial"/>
          <w:sz w:val="17"/>
          <w:szCs w:val="17"/>
          <w:color w:val="auto"/>
        </w:rPr>
      </w:pPr>
    </w:p>
    <w:p>
      <w:pPr>
        <w:ind w:left="660" w:right="60" w:hanging="328"/>
        <w:spacing w:after="0" w:line="268" w:lineRule="auto"/>
        <w:tabs>
          <w:tab w:leader="none" w:pos="6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660" w:right="120" w:hanging="328"/>
        <w:spacing w:after="0" w:line="268" w:lineRule="auto"/>
        <w:tabs>
          <w:tab w:leader="none" w:pos="6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660" w:right="60" w:hanging="328"/>
        <w:spacing w:after="0" w:line="268" w:lineRule="auto"/>
        <w:tabs>
          <w:tab w:leader="none" w:pos="6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660" w:right="380" w:hanging="328"/>
        <w:spacing w:after="0" w:line="268" w:lineRule="auto"/>
        <w:tabs>
          <w:tab w:leader="none" w:pos="6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Arial" w:cs="Arial" w:eastAsia="Arial" w:hAnsi="Arial"/>
          <w:sz w:val="18"/>
          <w:szCs w:val="18"/>
          <w:color w:val="auto"/>
        </w:rPr>
      </w:pPr>
    </w:p>
    <w:p>
      <w:pPr>
        <w:ind w:left="340" w:right="100" w:hanging="332"/>
        <w:spacing w:after="0" w:line="268" w:lineRule="auto"/>
        <w:tabs>
          <w:tab w:leader="none" w:pos="3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ind w:left="660" w:right="240" w:hanging="328"/>
        <w:spacing w:after="0" w:line="281" w:lineRule="auto"/>
        <w:tabs>
          <w:tab w:leader="none" w:pos="6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80" w:hanging="328"/>
        <w:spacing w:after="0" w:line="287" w:lineRule="auto"/>
        <w:tabs>
          <w:tab w:leader="none" w:pos="6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July 31, 2025</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 MARK HUSSEY</w:t>
            </w:r>
          </w:p>
        </w:tc>
      </w:tr>
      <w:tr>
        <w:trPr>
          <w:trHeight w:val="218"/>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 Mark Hussey</w:t>
            </w:r>
          </w:p>
        </w:tc>
      </w:tr>
      <w:tr>
        <w:trPr>
          <w:trHeight w:val="239"/>
        </w:trPr>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President</w:t>
            </w:r>
          </w:p>
        </w:tc>
      </w:tr>
    </w:tbl>
    <w:p>
      <w:pPr>
        <w:sectPr>
          <w:pgSz w:w="11900" w:h="16838" w:orient="portrait"/>
          <w:cols w:equalWidth="0" w:num="1">
            <w:col w:w="11240"/>
          </w:cols>
          <w:pgMar w:left="320" w:top="89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73"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68" w:lineRule="auto"/>
        <w:tabs>
          <w:tab w:leader="none" w:pos="3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8"/>
          <w:szCs w:val="18"/>
          <w:color w:val="auto"/>
        </w:rPr>
      </w:pPr>
    </w:p>
    <w:p>
      <w:pPr>
        <w:ind w:left="340" w:right="160" w:hanging="332"/>
        <w:spacing w:after="0" w:line="298" w:lineRule="auto"/>
        <w:tabs>
          <w:tab w:leader="none" w:pos="3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40" w:hanging="332"/>
        <w:spacing w:after="0" w:line="276" w:lineRule="auto"/>
        <w:tabs>
          <w:tab w:leader="none" w:pos="3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45" w:lineRule="exact"/>
        <w:rPr>
          <w:rFonts w:ascii="Arial" w:cs="Arial" w:eastAsia="Arial" w:hAnsi="Arial"/>
          <w:sz w:val="17"/>
          <w:szCs w:val="17"/>
          <w:color w:val="auto"/>
        </w:rPr>
      </w:pPr>
    </w:p>
    <w:p>
      <w:pPr>
        <w:ind w:left="660" w:right="60" w:hanging="328"/>
        <w:spacing w:after="0" w:line="268" w:lineRule="auto"/>
        <w:tabs>
          <w:tab w:leader="none" w:pos="6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660" w:right="120" w:hanging="328"/>
        <w:spacing w:after="0" w:line="268" w:lineRule="auto"/>
        <w:tabs>
          <w:tab w:leader="none" w:pos="6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660" w:right="60" w:hanging="328"/>
        <w:spacing w:after="0" w:line="268" w:lineRule="auto"/>
        <w:tabs>
          <w:tab w:leader="none" w:pos="6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660" w:right="380" w:hanging="328"/>
        <w:spacing w:after="0" w:line="268" w:lineRule="auto"/>
        <w:tabs>
          <w:tab w:leader="none" w:pos="6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Arial" w:cs="Arial" w:eastAsia="Arial" w:hAnsi="Arial"/>
          <w:sz w:val="18"/>
          <w:szCs w:val="18"/>
          <w:color w:val="auto"/>
        </w:rPr>
      </w:pPr>
    </w:p>
    <w:p>
      <w:pPr>
        <w:ind w:left="340" w:right="100" w:hanging="332"/>
        <w:spacing w:after="0" w:line="268" w:lineRule="auto"/>
        <w:tabs>
          <w:tab w:leader="none" w:pos="3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ind w:left="660" w:right="240" w:hanging="328"/>
        <w:spacing w:after="0" w:line="281" w:lineRule="auto"/>
        <w:tabs>
          <w:tab w:leader="none" w:pos="6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80" w:hanging="328"/>
        <w:spacing w:after="0" w:line="287" w:lineRule="auto"/>
        <w:tabs>
          <w:tab w:leader="none" w:pos="6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July 31, 2025</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18"/>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1"/>
        </w:trPr>
        <w:tc>
          <w:tcPr>
            <w:tcW w:w="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760" w:type="dxa"/>
            <w:vAlign w:val="bottom"/>
          </w:tcPr>
          <w:p>
            <w:pPr>
              <w:jc w:val="center"/>
              <w:spacing w:after="0" w:line="181" w:lineRule="exact"/>
              <w:rPr>
                <w:sz w:val="20"/>
                <w:szCs w:val="20"/>
                <w:color w:val="auto"/>
              </w:rPr>
            </w:pPr>
            <w:r>
              <w:rPr>
                <w:rFonts w:ascii="Arial" w:cs="Arial" w:eastAsia="Arial" w:hAnsi="Arial"/>
                <w:sz w:val="18"/>
                <w:szCs w:val="18"/>
                <w:color w:val="auto"/>
                <w:w w:val="98"/>
              </w:rPr>
              <w:t>Executive Vice President,</w:t>
            </w:r>
          </w:p>
        </w:tc>
      </w:tr>
      <w:tr>
        <w:trPr>
          <w:trHeight w:val="239"/>
        </w:trPr>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9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73"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0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 2025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spacing w:after="0" w:line="122" w:lineRule="exact"/>
        <w:rPr>
          <w:sz w:val="20"/>
          <w:szCs w:val="20"/>
          <w:color w:val="auto"/>
        </w:rPr>
      </w:pPr>
    </w:p>
    <w:p>
      <w:pPr>
        <w:ind w:left="840" w:hanging="346"/>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87" w:lineRule="auto"/>
        <w:tabs>
          <w:tab w:leader="none" w:pos="8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8"/>
              </w:rPr>
              <w:t>July 31, 2025</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 MARK HUSSEY</w:t>
            </w:r>
          </w:p>
        </w:tc>
      </w:tr>
      <w:tr>
        <w:trPr>
          <w:trHeight w:val="218"/>
        </w:trPr>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 Mark Hussey</w:t>
            </w:r>
          </w:p>
        </w:tc>
      </w:tr>
      <w:tr>
        <w:trPr>
          <w:trHeight w:val="239"/>
        </w:trPr>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President</w:t>
            </w:r>
          </w:p>
        </w:tc>
      </w:tr>
    </w:tbl>
    <w:p>
      <w:pPr>
        <w:spacing w:after="0" w:line="139"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80" w:firstLine="486"/>
        <w:spacing w:after="0" w:line="28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9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73"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w:t>
      </w:r>
    </w:p>
    <w:p>
      <w:pPr>
        <w:spacing w:after="0" w:line="27"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2025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24" w:lineRule="exact"/>
        <w:rPr>
          <w:sz w:val="20"/>
          <w:szCs w:val="20"/>
          <w:color w:val="auto"/>
        </w:rPr>
      </w:pPr>
    </w:p>
    <w:p>
      <w:pPr>
        <w:ind w:left="840" w:hanging="346"/>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87" w:lineRule="auto"/>
        <w:tabs>
          <w:tab w:leader="none" w:pos="8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8"/>
              </w:rPr>
              <w:t>July 31, 2025</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18"/>
        </w:trPr>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1"/>
        </w:trPr>
        <w:tc>
          <w:tcPr>
            <w:tcW w:w="7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780" w:type="dxa"/>
            <w:vAlign w:val="bottom"/>
          </w:tcPr>
          <w:p>
            <w:pPr>
              <w:jc w:val="center"/>
              <w:spacing w:after="0" w:line="181" w:lineRule="exact"/>
              <w:rPr>
                <w:sz w:val="20"/>
                <w:szCs w:val="20"/>
                <w:color w:val="auto"/>
              </w:rPr>
            </w:pPr>
            <w:r>
              <w:rPr>
                <w:rFonts w:ascii="Arial" w:cs="Arial" w:eastAsia="Arial" w:hAnsi="Arial"/>
                <w:sz w:val="18"/>
                <w:szCs w:val="18"/>
                <w:color w:val="auto"/>
                <w:w w:val="99"/>
              </w:rPr>
              <w:t>Executive Vice President,</w:t>
            </w:r>
          </w:p>
        </w:tc>
      </w:tr>
      <w:tr>
        <w:trPr>
          <w:trHeight w:val="239"/>
        </w:trPr>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80" w:firstLine="486"/>
        <w:spacing w:after="0" w:line="28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lowerRoman"/>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3"/>
    </w:lvl>
  </w:abstractNum>
  <w:abstractNum w:abstractNumId="16">
    <w:nsid w:val="75A2A8D4"/>
    <w:multiLevelType w:val="hybridMultilevel"/>
    <w:lvl w:ilvl="0">
      <w:lvlJc w:val="left"/>
      <w:lvlText w:val="(%1)"/>
      <w:numFmt w:val="decimal"/>
      <w:start w:val="4"/>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Roman"/>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3" Type="http://schemas.openxmlformats.org/officeDocument/2006/relationships/image" Target="media/image72.png"/><Relationship Id="rId79" Type="http://schemas.openxmlformats.org/officeDocument/2006/relationships/hyperlink" Target="https://www.sec.gov/ix?doc=/Archives/edgar/data/1289848/000128984825000094/hurn-20250328.htm" TargetMode="External"/><Relationship Id="rId80" Type="http://schemas.openxmlformats.org/officeDocument/2006/relationships/hyperlink" Target="https://www.sec.gov/Archives/edgar/data/1289848/000128984825000188/exh101fourthamendedandrest.htm" TargetMode="External"/><Relationship Id="rId81" Type="http://schemas.openxmlformats.org/officeDocument/2006/relationships/hyperlink" Target="https://www.sec.gov/Archives/edgar/data/1289848/000128984825000188/exh102fourthamendedandrest.htm" TargetMode="External"/><Relationship Id="rId82" Type="http://schemas.openxmlformats.org/officeDocument/2006/relationships/hyperlink" Target="https://www.sec.gov/Archives/edgar/data/1289848/000128984825000188/exh103fourth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2025-07-31T15:55:55Z</dcterms:created>
  <dcterms:modified xsi:type="dcterms:W3CDTF">2025-07-31T15:55:55Z</dcterms:modified>
</cp:coreProperties>
</file>