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UNITED STATES</w:t>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SECURITIES AND EXCHANGE COMMISSION</w:t>
      </w:r>
    </w:p>
    <w:p>
      <w:pPr>
        <w:pStyle w:val="TextBody"/>
        <w:bidi w:val="0"/>
        <w:spacing w:lineRule="auto" w:line="288" w:before="0" w:after="0"/>
        <w:jc w:val="center"/>
        <w:rPr/>
      </w:pPr>
      <w:r>
        <w:rPr>
          <w:rFonts w:ascii="Arial Narrow;sans-serif" w:hAnsi="Arial Narrow;sans-serif"/>
          <w:b/>
          <w:color w:val="000000"/>
          <w:sz w:val="20"/>
        </w:rPr>
        <w:t>Washington, D.C. 20549</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Arial Narrow;sans-serif" w:hAnsi="Arial Narrow;sans-serif"/>
          <w:b/>
          <w:color w:val="000000"/>
          <w:sz w:val="28"/>
        </w:rPr>
        <w:t>FORM 10-Q</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(Mark One)</w:t>
      </w:r>
    </w:p>
    <w:tbl>
      <w:tblPr>
        <w:tblW w:w="8877" w:type="dxa"/>
        <w:jc w:val="left"/>
        <w:tblInd w:w="0" w:type="dxa"/>
        <w:tblLayout w:type="fixed"/>
        <w:tblCellMar>
          <w:top w:w="28" w:type="dxa"/>
          <w:left w:w="28" w:type="dxa"/>
          <w:bottom w:w="28" w:type="dxa"/>
          <w:right w:w="28" w:type="dxa"/>
        </w:tblCellMar>
      </w:tblPr>
      <w:tblGrid>
        <w:gridCol w:w="124"/>
        <w:gridCol w:w="109"/>
        <w:gridCol w:w="109"/>
        <w:gridCol w:w="2500"/>
        <w:gridCol w:w="2500"/>
        <w:gridCol w:w="35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35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For the quarterly period ended March 31, 2025</w:t>
      </w:r>
    </w:p>
    <w:p>
      <w:pPr>
        <w:pStyle w:val="TextBody"/>
        <w:bidi w:val="0"/>
        <w:spacing w:lineRule="auto" w:line="288" w:before="0" w:after="0"/>
        <w:jc w:val="center"/>
        <w:rPr/>
      </w:pPr>
      <w:r>
        <w:rPr>
          <w:rFonts w:ascii="Arial Narrow;sans-serif" w:hAnsi="Arial Narrow;sans-serif"/>
          <w:b/>
          <w:color w:val="000000"/>
          <w:sz w:val="20"/>
        </w:rPr>
        <w:t>OR</w:t>
      </w:r>
      <w:r>
        <w:rPr>
          <w:color w:val="000000"/>
        </w:rPr>
        <w:t> </w:t>
      </w:r>
    </w:p>
    <w:tbl>
      <w:tblPr>
        <w:tblW w:w="8862" w:type="dxa"/>
        <w:jc w:val="left"/>
        <w:tblInd w:w="0" w:type="dxa"/>
        <w:tblLayout w:type="fixed"/>
        <w:tblCellMar>
          <w:top w:w="28" w:type="dxa"/>
          <w:left w:w="28" w:type="dxa"/>
          <w:bottom w:w="28" w:type="dxa"/>
          <w:right w:w="28" w:type="dxa"/>
        </w:tblCellMar>
      </w:tblPr>
      <w:tblGrid>
        <w:gridCol w:w="124"/>
        <w:gridCol w:w="109"/>
        <w:gridCol w:w="109"/>
        <w:gridCol w:w="2491"/>
        <w:gridCol w:w="2491"/>
        <w:gridCol w:w="35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35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Arial Narrow;sans-serif" w:hAnsi="Arial Narrow;sans-serif"/>
          <w:b/>
          <w:color w:val="000000"/>
          <w:sz w:val="20"/>
        </w:rPr>
        <w:t>Commission file number: 000-50976</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 Narrow;sans-serif" w:hAnsi="Arial Narrow;sans-serif"/>
          <w:b/>
          <w:color w:val="000000"/>
          <w:sz w:val="28"/>
        </w:rPr>
      </w:pPr>
      <w:r>
        <w:rPr>
          <w:rFonts w:ascii="Arial Narrow;sans-serif" w:hAnsi="Arial Narrow;sans-serif"/>
          <w:b/>
          <w:color w:val="000000"/>
          <w:sz w:val="28"/>
        </w:rPr>
        <w:t xml:space="preserve">HURON CONSULTING GROUP INC. </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4227" w:type="dxa"/>
        <w:jc w:val="left"/>
        <w:tblInd w:w="0" w:type="dxa"/>
        <w:tblLayout w:type="fixed"/>
        <w:tblCellMar>
          <w:top w:w="28" w:type="dxa"/>
          <w:left w:w="28" w:type="dxa"/>
          <w:bottom w:w="28" w:type="dxa"/>
          <w:right w:w="28" w:type="dxa"/>
        </w:tblCellMar>
      </w:tblPr>
      <w:tblGrid>
        <w:gridCol w:w="802"/>
        <w:gridCol w:w="706"/>
        <w:gridCol w:w="712"/>
        <w:gridCol w:w="109"/>
        <w:gridCol w:w="109"/>
        <w:gridCol w:w="109"/>
        <w:gridCol w:w="489"/>
        <w:gridCol w:w="489"/>
        <w:gridCol w:w="702"/>
      </w:tblGrid>
      <w:tr>
        <w:trPr/>
        <w:tc>
          <w:tcPr>
            <w:tcW w:w="8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01-0666114</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(IRS Employer</w:t>
              <w:br/>
              <w:t>Identification Number)</w:t>
            </w:r>
          </w:p>
        </w:tc>
      </w:tr>
    </w:tbl>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 xml:space="preserve">550 West Van Buren Street </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 xml:space="preserve">Chicago, Illinois </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 xml:space="preserve">60607 </w:t>
      </w:r>
    </w:p>
    <w:p>
      <w:pPr>
        <w:pStyle w:val="TextBody"/>
        <w:bidi w:val="0"/>
        <w:spacing w:lineRule="auto" w:line="288" w:before="0" w:after="0"/>
        <w:jc w:val="center"/>
        <w:rPr>
          <w:rFonts w:ascii="Arial Narrow;sans-serif" w:hAnsi="Arial Narrow;sans-serif"/>
          <w:b/>
          <w:color w:val="000000"/>
          <w:sz w:val="16"/>
        </w:rPr>
      </w:pPr>
      <w:r>
        <w:rPr>
          <w:rFonts w:ascii="Arial Narrow;sans-serif" w:hAnsi="Arial Narrow;sans-serif"/>
          <w:b/>
          <w:color w:val="000000"/>
          <w:sz w:val="16"/>
        </w:rPr>
        <w:t>(Address of principal executive offices)</w:t>
      </w:r>
    </w:p>
    <w:p>
      <w:pPr>
        <w:pStyle w:val="TextBody"/>
        <w:bidi w:val="0"/>
        <w:spacing w:lineRule="auto" w:line="288" w:before="0" w:after="0"/>
        <w:jc w:val="center"/>
        <w:rPr>
          <w:rFonts w:ascii="Arial Narrow;sans-serif" w:hAnsi="Arial Narrow;sans-serif"/>
          <w:b/>
          <w:color w:val="000000"/>
          <w:sz w:val="16"/>
        </w:rPr>
      </w:pPr>
      <w:r>
        <w:rPr>
          <w:rFonts w:ascii="Arial Narrow;sans-serif" w:hAnsi="Arial Narrow;sans-serif"/>
          <w:b/>
          <w:color w:val="000000"/>
          <w:sz w:val="16"/>
        </w:rPr>
        <w:t>(Zip Code)</w:t>
      </w:r>
    </w:p>
    <w:p>
      <w:pPr>
        <w:pStyle w:val="TextBody"/>
        <w:bidi w:val="0"/>
        <w:spacing w:lineRule="auto" w:line="288" w:before="120" w:after="283"/>
        <w:jc w:val="center"/>
        <w:rPr>
          <w:rFonts w:ascii="Arial Narrow;sans-serif" w:hAnsi="Arial Narrow;sans-serif"/>
          <w:b/>
          <w:color w:val="000000"/>
          <w:sz w:val="20"/>
        </w:rPr>
      </w:pPr>
      <w:r>
        <w:rPr>
          <w:rFonts w:ascii="Arial Narrow;sans-serif" w:hAnsi="Arial Narrow;sans-serif"/>
          <w:b/>
          <w:color w:val="000000"/>
          <w:sz w:val="20"/>
        </w:rPr>
        <w:t xml:space="preserve">(312) 583-8700 </w:t>
      </w:r>
    </w:p>
    <w:p>
      <w:pPr>
        <w:pStyle w:val="TextBody"/>
        <w:bidi w:val="0"/>
        <w:spacing w:lineRule="auto" w:line="288" w:before="0" w:after="0"/>
        <w:jc w:val="center"/>
        <w:rPr>
          <w:rFonts w:ascii="Arial Narrow;sans-serif" w:hAnsi="Arial Narrow;sans-serif"/>
          <w:b/>
          <w:color w:val="000000"/>
          <w:sz w:val="16"/>
        </w:rPr>
      </w:pPr>
      <w:r>
        <w:rPr>
          <w:rFonts w:ascii="Arial Narrow;sans-serif" w:hAnsi="Arial Narrow;sans-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 Narrow;sans-serif" w:hAnsi="Arial Narrow;sans-serif"/>
          <w:b w:val="false"/>
          <w:color w:val="000000"/>
          <w:sz w:val="19"/>
        </w:rPr>
      </w:pPr>
      <w:r>
        <w:rPr>
          <w:rFonts w:ascii="Arial Narrow;sans-serif" w:hAnsi="Arial Narrow;sans-serif"/>
          <w:b w:val="false"/>
          <w:color w:val="000000"/>
          <w:sz w:val="19"/>
        </w:rPr>
        <w:t>Securities registered pursuant to Section 12(b) of the Act:</w:t>
      </w:r>
    </w:p>
    <w:tbl>
      <w:tblPr>
        <w:tblW w:w="8128" w:type="dxa"/>
        <w:jc w:val="center"/>
        <w:tblInd w:w="0" w:type="dxa"/>
        <w:tblLayout w:type="fixed"/>
        <w:tblCellMar>
          <w:top w:w="28" w:type="dxa"/>
          <w:left w:w="28" w:type="dxa"/>
          <w:bottom w:w="28" w:type="dxa"/>
          <w:right w:w="28" w:type="dxa"/>
        </w:tblCellMar>
      </w:tblPr>
      <w:tblGrid>
        <w:gridCol w:w="1138"/>
        <w:gridCol w:w="999"/>
        <w:gridCol w:w="1012"/>
        <w:gridCol w:w="449"/>
        <w:gridCol w:w="449"/>
        <w:gridCol w:w="451"/>
        <w:gridCol w:w="1063"/>
        <w:gridCol w:w="1063"/>
        <w:gridCol w:w="1504"/>
      </w:tblGrid>
      <w:tr>
        <w:trPr/>
        <w:tc>
          <w:tcPr>
            <w:tcW w:w="1138"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Title of each class</w:t>
            </w:r>
          </w:p>
        </w:tc>
        <w:tc>
          <w:tcPr>
            <w:tcW w:w="13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9"/>
              </w:rPr>
            </w:pPr>
            <w:r>
              <w:rPr>
                <w:rFonts w:ascii="Arial Narrow;sans-serif" w:hAnsi="Arial Narrow;sans-serif"/>
                <w:b/>
                <w:color w:val="000000"/>
                <w:sz w:val="19"/>
              </w:rPr>
              <w:t>Trading Symbol</w:t>
            </w:r>
          </w:p>
        </w:tc>
        <w:tc>
          <w:tcPr>
            <w:tcW w:w="36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Name of each exchange on which registered</w:t>
            </w:r>
          </w:p>
        </w:tc>
      </w:tr>
      <w:tr>
        <w:trPr/>
        <w:tc>
          <w:tcPr>
            <w:tcW w:w="314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Common Stock, par value $0.01 per share</w:t>
            </w:r>
          </w:p>
        </w:tc>
        <w:tc>
          <w:tcPr>
            <w:tcW w:w="134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HURN</w:t>
            </w:r>
          </w:p>
        </w:tc>
        <w:tc>
          <w:tcPr>
            <w:tcW w:w="363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Arial Narrow;sans-serif" w:hAnsi="Arial Narrow;sans-serif"/>
                <w:b w:val="false"/>
                <w:color w:val="000000"/>
                <w:sz w:val="19"/>
              </w:rPr>
            </w:pPr>
            <w:r>
              <w:rPr>
                <w:rFonts w:ascii="Arial Narrow;sans-serif" w:hAnsi="Arial Narrow;sans-serif"/>
                <w:b w:val="false"/>
                <w:color w:val="000000"/>
                <w:sz w:val="19"/>
              </w:rPr>
              <w:t>Nasdaq Global Select Market</w:t>
            </w:r>
          </w:p>
        </w:tc>
      </w:tr>
    </w:tbl>
    <w:p>
      <w:pPr>
        <w:pStyle w:val="TextBody"/>
        <w:bidi w:val="0"/>
        <w:spacing w:lineRule="auto" w:line="288" w:before="0" w:after="0"/>
        <w:ind w:left="0" w:right="0" w:hanging="360"/>
        <w:jc w:val="left"/>
        <w:rPr/>
      </w:pPr>
      <w:r>
        <w:rPr>
          <w:rFonts w:ascii="Arial Narrow;sans-serif" w:hAnsi="Arial Narrow;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 Narrow;sans-serif" w:hAnsi="Arial Narrow;sans-serif"/>
          <w:b w:val="false"/>
          <w:color w:val="000000"/>
          <w:sz w:val="19"/>
        </w:rPr>
        <w:t>No  </w:t>
      </w:r>
      <w:r>
        <w:rPr>
          <w:color w:val="000000"/>
        </w:rPr>
        <w:t>☐</w:t>
      </w:r>
    </w:p>
    <w:p>
      <w:pPr>
        <w:pStyle w:val="TextBody"/>
        <w:bidi w:val="0"/>
        <w:spacing w:lineRule="auto" w:line="288" w:before="60" w:after="283"/>
        <w:jc w:val="left"/>
        <w:rPr/>
      </w:pPr>
      <w:r>
        <w:rPr>
          <w:rFonts w:ascii="Arial Narrow;sans-serif" w:hAnsi="Arial Narrow;sans-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Arial Narrow;sans-serif" w:hAnsi="Arial Narrow;sans-serif"/>
          <w:b w:val="false"/>
          <w:color w:val="000000"/>
          <w:sz w:val="19"/>
        </w:rPr>
        <w:t>No  </w:t>
      </w:r>
      <w:r>
        <w:rPr>
          <w:color w:val="000000"/>
        </w:rPr>
        <w:t>☐</w:t>
      </w:r>
    </w:p>
    <w:p>
      <w:pPr>
        <w:pStyle w:val="TextBody"/>
        <w:bidi w:val="0"/>
        <w:spacing w:lineRule="auto" w:line="288" w:before="60" w:after="283"/>
        <w:jc w:val="left"/>
        <w:rPr>
          <w:rFonts w:ascii="Arial Narrow;sans-serif" w:hAnsi="Arial Narrow;sans-serif"/>
          <w:b w:val="false"/>
          <w:color w:val="000000"/>
          <w:sz w:val="19"/>
        </w:rPr>
      </w:pPr>
      <w:r>
        <w:rPr>
          <w:rFonts w:ascii="Arial Narrow;sans-serif" w:hAnsi="Arial Narrow;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958" w:type="dxa"/>
        <w:jc w:val="left"/>
        <w:tblInd w:w="0" w:type="dxa"/>
        <w:tblLayout w:type="fixed"/>
        <w:tblCellMar>
          <w:top w:w="28" w:type="dxa"/>
          <w:left w:w="28" w:type="dxa"/>
          <w:bottom w:w="28" w:type="dxa"/>
          <w:right w:w="28" w:type="dxa"/>
        </w:tblCellMar>
      </w:tblPr>
      <w:tblGrid>
        <w:gridCol w:w="646"/>
        <w:gridCol w:w="568"/>
        <w:gridCol w:w="570"/>
        <w:gridCol w:w="109"/>
        <w:gridCol w:w="109"/>
        <w:gridCol w:w="109"/>
        <w:gridCol w:w="434"/>
        <w:gridCol w:w="434"/>
        <w:gridCol w:w="436"/>
        <w:gridCol w:w="109"/>
        <w:gridCol w:w="109"/>
        <w:gridCol w:w="109"/>
        <w:gridCol w:w="549"/>
        <w:gridCol w:w="549"/>
        <w:gridCol w:w="551"/>
        <w:gridCol w:w="109"/>
        <w:gridCol w:w="109"/>
        <w:gridCol w:w="109"/>
        <w:gridCol w:w="480"/>
        <w:gridCol w:w="480"/>
        <w:gridCol w:w="481"/>
        <w:gridCol w:w="109"/>
        <w:gridCol w:w="109"/>
        <w:gridCol w:w="109"/>
        <w:gridCol w:w="699"/>
        <w:gridCol w:w="699"/>
        <w:gridCol w:w="702"/>
        <w:gridCol w:w="109"/>
        <w:gridCol w:w="109"/>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left"/>
              <w:rPr>
                <w:color w:val="000000"/>
              </w:rPr>
            </w:pPr>
            <w:r>
              <w:rPr>
                <w:color w:val="000000"/>
              </w:rPr>
              <w:t>☐</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Smaller Reporting </w:t>
              <w:br/>
              <w:t>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left"/>
        <w:rPr/>
      </w:pPr>
      <w:r>
        <w:rPr>
          <w:rFonts w:ascii="Arial Narrow;sans-serif" w:hAnsi="Arial Narrow;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80" w:after="283"/>
        <w:jc w:val="left"/>
        <w:rPr/>
      </w:pPr>
      <w:r>
        <w:rPr>
          <w:rFonts w:ascii="Arial Narrow;sans-serif" w:hAnsi="Arial Narrow;sans-serif"/>
          <w:b w:val="false"/>
          <w:color w:val="000000"/>
          <w:sz w:val="19"/>
        </w:rPr>
        <w:t>Indicate by check mark whether the registrant is a shell company (as defined in Rule 12b-2 of the Exchange Act).    Yes  </w:t>
      </w:r>
      <w:r>
        <w:rPr>
          <w:color w:val="000000"/>
        </w:rPr>
        <w:t>☐    </w:t>
      </w:r>
      <w:r>
        <w:rPr>
          <w:rFonts w:ascii="Arial Narrow;sans-serif" w:hAnsi="Arial Narrow;sans-serif"/>
          <w:b w:val="false"/>
          <w:color w:val="000000"/>
          <w:sz w:val="19"/>
        </w:rPr>
        <w:t>No  </w:t>
      </w:r>
      <w:r>
        <w:rPr>
          <w:color w:val="000000"/>
        </w:rPr>
        <w:t>☒</w:t>
      </w:r>
    </w:p>
    <w:p>
      <w:pPr>
        <w:pStyle w:val="TextBody"/>
        <w:bidi w:val="0"/>
        <w:spacing w:lineRule="auto" w:line="288" w:before="80" w:after="283"/>
        <w:jc w:val="left"/>
        <w:rPr>
          <w:rFonts w:ascii="Arial Narrow;sans-serif" w:hAnsi="Arial Narrow;sans-serif"/>
          <w:b w:val="false"/>
          <w:color w:val="000000"/>
          <w:sz w:val="19"/>
        </w:rPr>
      </w:pPr>
      <w:r>
        <w:rPr>
          <w:rFonts w:ascii="Arial Narrow;sans-serif" w:hAnsi="Arial Narrow;sans-serif"/>
          <w:b w:val="false"/>
          <w:color w:val="000000"/>
          <w:sz w:val="19"/>
        </w:rPr>
        <w:t>Indicate the number of shares outstanding of each of the issuer’s classes of common stock, as of the latest practicable date.</w:t>
      </w:r>
    </w:p>
    <w:p>
      <w:pPr>
        <w:pStyle w:val="TextBody"/>
        <w:bidi w:val="0"/>
        <w:spacing w:lineRule="auto" w:line="288" w:before="80" w:after="283"/>
        <w:jc w:val="left"/>
        <w:rPr>
          <w:rFonts w:ascii="Arial Narrow;sans-serif" w:hAnsi="Arial Narrow;sans-serif"/>
          <w:b w:val="false"/>
          <w:color w:val="000000"/>
          <w:sz w:val="19"/>
        </w:rPr>
      </w:pPr>
      <w:r>
        <w:rPr>
          <w:rFonts w:ascii="Arial Narrow;sans-serif" w:hAnsi="Arial Narrow;sans-serif"/>
          <w:b w:val="false"/>
          <w:color w:val="000000"/>
          <w:sz w:val="19"/>
        </w:rPr>
        <w:t>As of April 22, 2025, 17,248,034 shares of the registrant’s common stock, par value $0.01 per share, were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2460" w:type="dxa"/>
        <w:jc w:val="center"/>
        <w:tblInd w:w="0" w:type="dxa"/>
        <w:tblLayout w:type="fixed"/>
        <w:tblCellMar>
          <w:top w:w="28" w:type="dxa"/>
          <w:left w:w="28" w:type="dxa"/>
          <w:bottom w:w="28" w:type="dxa"/>
          <w:right w:w="28" w:type="dxa"/>
        </w:tblCellMar>
      </w:tblPr>
      <w:tblGrid>
        <w:gridCol w:w="786"/>
        <w:gridCol w:w="693"/>
        <w:gridCol w:w="981"/>
      </w:tblGrid>
      <w:tr>
        <w:trPr/>
        <w:tc>
          <w:tcPr>
            <w:tcW w:w="7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Huron Consulting Group Inc.</w:t>
            </w:r>
          </w:p>
        </w:tc>
      </w:tr>
    </w:tbl>
    <w:p>
      <w:pPr>
        <w:pStyle w:val="TextBody"/>
        <w:bidi w:val="0"/>
        <w:spacing w:lineRule="auto" w:line="288" w:before="140" w:after="283"/>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240" w:after="283"/>
        <w:jc w:val="center"/>
        <w:rPr>
          <w:rFonts w:ascii="Arial Narrow;sans-serif" w:hAnsi="Arial Narrow;sans-serif"/>
          <w:b/>
          <w:color w:val="000000"/>
          <w:sz w:val="20"/>
        </w:rPr>
      </w:pPr>
      <w:r>
        <w:rPr>
          <w:rFonts w:ascii="Arial Narrow;sans-serif" w:hAnsi="Arial Narrow;sans-serif"/>
          <w:b/>
          <w:color w:val="000000"/>
          <w:sz w:val="20"/>
        </w:rPr>
        <w:t>INDEX</w:t>
      </w:r>
    </w:p>
    <w:tbl>
      <w:tblPr>
        <w:tblW w:w="8039" w:type="dxa"/>
        <w:jc w:val="center"/>
        <w:tblInd w:w="0" w:type="dxa"/>
        <w:tblLayout w:type="fixed"/>
        <w:tblCellMar>
          <w:top w:w="28" w:type="dxa"/>
          <w:left w:w="28" w:type="dxa"/>
          <w:bottom w:w="28" w:type="dxa"/>
          <w:right w:w="28" w:type="dxa"/>
        </w:tblCellMar>
      </w:tblPr>
      <w:tblGrid>
        <w:gridCol w:w="442"/>
        <w:gridCol w:w="386"/>
        <w:gridCol w:w="386"/>
        <w:gridCol w:w="2096"/>
        <w:gridCol w:w="2096"/>
        <w:gridCol w:w="2152"/>
        <w:gridCol w:w="140"/>
        <w:gridCol w:w="140"/>
        <w:gridCol w:w="201"/>
      </w:tblGrid>
      <w:tr>
        <w:trPr/>
        <w:tc>
          <w:tcPr>
            <w:tcW w:w="44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Page</w:t>
            </w:r>
          </w:p>
        </w:tc>
      </w:tr>
      <w:tr>
        <w:trPr/>
        <w:tc>
          <w:tcPr>
            <w:tcW w:w="755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6238456052d453b8ac3a8a3e8271b26_10">
              <w:r>
                <w:rPr>
                  <w:rStyle w:val="InternetLink"/>
                  <w:rFonts w:ascii="Arial Narrow;sans-serif" w:hAnsi="Arial Narrow;sans-serif"/>
                  <w:b/>
                  <w:color w:val="0000FF"/>
                  <w:sz w:val="20"/>
                  <w:u w:val="single"/>
                </w:rPr>
                <w:t>Part I – Financial Information</w:t>
              </w:r>
            </w:hyperlink>
          </w:p>
        </w:tc>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238456052d453b8ac3a8a3e8271b26_13">
              <w:r>
                <w:rPr>
                  <w:rStyle w:val="InternetLink"/>
                  <w:rFonts w:ascii="Arial Narrow;sans-serif" w:hAnsi="Arial Narrow;sans-serif"/>
                  <w:b w:val="false"/>
                  <w:color w:val="0000FF"/>
                  <w:sz w:val="20"/>
                  <w:u w:val="single"/>
                </w:rPr>
                <w:t>Consolidated Financial Statements (Unaudited)</w:t>
              </w:r>
            </w:hyperlink>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238456052d453b8ac3a8a3e8271b26_16">
              <w:r>
                <w:rPr>
                  <w:rStyle w:val="InternetLink"/>
                  <w:rFonts w:ascii="Arial Narrow;sans-serif" w:hAnsi="Arial Narrow;sans-serif"/>
                  <w:b w:val="false"/>
                  <w:color w:val="0000FF"/>
                  <w:sz w:val="20"/>
                  <w:u w:val="single"/>
                </w:rPr>
                <w:t>Consolidated Balance Sheets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238456052d453b8ac3a8a3e8271b26_16">
              <w:r>
                <w:rPr>
                  <w:rStyle w:val="InternetLink"/>
                  <w:rFonts w:ascii="Arial Narrow;sans-serif" w:hAnsi="Arial Narrow;sans-serif"/>
                  <w:b w:val="false"/>
                  <w:color w:val="0000FF"/>
                  <w:sz w:val="20"/>
                  <w:u w:val="single"/>
                </w:rPr>
                <w:t>1</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238456052d453b8ac3a8a3e8271b26_19">
              <w:r>
                <w:rPr>
                  <w:rStyle w:val="InternetLink"/>
                  <w:rFonts w:ascii="Arial Narrow;sans-serif" w:hAnsi="Arial Narrow;sans-serif"/>
                  <w:b w:val="false"/>
                  <w:color w:val="0000FF"/>
                  <w:sz w:val="20"/>
                  <w:u w:val="single"/>
                </w:rPr>
                <w:t>Consolidated Statements of Operations and Other Comprehensive Income</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238456052d453b8ac3a8a3e8271b26_19">
              <w:r>
                <w:rPr>
                  <w:rStyle w:val="InternetLink"/>
                  <w:rFonts w:ascii="Arial Narrow;sans-serif" w:hAnsi="Arial Narrow;sans-serif"/>
                  <w:b w:val="false"/>
                  <w:color w:val="0000FF"/>
                  <w:sz w:val="20"/>
                  <w:u w:val="single"/>
                </w:rPr>
                <w:t>2</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238456052d453b8ac3a8a3e8271b26_22">
              <w:r>
                <w:rPr>
                  <w:rStyle w:val="InternetLink"/>
                  <w:rFonts w:ascii="Arial Narrow;sans-serif" w:hAnsi="Arial Narrow;sans-serif"/>
                  <w:b w:val="false"/>
                  <w:color w:val="0000FF"/>
                  <w:sz w:val="20"/>
                  <w:u w:val="single"/>
                </w:rPr>
                <w:t>Consolidated Statements of Stockholders’ Equity</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238456052d453b8ac3a8a3e8271b26_22">
              <w:r>
                <w:rPr>
                  <w:rStyle w:val="InternetLink"/>
                  <w:rFonts w:ascii="Arial Narrow;sans-serif" w:hAnsi="Arial Narrow;sans-serif"/>
                  <w:b w:val="false"/>
                  <w:color w:val="0000FF"/>
                  <w:sz w:val="20"/>
                  <w:u w:val="single"/>
                </w:rPr>
                <w:t>3</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238456052d453b8ac3a8a3e8271b26_25">
              <w:r>
                <w:rPr>
                  <w:rStyle w:val="InternetLink"/>
                  <w:rFonts w:ascii="Arial Narrow;sans-serif" w:hAnsi="Arial Narrow;sans-serif"/>
                  <w:b w:val="false"/>
                  <w:color w:val="0000FF"/>
                  <w:sz w:val="20"/>
                  <w:u w:val="single"/>
                </w:rPr>
                <w:t>Consolidated Statements of Cash Flows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238456052d453b8ac3a8a3e8271b26_25">
              <w:r>
                <w:rPr>
                  <w:rStyle w:val="InternetLink"/>
                  <w:rFonts w:ascii="Arial Narrow;sans-serif" w:hAnsi="Arial Narrow;sans-serif"/>
                  <w:b w:val="false"/>
                  <w:color w:val="0000FF"/>
                  <w:sz w:val="20"/>
                  <w:u w:val="single"/>
                </w:rPr>
                <w:t>4</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238456052d453b8ac3a8a3e8271b26_28">
              <w:r>
                <w:rPr>
                  <w:rStyle w:val="InternetLink"/>
                  <w:rFonts w:ascii="Arial Narrow;sans-serif" w:hAnsi="Arial Narrow;sans-serif"/>
                  <w:b w:val="false"/>
                  <w:color w:val="0000FF"/>
                  <w:sz w:val="20"/>
                  <w:u w:val="single"/>
                </w:rPr>
                <w:t>Notes to Consolidated Financial Statements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238456052d453b8ac3a8a3e8271b26_28">
              <w:r>
                <w:rPr>
                  <w:rStyle w:val="InternetLink"/>
                  <w:rFonts w:ascii="Arial Narrow;sans-serif" w:hAnsi="Arial Narrow;sans-serif"/>
                  <w:b w:val="false"/>
                  <w:color w:val="0000FF"/>
                  <w:sz w:val="20"/>
                  <w:u w:val="single"/>
                </w:rPr>
                <w:t>5</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2.</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238456052d453b8ac3a8a3e8271b26_79">
              <w:r>
                <w:rPr>
                  <w:rStyle w:val="InternetLink"/>
                  <w:rFonts w:ascii="Arial Narrow;sans-serif" w:hAnsi="Arial Narrow;sans-serif"/>
                  <w:b w:val="false"/>
                  <w:color w:val="0000FF"/>
                  <w:sz w:val="20"/>
                  <w:u w:val="single"/>
                </w:rPr>
                <w:t>Management’s Discussion and Analysis of Financial Condition and Results of Operations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238456052d453b8ac3a8a3e8271b26_79">
              <w:r>
                <w:rPr>
                  <w:rStyle w:val="InternetLink"/>
                  <w:rFonts w:ascii="Arial Narrow;sans-serif" w:hAnsi="Arial Narrow;sans-serif"/>
                  <w:b w:val="false"/>
                  <w:color w:val="0000FF"/>
                  <w:sz w:val="20"/>
                  <w:u w:val="single"/>
                </w:rPr>
                <w:t>20</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3.</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238456052d453b8ac3a8a3e8271b26_115">
              <w:r>
                <w:rPr>
                  <w:rStyle w:val="InternetLink"/>
                  <w:rFonts w:ascii="Arial Narrow;sans-serif" w:hAnsi="Arial Narrow;sans-serif"/>
                  <w:b w:val="false"/>
                  <w:color w:val="0000FF"/>
                  <w:sz w:val="20"/>
                  <w:u w:val="single"/>
                </w:rPr>
                <w:t>Quantitative and Qualitative Disclosures About Market Risk</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238456052d453b8ac3a8a3e8271b26_115">
              <w:r>
                <w:rPr>
                  <w:rStyle w:val="InternetLink"/>
                  <w:rFonts w:ascii="Arial Narrow;sans-serif" w:hAnsi="Arial Narrow;sans-serif"/>
                  <w:b w:val="false"/>
                  <w:color w:val="0000FF"/>
                  <w:sz w:val="20"/>
                  <w:u w:val="single"/>
                </w:rPr>
                <w:t>36</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4.</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238456052d453b8ac3a8a3e8271b26_118">
              <w:r>
                <w:rPr>
                  <w:rStyle w:val="InternetLink"/>
                  <w:rFonts w:ascii="Arial Narrow;sans-serif" w:hAnsi="Arial Narrow;sans-serif"/>
                  <w:b w:val="false"/>
                  <w:color w:val="0000FF"/>
                  <w:sz w:val="20"/>
                  <w:u w:val="single"/>
                </w:rPr>
                <w:t>Controls and Procedures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238456052d453b8ac3a8a3e8271b26_118">
              <w:r>
                <w:rPr>
                  <w:rStyle w:val="InternetLink"/>
                  <w:rFonts w:ascii="Arial Narrow;sans-serif" w:hAnsi="Arial Narrow;sans-serif"/>
                  <w:b w:val="false"/>
                  <w:color w:val="0000FF"/>
                  <w:sz w:val="20"/>
                  <w:u w:val="single"/>
                </w:rPr>
                <w:t>37</w:t>
              </w:r>
            </w:hyperlink>
          </w:p>
        </w:tc>
      </w:tr>
      <w:tr>
        <w:trPr/>
        <w:tc>
          <w:tcPr>
            <w:tcW w:w="75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6238456052d453b8ac3a8a3e8271b26_121">
              <w:r>
                <w:rPr>
                  <w:rStyle w:val="InternetLink"/>
                  <w:rFonts w:ascii="Arial Narrow;sans-serif" w:hAnsi="Arial Narrow;sans-serif"/>
                  <w:b/>
                  <w:color w:val="0000FF"/>
                  <w:sz w:val="20"/>
                  <w:u w:val="single"/>
                </w:rPr>
                <w:t>Part II – Other Information</w:t>
              </w:r>
            </w:hyperlink>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238456052d453b8ac3a8a3e8271b26_124">
              <w:r>
                <w:rPr>
                  <w:rStyle w:val="InternetLink"/>
                  <w:rFonts w:ascii="Arial Narrow;sans-serif" w:hAnsi="Arial Narrow;sans-serif"/>
                  <w:b w:val="false"/>
                  <w:color w:val="0000FF"/>
                  <w:sz w:val="20"/>
                  <w:u w:val="single"/>
                </w:rPr>
                <w:t>Legal Proceedings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238456052d453b8ac3a8a3e8271b26_124">
              <w:r>
                <w:rPr>
                  <w:rStyle w:val="InternetLink"/>
                  <w:rFonts w:ascii="Arial Narrow;sans-serif" w:hAnsi="Arial Narrow;sans-serif"/>
                  <w:b w:val="false"/>
                  <w:color w:val="0000FF"/>
                  <w:sz w:val="20"/>
                  <w:u w:val="single"/>
                </w:rPr>
                <w:t>37</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1A.</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238456052d453b8ac3a8a3e8271b26_127">
              <w:r>
                <w:rPr>
                  <w:rStyle w:val="InternetLink"/>
                  <w:rFonts w:ascii="Arial Narrow;sans-serif" w:hAnsi="Arial Narrow;sans-serif"/>
                  <w:b w:val="false"/>
                  <w:color w:val="0000FF"/>
                  <w:sz w:val="20"/>
                  <w:u w:val="single"/>
                </w:rPr>
                <w:t>Risk Factors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238456052d453b8ac3a8a3e8271b26_127">
              <w:r>
                <w:rPr>
                  <w:rStyle w:val="InternetLink"/>
                  <w:rFonts w:ascii="Arial Narrow;sans-serif" w:hAnsi="Arial Narrow;sans-serif"/>
                  <w:b w:val="false"/>
                  <w:color w:val="0000FF"/>
                  <w:sz w:val="20"/>
                  <w:u w:val="single"/>
                </w:rPr>
                <w:t>37</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2.</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238456052d453b8ac3a8a3e8271b26_130">
              <w:r>
                <w:rPr>
                  <w:rStyle w:val="InternetLink"/>
                  <w:rFonts w:ascii="Arial Narrow;sans-serif" w:hAnsi="Arial Narrow;sans-serif"/>
                  <w:b w:val="false"/>
                  <w:color w:val="0000FF"/>
                  <w:sz w:val="20"/>
                  <w:u w:val="single"/>
                </w:rPr>
                <w:t>Unregistered Sales of Equity Securities and Use of Proceeds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238456052d453b8ac3a8a3e8271b26_130">
              <w:r>
                <w:rPr>
                  <w:rStyle w:val="InternetLink"/>
                  <w:rFonts w:ascii="Arial Narrow;sans-serif" w:hAnsi="Arial Narrow;sans-serif"/>
                  <w:b w:val="false"/>
                  <w:color w:val="0000FF"/>
                  <w:sz w:val="20"/>
                  <w:u w:val="single"/>
                </w:rPr>
                <w:t>37</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3.</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238456052d453b8ac3a8a3e8271b26_133">
              <w:r>
                <w:rPr>
                  <w:rStyle w:val="InternetLink"/>
                  <w:rFonts w:ascii="Arial Narrow;sans-serif" w:hAnsi="Arial Narrow;sans-serif"/>
                  <w:b w:val="false"/>
                  <w:color w:val="0000FF"/>
                  <w:sz w:val="20"/>
                  <w:u w:val="single"/>
                </w:rPr>
                <w:t>Defaults Upon Senior Securities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238456052d453b8ac3a8a3e8271b26_133">
              <w:r>
                <w:rPr>
                  <w:rStyle w:val="InternetLink"/>
                  <w:rFonts w:ascii="Arial Narrow;sans-serif" w:hAnsi="Arial Narrow;sans-serif"/>
                  <w:b w:val="false"/>
                  <w:color w:val="0000FF"/>
                  <w:sz w:val="20"/>
                  <w:u w:val="single"/>
                </w:rPr>
                <w:t>38</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4.</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238456052d453b8ac3a8a3e8271b26_136">
              <w:r>
                <w:rPr>
                  <w:rStyle w:val="InternetLink"/>
                  <w:rFonts w:ascii="Arial Narrow;sans-serif" w:hAnsi="Arial Narrow;sans-serif"/>
                  <w:b w:val="false"/>
                  <w:color w:val="0000FF"/>
                  <w:sz w:val="20"/>
                  <w:u w:val="single"/>
                </w:rPr>
                <w:t>Mine Safety Disclosures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238456052d453b8ac3a8a3e8271b26_136">
              <w:r>
                <w:rPr>
                  <w:rStyle w:val="InternetLink"/>
                  <w:rFonts w:ascii="Arial Narrow;sans-serif" w:hAnsi="Arial Narrow;sans-serif"/>
                  <w:b w:val="false"/>
                  <w:color w:val="0000FF"/>
                  <w:sz w:val="20"/>
                  <w:u w:val="single"/>
                </w:rPr>
                <w:t>38</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5.</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238456052d453b8ac3a8a3e8271b26_139">
              <w:r>
                <w:rPr>
                  <w:rStyle w:val="InternetLink"/>
                  <w:rFonts w:ascii="Arial Narrow;sans-serif" w:hAnsi="Arial Narrow;sans-serif"/>
                  <w:b w:val="false"/>
                  <w:color w:val="0000FF"/>
                  <w:sz w:val="20"/>
                  <w:u w:val="single"/>
                </w:rPr>
                <w:t>Other Information</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238456052d453b8ac3a8a3e8271b26_139">
              <w:r>
                <w:rPr>
                  <w:rStyle w:val="InternetLink"/>
                  <w:rFonts w:ascii="Arial Narrow;sans-serif" w:hAnsi="Arial Narrow;sans-serif"/>
                  <w:b w:val="false"/>
                  <w:color w:val="0000FF"/>
                  <w:sz w:val="20"/>
                  <w:u w:val="single"/>
                </w:rPr>
                <w:t>38</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6.</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238456052d453b8ac3a8a3e8271b26_142">
              <w:r>
                <w:rPr>
                  <w:rStyle w:val="InternetLink"/>
                  <w:rFonts w:ascii="Arial Narrow;sans-serif" w:hAnsi="Arial Narrow;sans-serif"/>
                  <w:b w:val="false"/>
                  <w:color w:val="0000FF"/>
                  <w:sz w:val="20"/>
                  <w:u w:val="single"/>
                </w:rPr>
                <w:t>Exhibits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238456052d453b8ac3a8a3e8271b26_142">
              <w:r>
                <w:rPr>
                  <w:rStyle w:val="InternetLink"/>
                  <w:rFonts w:ascii="Arial Narrow;sans-serif" w:hAnsi="Arial Narrow;sans-serif"/>
                  <w:b w:val="false"/>
                  <w:color w:val="0000FF"/>
                  <w:sz w:val="20"/>
                  <w:u w:val="single"/>
                </w:rPr>
                <w:t>39</w:t>
              </w:r>
            </w:hyperlink>
          </w:p>
        </w:tc>
      </w:tr>
      <w:tr>
        <w:trPr/>
        <w:tc>
          <w:tcPr>
            <w:tcW w:w="75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6238456052d453b8ac3a8a3e8271b26_145">
              <w:r>
                <w:rPr>
                  <w:rStyle w:val="InternetLink"/>
                  <w:rFonts w:ascii="Arial Narrow;sans-serif" w:hAnsi="Arial Narrow;sans-serif"/>
                  <w:b/>
                  <w:color w:val="0000FF"/>
                  <w:sz w:val="20"/>
                  <w:u w:val="single"/>
                </w:rPr>
                <w:t>Signature</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238456052d453b8ac3a8a3e8271b26_145">
              <w:r>
                <w:rPr>
                  <w:rStyle w:val="InternetLink"/>
                  <w:rFonts w:ascii="Arial Narrow;sans-serif" w:hAnsi="Arial Narrow;sans-serif"/>
                  <w:b w:val="false"/>
                  <w:color w:val="0000FF"/>
                  <w:sz w:val="20"/>
                  <w:u w:val="single"/>
                </w:rPr>
                <w:t>40</w:t>
              </w:r>
            </w:hyperlink>
          </w:p>
        </w:tc>
      </w:tr>
    </w:tbl>
    <w:p>
      <w:pPr>
        <w:pStyle w:val="TextBody"/>
        <w:bidi w:val="0"/>
        <w:spacing w:before="2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ITEM 1.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BALANCE SHEETS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 except share and per share amounts)</w:t>
      </w:r>
    </w:p>
    <w:p>
      <w:pPr>
        <w:pStyle w:val="TextBody"/>
        <w:bidi w:val="0"/>
        <w:spacing w:lineRule="auto" w:line="288" w:before="0" w:after="0"/>
        <w:jc w:val="center"/>
        <w:rPr/>
      </w:pPr>
      <w:r>
        <w:rPr>
          <w:rFonts w:ascii="Arial Narrow;sans-serif" w:hAnsi="Arial Narrow;sans-serif"/>
          <w:b/>
          <w:color w:val="000000"/>
          <w:sz w:val="20"/>
        </w:rPr>
        <w:t>(Unaudited)</w:t>
      </w:r>
      <w:r>
        <w:rPr>
          <w:color w:val="000000"/>
        </w:rPr>
        <w:t> </w:t>
      </w:r>
    </w:p>
    <w:tbl>
      <w:tblPr>
        <w:tblW w:w="10205" w:type="dxa"/>
        <w:jc w:val="left"/>
        <w:tblInd w:w="0" w:type="dxa"/>
        <w:tblLayout w:type="fixed"/>
        <w:tblCellMar>
          <w:top w:w="28" w:type="dxa"/>
          <w:left w:w="28" w:type="dxa"/>
          <w:bottom w:w="28" w:type="dxa"/>
          <w:right w:w="28" w:type="dxa"/>
        </w:tblCellMar>
      </w:tblPr>
      <w:tblGrid>
        <w:gridCol w:w="2744"/>
        <w:gridCol w:w="2337"/>
        <w:gridCol w:w="2379"/>
        <w:gridCol w:w="196"/>
        <w:gridCol w:w="871"/>
        <w:gridCol w:w="109"/>
        <w:gridCol w:w="109"/>
        <w:gridCol w:w="109"/>
        <w:gridCol w:w="109"/>
        <w:gridCol w:w="199"/>
        <w:gridCol w:w="885"/>
        <w:gridCol w:w="158"/>
      </w:tblGrid>
      <w:tr>
        <w:trPr/>
        <w:tc>
          <w:tcPr>
            <w:tcW w:w="2744"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 xml:space="preserve">December 31, </w:t>
              <w:br/>
              <w:t>2024</w:t>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Receivables from clients, net of allowances of $9,891 and $11,575,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197,771 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Unbilled services, net of allowances of $2,020 and $2,203,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160,017 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28,063 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439,974 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409,117 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Property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21,678 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income taxes,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Long-term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69,712 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right-of-use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non-current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116,569 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684,909 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678,743 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1,363,566 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1,343,617 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11,539 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expenses and 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26,768 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payroll and related benefits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247,579 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maturities of 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maturities of 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revenues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26,869 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338,820 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and 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42,481 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Long-term debt, net of current portion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561,511 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342,857 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liabilities, net of current portion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29,686 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income taxes,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28,446 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non-current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657,789 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443,470 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Commitments and contingencies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Common stock; $0.01 par value; 500,000,000 shares authorized; 20,901,686 and 20,780,928 shares issued,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Treasury stock, at cost, 3,272,043 and 3,065,633 shares,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(160,093)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177,673 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Retained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556,189 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531,653 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Accumulated other comprehensive income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11,886 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494,284 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561,327 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1,363,566 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1,343,617 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 Narrow;sans-serif" w:hAnsi="Arial Narrow;sans-serif"/>
          <w:b w:val="false"/>
          <w:i/>
          <w:color w:val="000000"/>
          <w:sz w:val="20"/>
        </w:rPr>
      </w:pP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STATEMENTS OF OPERATIONS AND OTHER COMPREHENSIVE INCOME (LOSS)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 except per share amounts)</w:t>
      </w:r>
    </w:p>
    <w:p>
      <w:pPr>
        <w:pStyle w:val="TextBody"/>
        <w:bidi w:val="0"/>
        <w:spacing w:lineRule="auto" w:line="288" w:before="0" w:after="0"/>
        <w:jc w:val="center"/>
        <w:rPr/>
      </w:pPr>
      <w:r>
        <w:rPr>
          <w:rFonts w:ascii="Arial Narrow;sans-serif" w:hAnsi="Arial Narrow;sans-serif"/>
          <w:b/>
          <w:color w:val="000000"/>
          <w:sz w:val="20"/>
        </w:rPr>
        <w:t>(Unaudited)</w:t>
      </w:r>
      <w:r>
        <w:rPr>
          <w:color w:val="000000"/>
        </w:rPr>
        <w:t> </w:t>
      </w:r>
    </w:p>
    <w:tbl>
      <w:tblPr>
        <w:tblW w:w="8590" w:type="dxa"/>
        <w:jc w:val="center"/>
        <w:tblInd w:w="0" w:type="dxa"/>
        <w:tblLayout w:type="fixed"/>
        <w:tblCellMar>
          <w:top w:w="28" w:type="dxa"/>
          <w:left w:w="28" w:type="dxa"/>
          <w:bottom w:w="28" w:type="dxa"/>
          <w:right w:w="28" w:type="dxa"/>
        </w:tblCellMar>
      </w:tblPr>
      <w:tblGrid>
        <w:gridCol w:w="1882"/>
        <w:gridCol w:w="1653"/>
        <w:gridCol w:w="1669"/>
        <w:gridCol w:w="109"/>
        <w:gridCol w:w="109"/>
        <w:gridCol w:w="152"/>
        <w:gridCol w:w="152"/>
        <w:gridCol w:w="273"/>
        <w:gridCol w:w="1026"/>
        <w:gridCol w:w="152"/>
        <w:gridCol w:w="109"/>
        <w:gridCol w:w="109"/>
        <w:gridCol w:w="109"/>
        <w:gridCol w:w="196"/>
        <w:gridCol w:w="736"/>
        <w:gridCol w:w="154"/>
      </w:tblGrid>
      <w:tr>
        <w:trPr/>
        <w:tc>
          <w:tcPr>
            <w:tcW w:w="1882"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2024</w:t>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Revenues before reimbursable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395,690 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355,961 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Reimbursable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8,451 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7,424 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Total revenues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404,141 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363,385 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Direct costs (exclusive of depreciation and amortization included below)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278,043 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253,303 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Reimbursable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8,445 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7,584 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76,634 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72,700 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9"/>
              </w:rPr>
            </w:pPr>
            <w:r>
              <w:rPr>
                <w:rFonts w:ascii="Arial Narrow;sans-serif" w:hAnsi="Arial Narrow;sans-serif"/>
                <w:b w:val="false"/>
                <w:color w:val="000000"/>
                <w:sz w:val="19"/>
              </w:rPr>
              <w:t>Other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Restructuring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1,338 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6,949 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5,972 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371,409 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343,464 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Operating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32,732 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19,921 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Interest expense, net of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(5,647)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(5,140)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(5,633)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Total 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(11,280)</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(2,361)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Income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21,452 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17,560 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9"/>
              </w:rPr>
            </w:pPr>
            <w:r>
              <w:rPr>
                <w:rFonts w:ascii="Arial Narrow;sans-serif" w:hAnsi="Arial Narrow;sans-serif"/>
                <w:b w:val="false"/>
                <w:color w:val="000000"/>
                <w:sz w:val="19"/>
              </w:rPr>
              <w:t>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(3,084)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Net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24,536 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18,006 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Net income per basic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1.38 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Net income per diluted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1.33 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0.95 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Weighted average shares used in calculating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17,821 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18,196 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18,475 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18,943 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Net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24,536 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18,006 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Foreign currency translation adjustments,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535 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(722)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9"/>
              </w:rPr>
            </w:pPr>
            <w:r>
              <w:rPr>
                <w:rFonts w:ascii="Arial Narrow;sans-serif" w:hAnsi="Arial Narrow;sans-serif"/>
                <w:b w:val="false"/>
                <w:color w:val="000000"/>
                <w:sz w:val="19"/>
              </w:rPr>
              <w:t>Unrealized loss on investment,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(10,517)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(1,447)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9"/>
              </w:rPr>
            </w:pPr>
            <w:r>
              <w:rPr>
                <w:rFonts w:ascii="Arial Narrow;sans-serif" w:hAnsi="Arial Narrow;sans-serif"/>
                <w:b w:val="false"/>
                <w:color w:val="000000"/>
                <w:sz w:val="19"/>
              </w:rPr>
              <w:t>Unrealized gain (loss) on cash flow hedging instruments,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(2,233)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9"/>
              </w:rPr>
            </w:pPr>
            <w:r>
              <w:rPr>
                <w:rFonts w:ascii="Arial Narrow;sans-serif" w:hAnsi="Arial Narrow;sans-serif"/>
                <w:b w:val="false"/>
                <w:color w:val="000000"/>
                <w:sz w:val="19"/>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(12,215)</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(1,096)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Comprehensive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12,321 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16,910 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 Narrow;sans-serif" w:hAnsi="Arial Narrow;sans-serif"/>
          <w:b w:val="false"/>
          <w:i/>
          <w:color w:val="000000"/>
          <w:sz w:val="20"/>
        </w:rPr>
      </w:pP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STATEMENTS OF STOCKHOLDERS’ EQUITY</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 except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tbl>
      <w:tblPr>
        <w:tblW w:w="11355" w:type="dxa"/>
        <w:jc w:val="center"/>
        <w:tblInd w:w="0" w:type="dxa"/>
        <w:tblLayout w:type="fixed"/>
        <w:tblCellMar>
          <w:top w:w="28" w:type="dxa"/>
          <w:left w:w="28" w:type="dxa"/>
          <w:bottom w:w="28" w:type="dxa"/>
          <w:right w:w="28" w:type="dxa"/>
        </w:tblCellMar>
      </w:tblPr>
      <w:tblGrid>
        <w:gridCol w:w="588"/>
        <w:gridCol w:w="253"/>
        <w:gridCol w:w="255"/>
        <w:gridCol w:w="420"/>
        <w:gridCol w:w="421"/>
        <w:gridCol w:w="191"/>
        <w:gridCol w:w="109"/>
        <w:gridCol w:w="109"/>
        <w:gridCol w:w="109"/>
        <w:gridCol w:w="181"/>
        <w:gridCol w:w="376"/>
        <w:gridCol w:w="109"/>
        <w:gridCol w:w="109"/>
        <w:gridCol w:w="109"/>
        <w:gridCol w:w="109"/>
        <w:gridCol w:w="383"/>
        <w:gridCol w:w="383"/>
        <w:gridCol w:w="191"/>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296"/>
        <w:gridCol w:w="935"/>
        <w:gridCol w:w="180"/>
        <w:gridCol w:w="109"/>
        <w:gridCol w:w="109"/>
        <w:gridCol w:w="109"/>
        <w:gridCol w:w="202"/>
        <w:gridCol w:w="721"/>
        <w:gridCol w:w="173"/>
      </w:tblGrid>
      <w:tr>
        <w:trPr/>
        <w:tc>
          <w:tcPr>
            <w:tcW w:w="5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9" w:type="dxa"/>
            <w:gridSpan w:val="4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Three Months Ended March 31,</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 xml:space="preserve">Additional </w:t>
              <w:br/>
              <w:t xml:space="preserve">Paid-In </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Accumulated Other</w:t>
            </w:r>
          </w:p>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Comprehensive</w:t>
            </w:r>
          </w:p>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Stockholders’</w:t>
              <w:br/>
              <w:t>Equity</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6"/>
              </w:rPr>
            </w:pPr>
            <w:r>
              <w:rPr>
                <w:rFonts w:ascii="Arial Narrow;sans-serif" w:hAnsi="Arial Narrow;sans-serif"/>
                <w:b/>
                <w:color w:val="000000"/>
                <w:sz w:val="16"/>
              </w:rPr>
              <w:t>Balance at December 31, 2024</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20,762,327 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(3,117,675)</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(160,093)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177,673 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531,653 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11,886 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561,327 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Comprehensive income (loss)</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24,536 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(12,215)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12,321 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Issuance of common stock in connection with:</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Restricted stock awards, net of cancellations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532,575 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56,231 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Exercise of stock options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43,202 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2,527 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Purchase of business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15,378 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2,344 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Share-based compensation</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20,814 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Shares redeemed for employee tax withholdings</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(212,740)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(32,181)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 repurchases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(508,611)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(72,863)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(72,868)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March 31, 2025</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20,844,871 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(3,274,184)</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(189,279)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127,495 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556,189 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(329)</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494,284 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December 31, 2023</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21,175,554 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(2,975,321)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(142,136)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236,962 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415,027 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22,827 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532,892 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Comprehensive income (loss)</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18,006 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(1,096)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16,910 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Issuance of common stock in connection with:</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Restricted stock awards, net of cancellations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544,922 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71,525 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Exercise of stock options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21,419 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1,167 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Purchase of business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86,913 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8,640 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Share-based compensation</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19,237 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Shares redeemed for employee tax withholdings</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(212,745)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(20,927)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 repurchases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(624,698)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(62,307)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(62,313)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March 31, 2024</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21,204,110 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(3,116,541)</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(159,605)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200,235 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433,033 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21,731 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495,606 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29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23" w:type="dxa"/>
            <w:gridSpan w:val="4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 Narrow;sans-serif" w:hAnsi="Arial Narrow;sans-serif"/>
          <w:b w:val="false"/>
          <w:i/>
          <w:color w:val="000000"/>
          <w:sz w:val="20"/>
        </w:rPr>
      </w:pP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STATEMENTS OF CASH FLOWS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tbl>
      <w:tblPr>
        <w:tblW w:w="7868" w:type="dxa"/>
        <w:jc w:val="center"/>
        <w:tblInd w:w="0" w:type="dxa"/>
        <w:tblLayout w:type="fixed"/>
        <w:tblCellMar>
          <w:top w:w="28" w:type="dxa"/>
          <w:left w:w="28" w:type="dxa"/>
          <w:bottom w:w="28" w:type="dxa"/>
          <w:right w:w="28" w:type="dxa"/>
        </w:tblCellMar>
      </w:tblPr>
      <w:tblGrid>
        <w:gridCol w:w="2093"/>
        <w:gridCol w:w="1833"/>
        <w:gridCol w:w="1848"/>
        <w:gridCol w:w="181"/>
        <w:gridCol w:w="571"/>
        <w:gridCol w:w="109"/>
        <w:gridCol w:w="109"/>
        <w:gridCol w:w="109"/>
        <w:gridCol w:w="109"/>
        <w:gridCol w:w="181"/>
        <w:gridCol w:w="571"/>
        <w:gridCol w:w="154"/>
      </w:tblGrid>
      <w:tr>
        <w:trPr/>
        <w:tc>
          <w:tcPr>
            <w:tcW w:w="2093"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March 31,</w:t>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flows from 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Adjustments to reconcile net income to cash flows from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lease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Lease-related impairment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Share-based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debt discount and issuance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Allowances for doubtful accounts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 in fair value of contingent consideration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 in fair value of preferred stock investment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Changes in operating assets and liabilities, net of acquisitions: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receivables from clients,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(51,116)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unbilled services,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current income tax receivable / payable,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other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accounts payable and other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accrued payroll and related benefits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(132,290)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deferred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Net cash used in operating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(106,827)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(130,724)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flows from investing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Purchases of property and equipment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life insurance policies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Purchases of businesses, net of cash acquired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Capitalization of internally developed software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note receivable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(30,599)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flows from financing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exercises of stock options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Shares redeemed for employee tax withholdings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 repurchases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bank borrowings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566,000 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Repayments of bank borrowings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for debt issuance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Deferred payment on business acquisition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Net cash provided by financing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167,859 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Net increase in cash and cash equivalents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at beginning of the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at end of the period</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Supplemental disclosure of cash flow information:</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investing and financing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expenditures and capitalized software included in current liabilities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right-of-use assets obtained in exchange for operating lease liabilities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Common stock issued related to purchases of businesses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Contingent consideration accrued related to purchase of business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 repurchases included in current liabilities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Excise tax on net share repurchases included in non-current liabilities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1. Description of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Huron is a global professional services firm that partners with clients to put possible into practice by creating sound strategies, optimizing operations, accelerating digital transformation, and empowering businesses to own their future. By embracing diverse perspectives, encouraging new ideas and challenging the status quo, we create sustainable results for the organizations we serve.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provide our services and products and manage our business under three operating segments - Healthcare, Education, and Commercial - which aligns our business by industry. The Commercial segment includes all industries outside of healthcare and education, including, but not limited to, financial services, energy and utilities, industrials and manufacturing, and the public sector. We also provide revenue reporting across two principal capabilities: i) Consulting and Managed Services and ii) Digital, which are methods by which we deliver our services and products.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14 “Segment Information” for a discussion of our three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2. Basis of Presentation and Significant Accounting Policies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accompanying unaudited consolidated financial statements reflect the financial position, results of operations, and cash flows as of and for the three months ended March 31, 2025 and 2024.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our consolidated financial statements and notes thereto included in our Annual Report on Form 10-K for the year ended December 31, 2024. Our results for any interim period are not necessarily indicative of results for a full year or any other interim period.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second quarter of 2024, we revised the presentation of our consolidated statement of operations and other comprehensive income (loss) to separately present other losses (gains), net previously presented within selling, general and administrative expenses. The change in presentation had no effect on our consolidated results, and our historical consolidated statements of operations and other comprehensive income (loss) were revised for consistent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3. New Accounting Pronouncements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Not Yet Adopted</w:t>
      </w:r>
    </w:p>
    <w:p>
      <w:pPr>
        <w:pStyle w:val="TextBody"/>
        <w:bidi w:val="0"/>
        <w:spacing w:lineRule="auto" w:line="288" w:before="180" w:after="283"/>
        <w:jc w:val="left"/>
        <w:rPr/>
      </w:pPr>
      <w:r>
        <w:rPr>
          <w:rFonts w:ascii="Arial Narrow;sans-serif" w:hAnsi="Arial Narrow;sans-serif"/>
          <w:b w:val="false"/>
          <w:color w:val="000000"/>
          <w:sz w:val="20"/>
        </w:rPr>
        <w:t xml:space="preserve">On December 14, 2023, the Financial Accounting Standards Board (“FASB”) issued Accounting Standards Update (“ASU”) 2023-09, </w:t>
      </w:r>
      <w:r>
        <w:rPr>
          <w:rFonts w:ascii="Arial Narrow;sans-serif" w:hAnsi="Arial Narrow;sans-serif"/>
          <w:b w:val="false"/>
          <w:i/>
          <w:color w:val="000000"/>
          <w:sz w:val="20"/>
        </w:rPr>
        <w:t>Improvements to Income Tax Disclosures</w:t>
      </w:r>
      <w:r>
        <w:rPr>
          <w:rFonts w:ascii="Arial Narrow;sans-serif" w:hAnsi="Arial Narrow;sans-serif"/>
          <w:b w:val="false"/>
          <w:color w:val="000000"/>
          <w:sz w:val="20"/>
        </w:rPr>
        <w:t>, which updates annual income tax disclosures by requiring disclosure of specific categories in the rate reconciliation, as well as disclosure of income taxes paid disaggregated by jurisdiction. ASU 2023-09 will be effective for our annual reporting periods beginning with the fiscal year ending December 31, 2025, with early adoption permitted, and is required to be applied prospectively with the option of retrospective application. We expect the adoption of this ASU will have no impact on our financial position or our results of operations, but will result in additional disclosures.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November 4, 2024, the FASB issued ASU 2024-03, Income Statement-Reporting Comprehensive Income-Expense Disaggregation Disclosures (Subtopic 220-40): Disaggregation of Income Statement Expenses, which is intended to enhance transparency of the nature and function of expenses, primarily through additional disclosures of certain cost and expenses. ASU 2024-03 will be effective for our annual reporting periods beginning with the fiscal year ending December 31, 2027 and for interim reporting periods beginning in fiscal year 2028, with early adoption permitted, and is required to be applied prospectively with the option of retrospective application. We expect the adoption of this ASU will have no impact on our financial position or our results of operations, but will result in additional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4. Goodwill and Intangible Assets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Goodwill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the changes in the carrying value of goodwill by reportable segment for the three months ended March 31, 2025.</w:t>
      </w:r>
    </w:p>
    <w:tbl>
      <w:tblPr>
        <w:tblW w:w="9554" w:type="dxa"/>
        <w:jc w:val="left"/>
        <w:tblInd w:w="0" w:type="dxa"/>
        <w:tblLayout w:type="fixed"/>
        <w:tblCellMar>
          <w:top w:w="28" w:type="dxa"/>
          <w:left w:w="28" w:type="dxa"/>
          <w:bottom w:w="28" w:type="dxa"/>
          <w:right w:w="28" w:type="dxa"/>
        </w:tblCellMar>
      </w:tblPr>
      <w:tblGrid>
        <w:gridCol w:w="1529"/>
        <w:gridCol w:w="1345"/>
        <w:gridCol w:w="1355"/>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1529"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Arial Narrow;sans-serif" w:hAnsi="Arial Narrow;sans-serif"/>
                <w:b/>
                <w:sz w:val="20"/>
              </w:rPr>
              <w:br/>
            </w:r>
            <w:r>
              <w:rPr>
                <w:rFonts w:ascii="Arial Narrow;sans-serif" w:hAnsi="Arial Narrow;sans-serif"/>
                <w:b/>
                <w:color w:val="000000"/>
                <w:sz w:val="20"/>
              </w:rPr>
              <w:t>Healthcare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Education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Commercial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2024:</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Goodwill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643,552 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345,102 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1,134,635 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Accumulated impairment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(455,892)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Goodwill, net as of December 31, 2024</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453,528 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80,651 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678,743 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Goodwill recorded in connection with business acquisitions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currency translation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Goodwill, net as of March 31, 2025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453,528 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150,730 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80,651 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684,909 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2025 Acquisitions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March 1, 2025, we completed the acquisition of Advancement Resources, a research-based, philanthropy-focused professional education services firm. The results of operations of Advancement Resources are included within our consolidated financial statements and results of operations of our Education segment as of the acquisition date.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March 17, 2025, we completed the acquisition of Halpin Partnership Limited (“Halpin”), a U.K.-based management consultancy specializing in higher education fundraising, governance, and strategy. The results of operations of Halpin are included within our consolidated financial statements and results of operations of our Education segment as of the acquisition date.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acquisitions of Advancement Resources and Halpin are not significant to our consolidated financial statements individually or in the aggregate as of and for the three months ended March 31, 2025. These acquisitions were accounted for using the acquisition method of accounting. Contract assets and contract liabilities are recorded at their carrying value under Topic 606: Revenue from Contracts with Customers.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current acquisition date values of assets acquired and liabilities assumed in the Advancement Resources and Halpin acquisitions are considered preliminary and are based on the information that was available as of the date of each acquisition. We believe that the information provides a reasonable basis for estimating the preliminary values of assets acquired and liabilities assumed but certain items, such as the valuations of the intangible assets and the working capital adjustments, among other things, may be subject to change as additional information is received. Thus, the provisional measurements of assets acquired, including goodwill, and liabilities assumed related to the Advancement Resources and Halpin acquisitions are subject to change. We expect to finalize the valuations as soon as practicable, but not later than one year from the acquisition 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Intangible Assets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Intangible assets as of March 31, 2025 and December 31, 2024 consisted of the following:</w:t>
      </w:r>
    </w:p>
    <w:tbl>
      <w:tblPr>
        <w:tblW w:w="8731" w:type="dxa"/>
        <w:jc w:val="left"/>
        <w:tblInd w:w="0" w:type="dxa"/>
        <w:tblLayout w:type="fixed"/>
        <w:tblCellMar>
          <w:top w:w="28" w:type="dxa"/>
          <w:left w:w="28" w:type="dxa"/>
          <w:bottom w:w="28" w:type="dxa"/>
          <w:right w:w="28" w:type="dxa"/>
        </w:tblCellMar>
      </w:tblPr>
      <w:tblGrid>
        <w:gridCol w:w="793"/>
        <w:gridCol w:w="696"/>
        <w:gridCol w:w="701"/>
        <w:gridCol w:w="334"/>
        <w:gridCol w:w="334"/>
        <w:gridCol w:w="336"/>
        <w:gridCol w:w="109"/>
        <w:gridCol w:w="109"/>
        <w:gridCol w:w="109"/>
        <w:gridCol w:w="196"/>
        <w:gridCol w:w="646"/>
        <w:gridCol w:w="109"/>
        <w:gridCol w:w="109"/>
        <w:gridCol w:w="109"/>
        <w:gridCol w:w="109"/>
        <w:gridCol w:w="235"/>
        <w:gridCol w:w="775"/>
        <w:gridCol w:w="131"/>
        <w:gridCol w:w="109"/>
        <w:gridCol w:w="109"/>
        <w:gridCol w:w="109"/>
        <w:gridCol w:w="196"/>
        <w:gridCol w:w="646"/>
        <w:gridCol w:w="109"/>
        <w:gridCol w:w="109"/>
        <w:gridCol w:w="109"/>
        <w:gridCol w:w="109"/>
        <w:gridCol w:w="233"/>
        <w:gridCol w:w="769"/>
        <w:gridCol w:w="184"/>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As of December 31, 2024</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Useful Life </w:t>
              <w:br/>
              <w:t>(in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Accumulated</w:t>
              <w:b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Accumulated</w:t>
              <w:br/>
              <w:t>Amortization</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Customer relationships</w:t>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4 to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10,953 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9,790 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Technology and software</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2 to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13,267 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12,771 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Trade names</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Customer contracts</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1 to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Non-competition agreements</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2 to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58,968 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31,618 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55,656 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29,580 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During the three months ended March 31, 2025, we acquired intangible assets of $3.3 million related to our acquisitions of Advancement Resources and Halpin. These acquired intangible assets consist of customer relationships, customer contracts and non-competition agreements.</w:t>
      </w:r>
    </w:p>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Identifiable intangible assets with finite lives are amortized over their estimated useful lives using either an accelerated or straight-line basis to correspond to the cash flows expected to be derived from the assets. Intangible asset amortization expense was $2.0 million and $1.7 million for the three months ended March 31, 2025 and 2024, respectively. The table below sets forth the estimated annual amortization expense for the intangible assets recorded as of March 31, 2025.</w:t>
      </w:r>
    </w:p>
    <w:tbl>
      <w:tblPr>
        <w:tblW w:w="5202" w:type="dxa"/>
        <w:jc w:val="left"/>
        <w:tblInd w:w="0" w:type="dxa"/>
        <w:tblLayout w:type="fixed"/>
        <w:tblCellMar>
          <w:top w:w="28" w:type="dxa"/>
          <w:left w:w="28" w:type="dxa"/>
          <w:bottom w:w="28" w:type="dxa"/>
          <w:right w:w="28" w:type="dxa"/>
        </w:tblCellMar>
      </w:tblPr>
      <w:tblGrid>
        <w:gridCol w:w="787"/>
        <w:gridCol w:w="693"/>
        <w:gridCol w:w="695"/>
        <w:gridCol w:w="109"/>
        <w:gridCol w:w="109"/>
        <w:gridCol w:w="109"/>
        <w:gridCol w:w="584"/>
        <w:gridCol w:w="1656"/>
        <w:gridCol w:w="460"/>
      </w:tblGrid>
      <w:tr>
        <w:trPr/>
        <w:tc>
          <w:tcPr>
            <w:tcW w:w="7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Estimated Amortization Expense</w:t>
            </w:r>
          </w:p>
        </w:tc>
      </w:tr>
      <w:tr>
        <w:trPr/>
        <w:tc>
          <w:tcPr>
            <w:tcW w:w="2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8,713 </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6,912 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5,110 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4,105 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2,544 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Actual future amortization expense could differ from these estimated amounts as a result of future acquisitions, dispositions,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5. Revenues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three months ended March 31, 2025 and 2024, we recognized total revenues of $404.1 million and $363.4 million, respectively. Of the $404.1 million total revenues recognized in the first quarter of 2025, we recognized $12.4 million from obligations satisfied, or partially satisfied, in prior periods, of which $10.8 million was primarily due to changes in the estimates of our variable consideration under performance-based billing arrangements and $1.6 million was primarily due to the release of allowances on receivables from clients and unbilled services. Of the $363.4 million total revenues recognized in the first quarter of 2024, we recognized $8.3 million from obligations satisfied, or partially satisfied, in prior periods, of which $7.5 million was primarily due to changes in the estimates of our variable consideration under performance-based billing arrangements and $0.8 million was primarily due to the release of allowances on receivables from clients and unbilled services.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As of March 31, 2025, we had $191.8 million of remaining performance obligations under engagements with original expected durations greater than one year. These remaining performance obligations exclude variable consideration which has been excluded from the total transaction price due to the constraint and performance obligations under time-and-expense engagements which are recognized in the amount invoiced. Of the $191.8 million of performance obligations, we expect to recognize $66.1 million as revenue in 2025, $63.9 million in 2026, and the remaining $61.8 million thereafter. Actual revenue recognition could differ from these amounts as a result of changes in the estimated timing of work to be performed, adjustments to estimated variable consideration in performance-based arrangements, or other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Contract Assets and Liabilities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payment terms and conditions in our customer contracts vary. Differences between the timing of billings and the recognition of revenue are recognized as either unbilled services or deferred revenues in the consolidated balance sheets.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Unbilled services include revenues recognized for services performed but not yet billed to clients. Services performed that we are not yet entitled to bill because certain events, such as the completion of the measurement period or client approval in performance-based engagements, must occur are recorded as contract assets and included within unbilled services, net. The contract asset, net balance as of March 31, 2025 and December 31, 2024 was $60.9 million and $60.1 million, respectively. The $0.8 million increase primarily reflects timing differences between the completion of our performance obligations and the amounts billed or billable to clients in accordance with their contractual billing terms.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Client prepayments and retainers are classified as deferred revenues and recognized over future periods in accordance with the applicable engagement agreement and our revenue recognition accounting policy. Our deferred revenues balance as of March 31, 2025 and December 31, 2024 was $28.0 million and $26.9 million, respectively. The $1.1 million increase reflects timing differences between client payments in accordance with their contract terms and the completion of our performance obligations. For the three months ended March 31, 2025, $19.9 million of revenues recognized were included in the deferred revenue balance as of December 31,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6. Earnings Per Share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unvested restricted stock units, and outstanding common stock options, to the extent dilutive. In periods for which we report a net loss, diluted weighted average common shares outstanding excludes all potential common stock equivalents as their impact on diluted net loss per share would be anti-dilutive.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Earnings per share under the basic and diluted computations are as follows: </w:t>
      </w:r>
    </w:p>
    <w:tbl>
      <w:tblPr>
        <w:tblW w:w="7419" w:type="dxa"/>
        <w:jc w:val="center"/>
        <w:tblInd w:w="0" w:type="dxa"/>
        <w:tblLayout w:type="fixed"/>
        <w:tblCellMar>
          <w:top w:w="28" w:type="dxa"/>
          <w:left w:w="28" w:type="dxa"/>
          <w:bottom w:w="28" w:type="dxa"/>
          <w:right w:w="28" w:type="dxa"/>
        </w:tblCellMar>
      </w:tblPr>
      <w:tblGrid>
        <w:gridCol w:w="1487"/>
        <w:gridCol w:w="1312"/>
        <w:gridCol w:w="1326"/>
        <w:gridCol w:w="109"/>
        <w:gridCol w:w="109"/>
        <w:gridCol w:w="163"/>
        <w:gridCol w:w="163"/>
        <w:gridCol w:w="294"/>
        <w:gridCol w:w="970"/>
        <w:gridCol w:w="163"/>
        <w:gridCol w:w="109"/>
        <w:gridCol w:w="109"/>
        <w:gridCol w:w="109"/>
        <w:gridCol w:w="196"/>
        <w:gridCol w:w="646"/>
        <w:gridCol w:w="154"/>
      </w:tblGrid>
      <w:tr>
        <w:trPr/>
        <w:tc>
          <w:tcPr>
            <w:tcW w:w="148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March 31,</w:t>
            </w:r>
          </w:p>
        </w:tc>
        <w:tc>
          <w:tcPr>
            <w:tcW w:w="1323" w:type="dxa"/>
            <w:gridSpan w:val="6"/>
            <w:tcBorders/>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24,536 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common shares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17,821 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common stock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common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18,475 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 per basic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 per diluted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0.1 million shares related to unvested restricted stock and outstanding common stock options were excluded from the computation of the weighted average common stock equivalents presented above for the three months ended March 31, 2025. There were no anti-dilutive securities for the three months ended March 31, 2024.</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Share Repurchase Program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November 2020, our board of directors authorized a share repurchase program permitting us to repurchase up to $50 million of our common stock through December 31, 2021.The share repurchase program has been subsequently extended and increased, most recently in the first quarter of 2025. The current authorization extends the share repurchase program through December 31, 2026 with a repurchase amount of $700 million.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During the three months ended March 31, 2025, we repurchased and retired 508,611 shares for $72.9 million, which includes a $0.1 million accrual for excise taxes on the net share repurchases and includes 57,040 shares for $8.1 million which were settled in the second quarter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2025. Additionally, in the first quarter of 2025, we settled the repurchase of 5,103 shares for $0.6 million which were accrued as of December 31,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During the three months ended March 31, 2024, we repurchased and retired 624,698 shares for $62.3 million, which includes a $0.1 million accrual for excise taxes on the net share repurchases and includes 23,000 shares for $2.2 million which settled in the second quarter of 2024. Additionally, in the first quarter of 2024, we settled the repurchase of 10,000 shares for $1.0 million which were accrued as of December 31, 2023.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March 31, 2025, $191.7 million remained available for share repurchases under our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7. Financing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Company has a $600 million senior secured revolving credit facility (the “Revolver”) and a $275 million senior secured term loan facility (the “Term Loan”), subject to the terms of the Third Amended and Restated Credit Agreement dated as of November 15, 2022 (as amended, the “Amended Credit Agreement”), both of which fully mature on November 15, 2027. The Term Loan is subject to scheduled quarterly amortization payments of $3.4 million which began June 30, 2024 and continue through the maturity date of November 15, 2027, at which time the outstanding principal balance and all accrued interest will be due.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March 31, 2025, we had total borrowings outstanding under our Amended Credit Agreement of $576.3 million, consisting of $315.0 million outstanding under the Revolver and $261.3 million outstanding under the Term Loan. A summary of the scheduled maturities of those borrowings follows:</w:t>
      </w:r>
    </w:p>
    <w:tbl>
      <w:tblPr>
        <w:tblW w:w="4167"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606"/>
        <w:gridCol w:w="2277"/>
        <w:gridCol w:w="476"/>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Scheduled Maturities of Long-Term Debt</w:t>
            </w:r>
          </w:p>
        </w:tc>
      </w:tr>
      <w:tr>
        <w:trPr/>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10,313 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13,750 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552,187 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Borrowings under the Revolver may be used for working capital, capital expenditures, share repurchases, permitted acquisitions, and other general corporate purposes. The proceeds of the Term Loan were used to reduce borrowings under the Revolver.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Amended Credit Agreement provides the option to increase the revolving credit facility or establish additional term loan facilities in an aggregate amount up to $250 million, subject to customary conditions and the approval of any lender whose commitment would be increased, resulting in a maximum available principal amount under the Amended Credit Agreement of $1.13 billion.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Fees and interest on borrowings under the Amended Credit Agreement vary based on our Consolidated Leverage Ratio (as defined in the Amended Credit Agreement). At our option, these borrowings will bear interest at one, three or six month Term SOFR or, in the case of the Revolver, an alternate base rate, in each case plus the applicable margin. The applicable margin for borrowings under the Revolver will fluctuate between 1.125% per annum and 1.875% per annum, in the case of Term SOFR borrowings, or between 0.125% per annum and 0.875% per annum, in the case of base rate loans, based upon our Consolidated Leverage Ratio at such time. The applicable margin for the outstanding principal under the Term Loan will range between 1.625% per annum and 2.375% per annum based upon our Consolidated Leverage Ratio at such time. The fees and interest are subject to further adjustment based upon the Company's performance against specified key performance indicators. Based upon the performance of the Company against those key performance indicators in each Reference Year (as defined in the Amended Credit Agreement), certain adjustments to the otherwise applicable rates for interest, commitment fees and letter of credit fees will be made. These annual adjustments will not exceed an increase or decrease of 0.01% in the aggregate for all key performance indicators in the case of the commitment fee rate or an increase or decrease of 0.05% in the aggregate for all key performance indicators in the case of the Term SOFR borrowings, base rate borrowings or letter of credit fee rate.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loans and obligations under the Amended Credit Agreement are secured pursuant to a Third Amended and Restated Security Agreement and a Third Amended and Restated Pledge Agreement (the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and the subsidiary guarantors, and a pledge of 100% of the stock or other equity interests in all domestic subsidiaries and 65% of the stock or other equity interests in each “material first-tier foreign subsidiary” (as defined in the Pledge Agreement) entitled to vote and 100% of the stock or other equity interests in each material first-tier foreign subsidiary not entitled to vote.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of 3.75 to 1.00; however the maximum permitted Consolidated Leverage Ratio will increase to 4.25 to 1.00 upon the occurrence of a Qualified Acquisition (as defined in the Amended Credit Agreement), and (ii) a minimum Consolidated Interest Coverage Ratio (defined as the ratio of consolidated EBITDA to interest) of 3.00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March 31, 2025, we were in compliance with these financial covenants with a Consolidated Leverage Ratio of 2.17 to 1.00 and a Consolidated Interest Coverage Ratio of 10.71 to 1.00.</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 summary of the carrying amounts of our debt follows: </w:t>
      </w:r>
    </w:p>
    <w:tbl>
      <w:tblPr>
        <w:tblW w:w="6031" w:type="dxa"/>
        <w:jc w:val="left"/>
        <w:tblInd w:w="0" w:type="dxa"/>
        <w:tblLayout w:type="fixed"/>
        <w:tblCellMar>
          <w:top w:w="28" w:type="dxa"/>
          <w:left w:w="28" w:type="dxa"/>
          <w:bottom w:w="28" w:type="dxa"/>
          <w:right w:w="28" w:type="dxa"/>
        </w:tblCellMar>
      </w:tblPr>
      <w:tblGrid>
        <w:gridCol w:w="1254"/>
        <w:gridCol w:w="1100"/>
        <w:gridCol w:w="1110"/>
        <w:gridCol w:w="196"/>
        <w:gridCol w:w="736"/>
        <w:gridCol w:w="109"/>
        <w:gridCol w:w="109"/>
        <w:gridCol w:w="109"/>
        <w:gridCol w:w="109"/>
        <w:gridCol w:w="216"/>
        <w:gridCol w:w="813"/>
        <w:gridCol w:w="170"/>
      </w:tblGrid>
      <w:tr>
        <w:trPr/>
        <w:tc>
          <w:tcPr>
            <w:tcW w:w="1254"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December 31,</w:t>
              <w:br/>
              <w:t>2024</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Revolver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93,000 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Term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264,687 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Unamortized debt issuance costs - Term Loan</w:t>
            </w:r>
            <w:r>
              <w:rPr>
                <w:rFonts w:ascii="Arial Narrow;sans-serif" w:hAnsi="Arial Narrow;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long-term debt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575,261 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356,607 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Current maturities of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(13,750)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Long-term debt, net of current portion</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561,511 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342,857 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720"/>
        <w:jc w:val="left"/>
        <w:rPr>
          <w:rFonts w:ascii="Arial Narrow;sans-serif" w:hAnsi="Arial Narrow;sans-serif"/>
          <w:b w:val="false"/>
          <w:color w:val="000000"/>
          <w:sz w:val="20"/>
        </w:rPr>
      </w:pPr>
      <w:r>
        <w:rPr>
          <w:rFonts w:ascii="Arial Narrow;sans-serif" w:hAnsi="Arial Narrow;sans-serif"/>
          <w:b w:val="false"/>
          <w:color w:val="000000"/>
          <w:sz w:val="20"/>
        </w:rPr>
        <w:t>(1)In connection with establishing the Term Loan, we incurred $1.4 million of debt issuance costs which were recognized as a discount to the Term Loan. These debt issuance costs are amortized to interest expense using an effective interest rate of 7.34% over the term of the Term Loan. Unamortized debt issuance costs related to the Revolver are included as a component of other non-current assets and amortized to interest expense using the straight-line method over the term of the Revolver.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Borrowings outstanding under the Amended Credit Agreement as of March 31, 2025 and December 31, 2024 carried a weighted average interest rate of 5.6% and 4.7%, respectively, including the effect of the interest rate swaps described in Note 9 “Derivative Instruments and Hedging Activity.”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borrowing capacity under the Revolver is reduced by any outstanding borrowings under the Revolver and outstanding letters of credit. At March 31, 2025, we had outstanding letters of credit totaling $0.4 million, which are used as security deposits for our office facilities. As of March 31, 2025, the unused borrowing capacity under the Revolver was $284.6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8. Restructuring Charges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 were $1.3 million for the three months ended March 31, 2025, which included a $0.7 million non-cash lease impairment charge driven by updated sublease assumptions for a previously vacated office space and $0.6 million of rent and related expenses, net of sublease income, for our previously vacated office spaces.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 were $2.3 million for the three months ended March 31, 2024, which included $1.0 million of severance-related expenses; $0.8 million of non-cash lease impairment charges driven by updated sublease assumptions for our previously vacated office spaces; and $0.5 million of rent and related expenses, net of sublease income, for our previously vacated office spaces.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the changes in the carrying value of our restructuring charge liability by restructuring type for the three months ended March 31, 2025.</w:t>
      </w:r>
    </w:p>
    <w:tbl>
      <w:tblPr>
        <w:tblW w:w="6433" w:type="dxa"/>
        <w:jc w:val="left"/>
        <w:tblInd w:w="0" w:type="dxa"/>
        <w:tblLayout w:type="fixed"/>
        <w:tblCellMar>
          <w:top w:w="28" w:type="dxa"/>
          <w:left w:w="28" w:type="dxa"/>
          <w:bottom w:w="28" w:type="dxa"/>
          <w:right w:w="28" w:type="dxa"/>
        </w:tblCellMar>
      </w:tblPr>
      <w:tblGrid>
        <w:gridCol w:w="922"/>
        <w:gridCol w:w="811"/>
        <w:gridCol w:w="817"/>
        <w:gridCol w:w="372"/>
        <w:gridCol w:w="800"/>
        <w:gridCol w:w="207"/>
        <w:gridCol w:w="109"/>
        <w:gridCol w:w="109"/>
        <w:gridCol w:w="109"/>
        <w:gridCol w:w="109"/>
        <w:gridCol w:w="109"/>
        <w:gridCol w:w="196"/>
        <w:gridCol w:w="421"/>
        <w:gridCol w:w="109"/>
        <w:gridCol w:w="109"/>
        <w:gridCol w:w="109"/>
        <w:gridCol w:w="109"/>
        <w:gridCol w:w="196"/>
        <w:gridCol w:w="556"/>
        <w:gridCol w:w="154"/>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Employee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 xml:space="preserve">Other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2024</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629 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Payments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(589)</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Adjustments</w:t>
            </w:r>
            <w:r>
              <w:rPr>
                <w:color w:val="000000"/>
              </w:rPr>
              <w:t xml:space="preserve"> </w:t>
            </w:r>
            <w:r>
              <w:rPr>
                <w:rFonts w:ascii="Arial Narrow;sans-serif" w:hAnsi="Arial Narrow;sans-serif"/>
                <w:b w:val="false"/>
                <w:color w:val="000000"/>
                <w:sz w:val="13"/>
              </w:rPr>
              <w:t>(1)</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March 31, 2025</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450"/>
        <w:jc w:val="left"/>
        <w:rPr>
          <w:rFonts w:ascii="Arial Narrow;sans-serif" w:hAnsi="Arial Narrow;sans-serif"/>
          <w:b w:val="false"/>
          <w:color w:val="000000"/>
          <w:sz w:val="20"/>
        </w:rPr>
      </w:pPr>
      <w:r>
        <w:rPr>
          <w:rFonts w:ascii="Arial Narrow;sans-serif" w:hAnsi="Arial Narrow;sans-serif"/>
          <w:b w:val="false"/>
          <w:color w:val="000000"/>
          <w:sz w:val="20"/>
        </w:rPr>
        <w:t>(1)    Adjustments exclude non-cash items related to vacated office spaces, such as lease impairment charges and accelerated depreciation on abandoned operating lease ROU assets and fixed assets, which are recorded as restructuring charges on our consolidated statements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All of the restructuring charge liability as of March 31, 2025, which primarily relates to the early termination of a contract in a prior period, is expected to be paid in the next 12 months. The employee costs and other restructuring charge liabilities are included as components of accrued payroll and related benefits and accrued expenses and other current liabilities in our consolidated balance sheet,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9. Derivative Instruments and Hedging Activity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normal course of business, we use forward interest rate swaps to manage the interest rate risk associated with our variable-rate borrowings under our senior secured credit facility and we use foreign exchange forward contracts to manage the foreign currency exchange rate risk associated with our operations in India and Canada. We do not use derivative instruments for trading or other speculative purposes.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Cash Flow Hedges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have designated our interest rate swaps and Indian Rupee forward contracts as cash flow hedges. Therefore, changes in the fair value of these derivative instruments are recorded to other comprehensive income to the extent effective and reclassified to earnings upon settlement. Below is additional information on the derivative instruments designed as cash flow hedges in effect during the periods presented. From time to time, we may enter into additional forward interest rate swaps or Indian Rupee forward contracts to further hedge against our interest rate and foreign currency exchange rate risk. </w:t>
      </w:r>
    </w:p>
    <w:p>
      <w:pPr>
        <w:pStyle w:val="TextBody"/>
        <w:bidi w:val="0"/>
        <w:spacing w:lineRule="auto" w:line="288" w:before="180" w:after="283"/>
        <w:jc w:val="left"/>
        <w:rPr/>
      </w:pPr>
      <w:r>
        <w:rPr>
          <w:rFonts w:ascii="Arial Narrow;sans-serif" w:hAnsi="Arial Narrow;sans-serif"/>
          <w:b w:val="false"/>
          <w:i/>
          <w:color w:val="000000"/>
          <w:sz w:val="20"/>
        </w:rPr>
        <w:t>Interest Rate Swaps: W</w:t>
      </w:r>
      <w:r>
        <w:rPr>
          <w:rFonts w:ascii="Arial Narrow;sans-serif" w:hAnsi="Arial Narrow;sans-serif"/>
          <w:b w:val="false"/>
          <w:color w:val="000000"/>
          <w:sz w:val="20"/>
        </w:rPr>
        <w:t xml:space="preserve">e are party to forward interest rate swap agreements with aggregate notional amounts of $250.0 million as of both March 31, 2025 and December 31, 2024. Under the terms of the interest rate swap agreements, we receive from the counterparty interest on the notional amount based on one month Term SOFR and we pay to the counterparty a stated, fixed rate. The forward interest rate swap agreements have staggered maturities through February 28, 2030.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March 31, 2025, it was anticipated that $0.6 million of the gains, net of tax, related to interest rate swaps currently recorded in accumulated other comprehensive income (loss) will be reclassified into interest expense, net of interest income in our consolidated statement of operations within the next 12 months.</w:t>
      </w:r>
    </w:p>
    <w:p>
      <w:pPr>
        <w:pStyle w:val="TextBody"/>
        <w:bidi w:val="0"/>
        <w:spacing w:lineRule="auto" w:line="288" w:before="180" w:after="283"/>
        <w:jc w:val="left"/>
        <w:rPr/>
      </w:pPr>
      <w:r>
        <w:rPr>
          <w:rFonts w:ascii="Arial Narrow;sans-serif" w:hAnsi="Arial Narrow;sans-serif"/>
          <w:b w:val="false"/>
          <w:i/>
          <w:color w:val="000000"/>
          <w:sz w:val="20"/>
        </w:rPr>
        <w:t xml:space="preserve">Indian Rupee Forward Contracts: </w:t>
      </w:r>
      <w:r>
        <w:rPr>
          <w:rFonts w:ascii="Arial Narrow;sans-serif" w:hAnsi="Arial Narrow;sans-serif"/>
          <w:b w:val="false"/>
          <w:color w:val="000000"/>
          <w:sz w:val="20"/>
        </w:rPr>
        <w:t>We are party to Indian Rupee forward contracts that are scheduled to mature monthly through December 31, 2025. As of March 31, 2025 and December 31, 2024, the aggregate notional amounts of these contracts were Indian Rupee (INR) 0.89 billion, or $10.4 million, and Indian Rupee (INR) 1.40 billion, or $16.3 million, respectively, based on the exchange rates in effect as of each period end.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As of March 31, 2025, it was anticipated that the $0.1 million of losses, net of tax, related to these foreign currency forward contracts currently recorded in accumulated other comprehensive income (loss) will be reclassified into earnings in our consolidated statement of operations within the next 12 months. </w:t>
      </w:r>
    </w:p>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Refer to Note 11 “Other Comprehensive Income (Loss)” for additional information on our cash flow hedges.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Derivatives not Designated as Hedging Instruments</w:t>
      </w:r>
    </w:p>
    <w:p>
      <w:pPr>
        <w:pStyle w:val="TextBody"/>
        <w:bidi w:val="0"/>
        <w:spacing w:lineRule="auto" w:line="288" w:before="180" w:after="283"/>
        <w:jc w:val="left"/>
        <w:rPr/>
      </w:pPr>
      <w:r>
        <w:rPr>
          <w:rFonts w:ascii="Arial Narrow;sans-serif" w:hAnsi="Arial Narrow;sans-serif"/>
          <w:b w:val="false"/>
          <w:i/>
          <w:color w:val="000000"/>
          <w:sz w:val="20"/>
        </w:rPr>
        <w:t xml:space="preserve">Canadian Dollar Forward Contracts: </w:t>
      </w:r>
      <w:r>
        <w:rPr>
          <w:rFonts w:ascii="Arial Narrow;sans-serif" w:hAnsi="Arial Narrow;sans-serif"/>
          <w:b w:val="false"/>
          <w:color w:val="000000"/>
          <w:sz w:val="20"/>
        </w:rPr>
        <w:t xml:space="preserve">During the first quarter of 2025, we entered into an initial Canadian Dollar forward contract with a notional amount of $25.0 million that settled on March 31, 2025. Additionally, on March 31, 2025, we entered into another Canadian Dollar forward contract with a notional amount of $25.0 million that will settle on June 30, 2025. We did not designate these derivatives as accounting hedging instruments. Therefore, changes in the fair value of the derivatives are recorded to other income (expense), net in our consolidated statements of operations. For the three months ended March 31, 2025, we recognized a $0.3 million loss related to the settled forward contract. We did not recognize any gain or loss related to the forward contract entered into on March 31, 2025. From time to time, we may enter into additional Canadian Dollar forward contracts to continue to establish economic hedges against our foreign exchange rate risk.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additional information relating to our derivative instruments recognized on our consolidated balance sheets as of March 31, 2025 and December 31, 2024.</w:t>
      </w:r>
    </w:p>
    <w:tbl>
      <w:tblPr>
        <w:tblW w:w="8775" w:type="dxa"/>
        <w:jc w:val="left"/>
        <w:tblInd w:w="0" w:type="dxa"/>
        <w:tblLayout w:type="fixed"/>
        <w:tblCellMar>
          <w:top w:w="28" w:type="dxa"/>
          <w:left w:w="28" w:type="dxa"/>
          <w:bottom w:w="28" w:type="dxa"/>
          <w:right w:w="28" w:type="dxa"/>
        </w:tblCellMar>
      </w:tblPr>
      <w:tblGrid>
        <w:gridCol w:w="977"/>
        <w:gridCol w:w="860"/>
        <w:gridCol w:w="863"/>
        <w:gridCol w:w="1104"/>
        <w:gridCol w:w="1104"/>
        <w:gridCol w:w="1107"/>
        <w:gridCol w:w="109"/>
        <w:gridCol w:w="109"/>
        <w:gridCol w:w="109"/>
        <w:gridCol w:w="196"/>
        <w:gridCol w:w="556"/>
        <w:gridCol w:w="109"/>
        <w:gridCol w:w="109"/>
        <w:gridCol w:w="109"/>
        <w:gridCol w:w="109"/>
        <w:gridCol w:w="269"/>
        <w:gridCol w:w="764"/>
        <w:gridCol w:w="212"/>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Derivative Instrument</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 xml:space="preserve">December 31, </w:t>
              <w:br/>
              <w:t>2024</w:t>
            </w:r>
          </w:p>
        </w:tc>
      </w:tr>
      <w:tr>
        <w:trPr/>
        <w:tc>
          <w:tcPr>
            <w:tcW w:w="27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Assets</w:t>
            </w:r>
          </w:p>
        </w:tc>
        <w:tc>
          <w:tcPr>
            <w:tcW w:w="3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i/>
                <w:color w:val="000000"/>
                <w:sz w:val="20"/>
              </w:rPr>
            </w:pPr>
            <w:r>
              <w:rPr>
                <w:rFonts w:ascii="Arial Narrow;sans-serif" w:hAnsi="Arial Narrow;sans-serif"/>
                <w:b w:val="false"/>
                <w:i/>
                <w:color w:val="000000"/>
                <w:sz w:val="20"/>
              </w:rPr>
              <w:t>Cash Flow Hedges</w:t>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1,381 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Assets</w:t>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2,981 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Liabilities</w:t>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i/>
                <w:color w:val="000000"/>
                <w:sz w:val="20"/>
              </w:rPr>
            </w:pPr>
            <w:r>
              <w:rPr>
                <w:rFonts w:ascii="Arial Narrow;sans-serif" w:hAnsi="Arial Narrow;sans-serif"/>
                <w:b w:val="false"/>
                <w:i/>
                <w:color w:val="000000"/>
                <w:sz w:val="20"/>
              </w:rPr>
              <w:t>Cash Flow Hedges</w:t>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Liabilities</w:t>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381 </w:t>
            </w:r>
          </w:p>
        </w:tc>
        <w:tc>
          <w:tcPr>
            <w:tcW w:w="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All of our derivative instruments are transacted under the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in our consolidated balance sheet.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10. Fair Value of Financial Instruments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 </w:t>
      </w:r>
    </w:p>
    <w:tbl>
      <w:tblPr>
        <w:tblW w:w="10205" w:type="dxa"/>
        <w:jc w:val="left"/>
        <w:tblInd w:w="0" w:type="dxa"/>
        <w:tblLayout w:type="fixed"/>
        <w:tblCellMar>
          <w:top w:w="28" w:type="dxa"/>
          <w:left w:w="28" w:type="dxa"/>
          <w:bottom w:w="28" w:type="dxa"/>
          <w:right w:w="28" w:type="dxa"/>
        </w:tblCellMar>
      </w:tblPr>
      <w:tblGrid>
        <w:gridCol w:w="402"/>
        <w:gridCol w:w="354"/>
        <w:gridCol w:w="355"/>
        <w:gridCol w:w="109"/>
        <w:gridCol w:w="109"/>
        <w:gridCol w:w="109"/>
        <w:gridCol w:w="2566"/>
        <w:gridCol w:w="2566"/>
        <w:gridCol w:w="3635"/>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Arial Narrow;sans-serif" w:hAnsi="Arial Narrow;sans-serif"/>
                <w:b w:val="false"/>
                <w:color w:val="000000"/>
                <w:sz w:val="20"/>
              </w:rPr>
            </w:pPr>
            <w:r>
              <w:rPr>
                <w:rFonts w:ascii="Arial Narrow;sans-serif" w:hAnsi="Arial Narrow;sans-serif"/>
                <w:b w:val="false"/>
                <w:color w:val="000000"/>
                <w:sz w:val="20"/>
              </w:rPr>
              <w:t>Level 1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Quoted prices in active markets for identical assets or liabilities that the reporting entity has the ability to access at the measurement date.</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Level 2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Level 3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Unobservable inputs for the asset or liability, and include situations in which there is little, if any, market activity for the asset or liability.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our fair value hierarchy for our financial assets and liabilities measured at fair value on a recurring basis as of March 31, 2025 and December 31, 2024.</w:t>
      </w:r>
    </w:p>
    <w:tbl>
      <w:tblPr>
        <w:tblW w:w="8652" w:type="dxa"/>
        <w:jc w:val="left"/>
        <w:tblInd w:w="0" w:type="dxa"/>
        <w:tblLayout w:type="fixed"/>
        <w:tblCellMar>
          <w:top w:w="28" w:type="dxa"/>
          <w:left w:w="28" w:type="dxa"/>
          <w:bottom w:w="28" w:type="dxa"/>
          <w:right w:w="28" w:type="dxa"/>
        </w:tblCellMar>
      </w:tblPr>
      <w:tblGrid>
        <w:gridCol w:w="1317"/>
        <w:gridCol w:w="1157"/>
        <w:gridCol w:w="1171"/>
        <w:gridCol w:w="109"/>
        <w:gridCol w:w="109"/>
        <w:gridCol w:w="109"/>
        <w:gridCol w:w="196"/>
        <w:gridCol w:w="40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54"/>
      </w:tblGrid>
      <w:tr>
        <w:trPr/>
        <w:tc>
          <w:tcPr>
            <w:tcW w:w="131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Convertible debt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92,026 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Contingent consideration for business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Convertible debt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107,408 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Contingent consideration for business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Arial Narrow;sans-serif" w:hAnsi="Arial Narrow;sans-serif"/>
          <w:b w:val="false"/>
          <w:i/>
          <w:color w:val="000000"/>
          <w:sz w:val="20"/>
        </w:rPr>
        <w:t xml:space="preserve">Interest rate swaps: </w:t>
      </w:r>
      <w:r>
        <w:rPr>
          <w:rFonts w:ascii="Arial Narrow;sans-serif" w:hAnsi="Arial Narrow;sans-serif"/>
          <w:b w:val="false"/>
          <w:color w:val="000000"/>
          <w:sz w:val="20"/>
        </w:rPr>
        <w:t>The fair values of our interest rate swaps were derived using estimates to settle the interest rate swap agreements, which are based on the net present value of expected future cash flows on each leg of the swaps utilizing market-based inputs and a discount rate reflecting the risks involved. Refer to Note 9 “Derivative Instruments and Hedging Activity” for additional information on our interest rate swaps.</w:t>
      </w:r>
    </w:p>
    <w:p>
      <w:pPr>
        <w:pStyle w:val="TextBody"/>
        <w:bidi w:val="0"/>
        <w:spacing w:lineRule="auto" w:line="288" w:before="180" w:after="283"/>
        <w:jc w:val="left"/>
        <w:rPr/>
      </w:pPr>
      <w:r>
        <w:rPr>
          <w:rFonts w:ascii="Arial Narrow;sans-serif" w:hAnsi="Arial Narrow;sans-serif"/>
          <w:b w:val="false"/>
          <w:i/>
          <w:color w:val="000000"/>
          <w:sz w:val="20"/>
        </w:rPr>
        <w:t>Foreign exchange forward contracts</w:t>
      </w:r>
      <w:r>
        <w:rPr>
          <w:rFonts w:ascii="Arial Narrow;sans-serif" w:hAnsi="Arial Narrow;sans-serif"/>
          <w:b w:val="false"/>
          <w:color w:val="000000"/>
          <w:sz w:val="20"/>
        </w:rPr>
        <w:t>: The fair values of our foreign exchange forward contracts were derived using estimates to settle the foreign exchange forward contracts agreements, which are based on the net present value of expected future cash flows on each contract utilizing market-based inputs, including both forward and spot prices, and a discount rate reflecting the risks involved. Refer to Note 9 “Derivative Instruments and Hedging Activity” for additional information on our foreign exchange forward contracts.</w:t>
      </w:r>
    </w:p>
    <w:p>
      <w:pPr>
        <w:pStyle w:val="TextBody"/>
        <w:bidi w:val="0"/>
        <w:spacing w:lineRule="auto" w:line="288" w:before="180" w:after="283"/>
        <w:jc w:val="left"/>
        <w:rPr/>
      </w:pPr>
      <w:r>
        <w:rPr>
          <w:rFonts w:ascii="Arial Narrow;sans-serif" w:hAnsi="Arial Narrow;sans-serif"/>
          <w:b w:val="false"/>
          <w:i/>
          <w:color w:val="000000"/>
          <w:sz w:val="20"/>
        </w:rPr>
        <w:t xml:space="preserve">Deferred compensation assets: </w:t>
      </w:r>
      <w:r>
        <w:rPr>
          <w:rFonts w:ascii="Arial Narrow;sans-serif" w:hAnsi="Arial Narrow;sans-serif"/>
          <w:b w:val="false"/>
          <w:color w:val="000000"/>
          <w:sz w:val="20"/>
        </w:rPr>
        <w:t>We have a non-qualified deferred compensation plan (the “Plan”) for the members of our board of directors and a select group of our employees. The deferred compensation liability is funded by the Plan assets, which consist of life insurance policies maintained within a trust. The cash surrender value of the life insurance policies approximates fair value and is based on third-party broker statements which provide the fair value of the life insurance policies' underlying investments, which are Level 2 inputs. The cash surrender value of the life insurance policies is invested primarily in mutual funds. The Plan assets are included in other non-current assets in our consolidated balance sheets. Realized and unrealized gains (losses) from the deferred compensation assets are recorded to other income (expense), net in our consolidated statements of operations.</w:t>
      </w:r>
    </w:p>
    <w:p>
      <w:pPr>
        <w:pStyle w:val="TextBody"/>
        <w:bidi w:val="0"/>
        <w:spacing w:lineRule="auto" w:line="288" w:before="180" w:after="283"/>
        <w:jc w:val="left"/>
        <w:rPr/>
      </w:pPr>
      <w:r>
        <w:rPr>
          <w:rFonts w:ascii="Arial Narrow;sans-serif" w:hAnsi="Arial Narrow;sans-serif"/>
          <w:b w:val="false"/>
          <w:i/>
          <w:color w:val="000000"/>
          <w:sz w:val="20"/>
        </w:rPr>
        <w:t>Convertible debt investment:</w:t>
      </w:r>
      <w:r>
        <w:rPr>
          <w:color w:val="000000"/>
        </w:rPr>
        <w:t xml:space="preserve"> </w:t>
      </w:r>
      <w:r>
        <w:rPr>
          <w:rFonts w:ascii="Arial Narrow;sans-serif" w:hAnsi="Arial Narrow;sans-serif"/>
          <w:b w:val="false"/>
          <w:color w:val="000000"/>
          <w:sz w:val="20"/>
        </w:rPr>
        <w:t>Since 2014, we have invested $40.9 million in the form of 1.69% convertible debt in Shorelight Holdings, LLC (“Shorelight”), the parent company of Shorelight, a U.S.-based company that partners with leading nonprofit universities to increase access to and retention of international students, boost institutional growth, and enhance an institution’s global footprint. The convertible notes will mature on January 17, 2027, unless converted earlier.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To determine the appropriate accounting treatment for our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all of the terms of the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concluded the appropriate accounting treatment to be that of an available-for-sale debt security. We continue to monitor the key factors of our VIE analysis and the terms of the convertible notes to ensure our accounting treatment is appropriate. We have not identified any changes to Shorelight or our investment that would change our classification of the investment as an available-for-sale debt security.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investment is carried at fair value with unrealized holding gains and losses excluded from earnings and reported in other comprehensive income. The carrying value is recorded in long-term investments in our consolidated balance sheets. We estimate the fair value of our investment using a scenario-based approach in the form of a hybrid analysis that consists of a Monte Carlo simulation model and an expected return analysis. The conclusion of value for our investment is based on the probability-weighted assessment of both scenarios. The hybrid analysis utilizes certain assumptions including the assumed holding period through the maturity date of January 17, 2027; the applicable waterfall distribution at the end of the expected holding period based on the rights and privileges of the various instruments; cash flow projections discounted at the risk-adjusted rate of 24.5% and 23.5% as of March 31, 2025 and December 31, 2024, respectively; and the concluded equity volatility of 40.0% as of both March 31, 2025 and December 31, 2024, all of which are Level 3 inputs. The use of alternative estimates and assumptions could increase or decrease the estimated fair value of the investment, which would result in different impacts to our consolidated balance sheet and comprehensive income. Actual results may differ from our estimates.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 below sets forth the changes in the balance of the convertible debt investment for the three months ended March 31, 2025. </w:t>
      </w:r>
    </w:p>
    <w:tbl>
      <w:tblPr>
        <w:tblW w:w="5276" w:type="dxa"/>
        <w:jc w:val="left"/>
        <w:tblInd w:w="0" w:type="dxa"/>
        <w:tblLayout w:type="fixed"/>
        <w:tblCellMar>
          <w:top w:w="28" w:type="dxa"/>
          <w:left w:w="28" w:type="dxa"/>
          <w:bottom w:w="28" w:type="dxa"/>
          <w:right w:w="28" w:type="dxa"/>
        </w:tblCellMar>
      </w:tblPr>
      <w:tblGrid>
        <w:gridCol w:w="922"/>
        <w:gridCol w:w="811"/>
        <w:gridCol w:w="817"/>
        <w:gridCol w:w="109"/>
        <w:gridCol w:w="109"/>
        <w:gridCol w:w="109"/>
        <w:gridCol w:w="470"/>
        <w:gridCol w:w="1556"/>
        <w:gridCol w:w="373"/>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Convertible Debt Investment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62,344 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(14,193)</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48,151 </w:t>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Arial Narrow;sans-serif" w:hAnsi="Arial Narrow;sans-serif"/>
          <w:b w:val="false"/>
          <w:i/>
          <w:color w:val="000000"/>
          <w:sz w:val="20"/>
        </w:rPr>
        <w:t xml:space="preserve">Contingent consideration for business acquisitions: </w:t>
      </w:r>
      <w:r>
        <w:rPr>
          <w:rFonts w:ascii="Arial Narrow;sans-serif" w:hAnsi="Arial Narrow;sans-serif"/>
          <w:b w:val="false"/>
          <w:color w:val="000000"/>
          <w:sz w:val="20"/>
        </w:rPr>
        <w:t xml:space="preserve">We estimate the fair value of acquisition-related contingent consideration using either a probability-weighted assessment of the specific financial performance targets being measured or a Monte Carlo simulation model, as appropriate. These fair value measurements are based on significant inputs not observable in the market and thus represent Level 3 inputs. The significant unobservable inputs used in the fair value measurements of our contingent consideration are our measures of the estimated payouts based on internally generated financial projections on a probability-weighted basis and a discount rate which was 5.6% as of both March 31, 2025 and December 31, 2024. The fair value of the contingent consideration is reassessed quarterly based on assumptions used in our latest projections and input provided by practice leaders and management. Any change in the fair value estimate is recorded to other losses (gains), net in our consolidated statement of operations for that period. The use of alternative estimates and assumptions could increase or decrease the estimated fair value of our contingent consideration liability, which would result in different impacts to our consolidated balance sheets and consolidated statements of operations. Actual results may differ from our estimates.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 below sets forth the changes in the balance of the contingent consideration for business acquisitions for the three months ended March 31, 2025. </w:t>
      </w:r>
    </w:p>
    <w:tbl>
      <w:tblPr>
        <w:tblW w:w="7196" w:type="dxa"/>
        <w:jc w:val="left"/>
        <w:tblInd w:w="0" w:type="dxa"/>
        <w:tblLayout w:type="fixed"/>
        <w:tblCellMar>
          <w:top w:w="28" w:type="dxa"/>
          <w:left w:w="28" w:type="dxa"/>
          <w:bottom w:w="28" w:type="dxa"/>
          <w:right w:w="28" w:type="dxa"/>
        </w:tblCellMar>
      </w:tblPr>
      <w:tblGrid>
        <w:gridCol w:w="923"/>
        <w:gridCol w:w="811"/>
        <w:gridCol w:w="816"/>
        <w:gridCol w:w="109"/>
        <w:gridCol w:w="109"/>
        <w:gridCol w:w="109"/>
        <w:gridCol w:w="1097"/>
        <w:gridCol w:w="2356"/>
        <w:gridCol w:w="866"/>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Contingent Consideration for Business Acquisitions</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221 </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71 </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Financial assets and liabilities not recorded at fair value on a recurring basis are as follows: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Preferred Stock Investment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the fourth quarter of 2019, we invested $5.0 million in a hospital-at-home company. The investment was made in the form of preferred stock. To determine the appropriate accounting treatment for our preferred stock investment, we performed a VIE analysis and concluded that the company does not meet the definition of a VIE. We also reviewed the characteristics of our investment to confirm that the preferred stock is not in-substance common stock that would warrant equity method accounting. After we reviewed all of the terms of the investment, we concluded the appropriate accounting treatment for our investment to be that of an equity security with no readily determinable fair value. We elected to apply the measurement alternative at the time of the purchase and will continue to do so until the investment does not qualify to be so measured. Under the measurement alternative, the investment is carried at cost minus impairment, plus or minus changes resulting from observable price changes in orderly transactions for an identical or similar investment in the same company. On a quarterly basis, we review the information available to determine whether an orderly and observable transaction for the same or similar equity instrument occurred or if factors indicate that a significant decrease in value has occurred. We remeasure to the fair value of the preferred stock using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such identified information with changes in the fair value recorded to other income (expense), net in our consolidated statement of operations. The carrying value of the preferred stock investment is recorded in long-term investments in our consolidated balance sheets.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first quarter of 2025, we recognized a non-cash impairment loss of $4.2 million on our preferred stock investment based on the valuation anticipated from the hospital-at-home company's merger with a third-party, which is expected to close in 2025. The non-cash impairment loss was recorded to other income (expense), net in our consolidated statement of operations. Since our initial investment, we have recognized cumulative unrealized losses of $30.5 million and cumulative unrealized gains of $28.6 million. As of March 31, 2025 and December 31, 2024, the carrying value of our preferred stock investment was $3.2 million and $7.4 million, respectively.</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Senior Secured Credit Facility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carrying value of our borrowings outstanding under our senior secured credit facility is stated at cost. Our carrying value approximates fair value, using Level 2 inputs, as the senior secured credit facility bears interest at variable rates based on current market rates as set forth in the Amended Credit Agreement. Refer to Note 7 “Financing Arrangements” for additional information on our senior secured credit facility.</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Cash and Cash Equivalents and Other Financial Instruments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11. Other Comprehensive Income (Loss)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the components of other comprehensive income (loss), net of tax, for the three months ended March 31, 2025 and 2024.</w:t>
      </w:r>
    </w:p>
    <w:tbl>
      <w:tblPr>
        <w:tblW w:w="10205" w:type="dxa"/>
        <w:jc w:val="left"/>
        <w:tblInd w:w="0" w:type="dxa"/>
        <w:tblLayout w:type="fixed"/>
        <w:tblCellMar>
          <w:top w:w="28" w:type="dxa"/>
          <w:left w:w="28" w:type="dxa"/>
          <w:bottom w:w="28" w:type="dxa"/>
          <w:right w:w="28" w:type="dxa"/>
        </w:tblCellMar>
      </w:tblPr>
      <w:tblGrid>
        <w:gridCol w:w="1129"/>
        <w:gridCol w:w="894"/>
        <w:gridCol w:w="897"/>
        <w:gridCol w:w="196"/>
        <w:gridCol w:w="690"/>
        <w:gridCol w:w="109"/>
        <w:gridCol w:w="109"/>
        <w:gridCol w:w="109"/>
        <w:gridCol w:w="109"/>
        <w:gridCol w:w="205"/>
        <w:gridCol w:w="581"/>
        <w:gridCol w:w="115"/>
        <w:gridCol w:w="109"/>
        <w:gridCol w:w="109"/>
        <w:gridCol w:w="109"/>
        <w:gridCol w:w="196"/>
        <w:gridCol w:w="690"/>
        <w:gridCol w:w="109"/>
        <w:gridCol w:w="109"/>
        <w:gridCol w:w="109"/>
        <w:gridCol w:w="109"/>
        <w:gridCol w:w="196"/>
        <w:gridCol w:w="600"/>
        <w:gridCol w:w="109"/>
        <w:gridCol w:w="109"/>
        <w:gridCol w:w="109"/>
        <w:gridCol w:w="109"/>
        <w:gridCol w:w="238"/>
        <w:gridCol w:w="530"/>
        <w:gridCol w:w="133"/>
        <w:gridCol w:w="109"/>
        <w:gridCol w:w="109"/>
        <w:gridCol w:w="109"/>
        <w:gridCol w:w="196"/>
        <w:gridCol w:w="600"/>
        <w:gridCol w:w="157"/>
      </w:tblGrid>
      <w:tr>
        <w:trPr/>
        <w:tc>
          <w:tcPr>
            <w:tcW w:w="112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March 31, 2024</w:t>
            </w:r>
          </w:p>
        </w:tc>
      </w:tr>
      <w:tr>
        <w:trPr/>
        <w:tc>
          <w:tcPr>
            <w:tcW w:w="2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Tax</w:t>
              <w:br/>
              <w:t>(Expense)</w:t>
              <w:br/>
              <w:t>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Net of</w:t>
              <w:br/>
              <w:t>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Tax</w:t>
              <w:br/>
              <w:t>(Expense)</w:t>
              <w:br/>
              <w:t>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Net of</w:t>
              <w:br/>
              <w:t>Taxes</w:t>
            </w:r>
          </w:p>
        </w:tc>
      </w:tr>
      <w:tr>
        <w:trPr/>
        <w:tc>
          <w:tcPr>
            <w:tcW w:w="2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currency translation adjustments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gain (loss) on investment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Unrealized gain (loss) on cash flow hedges:</w:t>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Interest rate swaps:</w:t>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adjustments into earnings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(1,689)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unrealized gain (loss) on interest rate swaps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(364)</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Foreign exchange forward contracts:</w:t>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adjustments into earnings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unrealized gain (loss) on foreign exchange forward contracts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comprehensive income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4,456 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(1,096)</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9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before tax amounts reclassified from accumulated other comprehensive income (loss) related to our interest rate swaps and foreign exchange forward contracts designated as cash flow hedges are recorded to interest expense, net of interest income and direct costs, respectively, on our consolidated statement of operations. The related tax amounts reclassified from accumulated other comprehensive income (loss) are recorded to income tax expense (benefit) on our consolidated statement of operations. Refer to Note 9 “Derivative Instruments and Hedging Activity” for additional information on our derivative instruments.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0" w:after="0"/>
        <w:jc w:val="left"/>
        <w:rPr/>
      </w:pPr>
      <w:r>
        <w:rPr>
          <w:rFonts w:ascii="Arial Narrow;sans-serif" w:hAnsi="Arial Narrow;sans-serif"/>
          <w:b w:val="false"/>
          <w:color w:val="000000"/>
          <w:sz w:val="20"/>
        </w:rPr>
        <w:t>Accumulated other comprehensive income (loss), net of tax, includes the following components:</w:t>
      </w:r>
      <w:r>
        <w:rPr>
          <w:color w:val="000000"/>
        </w:rPr>
        <w:t> </w:t>
      </w:r>
    </w:p>
    <w:tbl>
      <w:tblPr>
        <w:tblW w:w="10205" w:type="dxa"/>
        <w:jc w:val="left"/>
        <w:tblInd w:w="0" w:type="dxa"/>
        <w:tblLayout w:type="fixed"/>
        <w:tblCellMar>
          <w:top w:w="28" w:type="dxa"/>
          <w:left w:w="28" w:type="dxa"/>
          <w:bottom w:w="28" w:type="dxa"/>
          <w:right w:w="28" w:type="dxa"/>
        </w:tblCellMar>
      </w:tblPr>
      <w:tblGrid>
        <w:gridCol w:w="555"/>
        <w:gridCol w:w="489"/>
        <w:gridCol w:w="492"/>
        <w:gridCol w:w="351"/>
        <w:gridCol w:w="1023"/>
        <w:gridCol w:w="196"/>
        <w:gridCol w:w="109"/>
        <w:gridCol w:w="109"/>
        <w:gridCol w:w="109"/>
        <w:gridCol w:w="383"/>
        <w:gridCol w:w="1265"/>
        <w:gridCol w:w="214"/>
        <w:gridCol w:w="109"/>
        <w:gridCol w:w="109"/>
        <w:gridCol w:w="109"/>
        <w:gridCol w:w="268"/>
        <w:gridCol w:w="762"/>
        <w:gridCol w:w="149"/>
        <w:gridCol w:w="109"/>
        <w:gridCol w:w="109"/>
        <w:gridCol w:w="109"/>
        <w:gridCol w:w="461"/>
        <w:gridCol w:w="1028"/>
        <w:gridCol w:w="258"/>
        <w:gridCol w:w="109"/>
        <w:gridCol w:w="109"/>
        <w:gridCol w:w="109"/>
        <w:gridCol w:w="196"/>
        <w:gridCol w:w="646"/>
        <w:gridCol w:w="161"/>
      </w:tblGrid>
      <w:tr>
        <w:trPr/>
        <w:tc>
          <w:tcPr>
            <w:tcW w:w="55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Available-for-Sale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Foreign Exchange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2024</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(5,912)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15,862 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2,220 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(284)</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11,886 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period change</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(10,517)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(2,406)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(12,215)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March 31, 2025</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(5,377)</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5,345 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(329)</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12. Income Taxes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For the three months ended March 31, 2025, our effective tax rate was (14.4)% as we recognized an income tax benefit of $3.1 million on income of $21.5 million. The effective tax rate of (14.4)% was more favorable than the statutory rate, inclusive of state income taxes, of 25.9%, primarily due to a discrete tax benefit for share-based compensation awards that vested during the quarter. This favorable item was partially offset by certain nondeductible expenses.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three months ended March 31, 2024, our effective tax rate was (2.5)% as we recognized an income tax benefit of $0.4 million on income of $17.6 million. The effective tax rate of (2.5)% was more favorable than the statutory rate, inclusive of state income taxes, of 26.1%, primarily due to a discrete tax benefit for share-based compensation awards that vested during the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13. Commitments, Contingencies and Guarantees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Litigation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From time to time, we are involved in legal proceedings and litigation arising in the ordinary course of business. As of the date of this Quarterly Report on Form 10-Q, we are not a party to any litigation or legal proceeding or subject to any claim that, in the current opinion of management, could reasonably be expected to have a material adverse effect on our financial position or results of operations. However, due to the risks and uncertainties inherent in legal proceedings, actual results could differ from current expected results.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Guarantees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Guarantees in the form of letters of credit totaling $0.4 million were outstanding at both March 31, 2025 and December 31, 2024, which are used as security deposits for our office facilities.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connection with certain business acquisitions, we may be required to pay post-closing consideration to the sellers if specific financial performance targets are met over a number of years as specified in the related purchase agreements. As of March 31, 2025 and December 31, 2024, the total estimated fair value of our outstanding contingent consideration liability was $0.1 million and $0.2 million, respectively.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14. Segment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provide our services and products and manage our business under three reportable segments: Healthcare, Education, and Commercial, which align our business by industry.</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Healthcare segment serves acute care providers, including national and regional health systems; academic health systems; community health systems; the federal health system; and public, children’s and critical access hospitals, and non-acute care providers, including physician practices and medical groups; payors; and long-term care or post-acute providers. Our healthcare-focused services and products include financial and operational performance improvement consulting, which spans revenue cycle, business operations and care delivery transformation; digital offerings, spanning technology and analytic-related services, including enterprise health record (“EHR”), enterprise resource planning (“ERP”) and enterprise performance management (“EPM”),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customer relationship management (“CRM”), data management, artificial intelligence (“AI”) and automation, and technology managed services, and a portfolio of software products; human capital management; revenue cycle managed services and outsourcing; financial advisory consulting; and strategy and innovation consulting.</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Education segment serves public and private colleges and universities, research institutes, not-for-profit organizations and other education-related organizations. Our education and research-focused services and products include our digital offerings, spanning technology and analytic-related services, including student information systems, ERP and EPM, CRM, data management, AI and automation, and technology managed services and our Huron Research Suite product suite (the leading software suite designed to facilitate and improve research administration service delivery and compliance); our research-focused consulting and managed services; our strategy and operations consulting services, which span finance, accounting, operations and athletics to organization and talent strategy and student and academic strategy; and our global philanthropy consulting services, which were bolstered by the acquisitions of Grenzebach Glier and Associates (“GG+A”) in March 2024 and Advancement Resources and Halpin in March 2025.</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Commercial segment is focused on serving industries and organizations facing significant disruption and regulatory change by helping them adapt to rapidly changing environments and accelerate business transformation. Our Commercial professionals work primarily with six primary buyers: the chief executive officer, the chief financial officer, the chief strategy officer, the chief human resources officer, the chief operating officer, and organizational advisors, including lenders and law firms. We have a deep focus on serving organizations in the financial services, energy and utilities, industrials and manufacturing industries and the public sector while opportunistically serving commercial industries more broadly, including professional and business services, life sciences, consumer products, and retail. Our Commercial professionals use their deep industry, functional and technical expertise to deliver our digital services and software products, financial advisory (special situation advisory and corporate finance advisory) consulting services, and strategy and innovation consulting services. In December 2024, we expanded our Commercial consulting and digital services offerings through the acquisition of AXIA Consulting, Inc. (“AXIA Consulting”), a leading provider of supply chain-focused consulting and technology solutions who has deep expertise in the industrials and manufacturing and retail sectors.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chief operating decision maker (“CODM”), who is our chief executive officer, manages the business under these three reportable segments. Our CODM uses segment operating income in the annual budgeting and quarterly forecasting process as well as on a monthly basis for evaluating the performance of each segment and making decisions about allocating capital and other resources to each segment. Our CODM does not evaluate segments using asset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consists of the revenues generated by a segment, less operating expenses that are incurred directly by the segment. Unallocated costs include corporate costs related to administrative functions that are performed in a centralized manner, as well as restructuring charges, depreciation and amortization, and interest expense that are not attributable to a particular segment. The administrative function costs include corporate office support costs, office facility costs, costs related to accounting and finance, human resources, legal, marketing, information technology, and company-wide business development functions, as well as costs related to overall corporate management.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 below sets forth information about our operating segments for the three months ended March 31, 2025 and 2024, along with the items necessary to reconcile the segment information to the totals reported in the accompanying consolidated financial statements. We do not present financial information by geographic area because the financial results of our international operations are not significant to our consolidated financial statements. </w:t>
      </w:r>
    </w:p>
    <w:tbl>
      <w:tblPr>
        <w:tblW w:w="6430" w:type="dxa"/>
        <w:jc w:val="left"/>
        <w:tblInd w:w="0" w:type="dxa"/>
        <w:tblLayout w:type="fixed"/>
        <w:tblCellMar>
          <w:top w:w="28" w:type="dxa"/>
          <w:left w:w="28" w:type="dxa"/>
          <w:bottom w:w="28" w:type="dxa"/>
          <w:right w:w="28" w:type="dxa"/>
        </w:tblCellMar>
      </w:tblPr>
      <w:tblGrid>
        <w:gridCol w:w="1101"/>
        <w:gridCol w:w="967"/>
        <w:gridCol w:w="976"/>
        <w:gridCol w:w="109"/>
        <w:gridCol w:w="109"/>
        <w:gridCol w:w="152"/>
        <w:gridCol w:w="152"/>
        <w:gridCol w:w="273"/>
        <w:gridCol w:w="1026"/>
        <w:gridCol w:w="152"/>
        <w:gridCol w:w="109"/>
        <w:gridCol w:w="109"/>
        <w:gridCol w:w="109"/>
        <w:gridCol w:w="196"/>
        <w:gridCol w:w="736"/>
        <w:gridCol w:w="154"/>
      </w:tblGrid>
      <w:tr>
        <w:trPr/>
        <w:tc>
          <w:tcPr>
            <w:tcW w:w="110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Healthcare: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198,490 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4,831 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203,321 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184,969 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130,312 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tbl>
      <w:tblPr>
        <w:tblW w:w="6160" w:type="dxa"/>
        <w:jc w:val="left"/>
        <w:tblInd w:w="0" w:type="dxa"/>
        <w:tblLayout w:type="fixed"/>
        <w:tblCellMar>
          <w:top w:w="28" w:type="dxa"/>
          <w:left w:w="28" w:type="dxa"/>
          <w:bottom w:w="28" w:type="dxa"/>
          <w:right w:w="28" w:type="dxa"/>
        </w:tblCellMar>
      </w:tblPr>
      <w:tblGrid>
        <w:gridCol w:w="1183"/>
        <w:gridCol w:w="1042"/>
        <w:gridCol w:w="1045"/>
        <w:gridCol w:w="109"/>
        <w:gridCol w:w="109"/>
        <w:gridCol w:w="109"/>
        <w:gridCol w:w="109"/>
        <w:gridCol w:w="196"/>
        <w:gridCol w:w="736"/>
        <w:gridCol w:w="109"/>
        <w:gridCol w:w="109"/>
        <w:gridCol w:w="109"/>
        <w:gridCol w:w="109"/>
        <w:gridCol w:w="196"/>
        <w:gridCol w:w="736"/>
        <w:gridCol w:w="154"/>
      </w:tblGrid>
      <w:tr>
        <w:trPr/>
        <w:tc>
          <w:tcPr>
            <w:tcW w:w="1183"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Other segment items</w:t>
            </w:r>
            <w:r>
              <w:rPr>
                <w:rFonts w:ascii="Arial Narrow;sans-serif" w:hAnsi="Arial Narrow;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segment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142,275 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Segment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56,316 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42,694 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Education: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113,545 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84,557 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Other segment items</w:t>
            </w:r>
            <w:r>
              <w:rPr>
                <w:rFonts w:ascii="Arial Narrow;sans-serif" w:hAnsi="Arial Narrow;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segment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101,956 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91,589 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Segment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75,804 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64,871 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Other segment items</w:t>
            </w:r>
            <w:r>
              <w:rPr>
                <w:rFonts w:ascii="Arial Narrow;sans-serif" w:hAnsi="Arial Narrow;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segment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50,832 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Segment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Huron: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395,690 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Total revenues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404,141 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363,385 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Items not allocated at the segment level: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Unallocated corporate expenses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50,939 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Other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19,921 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(1)Other segment items in each segment consists of restructuring charges for all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tables illustrate the disaggregation of segment total revenues and segment revenues before reimbursable expenses by our two principal capabilities: i) Consulting and Managed Services and ii) Digital, and includes a reconciliation to consolidated total revenues and consolidated revenues before reimbursable expenses. We manage our business on the basis of revenues before reimbursable expenses, which we believe is the most accurate reflection of our services because it eliminates the effect of reimbursable expenses that we bill to our clients at cost.</w:t>
      </w:r>
    </w:p>
    <w:tbl>
      <w:tblPr>
        <w:tblW w:w="6262" w:type="dxa"/>
        <w:jc w:val="left"/>
        <w:tblInd w:w="0" w:type="dxa"/>
        <w:tblLayout w:type="fixed"/>
        <w:tblCellMar>
          <w:top w:w="28" w:type="dxa"/>
          <w:left w:w="28" w:type="dxa"/>
          <w:bottom w:w="28" w:type="dxa"/>
          <w:right w:w="28" w:type="dxa"/>
        </w:tblCellMar>
      </w:tblPr>
      <w:tblGrid>
        <w:gridCol w:w="924"/>
        <w:gridCol w:w="810"/>
        <w:gridCol w:w="815"/>
        <w:gridCol w:w="109"/>
        <w:gridCol w:w="109"/>
        <w:gridCol w:w="109"/>
        <w:gridCol w:w="109"/>
        <w:gridCol w:w="109"/>
        <w:gridCol w:w="152"/>
        <w:gridCol w:w="152"/>
        <w:gridCol w:w="273"/>
        <w:gridCol w:w="1026"/>
        <w:gridCol w:w="152"/>
        <w:gridCol w:w="109"/>
        <w:gridCol w:w="109"/>
        <w:gridCol w:w="109"/>
        <w:gridCol w:w="196"/>
        <w:gridCol w:w="736"/>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Three Months Ended</w:t>
            </w:r>
          </w:p>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 by Capability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r>
      <w:tr>
        <w:trPr/>
        <w:tc>
          <w:tcPr>
            <w:tcW w:w="2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147,033 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56,288 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57,617 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203,321 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184,969 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64,658 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60,358 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57,651 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125,016 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113,545 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17,092 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58,712 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75,804 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64,871 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Huron: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228,783 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205,916 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175,358 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404,141 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363,385 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183" w:type="dxa"/>
        <w:jc w:val="left"/>
        <w:tblInd w:w="0" w:type="dxa"/>
        <w:tblLayout w:type="fixed"/>
        <w:tblCellMar>
          <w:top w:w="28" w:type="dxa"/>
          <w:left w:w="28" w:type="dxa"/>
          <w:bottom w:w="28" w:type="dxa"/>
          <w:right w:w="28" w:type="dxa"/>
        </w:tblCellMar>
      </w:tblPr>
      <w:tblGrid>
        <w:gridCol w:w="1619"/>
        <w:gridCol w:w="1422"/>
        <w:gridCol w:w="1429"/>
        <w:gridCol w:w="109"/>
        <w:gridCol w:w="109"/>
        <w:gridCol w:w="109"/>
        <w:gridCol w:w="109"/>
        <w:gridCol w:w="109"/>
        <w:gridCol w:w="152"/>
        <w:gridCol w:w="152"/>
        <w:gridCol w:w="273"/>
        <w:gridCol w:w="1026"/>
        <w:gridCol w:w="152"/>
        <w:gridCol w:w="109"/>
        <w:gridCol w:w="109"/>
        <w:gridCol w:w="109"/>
        <w:gridCol w:w="196"/>
        <w:gridCol w:w="736"/>
        <w:gridCol w:w="154"/>
      </w:tblGrid>
      <w:tr>
        <w:trPr/>
        <w:tc>
          <w:tcPr>
            <w:tcW w:w="1619"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Revenues before Reimbursable Expenses by Capability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r>
      <w:tr>
        <w:trPr/>
        <w:tc>
          <w:tcPr>
            <w:tcW w:w="4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143,374 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55,116 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56,531 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198,490 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180,742 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63,544 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59,204 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122,748 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111,583 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17,003 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57,449 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41,397 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74,452 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63,636 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Huron: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223,921 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171,769 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395,690 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355,961 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three months ended March 31, 2025 and 2024, substantially all of our revenues were recognized over time. During the three months ended March 31, 2025 and 2024, no single client generated greater than 10% of our consolidated total revenues. At March 31, 2025 and December 31, 2024, no single client accounted for greater than 10% of our combined balance of receivables from clients, net and unbilled services,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9315" w:type="dxa"/>
        <w:jc w:val="left"/>
        <w:tblInd w:w="0" w:type="dxa"/>
        <w:tblLayout w:type="fixed"/>
        <w:tblCellMar>
          <w:top w:w="28" w:type="dxa"/>
          <w:left w:w="28" w:type="dxa"/>
          <w:bottom w:w="28" w:type="dxa"/>
          <w:right w:w="28" w:type="dxa"/>
        </w:tblCellMar>
      </w:tblPr>
      <w:tblGrid>
        <w:gridCol w:w="250"/>
        <w:gridCol w:w="219"/>
        <w:gridCol w:w="221"/>
        <w:gridCol w:w="2525"/>
        <w:gridCol w:w="2525"/>
        <w:gridCol w:w="3575"/>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2.</w:t>
            </w:r>
          </w:p>
        </w:tc>
        <w:tc>
          <w:tcPr>
            <w:tcW w:w="8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MANAGEMENT’S DISCUSSION AND ANALYSIS OF FINANCIAL CONDITION AND RESULTS OF OPERATIONS.</w:t>
            </w:r>
          </w:p>
        </w:tc>
      </w:tr>
    </w:tbl>
    <w:p>
      <w:pPr>
        <w:pStyle w:val="TextBody"/>
        <w:bidi w:val="0"/>
        <w:spacing w:lineRule="auto" w:line="288" w:before="80" w:after="283"/>
        <w:jc w:val="left"/>
        <w:rPr>
          <w:rFonts w:ascii="Arial Narrow;sans-serif" w:hAnsi="Arial Narrow;sans-serif"/>
          <w:b w:val="false"/>
          <w:i/>
          <w:color w:val="000000"/>
          <w:sz w:val="20"/>
        </w:rPr>
      </w:pPr>
      <w:r>
        <w:rPr>
          <w:rFonts w:ascii="Arial Narrow;sans-serif" w:hAnsi="Arial Narrow;sans-serif"/>
          <w:b w:val="false"/>
          <w:i/>
          <w:color w:val="000000"/>
          <w:sz w:val="20"/>
        </w:rPr>
        <w:t>In this Quarterly Report on Form 10-Q, unless the context otherwise requires, the terms “Huron,” “Company,” “we,” “us” and “our” refer to Huron Consulting Group Inc. and its subsidiaries.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Statements in this Quarterly Report on Form 10-Q that are not historical in nature, including those concerning the Company’s current expectations about its future results,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“goals,” “guidance,”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failure to achieve expected utilization rates, billing rates, and the necessary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or volatility in market conditions, including as a result of current global trade tensions and/or tariffs. These forward-looking statements involve known and unknown risks, uncertainties, and other factors, including, among others, those described under Item 1A. “Risk Factors,” in our Annual Report on Form 10-K for the year ended December 31, 2024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OVERVIEW</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Huron is a global professional services firm that partners with clients to put possible into practice by creating sound strategies, optimizing operations, accelerating digital transformation, and empowering businesses to own their future. By embracing diverse perspectives, encouraging new ideas and challenging the status quo, we create sustainable results for the organizations we serve.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STRATEGY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combination of our deep industry expertise and breadth of our offerings is the foundation of our growth strategy and why our clients choose Huron as their trusted advisor. Key focus areas of our growth strategy include:</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Sustaining Accelerated Growth in Healthcare and Education: </w:t>
      </w:r>
      <w:r>
        <w:rPr>
          <w:rFonts w:ascii="Arial Narrow;sans-serif" w:hAnsi="Arial Narrow;sans-serif"/>
          <w:b w:val="false"/>
          <w:color w:val="000000"/>
          <w:sz w:val="20"/>
        </w:rPr>
        <w:t>Huron holds leading market positions in healthcare and education, providing comprehensive offerings to the largest health systems, academic medical centers, colleges and universities, and research institutes in the United States and abroad. The Company will continue to broaden its portfolio of offerings in healthcare and education to address the evolving needs in those industries due to competitive, regulatory, financial, and broader market changes.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Growing Our Businesses in Commercial Industries: </w:t>
      </w:r>
      <w:r>
        <w:rPr>
          <w:rFonts w:ascii="Arial Narrow;sans-serif" w:hAnsi="Arial Narrow;sans-serif"/>
          <w:b w:val="false"/>
          <w:color w:val="000000"/>
          <w:sz w:val="20"/>
        </w:rPr>
        <w:t>Through its deep industry and capability expertise and nimble approach, Huron has grown its client base and expanded on its strengths to grow into a distinct player in key end markets and offerings across commercial industries. Huron’s commercial industry focus has increased the diversification of the Company’s portfolio and end markets while expanding the range of capabilities it can deliver to clients, providing new avenues for growth and an important balance to its healthcare and education businesses.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Growing Global Digital Capability:</w:t>
      </w:r>
      <w:r>
        <w:rPr>
          <w:color w:val="000000"/>
        </w:rPr>
        <w:t xml:space="preserve"> </w:t>
      </w:r>
      <w:r>
        <w:rPr>
          <w:rFonts w:ascii="Arial Narrow;sans-serif" w:hAnsi="Arial Narrow;sans-serif"/>
          <w:b w:val="false"/>
          <w:color w:val="000000"/>
          <w:sz w:val="20"/>
        </w:rPr>
        <w:t>As data and technology persist and evolve across industries, Huron’s ability to provide a broad portfolio of digital offerings that support the strategic and operational needs of its clients is at the foundation of the Company’s strategy. Huron will continue to advance its integrated global digital platform to support its strong growth trajectory.</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Solid Foundation for Margin Expansion and Organic Reinvestment: </w:t>
      </w:r>
      <w:r>
        <w:rPr>
          <w:rFonts w:ascii="Arial Narrow;sans-serif" w:hAnsi="Arial Narrow;sans-serif"/>
          <w:b w:val="false"/>
          <w:color w:val="000000"/>
          <w:sz w:val="20"/>
        </w:rPr>
        <w:t>The Company is well-positioned to further achieve margin expansion as well as strong annual adjusted diluted earnings per share growth while also reinvesting in organic growth. We are committed to operating income margin expansion by improving the operational efficiency of our delivery for clients, including through our global delivery platform in India, increasing utilization, continuing to execute on our pricing realization initiatives, and scaling our selling, general, and administrative expenses as we grow.</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Strong Balance Sheet and Cash Flows: </w:t>
      </w:r>
      <w:r>
        <w:rPr>
          <w:rFonts w:ascii="Arial Narrow;sans-serif" w:hAnsi="Arial Narrow;sans-serif"/>
          <w:b w:val="false"/>
          <w:color w:val="000000"/>
          <w:sz w:val="20"/>
        </w:rPr>
        <w:t>A resilient, flexible balance sheet is the foundation of our financial strength, and strong free cash flows have and will continue to be the hallmark of Huron’s business model. The Company is committed to deploying capital in a strategic and balanced way, including returning capital to shareholders and executing strategic, tuck-in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SERVICES AND PRODUCTS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provide our services and products and manage our business under three operating segments - Healthcare, Education, and Commercial - which aligns our business by industry. The Commercial segment includes all industries outside of healthcare and education, including, but not limited to, financial services, energy and utilities, industrials and manufacturing, and the public sector. We also provide revenue reporting across two principal capabilities: i) Consulting and Managed Services and ii) Digital, which are methods by which we deliver our services and products.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Industries</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Healthcare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Healthcare segment serves acute care providers, including national and regional health systems; academic health systems; community health systems; the federal health system; and public, children’s and critical access hospitals, and non-acute care providers, including physician practices and medical groups; payors; and long-term care or post-acute providers. Our healthcare-focused services and products include financial and operational performance improvement consulting, which spans revenue cycle, business operations and care delivery transformation; digital offerings, spanning technology and analytic-related services, including enterprise health record (“EHR”), enterprise resource planning (“ERP”) and enterprise performance management (“EPM”), customer relationship management (“CRM”), data management, artificial intelligence (“AI”) and automation, and technology managed services, and a portfolio of software products; human capital management; revenue cycle managed services and outsourcing; financial advisory consulting; and strategy and innovation consulting.</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Education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Education segment serves public and private colleges and universities, research institutes, not-for-profit organizations and other education-related organizations. Our education and research-focused services and products include our digital offerings, spanning technology and analytic-related services, including student information systems, ERP and EPM, CRM, data management, AI and automation, and technology managed services and our Huron Research Suite product suite (the leading software suite designed to facilitate and improve research administration service delivery and compliance); our research-focused consulting and managed services; our strategy and operations consulting services, which span finance, accounting, operations and athletics to organization and talent strategy and student and academic strategy; and our global philanthropy consulting services, which were bolstered by the acquisitions of Grenzebach Glier and Associates (“GG+A”) in March 2024 and Advancement Resources and Halpin in March 2025. </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Commercial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Commercial segment is focused on serving industries and organizations facing significant disruption and regulatory change by helping them adapt to rapidly changing environments and accelerate business transformation. Our Commercial professionals work primarily with six primary buyers: the chief executive officer, the chief financial officer, the chief strategy officer, the chief human resources officer, the chief operating officer, and organizational advisors, including lenders and law firms. We have a deep focus on serving organizations in the financial services, energy and utilities, industrials and manufacturing industries and the public sector while opportunistically serving commercial industries more broadly, including professional and business services, life sciences, consumer products, and retail. Our Commercial professionals use their deep industry, functional and technical expertise to deliver our digital services and software products, financial advisory (special situation advisory and corporate finance advisory) consulting services, and strategy and innovation consulting services. In December 2024, we expanded our Commercial consulting and digital services offerings through the acquisition of AXIA Consulting, a leading provider of supply chain-focused consulting and technology solutions who has deep expertise in the industrials and manufacturing and retail sectors.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Capabilities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Within each of our operating segments, we provide our offerings under two principal capabilities: i) Consulting and Managed Services and ii) Digital.</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Consulting and Managed Services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Consulting and Managed Services capabilities represent our management consulting services, managed services (excluding technology-related managed services) and outsourcing services delivered across industries. Our Consulting and Managed Services experts help our clients address a variety of strategic, operational, financial, people and organizational-related challenges. These services are often combined with technology, analytic and data-driven solutions powered by our Digital capability to support long-term relationships with our clients and drive lasting impact. Examples include the areas of revenue cycle management and research administration managed services and outsourcing at our healthcare, education and research-focused clients, where our projects are often coupled with our digital services and product offerings and management consulting services to sustain improved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Digital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Digital capabilities represent our technology and analytics services, including technology-related managed services, and software products delivered across industries. Our Digital experts help clients address a variety of business challenges, including, but not limited to, designing and implementing technologies to accelerate transformation, facilitate data-driven decision making and improve customer and employee experiences. We have invested organically and inorganically to expand our Digital offerings, which now span beyond traditional ERP implementations into a broader set of administrative systems, industry-specific systems of record and systems of engagement that act as the “digital front door” to an organization. We have grown our data, analytics, AI and automation offerings to deliver a unified and actionable technology ecosystem for our clients. Through our acquisition of AXIA Consulting, we have also expanded our supply chain management (“SCM”) offerings and broadened our technology portfolio with advanced Microsoft capabilities, while strengthening Huron's ability to empower clients to align their people and processes to support their digital-first goals.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have expanded our ecosystem to work with more than 30 technology partners. For example, we are a Leading Modern Oracle Network Partner; a Summit-level consulting partner with Salesforce.com and a Premium Partner with Salesforce.org; a Workday Services, Preferred Channel, Extend, and Application Management Services Partner; an Amazon Web Services consulting partner; a Microsoft Solutions Partner, an Informatica Platinum Partner; an SAP Concur implementation partner; and a Boomi Elite Partner.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also grown our proprietary software product portfolio to address our clients' challenges with solutions that expand our base of recurring revenue and further differentiate our consulting, digital and managed services offerings. Our product portfolio bundles our deep industry expertise and unique intellectual property together to serve our clients outside of our traditional consulting offerings. Our product portfolio includes, among others: Huron Research Suite, the leading software suite designed to facilitate and improve research administration service delivery and compliance; Huron Intelligence™ Rounding, the #1 ranked Digital Rounding solution in the 2024 Best in KLAS® report; and Huron Intelligence™ Analytic Suite in Healthcare, a predictive analytics suite to improve care delivery while lowering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COMPONENTS OF OPERATING RESULTS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Total Revenues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Revenues before Reimbursable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 are primarily generated by our employees who provide consulting and other professional services to our clients and are billable to our clients based on the number of hours worked, services provided, or achieved outcomes. We refer to these employees as our revenue-generating professionals. Revenues before reimbursable expenses are primarily driven by the number of revenue-generating professionals we employ as well as the total value, scope, and terms of the consulting contracts under which they provide services. We also engage independent contractors to supplement our revenue-generating professionals on client engagements as needed.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generate our revenues before reimbursable expenses from providing professional services and software products under the following four types of billing arrangements: fixed-fee (including software license revenue); time-and-expense; performance-based; and software support, maintenance and subscriptions.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Fixed-fee (including software license revenue):</w:t>
      </w:r>
      <w:r>
        <w:rPr>
          <w:color w:val="000000"/>
        </w:rPr>
        <w:t xml:space="preserve"> </w:t>
      </w:r>
      <w:r>
        <w:rPr>
          <w:rFonts w:ascii="Arial Narrow;sans-serif" w:hAnsi="Arial Narrow;sans-serif"/>
          <w:b w:val="false"/>
          <w:color w:val="000000"/>
          <w:sz w:val="20"/>
        </w:rPr>
        <w:t xml:space="preserve">In fixed-fee billing arrangements, we agree to a pre-established fee in exchange for a predetermined set of professional services. We set the fees based on our estimates of the costs and timing for completing the engagements. Fixed-fee arrangements also include software licenses for our research administration and compliance software.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Time-and-expense:</w:t>
      </w:r>
      <w:r>
        <w:rPr>
          <w:color w:val="000000"/>
        </w:rPr>
        <w:t xml:space="preserve"> </w:t>
      </w:r>
      <w:r>
        <w:rPr>
          <w:rFonts w:ascii="Arial Narrow;sans-serif" w:hAnsi="Arial Narrow;sans-serif"/>
          <w:b w:val="false"/>
          <w:color w:val="000000"/>
          <w:sz w:val="20"/>
        </w:rPr>
        <w:t xml:space="preserve">Under time-and-expense billing arrangements, we invoice our clients based on the number of hours worked by our revenue-generating professionals at agreed upon rates. Time-and-expense arrangements also include speaking engagements, conferences and publications purchased by our clients.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 xml:space="preserve">Performance-based: </w:t>
      </w:r>
      <w:r>
        <w:rPr>
          <w:rFonts w:ascii="Arial Narrow;sans-serif" w:hAnsi="Arial Narrow;sans-serif"/>
          <w:b w:val="false"/>
          <w:color w:val="000000"/>
          <w:sz w:val="20"/>
        </w:rPr>
        <w:t>In performance-based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earn a success fee when and if certain predefined outcomes occur. Often, performance-based fees supplement our fixed-fee or time-and-expense engagements. The level of performance-based fees earned may vary based on our clients’ risk sharing preferences and the mix of services we provide.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 xml:space="preserve">Software support, maintenance and subscriptions: </w:t>
      </w:r>
      <w:r>
        <w:rPr>
          <w:rFonts w:ascii="Arial Narrow;sans-serif" w:hAnsi="Arial Narrow;sans-serif"/>
          <w:b w:val="false"/>
          <w:color w:val="000000"/>
          <w:sz w:val="20"/>
        </w:rPr>
        <w:t>Clients that have purchased one of our software licenses can pay an annual fee for software support and maintenance. We also generate subscription revenue from our cloud-based analytic tools and solutions including our cloud-based revenue cycle management software and research administration and compliance software. Software support, maintenance and subscription revenues are recognized ratably over the support or subscription period. These fees are generally billed in advance and included in deferred revenues until recognized.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quarterly results are impacted principally by the total value, scope, and terms of our client contracts, the number of our revenue-generating professionals who are available to work, our revenue-generating professionals' utilization rate, and the bill rates we charge our clients.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Reimbursable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 that are billed to clients, primarily relating to travel and out-of-pocket expenses incurred in connection with client engagements, are included in total revenues. We manage our business on the basis of revenues before reimbursable expenses, which we believe is the most accurate reflection of our services because it eliminates the effect of reimbursable expenses that we bill to our clients at cost.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Operating Expenses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most significant expenses are costs classified as direct costs. Direct costs primarily consist of compensation costs for our revenue-generating professionals, which includes salaries, performance bonuses, share-based compensation, signing and retention bonuses, payroll taxes and benefits. Direct costs also include fees paid to independent contractors that we retain to supplement our revenue-generating professionals, typically on an as-needed basis for specific client engagements, and technology costs, product and event costs, and commissions. Direct costs exclude amortization of intangible assets and software development costs and reimbursable expenses, both of which are separately presented in our consolidated statements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Selling, general and administrative expenses consist primarily of compensation costs for our support personnel, which includes salaries, performance bonuses, share-based compensation, signing and retention bonuses, payroll taxes, benefits and deferred compensation expense attributable to the change in market value of our deferred compensation liability. Changes in the market value of our deferred compensation liability are offset with the changes in market value of investments that are used to fund our deferred compensation liability, which are recorded within other income (expense), net. Also included in selling, general and administrative expenses are third-party professional fees, software licenses and data hosting expenses, rent and other office-related expenses, sales- and marketing-related expenses, recruiting and training expenses, and practice administration and meeting expenses.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Other operating expenses include restructuring charges, other gains and losses, depreciation expense, and amortization expense related to internally developed software costs and intangible assets acquired in business combinations.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Segment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consists of the revenues generated by a segment, less operating expenses that are incurred directly by the segment. Unallocated corporate expenses not allocated at the segment level include costs related to administrative functions that are performed in a centralized manner, as well as restructuring charges, depreciation and amortization, and interest expense that are not attributable to a particular segment. The administrative function costs include corporate office support costs, office facility costs, costs related to accounting and finance, human resources, legal, marketing, information technology, and company-wide business development functions, and costs related to overall corporate management.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Non-GAAP Measures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also assess our results of operations using the following non-GAAP financial measures: earnings before interest, taxes, depreciation and amortization (“EBITDA”), adjusted EBITDA, adjusted EBITDA as a percentage of revenues before reimbursable expenses, adjusted net income, and adjusted diluted earnings per share. These non-GAAP financial measures differ from GAAP because they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These non-GAAP financial measures include adjustments for the following items:</w:t>
      </w:r>
    </w:p>
    <w:p>
      <w:pPr>
        <w:pStyle w:val="TextBody"/>
        <w:bidi w:val="0"/>
        <w:spacing w:lineRule="auto" w:line="288" w:before="180" w:after="283"/>
        <w:jc w:val="left"/>
        <w:rPr/>
      </w:pPr>
      <w:r>
        <w:rPr>
          <w:rFonts w:ascii="Arial Narrow;sans-serif" w:hAnsi="Arial Narrow;sans-serif"/>
          <w:b w:val="false"/>
          <w:i/>
          <w:color w:val="000000"/>
          <w:sz w:val="20"/>
        </w:rPr>
        <w:t>Amortization of intangible assets:</w:t>
      </w:r>
      <w:r>
        <w:rPr>
          <w:color w:val="000000"/>
        </w:rPr>
        <w:t> </w:t>
      </w:r>
      <w:r>
        <w:rPr>
          <w:rFonts w:ascii="Arial Narrow;sans-serif" w:hAnsi="Arial Narrow;sans-serif"/>
          <w:b w:val="false"/>
          <w:color w:val="000000"/>
          <w:sz w:val="20"/>
        </w:rPr>
        <w:t>We exclude the effect of amortization of intangible assets from the calculation of adjusted net income, as it is inconsistent in its amount and frequency and is significantly affected by the timing and size of our acquisitions.</w:t>
      </w:r>
    </w:p>
    <w:p>
      <w:pPr>
        <w:pStyle w:val="TextBody"/>
        <w:bidi w:val="0"/>
        <w:spacing w:lineRule="auto" w:line="288" w:before="180" w:after="283"/>
        <w:jc w:val="left"/>
        <w:rPr/>
      </w:pPr>
      <w:r>
        <w:rPr>
          <w:rFonts w:ascii="Arial Narrow;sans-serif" w:hAnsi="Arial Narrow;sans-serif"/>
          <w:b w:val="false"/>
          <w:i/>
          <w:color w:val="000000"/>
          <w:sz w:val="20"/>
        </w:rPr>
        <w:t>Restructuring charges:</w:t>
      </w:r>
      <w:r>
        <w:rPr>
          <w:color w:val="000000"/>
        </w:rPr>
        <w:t xml:space="preserve"> </w:t>
      </w:r>
      <w:r>
        <w:rPr>
          <w:rFonts w:ascii="Arial Narrow;sans-serif" w:hAnsi="Arial Narrow;sans-serif"/>
          <w:b w:val="false"/>
          <w:color w:val="000000"/>
          <w:sz w:val="20"/>
        </w:rPr>
        <w:t>We have incurred charges due to restructuring various parts of our business. These restructuring charges have primarily consisted of costs associated with office space consolidations, including lease impairment charges and accelerated depreciation on lease-related property and equipment, and employee severance charges. We exclude the effect of the restructuring charges from our non-GAAP measures to permit comparability with periods that were not impacted by these items. We do not include normal, recurring, cash operating expenses in our restructuring charges.</w:t>
      </w:r>
    </w:p>
    <w:p>
      <w:pPr>
        <w:pStyle w:val="TextBody"/>
        <w:bidi w:val="0"/>
        <w:spacing w:lineRule="auto" w:line="288" w:before="180" w:after="283"/>
        <w:jc w:val="left"/>
        <w:rPr/>
      </w:pPr>
      <w:r>
        <w:rPr>
          <w:rFonts w:ascii="Arial Narrow;sans-serif" w:hAnsi="Arial Narrow;sans-serif"/>
          <w:b w:val="false"/>
          <w:i/>
          <w:color w:val="000000"/>
          <w:sz w:val="20"/>
        </w:rPr>
        <w:t>Other losses (gains), net:</w:t>
      </w:r>
      <w:r>
        <w:rPr>
          <w:color w:val="000000"/>
        </w:rPr>
        <w:t> </w:t>
      </w:r>
      <w:r>
        <w:rPr>
          <w:rFonts w:ascii="Arial Narrow;sans-serif" w:hAnsi="Arial Narrow;sans-serif"/>
          <w:b w:val="false"/>
          <w:color w:val="000000"/>
          <w:sz w:val="20"/>
        </w:rPr>
        <w:t>We exclude the effects of other losses and gains, which primarily relate to changes in the estimated fair value of our liabilities for contingent consideration related to business acquisitions and litigation settlement losses and gains, to permit comparability with periods that are not impacted by these items. These items are recorded as a component of other losses (gains), net on our consolidated statement of operations.</w:t>
      </w:r>
    </w:p>
    <w:p>
      <w:pPr>
        <w:pStyle w:val="TextBody"/>
        <w:bidi w:val="0"/>
        <w:spacing w:lineRule="auto" w:line="288" w:before="180" w:after="283"/>
        <w:jc w:val="left"/>
        <w:rPr/>
      </w:pPr>
      <w:r>
        <w:rPr>
          <w:rFonts w:ascii="Arial Narrow;sans-serif" w:hAnsi="Arial Narrow;sans-serif"/>
          <w:b w:val="false"/>
          <w:i/>
          <w:color w:val="000000"/>
          <w:sz w:val="20"/>
        </w:rPr>
        <w:t>Transaction-related expenses</w:t>
      </w:r>
      <w:r>
        <w:rPr>
          <w:rFonts w:ascii="Arial Narrow;sans-serif" w:hAnsi="Arial Narrow;sans-serif"/>
          <w:b w:val="false"/>
          <w:color w:val="000000"/>
          <w:sz w:val="20"/>
        </w:rPr>
        <w:t>: To permit comparability with prior periods, we exclude the impact of third-party advisory, legal, and accounting fees and other corporate costs incurred directly related to the evaluation and/or consummation of business acquisitions.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Unrealized losses (gains) on preferred stock investment: We exclude the effect of unrealized losses and gains related to changes in the fair value of our preferred stock investment in a hospital-at-home company arising from observable price changes or impairment losses. These unrealized losses and gains are included as a component of other income (expense), net. We believe that these unrealized losses and gains are not indicative of the ongoing performance of our business and their exclusion permits comparability with prior periods. </w:t>
      </w:r>
    </w:p>
    <w:p>
      <w:pPr>
        <w:pStyle w:val="TextBody"/>
        <w:bidi w:val="0"/>
        <w:spacing w:lineRule="auto" w:line="288" w:before="180" w:after="283"/>
        <w:jc w:val="left"/>
        <w:rPr/>
      </w:pPr>
      <w:r>
        <w:rPr>
          <w:rFonts w:ascii="Arial Narrow;sans-serif" w:hAnsi="Arial Narrow;sans-serif"/>
          <w:b w:val="false"/>
          <w:i/>
          <w:color w:val="000000"/>
          <w:sz w:val="20"/>
        </w:rPr>
        <w:t>Foreign currency transaction losses (gains), net:</w:t>
      </w:r>
      <w:r>
        <w:rPr>
          <w:color w:val="000000"/>
        </w:rPr>
        <w:t xml:space="preserve"> </w:t>
      </w:r>
      <w:r>
        <w:rPr>
          <w:rFonts w:ascii="Arial Narrow;sans-serif" w:hAnsi="Arial Narrow;sans-serif"/>
          <w:b w:val="false"/>
          <w:color w:val="000000"/>
          <w:sz w:val="20"/>
        </w:rPr>
        <w:t>We exclude the effect of foreign currency transaction losses and gains from the calculation of adjusted EBITDA because the amount of each loss or gain is significantly affected by changes in foreign exchange rates.</w:t>
      </w:r>
    </w:p>
    <w:p>
      <w:pPr>
        <w:pStyle w:val="TextBody"/>
        <w:bidi w:val="0"/>
        <w:spacing w:lineRule="auto" w:line="288" w:before="180" w:after="283"/>
        <w:jc w:val="left"/>
        <w:rPr/>
      </w:pPr>
      <w:r>
        <w:rPr>
          <w:rFonts w:ascii="Arial Narrow;sans-serif" w:hAnsi="Arial Narrow;sans-serif"/>
          <w:b w:val="false"/>
          <w:i/>
          <w:color w:val="000000"/>
          <w:sz w:val="20"/>
        </w:rPr>
        <w:t>Tax effect of adjustments:</w:t>
      </w:r>
      <w:r>
        <w:rPr>
          <w:color w:val="000000"/>
        </w:rPr>
        <w:t xml:space="preserve"> </w:t>
      </w:r>
      <w:r>
        <w:rPr>
          <w:rFonts w:ascii="Arial Narrow;sans-serif" w:hAnsi="Arial Narrow;sans-serif"/>
          <w:b w:val="false"/>
          <w:color w:val="000000"/>
          <w:sz w:val="20"/>
        </w:rPr>
        <w:t>The non-GAAP income tax adjustment reflects the incremental tax impact applicable to the non-GAAP adjustments.</w:t>
      </w:r>
    </w:p>
    <w:p>
      <w:pPr>
        <w:pStyle w:val="TextBody"/>
        <w:bidi w:val="0"/>
        <w:spacing w:lineRule="auto" w:line="288" w:before="180" w:after="283"/>
        <w:jc w:val="left"/>
        <w:rPr/>
      </w:pPr>
      <w:r>
        <w:rPr>
          <w:rFonts w:ascii="Arial Narrow;sans-serif" w:hAnsi="Arial Narrow;sans-serif"/>
          <w:b w:val="false"/>
          <w:i/>
          <w:color w:val="000000"/>
          <w:sz w:val="20"/>
        </w:rPr>
        <w:t>Income tax expense, interest expense, net of interest income, depreciation and amortization:</w:t>
      </w:r>
      <w:r>
        <w:rPr>
          <w:color w:val="000000"/>
        </w:rPr>
        <w:t xml:space="preserve"> </w:t>
      </w:r>
      <w:r>
        <w:rPr>
          <w:rFonts w:ascii="Arial Narrow;sans-serif" w:hAnsi="Arial Narrow;sans-serif"/>
          <w:b w:val="false"/>
          <w:color w:val="000000"/>
          <w:sz w:val="20"/>
        </w:rPr>
        <w:t xml:space="preserve">We exclude the effects of income tax expense, interest expense, net of interest income, and depreciation and amortization in the calculation of EBITDA, as these are customary exclusions as defined by the calculation of EBITDA to arrive at meaningful earnings from core operations excluding the effect of such items. We include, within the depreciation and amortization adjustment, the amortization of capitalized implementation costs of our ERP and other related software, which is included within selling, general and administrative expenses in our consolidated statements of operations.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Revenue-Generating Professionals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revenue-generating professionals consist of our full-time consultants who generate revenues based on the number of hours worked; full-time equivalents, which consists of coaches and their support staff within the culture and organizational excellence solution, consultants who work variable schedules as needed by clients, and full-time employees who provide software support and maintenance services to clients; and our Managed Services professionals who provide revenue cycle management and research administration managed services and outsourcing at our healthcare, education and research-focused clients.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Utilization Rate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utilization rate of our revenue-generating professionals is calculated by dividing the number of hours our billable consultants worked on client assignments during a period by the total available working hours for these billable consultants during the same period. Available working hours are determined by the standard hours worked by each billable consultant, adjusted for part-time hours, and U.S. standard work weeks. Available working hours exclude local country holidays and vacation days. Utilization rates are presented for our revenue-generating professionals who primarily bill on an hourly basis. We do not present utilization rates for our Managed Services professionals as most of the revenues generated by these employees are not billed on an hourly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RESULTS OF OPERATIONS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Executive Highlights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Highlights from the first quarter of 2025 include: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Revenues before reimbursable expenses increased 11.2% to $395.7 million for the first quarter of 2025 from $356.0 million for the first quarter of 2024.</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Net income as a percentage of total revenues increased to 6.1% for the first quarter of 2025, compared to 5.0% for the first quarter of 2024.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Adjusted EBITDA as a percentage of revenues before reimbursable expenses increased to 10.5% for the first quarter of 2025, compared to 9.5% for the first quarter of 2024.</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Diluted EPS increased 40.0% to $1.33 for the first quarter of 2025, compared to $0.95 for the first quarter of 2024.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Adjusted diluted EPS increased 36.6% to $1.68 for the first quarter of 2025, compared to $1.23 for the first quarter of 2024.</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Returned $72.9 million to shareholders in the first quarter of 2025 by repurchasing 508,611 shares of our common stock.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Revenues before reimbursable expenses increased $39.7 million, or 11.2%, to $395.7 million for the first quarter of 2025 from $356.0 million for the first quarter of 2024. The increase in revenues before reimbursable expenses reflects strength in demand for our Consulting and Managed Services capabilities within our Healthcare and Education segments; and an increase in demand for our Digital capabilities within our Commercial and Education segments, including $11.9 million of incremental revenues before reimbursable expenses from the company's acquisition of AXIA Consulting in December 2024. These increases were partially offset by a decrease in demand for our Consulting and Managed Services capability within our Commercial segment.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 within our Consulting and Managed Services capability increased 11.1% in the first quarter of 2025 to $223.9 million, compared to $201.6 million in the first quarter of 2024; and reflected strengthened demand in our Healthcare and Education segments, offset by a decrease in demand in our Commercial segment. The utilization rate within our Consulting capability increased to 74.1% in the first quarter of 2025, compared to 70.2% in the first quarter of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Revenues before reimbursable expenses within our Digital capability increased 11.2% in the first quarter of 2025 to $171.8 million, compared to $154.4 million in the first quarter of 2024; and reflected strengthened demand in our Commercial and Education segments, including $11.9 million of incremental revenues before reimbursable expenses from our acquisition of AXIA Consulting in December 2024, partially offset by a decrease in demand in our Healthcare segment. The utilization rate within our Digital capability increased to 78.2% in the first quarter of 2025, compared to 74.3% in the first quarter of 2024.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total number of revenue-generating professionals, excluding Managed Services professionals, increased 3.1% to 4,726 as of March 31, 2025, compared to 4,584 as of March 31, 2024, as a result of the acquisitions completed since the first quarter of 2024 and hiring to support the overall increase in demand for our services. The number of Managed Services professionals increased 37.7% to 1,679 as of March 31, 2025 from 1,219 as of March 31, 2024. We proactively plan and manage the size and composition of our workforce and take actions as needed to address changes in the anticipated demand for our services as employee compensation costs are the most significant portion of our operating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Net income increased $6.5 million, or 36.3%, to $24.5 million, or 6.1% of total revenues, for the three months ended March 31, 2025 from $18.0 million, or 5.0% of total revenues, for the same period last year. As a result of the increase in net income and a reduction in diluted shares outstanding resulting from share repurchases made under our share repurchase plan, diluted earnings per share for the first quarter of 2025 increased 40.0% to $1.33, compared to $0.95 for the first quarter of 2024. Adjusted diluted earnings per share increased 36.6% to $1.68 for the first quarter of 2025, compared to $1.23 for the first quarter of 2024.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Adjusted EBITDA increased $7.7 million, or 22.7%, to $41.5 million, or 10.5% of revenues before reimbursable expenses, for the three months ended March 31, 2025, compared to $33.8 million, or 9.5% of revenues before reimbursable expenses, for the same period last year.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first three months of 2025, we deployed $72.9 million of capital to repurchase 508,611 shares of our common stock, representing 2.9% of our common stock outstanding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Summary of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sets forth, for the periods indicated, selected segment and consolidated operating results and other operating data, including non-GAAP measures.</w:t>
      </w:r>
    </w:p>
    <w:tbl>
      <w:tblPr>
        <w:tblW w:w="10205" w:type="dxa"/>
        <w:jc w:val="left"/>
        <w:tblInd w:w="0" w:type="dxa"/>
        <w:tblLayout w:type="fixed"/>
        <w:tblCellMar>
          <w:top w:w="28" w:type="dxa"/>
          <w:left w:w="28" w:type="dxa"/>
          <w:bottom w:w="28" w:type="dxa"/>
          <w:right w:w="28" w:type="dxa"/>
        </w:tblCellMar>
      </w:tblPr>
      <w:tblGrid>
        <w:gridCol w:w="2354"/>
        <w:gridCol w:w="2017"/>
        <w:gridCol w:w="2029"/>
        <w:gridCol w:w="109"/>
        <w:gridCol w:w="109"/>
        <w:gridCol w:w="109"/>
        <w:gridCol w:w="109"/>
        <w:gridCol w:w="109"/>
        <w:gridCol w:w="133"/>
        <w:gridCol w:w="133"/>
        <w:gridCol w:w="241"/>
        <w:gridCol w:w="907"/>
        <w:gridCol w:w="297"/>
        <w:gridCol w:w="109"/>
        <w:gridCol w:w="109"/>
        <w:gridCol w:w="109"/>
        <w:gridCol w:w="196"/>
        <w:gridCol w:w="736"/>
        <w:gridCol w:w="290"/>
      </w:tblGrid>
      <w:tr>
        <w:trPr/>
        <w:tc>
          <w:tcPr>
            <w:tcW w:w="2354"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640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Segment and Consolidated Operating Results </w:t>
              <w:b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March 31,</w:t>
            </w:r>
          </w:p>
        </w:tc>
        <w:tc>
          <w:tcPr>
            <w:tcW w:w="1549" w:type="dxa"/>
            <w:gridSpan w:val="6"/>
            <w:tcBorders/>
          </w:tcPr>
          <w:p>
            <w:pPr>
              <w:pStyle w:val="TableContents"/>
              <w:bidi w:val="0"/>
              <w:spacing w:before="0" w:after="283"/>
              <w:jc w:val="left"/>
              <w:rPr>
                <w:sz w:val="4"/>
                <w:szCs w:val="4"/>
              </w:rPr>
            </w:pPr>
            <w:r>
              <w:rPr>
                <w:sz w:val="4"/>
                <w:szCs w:val="4"/>
              </w:rPr>
            </w:r>
          </w:p>
        </w:tc>
      </w:tr>
      <w:tr>
        <w:trPr/>
        <w:tc>
          <w:tcPr>
            <w:tcW w:w="640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r>
      <w:tr>
        <w:trPr/>
        <w:tc>
          <w:tcPr>
            <w:tcW w:w="6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198,490 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180,742 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56,316 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42,694 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28.4 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23.6 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6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122,748 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111,583 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23,060 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21,956 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19.7 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6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74,452 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63,636 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11,296 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14,039 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6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Huron: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395,690 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355,961 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8,451 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7,424 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Total revenues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404,141 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363,385 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Items not allocated at the segment level: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Unallocated corporate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52,371 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50,939 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Other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1,568 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1,392 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2,233 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4,177 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4,028 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32,732 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19,921 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(11,280)</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(2,361)</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21,452 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17,560 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(3,084)</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(446)</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24,536 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18,006 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1.38 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0.99 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0.95 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 Operating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Number of revenue-generating professionals by segment (at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1,209 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1,192 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1,167 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1,099 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Commercial </w:t>
            </w:r>
            <w:r>
              <w:rPr>
                <w:rFonts w:ascii="Arial Narrow;sans-serif" w:hAnsi="Arial Narrow;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2,350 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2,293 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Total (excluding Managed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4,726 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4,584 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Managed Services</w:t>
            </w:r>
            <w:r>
              <w:rPr>
                <w:rFonts w:ascii="Arial Narrow;sans-serif" w:hAnsi="Arial Narrow;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1,679 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1,219 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6,405 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5,803 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Revenues before reimbursable expenses by capability: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Consulting and Managed Services</w:t>
            </w:r>
            <w:r>
              <w:rPr>
                <w:rFonts w:ascii="Arial Narrow;sans-serif" w:hAnsi="Arial Narrow;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223,921 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201,559 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171,769 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154,402 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395,690 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355,961 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9459" w:type="dxa"/>
        <w:jc w:val="left"/>
        <w:tblInd w:w="0" w:type="dxa"/>
        <w:tblLayout w:type="fixed"/>
        <w:tblCellMar>
          <w:top w:w="28" w:type="dxa"/>
          <w:left w:w="28" w:type="dxa"/>
          <w:bottom w:w="28" w:type="dxa"/>
          <w:right w:w="28" w:type="dxa"/>
        </w:tblCellMar>
      </w:tblPr>
      <w:tblGrid>
        <w:gridCol w:w="2170"/>
        <w:gridCol w:w="1902"/>
        <w:gridCol w:w="1913"/>
        <w:gridCol w:w="109"/>
        <w:gridCol w:w="109"/>
        <w:gridCol w:w="109"/>
        <w:gridCol w:w="109"/>
        <w:gridCol w:w="109"/>
        <w:gridCol w:w="281"/>
        <w:gridCol w:w="281"/>
        <w:gridCol w:w="281"/>
        <w:gridCol w:w="281"/>
        <w:gridCol w:w="631"/>
        <w:gridCol w:w="109"/>
        <w:gridCol w:w="109"/>
        <w:gridCol w:w="109"/>
        <w:gridCol w:w="278"/>
        <w:gridCol w:w="278"/>
        <w:gridCol w:w="291"/>
      </w:tblGrid>
      <w:tr>
        <w:trPr/>
        <w:tc>
          <w:tcPr>
            <w:tcW w:w="2170"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98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Segment and Consolidated Operating Results </w:t>
              <w:b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March 31,</w:t>
            </w:r>
          </w:p>
        </w:tc>
        <w:tc>
          <w:tcPr>
            <w:tcW w:w="1174" w:type="dxa"/>
            <w:gridSpan w:val="6"/>
            <w:tcBorders/>
          </w:tcPr>
          <w:p>
            <w:pPr>
              <w:pStyle w:val="TableContents"/>
              <w:bidi w:val="0"/>
              <w:spacing w:before="0" w:after="283"/>
              <w:jc w:val="left"/>
              <w:rPr>
                <w:sz w:val="4"/>
                <w:szCs w:val="4"/>
              </w:rPr>
            </w:pPr>
            <w:r>
              <w:rPr>
                <w:sz w:val="4"/>
                <w:szCs w:val="4"/>
              </w:rPr>
            </w:r>
          </w:p>
        </w:tc>
      </w:tr>
      <w:tr>
        <w:trPr/>
        <w:tc>
          <w:tcPr>
            <w:tcW w:w="598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Number of revenue-generating professionals by capability (at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Consulting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1,726 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Managed Services</w:t>
            </w:r>
            <w:r>
              <w:rPr>
                <w:rFonts w:ascii="Arial Narrow;sans-serif" w:hAnsi="Arial Narrow;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1,679 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3,000 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2,912 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6,405 </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5,803 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color w:val="000000"/>
                <w:sz w:val="20"/>
              </w:rPr>
              <w:t>Utilization rate by capability</w:t>
            </w:r>
            <w:r>
              <w:rPr>
                <w:rFonts w:ascii="Arial Narrow;sans-serif" w:hAnsi="Arial Narrow;sans-serif"/>
                <w:b/>
                <w:color w:val="000000"/>
                <w:sz w:val="13"/>
              </w:rPr>
              <w:t>(4)</w:t>
            </w: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74.1 </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70.2 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78.2 </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74.3 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before="0" w:after="0"/>
        <w:jc w:val="left"/>
        <w:rPr/>
      </w:pPr>
      <w:r>
        <w:rPr/>
      </w:r>
    </w:p>
    <w:p>
      <w:pPr>
        <w:pStyle w:val="TextBody"/>
        <w:bidi w:val="0"/>
        <w:spacing w:lineRule="auto" w:line="288" w:before="0" w:after="60"/>
        <w:ind w:left="0" w:right="0" w:hanging="360"/>
        <w:jc w:val="left"/>
        <w:rPr/>
      </w:pPr>
      <w:r>
        <w:rPr>
          <w:rFonts w:ascii="Arial;sans-serif" w:hAnsi="Arial;sans-serif"/>
          <w:b w:val="false"/>
          <w:color w:val="000000"/>
          <w:sz w:val="18"/>
        </w:rPr>
        <w:t>(1)    </w:t>
      </w:r>
      <w:r>
        <w:rPr>
          <w:rFonts w:ascii="Arial Narrow;sans-serif" w:hAnsi="Arial Narrow;sans-serif"/>
          <w:b w:val="false"/>
          <w:color w:val="000000"/>
          <w:sz w:val="20"/>
        </w:rPr>
        <w:t>The majority of our revenue-generating professionals within our Commercial segment can provide services across all of our industries, including healthcare and education, and the related costs of these professionals are allocated to each of the segments.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 xml:space="preserve">(2)    We have separately presented the total number of revenue-generating professionals within our Managed Services capabilities of our Healthcare and Education segments. Our Healthcare Managed Services professionals provide revenue cycle billing, collections, insurance verification and change integrity services to clients. Our Education Managed Services professionals provide research administration managed services and outsourcing at our education and research-focused clients. </w:t>
      </w:r>
    </w:p>
    <w:p>
      <w:pPr>
        <w:pStyle w:val="TextBody"/>
        <w:bidi w:val="0"/>
        <w:spacing w:lineRule="auto" w:line="288" w:before="6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Managed Services revenue-generating professionals within our Healthcare segment was 1,568 and 1,087 as of March 31, 2025 and 2024, respectively.</w:t>
      </w:r>
    </w:p>
    <w:p>
      <w:pPr>
        <w:pStyle w:val="TextBody"/>
        <w:bidi w:val="0"/>
        <w:spacing w:lineRule="auto" w:line="288" w:before="6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Managed Services revenue-generating professionals within our Education segment was 111 and 132 as of March 31, 2025 and 2024, respectively.</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(3)    Managed Services capability revenues before reimbursable expenses within our Healthcare segment was $18.3 million and $17.5 million for the three months ended March 31, 2025 and 2024, respectively.</w:t>
      </w:r>
    </w:p>
    <w:p>
      <w:pPr>
        <w:pStyle w:val="TextBody"/>
        <w:bidi w:val="0"/>
        <w:spacing w:lineRule="auto" w:line="288" w:before="60" w:after="283"/>
        <w:jc w:val="left"/>
        <w:rPr>
          <w:rFonts w:ascii="Arial Narrow;sans-serif" w:hAnsi="Arial Narrow;sans-serif"/>
          <w:b w:val="false"/>
          <w:color w:val="000000"/>
          <w:sz w:val="20"/>
        </w:rPr>
      </w:pPr>
      <w:r>
        <w:rPr>
          <w:rFonts w:ascii="Arial Narrow;sans-serif" w:hAnsi="Arial Narrow;sans-serif"/>
          <w:b w:val="false"/>
          <w:color w:val="000000"/>
          <w:sz w:val="20"/>
        </w:rPr>
        <w:t>Managed Services capability revenues before reimbursable expenses within our Education segment was $7.4 million for both the three months ended March 31, 2025 and 2024.</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(4)    Utilization rates are presented for our revenue-generating professionals who primarily bill on an hourly basis. We do not present utilization rates for our Managed Services professionals as most of the revenues generated by these employees are not billed on an hourly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Non-GAAP Measures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Reconciliation of Net Income to EBITDA and Adjusted EBITDA</w:t>
      </w:r>
    </w:p>
    <w:tbl>
      <w:tblPr>
        <w:tblW w:w="9697" w:type="dxa"/>
        <w:jc w:val="left"/>
        <w:tblInd w:w="0" w:type="dxa"/>
        <w:tblLayout w:type="fixed"/>
        <w:tblCellMar>
          <w:top w:w="28" w:type="dxa"/>
          <w:left w:w="28" w:type="dxa"/>
          <w:bottom w:w="28" w:type="dxa"/>
          <w:right w:w="28" w:type="dxa"/>
        </w:tblCellMar>
      </w:tblPr>
      <w:tblGrid>
        <w:gridCol w:w="2238"/>
        <w:gridCol w:w="1966"/>
        <w:gridCol w:w="1976"/>
        <w:gridCol w:w="109"/>
        <w:gridCol w:w="109"/>
        <w:gridCol w:w="137"/>
        <w:gridCol w:w="137"/>
        <w:gridCol w:w="247"/>
        <w:gridCol w:w="929"/>
        <w:gridCol w:w="304"/>
        <w:gridCol w:w="109"/>
        <w:gridCol w:w="109"/>
        <w:gridCol w:w="109"/>
        <w:gridCol w:w="196"/>
        <w:gridCol w:w="736"/>
        <w:gridCol w:w="286"/>
      </w:tblGrid>
      <w:tr>
        <w:trPr/>
        <w:tc>
          <w:tcPr>
            <w:tcW w:w="2238"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March 31,</w:t>
            </w:r>
          </w:p>
        </w:tc>
        <w:tc>
          <w:tcPr>
            <w:tcW w:w="1545" w:type="dxa"/>
            <w:gridSpan w:val="6"/>
            <w:tcBorders/>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Revenues before reimbursable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395,690 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355,961 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Reimbursable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8,451 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7,424 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404,141 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363,385 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24,536 </w:t>
            </w:r>
          </w:p>
        </w:tc>
        <w:tc>
          <w:tcPr>
            <w:tcW w:w="3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18,006 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Net income as a percentage of 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6.1 </w:t>
            </w:r>
          </w:p>
        </w:tc>
        <w:tc>
          <w:tcPr>
            <w:tcW w:w="3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 back: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(3,084)</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 net of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5,647 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5,140 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7,149 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6,181 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34,248 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28,881 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 back: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1,338 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Other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1,568 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6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Transaction-related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1,296 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1,497 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Unrealized loss on preferred stock 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4,210 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currency transaction losses (gains),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399 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41,491 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33,818 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EBITDA as a percentage of revenues before reimbursable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10.5 </w:t>
            </w:r>
          </w:p>
        </w:tc>
        <w:tc>
          <w:tcPr>
            <w:tcW w:w="3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9.5 </w:t>
            </w:r>
          </w:p>
        </w:tc>
        <w:tc>
          <w:tcPr>
            <w:tcW w:w="2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Reconciliation of Net Income to Adjusted Net Income and Adjusted Diluted Earnings per Share</w:t>
      </w:r>
    </w:p>
    <w:tbl>
      <w:tblPr>
        <w:tblW w:w="6834" w:type="dxa"/>
        <w:jc w:val="center"/>
        <w:tblInd w:w="0" w:type="dxa"/>
        <w:tblLayout w:type="fixed"/>
        <w:tblCellMar>
          <w:top w:w="28" w:type="dxa"/>
          <w:left w:w="28" w:type="dxa"/>
          <w:bottom w:w="28" w:type="dxa"/>
          <w:right w:w="28" w:type="dxa"/>
        </w:tblCellMar>
      </w:tblPr>
      <w:tblGrid>
        <w:gridCol w:w="1279"/>
        <w:gridCol w:w="1129"/>
        <w:gridCol w:w="1132"/>
        <w:gridCol w:w="109"/>
        <w:gridCol w:w="109"/>
        <w:gridCol w:w="163"/>
        <w:gridCol w:w="163"/>
        <w:gridCol w:w="294"/>
        <w:gridCol w:w="970"/>
        <w:gridCol w:w="163"/>
        <w:gridCol w:w="109"/>
        <w:gridCol w:w="109"/>
        <w:gridCol w:w="109"/>
        <w:gridCol w:w="196"/>
        <w:gridCol w:w="646"/>
        <w:gridCol w:w="154"/>
      </w:tblGrid>
      <w:tr>
        <w:trPr/>
        <w:tc>
          <w:tcPr>
            <w:tcW w:w="127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March 31,</w:t>
            </w:r>
          </w:p>
        </w:tc>
        <w:tc>
          <w:tcPr>
            <w:tcW w:w="1323" w:type="dxa"/>
            <w:gridSpan w:val="6"/>
            <w:tcBorders/>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24,536 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Weighted average shares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18,475 </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18,943 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 back: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2,036 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Other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Transaction-related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Unrealized loss on preferred stock 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4,210 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Tax effect of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(2,309)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adjustments,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6,571 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31,107 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23,254 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weighted average shares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18,475 </w:t>
            </w:r>
          </w:p>
        </w:tc>
        <w:tc>
          <w:tcPr>
            <w:tcW w:w="16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18,943 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1.68 </w:t>
            </w:r>
          </w:p>
        </w:tc>
        <w:tc>
          <w:tcPr>
            <w:tcW w:w="16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Three Months Ended March 31, 2025 Compared to Three Months Ended March 31, 2024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Revenues before Reimbursable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 by segment and capability for the three months ended March 31, 2025 and 2024 were as follows:</w:t>
      </w:r>
    </w:p>
    <w:tbl>
      <w:tblPr>
        <w:tblW w:w="9699" w:type="dxa"/>
        <w:jc w:val="left"/>
        <w:tblInd w:w="0" w:type="dxa"/>
        <w:tblLayout w:type="fixed"/>
        <w:tblCellMar>
          <w:top w:w="28" w:type="dxa"/>
          <w:left w:w="28" w:type="dxa"/>
          <w:bottom w:w="28" w:type="dxa"/>
          <w:right w:w="28" w:type="dxa"/>
        </w:tblCellMar>
      </w:tblPr>
      <w:tblGrid>
        <w:gridCol w:w="1668"/>
        <w:gridCol w:w="1465"/>
        <w:gridCol w:w="1472"/>
        <w:gridCol w:w="109"/>
        <w:gridCol w:w="109"/>
        <w:gridCol w:w="109"/>
        <w:gridCol w:w="196"/>
        <w:gridCol w:w="736"/>
        <w:gridCol w:w="109"/>
        <w:gridCol w:w="109"/>
        <w:gridCol w:w="109"/>
        <w:gridCol w:w="109"/>
        <w:gridCol w:w="196"/>
        <w:gridCol w:w="736"/>
        <w:gridCol w:w="109"/>
        <w:gridCol w:w="109"/>
        <w:gridCol w:w="109"/>
        <w:gridCol w:w="109"/>
        <w:gridCol w:w="196"/>
        <w:gridCol w:w="647"/>
        <w:gridCol w:w="109"/>
        <w:gridCol w:w="109"/>
        <w:gridCol w:w="109"/>
        <w:gridCol w:w="109"/>
        <w:gridCol w:w="233"/>
        <w:gridCol w:w="233"/>
        <w:gridCol w:w="286"/>
      </w:tblGrid>
      <w:tr>
        <w:trPr/>
        <w:tc>
          <w:tcPr>
            <w:tcW w:w="1668"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6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Revenues before Reimbursable Expenses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46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t>
            </w:r>
          </w:p>
        </w:tc>
      </w:tr>
      <w:tr>
        <w:trPr/>
        <w:tc>
          <w:tcPr>
            <w:tcW w:w="4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198,490 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Total revenues before reimbursable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395,690 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Capability: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223,921 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171,769 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Total revenues before reimbursable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395,690 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355,961 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39,729 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 increased $39.7 million, or 11.2%, to $395.7 million for the first quarter of 2025 from $356.0 million for the first quarter of 2024. The overall increase in revenues before reimbursable expenses reflects strength in demand for our Consulting and Managed Services capabilities within our Healthcare and Education segments; and an increase in demand for our Digital capabilities within our Commercial and Education segments, including $11.9 million of incremental revenues before reimbursable expenses from our acquisition of AXIA Consulting in December 2024. These increases were partially offset by a decrease in demand for our Consulting and Managed Services capability within our Commercial segment. Additional information on our revenues before reimbursable expense by segment follows.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r>
        <w:rPr>
          <w:color w:val="000000"/>
        </w:rPr>
        <w:t xml:space="preserve"> </w:t>
      </w:r>
      <w:r>
        <w:rPr>
          <w:rFonts w:ascii="Arial Narrow;sans-serif" w:hAnsi="Arial Narrow;sans-serif"/>
          <w:b w:val="false"/>
          <w:color w:val="000000"/>
          <w:sz w:val="20"/>
        </w:rPr>
        <w:t>revenues before reimbursable expenses increased $17.7 million, or 9.8%, driven by strengthened demand for our performance improvement and financial advisory solutions within our Consulting and Managed Services capability. These increases in demand were partially offset by a decrease in revenues before reimbursable expenses due to the divestiture of our Studer Education practice in the fourth quarter of 2024 and a decrease in revenues before reimbursable expenses for our technology and analytics services within our Digital capability. The Studer Education business generated $3.4 million of revenues before reimbursable expenses in the first quarter of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number of revenue-generating professionals, excluding Managed Services professionals, within our Healthcare segment grew 1.4% to 1,209 as of March 31, 2025, compared to 1,192 as of March 31, 2024. </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r>
        <w:rPr>
          <w:color w:val="000000"/>
        </w:rPr>
        <w:t xml:space="preserve"> </w:t>
      </w:r>
      <w:r>
        <w:rPr>
          <w:rFonts w:ascii="Arial Narrow;sans-serif" w:hAnsi="Arial Narrow;sans-serif"/>
          <w:b w:val="false"/>
          <w:color w:val="000000"/>
          <w:sz w:val="20"/>
        </w:rPr>
        <w:t>revenues before reimbursable expenses increased $11.2 million, or 10.0%, driven by strengthened demand for our strategy and operations solution within our Consulting and Managed Services capability; $3.0 million of incremental revenues before reimbursable expenses from our acquisition of GG+A completed in March 2024; an increase in demand for our software products within our Digital capability; and an additional $0.8 million of incremental revenues before reimbursable expenses from other acquisitions completed since the first quarter of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number of revenue-generating professionals within our Education segment, excluding Managed Services professionals, grew 6.2% to 1,167 as of March 31, 2025, compared to 1,099 as of March 31, 2024. Our acquisitions of Advancement Resources and Halpin in March 2025 added approximately 30 revenue-generating professionals. </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r>
        <w:rPr>
          <w:color w:val="000000"/>
        </w:rPr>
        <w:t xml:space="preserve"> </w:t>
      </w:r>
      <w:r>
        <w:rPr>
          <w:rFonts w:ascii="Arial Narrow;sans-serif" w:hAnsi="Arial Narrow;sans-serif"/>
          <w:b w:val="false"/>
          <w:color w:val="000000"/>
          <w:sz w:val="20"/>
        </w:rPr>
        <w:t xml:space="preserve">revenues before reimbursable expenses increased $10.8 million, or 17.0%, which included $11.2 million of incremental revenues before reimbursable expenses from our acquisition of AXIA Consulting completed in December 2024 and an increase in demand for our technology and analytics services within our Digital capability. These increases were partially offset by decreases in demand for our strategy and innovation and financial advisory solutions within our Consulting and Managed Services capability.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revenue-generating professionals within our Commercial segment, the majority of which provide services across all of our industries, grew 2.5% to 2,350 as of March 31, 2025, compared to 2,293 as of March 31, 2024, including our acquisition of AXIA Consulting in December 2024 which added approximately 130 revenue-generating professionals.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 for the first quarter of 2025 increased $27.9 million, or 8.1%, over the first quarter of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 and operating expenses as a percentage of revenues before reimbursable expenses were as follows:</w:t>
      </w:r>
    </w:p>
    <w:tbl>
      <w:tblPr>
        <w:tblW w:w="10205" w:type="dxa"/>
        <w:jc w:val="left"/>
        <w:tblInd w:w="0" w:type="dxa"/>
        <w:tblLayout w:type="fixed"/>
        <w:tblCellMar>
          <w:top w:w="28" w:type="dxa"/>
          <w:left w:w="28" w:type="dxa"/>
          <w:bottom w:w="28" w:type="dxa"/>
          <w:right w:w="28" w:type="dxa"/>
        </w:tblCellMar>
      </w:tblPr>
      <w:tblGrid>
        <w:gridCol w:w="1527"/>
        <w:gridCol w:w="1342"/>
        <w:gridCol w:w="1349"/>
        <w:gridCol w:w="109"/>
        <w:gridCol w:w="109"/>
        <w:gridCol w:w="109"/>
        <w:gridCol w:w="196"/>
        <w:gridCol w:w="736"/>
        <w:gridCol w:w="109"/>
        <w:gridCol w:w="109"/>
        <w:gridCol w:w="109"/>
        <w:gridCol w:w="109"/>
        <w:gridCol w:w="157"/>
        <w:gridCol w:w="157"/>
        <w:gridCol w:w="158"/>
        <w:gridCol w:w="109"/>
        <w:gridCol w:w="109"/>
        <w:gridCol w:w="109"/>
        <w:gridCol w:w="196"/>
        <w:gridCol w:w="736"/>
        <w:gridCol w:w="109"/>
        <w:gridCol w:w="109"/>
        <w:gridCol w:w="109"/>
        <w:gridCol w:w="109"/>
        <w:gridCol w:w="157"/>
        <w:gridCol w:w="157"/>
        <w:gridCol w:w="158"/>
        <w:gridCol w:w="109"/>
        <w:gridCol w:w="109"/>
        <w:gridCol w:w="109"/>
        <w:gridCol w:w="258"/>
        <w:gridCol w:w="857"/>
        <w:gridCol w:w="211"/>
      </w:tblGrid>
      <w:tr>
        <w:trPr/>
        <w:tc>
          <w:tcPr>
            <w:tcW w:w="152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Operating Expenses (in thousands, except amounts as a percentage of revenues before reimbursable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42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278,043 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253,303 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24,740 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3,934 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Other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371,409 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343,464 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27,945 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Direct Costs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Direct costs increased $24.7 million, or 9.8%, to $278.0 million for the first quarter of 2025 from $253.3 million for the first quarter of 2024. The $24.7 million increase primarily related to a $25.5 million increase in compensation costs for our revenue-generating professionals. The increase in compensation costs reflects our investment to grow our talented team to meet increased market demand and is primarily attributable to a $16.5 million increase in salaries and related expenses driven by increased headcount and annual salary increases that went into effect in the first quarter of 2025, a $7.6 million increase in performance bonus expense, and a $1.1 million increase in share-based compensation expense. The increase in share-based compensation expense was primarily the result of paying a larger portion of our annual performance bonus in share-based equity grants compared to the prior year. As a percentage of revenues before reimbursable expenses, direct costs decreased to 70.3% during the first quarter of 2025, compared to 71.2% during the first quarter of 2024. This decrease was primarily due to revenue growth that outpaced the increase in salaries and related expenses for our revenue-generating professionals. </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Reimbursable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Reimbursable expenses are billed to clients at cost and primarily relate to travel and out-of-pocket expenses incurred in connection with client engagements. These expenses are also included in total revenues. We manage our business on the basis of revenues before reimbursable expenses, which we believe is the most accurate reflection of our services because it eliminates the effect of reimbursable expenses that are also included as a component of operating expenses. </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Selling, General and Administrative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 increased by $3.9 million, or 5.4%, to $76.6 million in the first quarter of 2025 from $72.7 million in the first quarter of 2024. The $3.9 million increase includes a $2.8 million increase in compensation costs for our support personnel and a $2.0 million increase in software and data hosting expense; partially offset by a $3.5 million decrease in legal expenses. The $2.8 million increase in compensation costs for our support personnel was driven by a $4.0 million increase in salaries and related expenses and a $2.6 million increase in performance bonus expense; partially offset by a $3.4 million decrease in deferred compensation expense attributable to the change in market value of our deferred compensation liability. The decrease in deferred compensation expense is offset by an increase in the loss recognized for the change in the market value of investments that are used to fund our deferred compensation liability and recognized in other income (expense), net. As a percentage of revenues before reimbursable expenses, selling, general and administrative expenses decreased to 19.4% during the first quarter of 2025, compared to 20.4% during the first quarter of 2024, which was primarily driven by the decreases in legal expenses and deferred compensation expense; partially offset by an increase in performance bonus expense for our support personnel, as a percentage of revenues before reimbursable expenses.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Other Losses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Other losses totaled $1.6 million in the first quarter of 2024 and consisted of a $1.0 million litigation settlement loss for a completed legal matter and $0.5 million of net remeasurement losses to increase the fair value of our contingent consideration liabilities related to business combinations. There were no other losses or gains recognized in the first quarter of 2025.</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10 “Fair Value of Financial Instruments” within the notes to our consolidated financial statements for additional information on the fair value of contingent consideration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Restructuring Charges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 for the first quarter of 2025 were $1.3 million, compared to $2.3 million for the first quarter of 2024. The $1.3 million restructuring charge recognized in the first quarter of 2025 included a $0.7 million non-cash lease impairment charge driven by updated sublease assumptions for a previously vacated office space and $0.6 million of rent and related expenses, net of sublease income, for our previously vacated office spaces.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$2.3 million of restructuring charges recognized in the first quarter of 2024 included $1.0 million of severance-related expenses; $0.8 million of non-cash lease impairment charges driven by updated sublease assumptions for our previously vacated office spaces; and $0.5 million of rent and related expenses, net of sublease income, for our previously vacated office spaces. </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Depreciation and Amortization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 expense increased $1.0 million, or 16.4%, to $6.9 million in the first quarter of 2025, compared to $6.0 million in the first quarter of 2024. The $1.0 million increase in depreciation and amortization expense was primarily attributable to increases in amortization of internally developed software and intangible assets acquired in business acquisitions.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Income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 increased $12.8 million, or 64.3%, to $32.7 million in the first quarter of 2025 from $19.9 million in the first quarter of 2024. Operating margin, which is defined as operating income expressed as a percentage of revenues before reimbursable expenses was 8.3% for the three months ended March 31, 2025, compared to 5.6% for the three months ended March 31, 2024.</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 xml:space="preserve">Operating income and operating margin for each of our segments as well as unallocated corporate expenses were as follows: </w:t>
      </w:r>
    </w:p>
    <w:tbl>
      <w:tblPr>
        <w:tblW w:w="10205" w:type="dxa"/>
        <w:jc w:val="left"/>
        <w:tblInd w:w="0" w:type="dxa"/>
        <w:tblLayout w:type="fixed"/>
        <w:tblCellMar>
          <w:top w:w="28" w:type="dxa"/>
          <w:left w:w="28" w:type="dxa"/>
          <w:bottom w:w="28" w:type="dxa"/>
          <w:right w:w="28" w:type="dxa"/>
        </w:tblCellMar>
      </w:tblPr>
      <w:tblGrid>
        <w:gridCol w:w="1525"/>
        <w:gridCol w:w="1340"/>
        <w:gridCol w:w="1344"/>
        <w:gridCol w:w="109"/>
        <w:gridCol w:w="109"/>
        <w:gridCol w:w="109"/>
        <w:gridCol w:w="196"/>
        <w:gridCol w:w="646"/>
        <w:gridCol w:w="109"/>
        <w:gridCol w:w="109"/>
        <w:gridCol w:w="109"/>
        <w:gridCol w:w="109"/>
        <w:gridCol w:w="165"/>
        <w:gridCol w:w="165"/>
        <w:gridCol w:w="166"/>
        <w:gridCol w:w="109"/>
        <w:gridCol w:w="109"/>
        <w:gridCol w:w="109"/>
        <w:gridCol w:w="196"/>
        <w:gridCol w:w="646"/>
        <w:gridCol w:w="109"/>
        <w:gridCol w:w="109"/>
        <w:gridCol w:w="109"/>
        <w:gridCol w:w="109"/>
        <w:gridCol w:w="165"/>
        <w:gridCol w:w="165"/>
        <w:gridCol w:w="166"/>
        <w:gridCol w:w="109"/>
        <w:gridCol w:w="109"/>
        <w:gridCol w:w="109"/>
        <w:gridCol w:w="285"/>
        <w:gridCol w:w="948"/>
        <w:gridCol w:w="234"/>
      </w:tblGrid>
      <w:tr>
        <w:trPr/>
        <w:tc>
          <w:tcPr>
            <w:tcW w:w="152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42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Segment Operating Income (in thousands, except operating margin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4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13,622 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(2,743)</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Unallocated Corporate Expenses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Unallocated corporate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r>
        <w:rPr>
          <w:color w:val="000000"/>
        </w:rPr>
        <w:t xml:space="preserve"> </w:t>
      </w:r>
      <w:r>
        <w:rPr>
          <w:rFonts w:ascii="Arial Narrow;sans-serif" w:hAnsi="Arial Narrow;sans-serif"/>
          <w:b w:val="false"/>
          <w:color w:val="000000"/>
          <w:sz w:val="20"/>
        </w:rPr>
        <w:t xml:space="preserve">operating income increased $13.6 million, or 31.9%, primarily due to the increase in revenues before reimbursable expenses, as well as decreases in practice administration and meeting expenses, contractor expenses, and salaries and related expenses for our support personnel; partially offset by an increase in compensation costs for our revenue-generating professionals. The increase in compensation costs for our revenue-generating professionals was primarily driven by an increase in headcount, annual salary increases that went into effect in the first quarter of 2025, and an increase in performance bonus expense. Healthcare operating margin increased to 28.4% from 23.6% primarily due to revenue growth that outpaced the increase in salaries and related expenses for our revenue-generating professionals and the decreases in contractor expenses, practice administration and meeting expenses, and salaries and related expenses for our support personnel. </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r>
        <w:rPr>
          <w:color w:val="000000"/>
        </w:rPr>
        <w:t xml:space="preserve"> </w:t>
      </w:r>
      <w:r>
        <w:rPr>
          <w:rFonts w:ascii="Arial Narrow;sans-serif" w:hAnsi="Arial Narrow;sans-serif"/>
          <w:b w:val="false"/>
          <w:color w:val="000000"/>
          <w:sz w:val="20"/>
        </w:rPr>
        <w:t>operating income increased $1.1 million, or 5.0%, primarily due to the increase in revenues before reimbursable expenses; largely offset by increases in compensation costs for our revenue-generating professionals and support personnel, practice administration and meeting expenses, and amortization of internally developed software. The increases in compensation costs for our revenue-generating professionals and support personnel were primarily driven by an increase in headcount, annual salary increases that went into effect in the first quarter of 2025, and an increase in performance bonus expense for our revenue-generating professionals. Education operating margin decreased to 18.8% from 19.7% primarily driven by the increases in practice administration and meeting expenses, salaries and related expenses for our support personnel, and amortization of internally developed software, as percentages of revenues before reimbursable expenses; partially offset by revenue growth that outpaced the increase in salaries and related expenses for our revenue-generating professionals.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r>
        <w:rPr>
          <w:color w:val="000000"/>
        </w:rPr>
        <w:t xml:space="preserve"> </w:t>
      </w:r>
      <w:r>
        <w:rPr>
          <w:rFonts w:ascii="Arial Narrow;sans-serif" w:hAnsi="Arial Narrow;sans-serif"/>
          <w:b w:val="false"/>
          <w:color w:val="000000"/>
          <w:sz w:val="20"/>
        </w:rPr>
        <w:t>operating income decreased $2.7 million, or 19.5%, primarily due to increases in compensation costs for our revenue-generating professionals and support personnel and contractor expenses; partially offset by the increase in revenues before reimbursable expenses. The increase in compensation costs was primarily due to the increased headcount, driven by our acquisition of AXIA Consulting, and annual salary increases that went into effect in the first quarter of 2025, as well as an increase in performance bonus expense. Commercial operating margin decreased to 15.2% from 22.1% primarily due to the increases in compensation costs for our revenue-generating professionals and support personnel and contractor expenses, as percentages of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Unallocated corporate expenses</w:t>
      </w:r>
      <w:r>
        <w:rPr>
          <w:color w:val="000000"/>
        </w:rPr>
        <w:t xml:space="preserve"> </w:t>
      </w:r>
      <w:r>
        <w:rPr>
          <w:rFonts w:ascii="Arial Narrow;sans-serif" w:hAnsi="Arial Narrow;sans-serif"/>
          <w:b w:val="false"/>
          <w:color w:val="000000"/>
          <w:sz w:val="20"/>
        </w:rPr>
        <w:t>increased $1.4 million, or 2.8%, primarily due to increases in software and data hosting expenses and compensation costs for our support personnel; partially offset by a decrease in legal expenses. The increase in compensation costs for our support personnel was primarily driven by an increase in headcount, annual salary increases that went into effect in the first quarter of 2025, and an increase in performance bonus expense; partially offset by a decrease in deferred compensation expense attributable to the change in market value of our deferred compensation liability.</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Other Income (Expense), Net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 net of interest income increased $0.5 million to $5.6 million in the first quarter of 2025 from $5.1 million in the first quarter of 2024, which was primarily attributable to higher interest rates under our Amended Credit Facility during the first quarter of 2025 compared to the first quarter of 2024. See “Liquidity and Capital Resources” below and Note 7 “Financing Arrangements” within the notes to our consolidated financial statements for additional information about our Amended Credit Facility.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Other income (expense), net totaled expense of $5.6 million in the first quarter of 2025, compared to income of $2.8 million in the first quarter of 2024. In the first quarter of 2025, we recognized a non-cash impairment loss of $4.2 million on our preferred stock investment in a hospital-at-home company; a $1.1 million loss for the market value of our investments that are used to fund our deferred compensation liability; and $0.4 million of foreign currency transaction losses. In the first quarter of 2024, we recognized a $2.3 million gain for the market value of our deferred compensation investments and $0.5 million of foreign currency transaction gains. The change in the market value of our investments that are used to fund our deferred compensation liability are offset with deferred compensation expense which is recognized as a component of selling, general and administrative expenses on our consolidated statements of operations. See Note 10 “Fair Value of Financial Instruments” within the notes to our consolidated financial statements for additional information on our preferred stock investment. See Note 9 “Derivative Instruments and Hedging Activity” within the notes to our consolidated financial statements for additional information on our foreign exchange forward contracts.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Income Tax Expense</w:t>
      </w:r>
    </w:p>
    <w:p>
      <w:pPr>
        <w:pStyle w:val="TextBody"/>
        <w:bidi w:val="0"/>
        <w:spacing w:lineRule="auto" w:line="288" w:before="0" w:after="0"/>
        <w:jc w:val="left"/>
        <w:rPr/>
      </w:pPr>
      <w:r>
        <w:rPr>
          <w:rFonts w:ascii="Arial Narrow;sans-serif" w:hAnsi="Arial Narrow;sans-serif"/>
          <w:b w:val="false"/>
          <w:color w:val="000000"/>
          <w:sz w:val="20"/>
        </w:rPr>
        <w:t>For the three months ended March 31, 2025, our effective tax rate was (14.4)% as we recognized an income tax benefit of $3.1 million on income of $21.5 million. The effective tax rate of (14.4)% was more favorable than the statutory rate, inclusive of state income taxes, of 25.9%, primarily due to a discrete tax benefit for share-based compensation awards that vested during the quarter</w:t>
      </w:r>
      <w:r>
        <w:rPr>
          <w:rFonts w:ascii="Arial Narrow;sans-serif" w:hAnsi="Arial Narrow;sans-serif"/>
          <w:b w:val="false"/>
          <w:color w:val="000000"/>
          <w:sz w:val="24"/>
        </w:rPr>
        <w:t xml:space="preserve">. </w:t>
      </w:r>
      <w:r>
        <w:rPr>
          <w:rFonts w:ascii="Arial Narrow;sans-serif" w:hAnsi="Arial Narrow;sans-serif"/>
          <w:b w:val="false"/>
          <w:color w:val="000000"/>
          <w:sz w:val="20"/>
        </w:rPr>
        <w:t>This favorable item was partially offset by certain nondeductible expenses.</w:t>
      </w:r>
    </w:p>
    <w:p>
      <w:pPr>
        <w:pStyle w:val="TextBody"/>
        <w:bidi w:val="0"/>
        <w:spacing w:lineRule="auto" w:line="288" w:before="180" w:after="283"/>
        <w:jc w:val="left"/>
        <w:rPr/>
      </w:pPr>
      <w:r>
        <w:rPr>
          <w:rFonts w:ascii="Arial Narrow;sans-serif" w:hAnsi="Arial Narrow;sans-serif"/>
          <w:b w:val="false"/>
          <w:color w:val="000000"/>
          <w:sz w:val="20"/>
        </w:rPr>
        <w:t>For the three months ended March 31, 2024, our effective tax rate was (2.5)% as we recognized an income tax benefit of $0.4 million on income of $17.6 million. The effective tax rate of (2.5)% was more favorable than the statutory rate, inclusive of state income taxes, of 26.1%, primarily due to a discrete tax benefit for share-based compensation awards that vested during the quarter</w:t>
      </w:r>
      <w:r>
        <w:rPr>
          <w:rFonts w:ascii="Arial Narrow;sans-serif" w:hAnsi="Arial Narrow;sans-serif"/>
          <w:b w:val="false"/>
          <w:color w:val="000000"/>
          <w:sz w:val="24"/>
        </w:rPr>
        <w:t xml:space="preserve">.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Net Income and Earnings per Share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income increased $6.5 million, or 36.3%, to $24.5 million for the three months ended March 31, 2025 from $18.0 million for the same period last year. As a results of the increase in net income and a reduction in diluted shares outstanding resulting from share repurchases made under our share repurchase plan, diluted earnings per share for the first quarter of 2025 increased to $1.33 from $0.95 for the first quarter of 2024.</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EBITDA and Adjusted EBITDA</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EBITDA increased $5.4 million, or 18.6%, to $34.2 million for the first quarter of 2025 from $28.9 million for the first quarter of 2024. The increase in EBITDA was primarily attributable to the increases in Healthcare and Education segment operating income, excluding segment depreciation and amortization; partially offset by the $4.2 million non-cash impairment loss related to our preferred stock investment in a hospital-at-home company recognized in the first quarter of 2025, the decrease in Commercial segment operating income, excluding segment depreciation and amortization, and the increase in unallocated corporate expenses, excluding the impact of the change in the market value of our deferred compensation liability.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Adjusted EBITDA increased $7.7 million, or 22.7%, to $41.5 million in the first quarter of 2025 from $33.8 million in the first quarter of 2024. The increase in adjusted EBITDA was primarily attributable to the increases in Healthcare and Education operating income, excluding the impact of segment depreciation and amortization and segment restructuring charges; partially offset by the decrease in Commercial operating income, excluding the impact of segment depreciation and amortization and segment restructuring charges, and the increase in unallocated corporate expenses, excluding the impact of the change in the market value of our deferred compensation liability and transaction-related expenses.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Adjusted Net Income and Adjusted Earnings per Share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Adjusted net income increased $7.9 million, or 33.8%, to $31.1 million in the first quarter of 2025, compared to $23.3 million in the first quarter of 2024. As a result of the increase in adjusted net income as well as a reduction in diluted shares outstanding resulting from share repurchases made under our share repurchase plan, adjusted diluted earnings per share increased to $1.68 for the first quarter of 2025 compared to $1.23 for the first quarter of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LIQUIDITY AND CAPITAL RESOURCES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Cash and cash equivalents were $23.4 million and $21.9 million at March 31, 2025 and December 31, 2024, respectively. As of March 31, 2025, our primary sources of liquidity are cash on hand, cash flows from our U.S. operations, and borrowing capacity available under our credit facility.</w:t>
      </w:r>
    </w:p>
    <w:tbl>
      <w:tblPr>
        <w:tblW w:w="6021" w:type="dxa"/>
        <w:jc w:val="center"/>
        <w:tblInd w:w="0" w:type="dxa"/>
        <w:tblLayout w:type="fixed"/>
        <w:tblCellMar>
          <w:top w:w="28" w:type="dxa"/>
          <w:left w:w="28" w:type="dxa"/>
          <w:bottom w:w="28" w:type="dxa"/>
          <w:right w:w="28" w:type="dxa"/>
        </w:tblCellMar>
      </w:tblPr>
      <w:tblGrid>
        <w:gridCol w:w="1118"/>
        <w:gridCol w:w="985"/>
        <w:gridCol w:w="987"/>
        <w:gridCol w:w="109"/>
        <w:gridCol w:w="109"/>
        <w:gridCol w:w="109"/>
        <w:gridCol w:w="196"/>
        <w:gridCol w:w="811"/>
        <w:gridCol w:w="109"/>
        <w:gridCol w:w="109"/>
        <w:gridCol w:w="109"/>
        <w:gridCol w:w="109"/>
        <w:gridCol w:w="196"/>
        <w:gridCol w:w="811"/>
        <w:gridCol w:w="154"/>
      </w:tblGrid>
      <w:tr>
        <w:trPr/>
        <w:tc>
          <w:tcPr>
            <w:tcW w:w="111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March 31,</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Cash Flows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r>
      <w:tr>
        <w:trPr/>
        <w:tc>
          <w:tcPr>
            <w:tcW w:w="3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(106,827)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(130,724)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(30,599)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Effect of exchange rate changes on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Net 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color w:val="000000"/>
          <w:sz w:val="20"/>
        </w:rPr>
      </w:pPr>
      <w:r>
        <w:rPr>
          <w:rFonts w:ascii="Arial Narrow;sans-serif" w:hAnsi="Arial Narrow;sans-serif"/>
          <w:b/>
          <w:color w:val="000000"/>
          <w:sz w:val="20"/>
        </w:rPr>
        <w:t>Operating Activities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operating assets and liabilities consist primarily of receivables from billed and unbilled services, accounts payable and accrued expenses, accrued payroll and related benefits, operating lease obligations and deferred revenues. The volume of services rendered and the related billings and timing of collections on those billings, as well as payments of our accounts payable and salaries, bonuses, and related benefits to employees affect these account balances. Our purchase obligations primarily consist of payments for software and other information technology products to support our business and corporate infrastructure.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operating activities decreased by $23.9 million to $106.8 million for the three months ended March 31, 2025 from $130.7 million for the three months ended March 31, 2024. The decrease in net cash used in operating activities was primarily related to an increase in cash collections in the first three months of 2025; partially offset by an increase in payments for salaries and related expenses for our revenue-generating professionals and an increase in the amount paid for annual performance bonuses in the first quarter of 2025 compared to the first quarter of 2024.</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Investing Activities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investing activities primarily consist of purchases of complementary businesses; purchases of property and equipment, primarily related to computers and related equipment for our employees and leasehold improvements and furniture and fixtures for office spaces; payments related to internally developed cloud-based software sold to our clients; and investments. Our investments include a convertible note investment in Shorelight Holdings, LLC, a preferred stock investment in a hospital-at-home company, and investments in life insurance policies that are used to fund our deferred compensation liability.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investing activities was $15.3 million for the three months ended March 31, 2025, which primarily consisted of $6.7 million for payments related to internally developed software to advance our Healthcare and Education software products; $5.2 million for the purchases of businesses; $1.9 million for purchases of property and equipment, primarily related to purchases of computers and related equipment and leasehold improvements for certain office spaces; and $1.7 million for contributions to our life insurance policies.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investing activities was $30.6 million for the three months ended March 31, 2024, which primarily consisted of $21.2 million for the purchase of a business; $7.6 million for payments related to internally developed software to advance our Healthcare and Education software products; $1.2 million for purchases of property and equipment, primarily related to leasehold improvements for certain office spaces and purchases of computers and related equipment; and $0.8 million for contributions to our life insurance policies.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estimate that cash utilized for purchases of property and equipment and software development in 2025 will total approximately $35 million to $40 million; primarily consisting of software development costs, information technology-related equipment to support our corporate infrastructure, and leasehold improvements and furniture and fixtures for certain office locations.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Financing Activities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financing activities primarily consist of borrowings and repayments under our senior secured credit facility, share repurchases, shares redeemed for employee tax withholdings upon vesting of share-based compensation, and payments for contingent consideration liabilities related to business acquisitions. See “Financing Arrangements” below for additional information on our senior secured credit facility.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provided by financing activities was $123.6 million for the three months ended March 31, 2025. During the three months ended March 31, 2025, we borrowed $328.0 million and made repayments on our borrowings of $109.4 million. The net borrowings of $218.6 million were primarily used to fund our operations, including our annual performance bonus payments in the first quarter of 2025. Additionally, during the first three months of 2025, we paid $65.3 million for the settlement of share repurchases and we reacquired $32.2 million of common stock as a result of tax withholdings upon vesting of share-based compensation. These uses of cash for financing activities were partially offset by $2.5 million of cash received from stock option exercises in the first three months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provided by financing activities was $167.9 million for the three months ended March 31, 2024. During the three months ended March 31, 2024, we borrowed $566.0 million and made repayments on our borrowings of $316.0 million. The borrowings and repayments during the first three months of 2024 include the $275.0 million Term Loan proceeds which were used to repay borrowings under the Revolver in the first quarter of 2024. The net borrowings of $250.0 million were primarily used to fund our operations including our annual performance bonus payments in the first quarter of 2024. Additionally, during the first three months of 2024, we paid $61.0 million for the settlement of share repurchases and we reacquired $20.9 million of common stock as a result of tax withholdings upon vesting of share-based compensation. We also made payments of $1.4 million for debt issuance costs related to the Term Loan. These uses of cash for financing activities were partially offset by $1.2 million cash received from stock option exercises in the first quarter of 2024.</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Share Repurchase Program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November 2020, our board of directors authorized a share repurchase program permitting us to repurchase up to $50 million of our common stock through December 31, 2021.The share repurchase program has been subsequently extended and increased, most recently in the first quarter of 2025. The current authorization extends the share repurchase program through December 31, 2026 with a repurchase amount of $700 million, of which $191.7 million remains available as of March 31, 2025.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Financing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At March 31, 2025, we had $576.3 million outstanding under our Amended Credit Agreement, as discussed below.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Company has a $600 million senior secured revolving credit facility (the “Revolver”) and a $275 million senior secured term loan facility (the “Term Loan”), subject to the terms of the Third Amended and Restated Credit Agreement dated as of November 15, 2022 (as amended, the “Amended Credit Agreement”), both of which fully mature on November 15, 2027. The Term Loan is subject to scheduled quarterly amortization payments of $3.4 million which began June 30, 2024 and continue through the maturity date of November 15, 2027, at which time the outstanding principal balance and all accrued interest will be due.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Fees and interest on borrowings under the Amended Credit Agreement vary based on our Consolidated Leverage Ratio (as defined in the Amended Credit Agreement). At our option, these borrowings will bear interest at one, three or six month Term SOFR or, in the case of the Revolver, an alternate base rate, in each case plus the applicable margin. The applicable margin for borrowings under the Revolver will fluctuate between 1.125% per annum and 1.875% per annum, in the case of Term SOFR borrowings, or between 0.125% per annum and 0.875% per annum, in the case of base rate loans, based upon our Consolidated Leverage Ratio at such time. The applicable margin for the outstanding principal under the Term Loan will range between 1.625% per annum and 2.375% per annum based upon our Consolidated Leverage Ratio at such time. The fees and interest are subject to further adjustment based upon the Company's performance against specified key performance indicators. Based upon the performance of the Company against those key performance indicators in each Reference Year (as defined in the Amended Credit Agreement), certain adjustments to the otherwise applicable rates for interest, commitment fees and letter of credit fees will be made. These annual adjustments will not exceed an increase or decrease of 0.01% in the aggregate for all key performance indicators in the case of the commitment fee rate or an increase or decrease of 0.05% in the aggregate for all key performance indicators in the case of the Term SOFR borrowings, base rate borrowings or letter of credit fee rate.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of 3.75 to 1.00; however the maximum permitted Consolidated Leverage Ratio will increase to 4.25 to 1.00 upon the occurrence of a Qualified Acquisition (as defined in the Amended Credit Agreement), and (ii) a minimum Consolidated Interest Coverage Ratio (defined as the ratio of consolidated EBITDA to interest) of 3.00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March 31, 2025 and December 31, 2024, we were in compliance with these financial covenants. Our Consolidated Leverage Ratio as of March 31, 2025 was 2.17 to 1.00, compared to 1.39 to 1.00 as of December 31, 2024. Our Consolidated Interest Coverage Ratio as of March 31, 2025 was 10.71 to 1.00, compared to 10.50 to 1.00 as of December 31, 2024.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Amended Credit Agreement contains restricted payment provisions, including a potential limit on the amount of dividends we may pay. Pursuant to the terms of the Amended Credit Agreement, if our Consolidated Leverage Ratio is greater than 3.50, the amount of dividends and other Restricted Payments (as defined in the Amended Credit Agreement) we may pay is limited to an amount up to $50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Borrowings outstanding under the Amended Credit Agreement at March 31, 2025 and December 31, 2024 totaled $576.3 million and $357.7 million, respectively. Of the $576.3 million outstanding as of March 31, 2025, $315.0 million was outstanding under the Revolver and $261.3 million was outstanding under the Term Loan. Of the $357.7 million outstanding as of December 31, 2024, $93.0 million was outstanding under the Revolver and $264.7 million was outstanding under the Term Loan. These borrowings carried a weighted average interest rate of 5.6% at March 31, 2025 and 4.7% at December 31, 2024, including the impact of the interest rate swaps described in Note 9 “Derivative Instruments and Hedging Activity” within the notes to the consolidated financial statements.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borrowing capacity under the Revolver is reduced by any outstanding borrowings under the Revolver and outstanding letters of credit. At March 31, 2025, we had outstanding letters of credit totaling $0.4 million, which are used as security deposits for our office facilities. As of March 31, 2025, the unused borrowing capacity under the Revolver was $284.6 million.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Refer to Note 7 “Financing Arrangements” for additional information on our senior secured credit facility within the notes to the consolidated financial statements.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Future Financing Needs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primary financing need is to fund our long-term growth. Our growth strategy is to expand our service offerings, which may require investments in new hires, acquisitions of complementary businesses, possible expansion into other geographic areas, and related capital expenditures.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believe our internally generated liquidity, together with our available cash, and the borrowing capacity available under our senior secured credit facility will be adequate to support our current financing needs and long-term growth strategy. Our ability to secure additional financing in the future, if needed, will depend on several factors, including our future profitability, the quality of our accounts receivable and unbilled services, our relative levels of debt and equity, and the overall condition of the credit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OFF-BALANCE SHEET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are not a party to any material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CRITICAL ACCOUNTING POLICIES AND ESTIMATES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Management’s discussion and analysis of financial condition and results of operations is based upon our consolidated financial statements, which have been prepared in accordance with accounting principles generally accepted in the United States of America (“GAAP”).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and estimates are those policies and estimates that we believe present the most complex or subjective measurements and have the most potential to impact our financial position and operating results. While all decisions regarding accounting policies and estimates are important, we believe that there are five accounting policies and estimates that could be considered critical: revenue recognition, allowances for doubtful accounts and unbilled services, business combinations, carrying values of goodwill and other intangible assets, and accounting for income taxes. For a detailed discussion of these critical accounting policies, see Item 7. “Management’s Discussion and Analysis of Financial Condition and Results of Operations – Critical Accounting Policies” in our Annual Report on Form 10-K for the year ended December 31, 2024. There have been no material changes to our critical accounting policies during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NEW ACCOUNTING PRONOUNCEMENTS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3 “New Accounting Pronouncements” within the notes to the consolidated financial statements for information on new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674" w:type="dxa"/>
        <w:jc w:val="left"/>
        <w:tblInd w:w="0" w:type="dxa"/>
        <w:tblLayout w:type="fixed"/>
        <w:tblCellMar>
          <w:top w:w="28" w:type="dxa"/>
          <w:left w:w="28" w:type="dxa"/>
          <w:bottom w:w="28" w:type="dxa"/>
          <w:right w:w="28" w:type="dxa"/>
        </w:tblCellMar>
      </w:tblPr>
      <w:tblGrid>
        <w:gridCol w:w="250"/>
        <w:gridCol w:w="219"/>
        <w:gridCol w:w="221"/>
        <w:gridCol w:w="1752"/>
        <w:gridCol w:w="1752"/>
        <w:gridCol w:w="2480"/>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3.</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QUANTITATIVE AND QUALITATIVE DISCLOSURES ABOUT MARKET RISK.</w:t>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We are exposed to market risks primarily from changes in interest rates and foreign currency exchange rates and changes in the market value of our investments. We use certain derivative instruments to hedge a portion of the interest rate and foreign currency exchange rate risks.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Interest Rate Risk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exposure to changes in interest rates associated with borrowings under our senior secured credit facility. At our option, these borrowings bear interest at one, three or six month Term SOFR or, in the case of the Revolver, an alternate base rate. At March 31, 2025, we had borrowings outstanding under the credit facility totaling $576.3 million that carried a weighted average interest rate of 5.6%, including the impact of the interest rate swaps described below. A hypothetical 100 basis point change in the interest rate would have a $3.3 million effect on our pretax income on an annualized basis, including the effect of the interest rate swaps. At December 31, 2024, we had borrowings outstanding under the credit facility totaling $357.7 million that carried a weighted average interest rate of 4.7% including the impact of the interest rate swaps described below. A hypothetical 100 basis point change in the interest rate would have had a $1.1 million effect on our pretax income on an annualized basis, including the effect of the interest rate swaps.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enter into forward interest rate swap agreements to hedge against the interest rate risks of our variable-rate borrowings. Under the terms of the interest rate swap agreement, we receive from the counterparty interest on the notional amount based on one month Term SOFR and we pay to the counterparty a stated, fixed rate. As of both March 31, 2025 and December 31, 2024, the aggregate notional amount of our forward interest rate swap agreements was $250.0 million. The outstanding interest rate swap agreements as of March 31, 2025 are scheduled to mature on a staggered basis through February 28, 2030.</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Foreign Currency Risk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have exposure to changes in foreign currency exchange rates associated with our operations in India and Canada. We hedge a portion of our cash flow exposure related to our INR-denominated intercompany expenses and our translation risk related to our USD-denominated intercompany receivables in Canada by entering into foreign exchange forward contracts. </w:t>
      </w:r>
    </w:p>
    <w:p>
      <w:pPr>
        <w:pStyle w:val="TextBody"/>
        <w:bidi w:val="0"/>
        <w:spacing w:lineRule="auto" w:line="288" w:before="180" w:after="283"/>
        <w:jc w:val="left"/>
        <w:rPr/>
      </w:pPr>
      <w:r>
        <w:rPr>
          <w:rFonts w:ascii="Arial Narrow;sans-serif" w:hAnsi="Arial Narrow;sans-serif"/>
          <w:b w:val="false"/>
          <w:i/>
          <w:color w:val="000000"/>
          <w:sz w:val="20"/>
        </w:rPr>
        <w:t xml:space="preserve">Indian Rupee Forward Contracts: </w:t>
      </w:r>
      <w:r>
        <w:rPr>
          <w:rFonts w:ascii="Arial Narrow;sans-serif" w:hAnsi="Arial Narrow;sans-serif"/>
          <w:b w:val="false"/>
          <w:color w:val="000000"/>
          <w:sz w:val="20"/>
        </w:rPr>
        <w:t>As of March 31, 2025 and December 31, 2024, the aggregate notional amounts of these contracts were Indian Rupee (INR) 0.89 billion, or $10.4 million, and Indian Rupee (INR) 1.40 billion, or $16.3 million, respectively, based on the exchange rates in effect as of each period end. The outstanding foreign exchange forward contracts as of March 31, 2025 are scheduled to mature monthly through December 31, 2025.</w:t>
      </w:r>
    </w:p>
    <w:p>
      <w:pPr>
        <w:pStyle w:val="TextBody"/>
        <w:bidi w:val="0"/>
        <w:spacing w:lineRule="auto" w:line="288" w:before="180" w:after="283"/>
        <w:jc w:val="left"/>
        <w:rPr/>
      </w:pPr>
      <w:r>
        <w:rPr>
          <w:rFonts w:ascii="Arial Narrow;sans-serif" w:hAnsi="Arial Narrow;sans-serif"/>
          <w:b w:val="false"/>
          <w:i/>
          <w:color w:val="000000"/>
          <w:sz w:val="20"/>
        </w:rPr>
        <w:t xml:space="preserve">Canadian Dollar Forward Contracts: </w:t>
      </w:r>
      <w:r>
        <w:rPr>
          <w:rFonts w:ascii="Arial Narrow;sans-serif" w:hAnsi="Arial Narrow;sans-serif"/>
          <w:b w:val="false"/>
          <w:color w:val="000000"/>
          <w:sz w:val="20"/>
        </w:rPr>
        <w:t>During the first quarter of 2025, we entered into a Canadian Dollar forward contract with a notional amount of $25.0 million that settled on March 31, 2025. Additionally, on March 31, 2025, we entered into another Canadian Dollar forward contract with a notional amount of $25.0 million that will settle on June 30, 2025.</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use a sensitivity analysis to determine the effects that market foreign currency exchange rate fluctuations may have on the fair value of our foreign exchange forward contract portfolio. The sensitivity of the portfolio is computed based on the market value of future cash flows as affected by changes in exchange rates. This sensitivity analysis represents the hypothetical changes in value of the derivatives and does not reflect the offsetting gain or loss on the underlying exposure. A hypothetical 100 basis point change in the USD to INR and USD to CAD exchange rates would have an immaterial impact on the fair value of our derivative instruments as of March 31, 2025 and December 31, 2024.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Market Risk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a 1.69% convertible debt investment in Shorelight Holdings, LLC, a privately-held company, which we account for as an available-for-sale debt security. As such, the investment is carried at fair value with unrealized holding gains and losses excluded from earnings and reported in other comprehensive income. As of March 31, 2025, the fair value of the investment was $48.2 million, with a total cost basis of $40.9 million. At December 31, 2024, the fair value of the investment was $62.3 million, with a total cost basis of $40.9 million.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a preferred stock investment in a privately-held hospital-at-home company, which we account for as an equity security without a readily determinable fair value using the measurement alternative. As such, the investment is carried at cost minus impairment, plus or minus changes resulting from observable price changes in orderly transactions for the identical or similar investment. As of March 31, 2025 and December 31, 2024, the carrying value of the investment was $3.2 million and $7.4 million, respectively, with a total cost basis of $5.0 million. In the first quarter of 2025, we recognized a non-cash impairment loss of $4.2 million on our preferred stock investment based on the valuation anticipated from the hospital-at-home company's merger with a third-party, which is expected to close in 2025. The non-cash impairment loss was recorded to other income (expense), net in our consolidated statement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 Refer to Note 9 “Derivative Instruments and Hedging Activity” within the notes to our consolidated financial statements for additional information on our derivative instruments.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390" w:type="dxa"/>
        <w:jc w:val="left"/>
        <w:tblInd w:w="0" w:type="dxa"/>
        <w:tblLayout w:type="fixed"/>
        <w:tblCellMar>
          <w:top w:w="28" w:type="dxa"/>
          <w:left w:w="28" w:type="dxa"/>
          <w:bottom w:w="28" w:type="dxa"/>
          <w:right w:w="28" w:type="dxa"/>
        </w:tblCellMar>
      </w:tblPr>
      <w:tblGrid>
        <w:gridCol w:w="250"/>
        <w:gridCol w:w="219"/>
        <w:gridCol w:w="221"/>
        <w:gridCol w:w="790"/>
        <w:gridCol w:w="790"/>
        <w:gridCol w:w="1120"/>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4.</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CONTROLS AND PROCEDURES.</w:t>
            </w:r>
          </w:p>
        </w:tc>
      </w:tr>
    </w:tbl>
    <w:p>
      <w:pPr>
        <w:pStyle w:val="TextBody"/>
        <w:bidi w:val="0"/>
        <w:spacing w:lineRule="auto" w:line="288" w:before="80" w:after="283"/>
        <w:jc w:val="left"/>
        <w:rPr>
          <w:rFonts w:ascii="Arial Narrow;sans-serif" w:hAnsi="Arial Narrow;sans-serif"/>
          <w:b/>
          <w:color w:val="000000"/>
          <w:sz w:val="20"/>
        </w:rPr>
      </w:pPr>
      <w:r>
        <w:rPr>
          <w:rFonts w:ascii="Arial Narrow;sans-serif" w:hAnsi="Arial Narrow;sans-serif"/>
          <w:b/>
          <w:color w:val="000000"/>
          <w:sz w:val="20"/>
        </w:rPr>
        <w:t>Evaluation of Disclosure Controls and Procedures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March 31, 2025. Based on this evaluation, our Chief Executive Officer and Chief Financial Officer have concluded that, as of March 31, 2025,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Changes in Internal Control over Financial Reporting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There has been no change in our internal control over financial reporting (as such term is defined in Rules 13a-15(f) and 15d-15(f) under the Exchange Act) during the three months ended March 31, 2025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pPr>
      <w:r>
        <w:rPr>
          <w:rFonts w:ascii="Arial Narrow;sans-serif" w:hAnsi="Arial Narrow;sans-serif"/>
          <w:b/>
          <w:color w:val="000000"/>
          <w:sz w:val="20"/>
        </w:rPr>
        <w:t>PART II—OTHER INFORMATION</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669" w:type="dxa"/>
        <w:jc w:val="left"/>
        <w:tblInd w:w="0" w:type="dxa"/>
        <w:tblLayout w:type="fixed"/>
        <w:tblCellMar>
          <w:top w:w="28" w:type="dxa"/>
          <w:left w:w="28" w:type="dxa"/>
          <w:bottom w:w="28" w:type="dxa"/>
          <w:right w:w="28" w:type="dxa"/>
        </w:tblCellMar>
      </w:tblPr>
      <w:tblGrid>
        <w:gridCol w:w="250"/>
        <w:gridCol w:w="219"/>
        <w:gridCol w:w="221"/>
        <w:gridCol w:w="579"/>
        <w:gridCol w:w="579"/>
        <w:gridCol w:w="821"/>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LEGAL PROCEEDINGS.</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From time to time, we are involved in legal proceedings and litigation arising in the ordinary course of business. As of the date of this Quarterly Report on Form 10-Q, we are not a party to any litigation or legal proceeding or subject to any claim that, in the current opinion of management, could reasonably be expected to have a material adverse effect on our financial position or results of operations. However, due to the risks and uncertainties inherent in legal proceedings, actual results could differ from current expected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236" w:type="dxa"/>
        <w:jc w:val="left"/>
        <w:tblInd w:w="0" w:type="dxa"/>
        <w:tblLayout w:type="fixed"/>
        <w:tblCellMar>
          <w:top w:w="28" w:type="dxa"/>
          <w:left w:w="28" w:type="dxa"/>
          <w:bottom w:w="28" w:type="dxa"/>
          <w:right w:w="28" w:type="dxa"/>
        </w:tblCellMar>
      </w:tblPr>
      <w:tblGrid>
        <w:gridCol w:w="294"/>
        <w:gridCol w:w="258"/>
        <w:gridCol w:w="259"/>
        <w:gridCol w:w="417"/>
        <w:gridCol w:w="417"/>
        <w:gridCol w:w="591"/>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1A.</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RISK FACTORS.</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Part 1, Item 1A, “Risk Factors” in our Annual Report on Form 10-K for the fiscal year ended December 31, 2024 (the "2024 Form 10-K"), which was filed with the Securities and Exchange Commission on February 25, 2025, for a complete description of the material risks we face. There have been no material changes to the Company’s risk factors since the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690" w:type="dxa"/>
        <w:jc w:val="left"/>
        <w:tblInd w:w="0" w:type="dxa"/>
        <w:tblLayout w:type="fixed"/>
        <w:tblCellMar>
          <w:top w:w="28" w:type="dxa"/>
          <w:left w:w="28" w:type="dxa"/>
          <w:bottom w:w="28" w:type="dxa"/>
          <w:right w:w="28" w:type="dxa"/>
        </w:tblCellMar>
      </w:tblPr>
      <w:tblGrid>
        <w:gridCol w:w="250"/>
        <w:gridCol w:w="219"/>
        <w:gridCol w:w="221"/>
        <w:gridCol w:w="1757"/>
        <w:gridCol w:w="1757"/>
        <w:gridCol w:w="2486"/>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2.</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UNREGISTERED SALES OF EQUITY SECURITIES AND USE OF PROCEEDS.</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March 1, 2025, as partial consideration for our acquisition of Advancement Resources, we issued 15,378 shares of our common stock, par value $0.01 per share, with an aggregate value of $2.3 million. The issuance was exempt from registration under Section 4(a)(2) of the Securities Act of 1933, as amended, as a transaction by an issuer not involving a public offering.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Stock Ownership Participation Program and 2012 Omnibus Incentive Plan permit the netting of common stock upon vesting of restricted stock awards to satisfy individual tax withholding requirements. During the quarter ended March 31, 2025, we reacquired 212,740 shares of common stock with a weighted average fair market value of $151.27 as a result of such tax withholdings.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November 2020, our board of directors authorized a share repurchase program permitting us to repurchase up to $50 million of our common stock through December 31, 2021. The share repurchase program has been subsequently extended and increased, most recently in the fist quarter of 2025. The current authorization extends the share repurchase program through December 31, 2026 with a repurchase amount of $700 million, of which $191.7 million remains available as of March 31, 2025.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provides information with respect to purchases we made of our common stock during the quarter ended March 31, 2025.</w:t>
      </w:r>
    </w:p>
    <w:tbl>
      <w:tblPr>
        <w:tblW w:w="10205" w:type="dxa"/>
        <w:jc w:val="center"/>
        <w:tblInd w:w="0" w:type="dxa"/>
        <w:tblLayout w:type="fixed"/>
        <w:tblCellMar>
          <w:top w:w="28" w:type="dxa"/>
          <w:left w:w="28" w:type="dxa"/>
          <w:bottom w:w="28" w:type="dxa"/>
          <w:right w:w="28" w:type="dxa"/>
        </w:tblCellMar>
      </w:tblPr>
      <w:tblGrid>
        <w:gridCol w:w="756"/>
        <w:gridCol w:w="633"/>
        <w:gridCol w:w="641"/>
        <w:gridCol w:w="109"/>
        <w:gridCol w:w="109"/>
        <w:gridCol w:w="109"/>
        <w:gridCol w:w="761"/>
        <w:gridCol w:w="716"/>
        <w:gridCol w:w="719"/>
        <w:gridCol w:w="109"/>
        <w:gridCol w:w="109"/>
        <w:gridCol w:w="109"/>
        <w:gridCol w:w="256"/>
        <w:gridCol w:w="846"/>
        <w:gridCol w:w="144"/>
        <w:gridCol w:w="109"/>
        <w:gridCol w:w="109"/>
        <w:gridCol w:w="109"/>
        <w:gridCol w:w="510"/>
        <w:gridCol w:w="510"/>
        <w:gridCol w:w="511"/>
        <w:gridCol w:w="109"/>
        <w:gridCol w:w="109"/>
        <w:gridCol w:w="109"/>
        <w:gridCol w:w="264"/>
        <w:gridCol w:w="1418"/>
        <w:gridCol w:w="212"/>
      </w:tblGrid>
      <w:tr>
        <w:trPr/>
        <w:tc>
          <w:tcPr>
            <w:tcW w:w="75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20"/>
              </w:rPr>
              <w:t xml:space="preserve">Total Number of Shares Purchased </w:t>
            </w:r>
            <w:r>
              <w:rPr>
                <w:rFonts w:ascii="Arial Narrow;sans-serif" w:hAnsi="Arial Narrow;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 Number of</w:t>
              <w:br/>
              <w:t>Shares Purchased</w:t>
              <w:br/>
              <w:t>as Part of Publicly</w:t>
              <w:br/>
              <w:t>Announced Plans</w:t>
              <w:br/>
              <w:t>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Dollar Value of Shares</w:t>
            </w:r>
          </w:p>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that may yet be</w:t>
            </w:r>
          </w:p>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Purchased under the</w:t>
            </w:r>
          </w:p>
          <w:p>
            <w:pPr>
              <w:pStyle w:val="TableContents"/>
              <w:bidi w:val="0"/>
              <w:spacing w:lineRule="auto" w:line="240" w:before="0" w:after="0"/>
              <w:jc w:val="center"/>
              <w:rPr/>
            </w:pPr>
            <w:r>
              <w:rPr>
                <w:rFonts w:ascii="Arial Narrow;sans-serif" w:hAnsi="Arial Narrow;sans-serif"/>
                <w:b/>
                <w:color w:val="000000"/>
                <w:sz w:val="20"/>
              </w:rPr>
              <w:t xml:space="preserve">Plans or Programs </w:t>
            </w:r>
            <w:r>
              <w:rPr>
                <w:rFonts w:ascii="Arial Narrow;sans-serif" w:hAnsi="Arial Narrow;sans-serif"/>
                <w:b/>
                <w:color w:val="000000"/>
                <w:sz w:val="13"/>
              </w:rPr>
              <w:t>(2)</w:t>
            </w:r>
          </w:p>
        </w:tc>
      </w:tr>
      <w:tr>
        <w:trPr/>
        <w:tc>
          <w:tcPr>
            <w:tcW w:w="2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January 1, 2025 - January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44,700 </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123.84 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35,946 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60,070,807 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February 1, 2025 - February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69,729 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143.46 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69,729 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50,065,466 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March 1, 2025 -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606,922 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147.34 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402,936 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191,722,978 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721,351 </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145.51 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508,611 </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80" w:after="283"/>
        <w:ind w:left="0" w:right="0" w:hanging="1080"/>
        <w:jc w:val="left"/>
        <w:rPr>
          <w:rFonts w:ascii="Arial Narrow;sans-serif" w:hAnsi="Arial Narrow;sans-serif"/>
          <w:b w:val="false"/>
          <w:color w:val="000000"/>
          <w:sz w:val="20"/>
        </w:rPr>
      </w:pPr>
      <w:r>
        <w:rPr>
          <w:rFonts w:ascii="Arial Narrow;sans-serif" w:hAnsi="Arial Narrow;sans-serif"/>
          <w:b w:val="false"/>
          <w:color w:val="000000"/>
          <w:sz w:val="20"/>
        </w:rPr>
        <w:t>(1)The number of shares repurchased included 8,754 shares in January 2025 and 203,986 shares in March 2025 to satisfy employee tax withholding requirements. These shares do not reduce the repurchase authority under the share repurchase program.</w:t>
      </w:r>
    </w:p>
    <w:p>
      <w:pPr>
        <w:pStyle w:val="TextBody"/>
        <w:bidi w:val="0"/>
        <w:spacing w:lineRule="auto" w:line="288" w:before="60" w:after="283"/>
        <w:ind w:left="0" w:right="0" w:hanging="1080"/>
        <w:jc w:val="left"/>
        <w:rPr>
          <w:rFonts w:ascii="Arial Narrow;sans-serif" w:hAnsi="Arial Narrow;sans-serif"/>
          <w:b w:val="false"/>
          <w:color w:val="000000"/>
          <w:sz w:val="20"/>
        </w:rPr>
      </w:pPr>
      <w:r>
        <w:rPr>
          <w:rFonts w:ascii="Arial Narrow;sans-serif" w:hAnsi="Arial Narrow;sans-serif"/>
          <w:b w:val="false"/>
          <w:color w:val="000000"/>
          <w:sz w:val="20"/>
        </w:rPr>
        <w:t>(2)As of the end of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960" w:type="dxa"/>
        <w:jc w:val="left"/>
        <w:tblInd w:w="0" w:type="dxa"/>
        <w:tblLayout w:type="fixed"/>
        <w:tblCellMar>
          <w:top w:w="28" w:type="dxa"/>
          <w:left w:w="28" w:type="dxa"/>
          <w:bottom w:w="28" w:type="dxa"/>
          <w:right w:w="28" w:type="dxa"/>
        </w:tblCellMar>
      </w:tblPr>
      <w:tblGrid>
        <w:gridCol w:w="250"/>
        <w:gridCol w:w="219"/>
        <w:gridCol w:w="221"/>
        <w:gridCol w:w="958"/>
        <w:gridCol w:w="958"/>
        <w:gridCol w:w="1354"/>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3.</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DEFAULTS UPON SENIOR SECURITIES.</w:t>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94" w:type="dxa"/>
        <w:jc w:val="left"/>
        <w:tblInd w:w="0" w:type="dxa"/>
        <w:tblLayout w:type="fixed"/>
        <w:tblCellMar>
          <w:top w:w="28" w:type="dxa"/>
          <w:left w:w="28" w:type="dxa"/>
          <w:bottom w:w="28" w:type="dxa"/>
          <w:right w:w="28" w:type="dxa"/>
        </w:tblCellMar>
      </w:tblPr>
      <w:tblGrid>
        <w:gridCol w:w="250"/>
        <w:gridCol w:w="219"/>
        <w:gridCol w:w="221"/>
        <w:gridCol w:w="733"/>
        <w:gridCol w:w="733"/>
        <w:gridCol w:w="1038"/>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4.</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MINE SAFETY DISCLOSURES.</w:t>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654" w:type="dxa"/>
        <w:jc w:val="left"/>
        <w:tblInd w:w="0" w:type="dxa"/>
        <w:tblLayout w:type="fixed"/>
        <w:tblCellMar>
          <w:top w:w="28" w:type="dxa"/>
          <w:left w:w="28" w:type="dxa"/>
          <w:bottom w:w="28" w:type="dxa"/>
          <w:right w:w="28" w:type="dxa"/>
        </w:tblCellMar>
      </w:tblPr>
      <w:tblGrid>
        <w:gridCol w:w="250"/>
        <w:gridCol w:w="219"/>
        <w:gridCol w:w="221"/>
        <w:gridCol w:w="574"/>
        <w:gridCol w:w="574"/>
        <w:gridCol w:w="816"/>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5.</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 INFORMATION.</w:t>
            </w:r>
          </w:p>
        </w:tc>
      </w:tr>
    </w:tbl>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Securities Trading Plans of Directors and Executive Officers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describes contracts, instructions or written plans for the sale or purchase of our securities adopted by our officers and/or directors during the first quarter of 2025, each of which is intended to satisfy the affirmative defense conditions of Rule 10b5-1(c), referred to as Rule 10b5-1 trading plans.</w:t>
      </w:r>
    </w:p>
    <w:tbl>
      <w:tblPr>
        <w:tblW w:w="10205" w:type="dxa"/>
        <w:jc w:val="left"/>
        <w:tblInd w:w="0" w:type="dxa"/>
        <w:tblLayout w:type="fixed"/>
        <w:tblCellMar>
          <w:top w:w="28" w:type="dxa"/>
          <w:left w:w="28" w:type="dxa"/>
          <w:bottom w:w="28" w:type="dxa"/>
          <w:right w:w="28" w:type="dxa"/>
        </w:tblCellMar>
      </w:tblPr>
      <w:tblGrid>
        <w:gridCol w:w="582"/>
        <w:gridCol w:w="405"/>
        <w:gridCol w:w="408"/>
        <w:gridCol w:w="109"/>
        <w:gridCol w:w="109"/>
        <w:gridCol w:w="109"/>
        <w:gridCol w:w="244"/>
        <w:gridCol w:w="244"/>
        <w:gridCol w:w="248"/>
        <w:gridCol w:w="109"/>
        <w:gridCol w:w="109"/>
        <w:gridCol w:w="109"/>
        <w:gridCol w:w="658"/>
        <w:gridCol w:w="658"/>
        <w:gridCol w:w="661"/>
        <w:gridCol w:w="109"/>
        <w:gridCol w:w="109"/>
        <w:gridCol w:w="109"/>
        <w:gridCol w:w="889"/>
        <w:gridCol w:w="889"/>
        <w:gridCol w:w="892"/>
        <w:gridCol w:w="109"/>
        <w:gridCol w:w="109"/>
        <w:gridCol w:w="109"/>
        <w:gridCol w:w="617"/>
        <w:gridCol w:w="617"/>
        <w:gridCol w:w="885"/>
      </w:tblGrid>
      <w:tr>
        <w:trPr/>
        <w:tc>
          <w:tcPr>
            <w:tcW w:w="58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9"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Name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Date of Rule 10b5-1 Trading Plan 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Scheduled Expiration Date of Rule 10b5-1 Trading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Aggregate Number of Shares to be Sold</w:t>
            </w:r>
          </w:p>
        </w:tc>
      </w:tr>
      <w:tr>
        <w:trPr/>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Hugh E. Sawyer -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3/6/2025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2/27/2026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4,008</w:t>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9"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During the first quarter of 2025, none of our officers or directors modified or terminated contracts, instructions or written plans for the sale or purchase of our securities intended to satisfy the affirmative defense condition of Rule 10b5-1(c) or adopted, modified or terminated a non-Rule 10b5-1 trading arrangement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636" w:type="dxa"/>
        <w:jc w:val="left"/>
        <w:tblInd w:w="0" w:type="dxa"/>
        <w:tblLayout w:type="fixed"/>
        <w:tblCellMar>
          <w:top w:w="28" w:type="dxa"/>
          <w:left w:w="28" w:type="dxa"/>
          <w:bottom w:w="28" w:type="dxa"/>
          <w:right w:w="28" w:type="dxa"/>
        </w:tblCellMar>
      </w:tblPr>
      <w:tblGrid>
        <w:gridCol w:w="250"/>
        <w:gridCol w:w="219"/>
        <w:gridCol w:w="221"/>
        <w:gridCol w:w="277"/>
        <w:gridCol w:w="277"/>
        <w:gridCol w:w="392"/>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6.</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EXHIBITS.</w:t>
            </w:r>
          </w:p>
        </w:tc>
      </w:tr>
    </w:tbl>
    <w:p>
      <w:pPr>
        <w:pStyle w:val="TextBody"/>
        <w:bidi w:val="0"/>
        <w:spacing w:lineRule="auto" w:line="288" w:before="80" w:after="283"/>
        <w:jc w:val="left"/>
        <w:rPr/>
      </w:pPr>
      <w:r>
        <w:rPr>
          <w:rFonts w:ascii="Arial Narrow;sans-serif" w:hAnsi="Arial Narrow;sans-serif"/>
          <w:b w:val="false"/>
          <w:color w:val="000000"/>
          <w:sz w:val="20"/>
        </w:rPr>
        <w:t>(a) The following exhibits are filed as part of this Quarterly Report on Form 10-Q.</w:t>
      </w:r>
      <w:r>
        <w:rPr>
          <w:color w:val="000000"/>
        </w:rPr>
        <w:t> </w:t>
      </w:r>
    </w:p>
    <w:tbl>
      <w:tblPr>
        <w:tblW w:w="10205" w:type="dxa"/>
        <w:jc w:val="left"/>
        <w:tblInd w:w="0" w:type="dxa"/>
        <w:tblLayout w:type="fixed"/>
        <w:tblCellMar>
          <w:top w:w="28" w:type="dxa"/>
          <w:left w:w="28" w:type="dxa"/>
          <w:bottom w:w="28" w:type="dxa"/>
          <w:right w:w="28" w:type="dxa"/>
        </w:tblCellMar>
      </w:tblPr>
      <w:tblGrid>
        <w:gridCol w:w="242"/>
        <w:gridCol w:w="213"/>
        <w:gridCol w:w="215"/>
        <w:gridCol w:w="109"/>
        <w:gridCol w:w="109"/>
        <w:gridCol w:w="109"/>
        <w:gridCol w:w="1289"/>
        <w:gridCol w:w="1119"/>
        <w:gridCol w:w="1124"/>
        <w:gridCol w:w="109"/>
        <w:gridCol w:w="109"/>
        <w:gridCol w:w="109"/>
        <w:gridCol w:w="230"/>
        <w:gridCol w:w="230"/>
        <w:gridCol w:w="231"/>
        <w:gridCol w:w="109"/>
        <w:gridCol w:w="109"/>
        <w:gridCol w:w="109"/>
        <w:gridCol w:w="270"/>
        <w:gridCol w:w="270"/>
        <w:gridCol w:w="271"/>
        <w:gridCol w:w="109"/>
        <w:gridCol w:w="109"/>
        <w:gridCol w:w="109"/>
        <w:gridCol w:w="155"/>
        <w:gridCol w:w="155"/>
        <w:gridCol w:w="156"/>
        <w:gridCol w:w="109"/>
        <w:gridCol w:w="109"/>
        <w:gridCol w:w="109"/>
        <w:gridCol w:w="200"/>
        <w:gridCol w:w="200"/>
        <w:gridCol w:w="201"/>
        <w:gridCol w:w="109"/>
        <w:gridCol w:w="109"/>
        <w:gridCol w:w="109"/>
        <w:gridCol w:w="195"/>
        <w:gridCol w:w="195"/>
        <w:gridCol w:w="196"/>
        <w:gridCol w:w="109"/>
        <w:gridCol w:w="109"/>
        <w:gridCol w:w="109"/>
        <w:gridCol w:w="162"/>
        <w:gridCol w:w="162"/>
        <w:gridCol w:w="235"/>
      </w:tblGrid>
      <w:tr>
        <w:trPr/>
        <w:tc>
          <w:tcPr>
            <w:tcW w:w="24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Incorporated by Reference</w:t>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Filed</w:t>
              <w:br/>
              <w:t>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Furnished</w:t>
              <w:br/>
              <w:t>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Period</w:t>
              <w:br/>
              <w:t>Ending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Filing</w:t>
              <w:br/>
              <w:t>Date</w:t>
            </w:r>
          </w:p>
        </w:tc>
      </w:tr>
      <w:tr>
        <w:trPr/>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onniedailsmaamendment2025.htm">
              <w:r>
                <w:rPr>
                  <w:rStyle w:val="InternetLink"/>
                  <w:rFonts w:ascii="Arial Narrow;sans-serif" w:hAnsi="Arial Narrow;sans-serif"/>
                  <w:b w:val="false"/>
                  <w:color w:val="0000FF"/>
                  <w:sz w:val="18"/>
                  <w:u w:val="single"/>
                </w:rPr>
                <w:t>Amendment to Senior Management Agreement by and between Huron Consulting Group Inc. and James R. Dail Jr.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ellysmaamendment.htm">
              <w:r>
                <w:rPr>
                  <w:rStyle w:val="InternetLink"/>
                  <w:rFonts w:ascii="Arial Narrow;sans-serif" w:hAnsi="Arial Narrow;sans-serif"/>
                  <w:b w:val="false"/>
                  <w:color w:val="0000FF"/>
                  <w:sz w:val="18"/>
                  <w:u w:val="single"/>
                </w:rPr>
                <w:t>Amendment to Senior Management Agreement by and between Huron Consulting Group Inc. and John D. Kelly.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opekatzsma2025.htm">
              <w:r>
                <w:rPr>
                  <w:rStyle w:val="InternetLink"/>
                  <w:rFonts w:ascii="Arial Narrow;sans-serif" w:hAnsi="Arial Narrow;sans-serif"/>
                  <w:b w:val="false"/>
                  <w:color w:val="0000FF"/>
                  <w:sz w:val="18"/>
                  <w:u w:val="single"/>
                </w:rPr>
                <w:t>Senior Management Agreement by and between Huron Consulting Group Inc. and Hope Katz.</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5331exhibit311.htm">
              <w:r>
                <w:rPr>
                  <w:rStyle w:val="InternetLink"/>
                  <w:rFonts w:ascii="Arial Narrow;sans-serif" w:hAnsi="Arial Narrow;sans-serif"/>
                  <w:b w:val="false"/>
                  <w:color w:val="0000FF"/>
                  <w:sz w:val="18"/>
                  <w:u w:val="single"/>
                </w:rPr>
                <w:t>Certification of the Chief Executive Officer, pursuant to Rule 13a-14(a)/15d-14(a),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5331exhibit312.htm">
              <w:r>
                <w:rPr>
                  <w:rStyle w:val="InternetLink"/>
                  <w:rFonts w:ascii="Arial Narrow;sans-serif" w:hAnsi="Arial Narrow;sans-serif"/>
                  <w:b w:val="false"/>
                  <w:color w:val="0000FF"/>
                  <w:sz w:val="18"/>
                  <w:u w:val="single"/>
                </w:rPr>
                <w:t>Certification of the Chief Financial Officer, pursuant to Rule 13a-14(a)/15d-14(a),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5331exhibit321.htm">
              <w:r>
                <w:rPr>
                  <w:rStyle w:val="InternetLink"/>
                  <w:rFonts w:ascii="Arial Narrow;sans-serif" w:hAnsi="Arial Narrow;sans-serif"/>
                  <w:b w:val="false"/>
                  <w:color w:val="0000FF"/>
                  <w:sz w:val="18"/>
                  <w:u w:val="single"/>
                </w:rPr>
                <w:t>Certification of the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5331exhibit322.htm">
              <w:r>
                <w:rPr>
                  <w:rStyle w:val="InternetLink"/>
                  <w:rFonts w:ascii="Arial Narrow;sans-serif" w:hAnsi="Arial Narrow;sans-serif"/>
                  <w:b w:val="false"/>
                  <w:color w:val="0000FF"/>
                  <w:sz w:val="18"/>
                  <w:u w:val="single"/>
                </w:rPr>
                <w:t>Certification of the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Indicates the exhibit is a 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26238456052d453b8ac3a8a3e8271b26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SIGNATURE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80" w:after="283"/>
        <w:jc w:val="left"/>
        <w:rPr>
          <w:color w:val="000000"/>
        </w:rPr>
      </w:pPr>
      <w:r>
        <w:rPr>
          <w:color w:val="000000"/>
        </w:rPr>
        <w:t> </w:t>
      </w:r>
    </w:p>
    <w:tbl>
      <w:tblPr>
        <w:tblW w:w="5049" w:type="dxa"/>
        <w:jc w:val="left"/>
        <w:tblInd w:w="0" w:type="dxa"/>
        <w:tblLayout w:type="fixed"/>
        <w:tblCellMar>
          <w:top w:w="28" w:type="dxa"/>
          <w:left w:w="28" w:type="dxa"/>
          <w:bottom w:w="28" w:type="dxa"/>
          <w:right w:w="28" w:type="dxa"/>
        </w:tblCellMar>
      </w:tblPr>
      <w:tblGrid>
        <w:gridCol w:w="184"/>
        <w:gridCol w:w="162"/>
        <w:gridCol w:w="164"/>
        <w:gridCol w:w="364"/>
        <w:gridCol w:w="364"/>
        <w:gridCol w:w="367"/>
        <w:gridCol w:w="109"/>
        <w:gridCol w:w="109"/>
        <w:gridCol w:w="109"/>
        <w:gridCol w:w="109"/>
        <w:gridCol w:w="109"/>
        <w:gridCol w:w="109"/>
        <w:gridCol w:w="817"/>
        <w:gridCol w:w="817"/>
        <w:gridCol w:w="1156"/>
      </w:tblGrid>
      <w:tr>
        <w:trPr/>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Consulting Group Inc.</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(Registrant)</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April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JOHN D. KELLY</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John D. Kelly</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Executive Vice President, </w:t>
              <w:br/>
              <w:t>Chief Financial Officer and Treasurer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40</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AMENDMENT TO SENIOR MANAGEMENT AGREEMENT</w:t>
      </w:r>
    </w:p>
    <w:p>
      <w:pPr>
        <w:pStyle w:val="TextBody"/>
        <w:bidi w:val="0"/>
        <w:spacing w:lineRule="auto" w:line="268" w:before="0" w:after="0"/>
        <w:ind w:left="0" w:right="0" w:firstLine="382"/>
        <w:jc w:val="center"/>
        <w:rPr>
          <w:rFonts w:ascii="Times New Roman;sans-serif" w:hAnsi="Times New Roman;sans-serif"/>
          <w:b/>
          <w:color w:val="000000"/>
          <w:sz w:val="24"/>
          <w:u w:val="single"/>
        </w:rPr>
      </w:pPr>
      <w:r>
        <w:rPr>
          <w:rFonts w:ascii="Times New Roman;sans-serif" w:hAnsi="Times New Roman;sans-serif"/>
          <w:b/>
          <w:color w:val="000000"/>
          <w:sz w:val="24"/>
          <w:u w:val="single"/>
        </w:rPr>
        <w:t>James R. Dail Jr.</w:t>
      </w:r>
    </w:p>
    <w:p>
      <w:pPr>
        <w:pStyle w:val="TextBody"/>
        <w:bidi w:val="0"/>
        <w:spacing w:before="0" w:after="0"/>
        <w:ind w:left="0" w:right="0" w:firstLine="382"/>
        <w:jc w:val="center"/>
        <w:rPr/>
      </w:pPr>
      <w:r>
        <w:rPr/>
      </w:r>
    </w:p>
    <w:p>
      <w:pPr>
        <w:pStyle w:val="TextBody"/>
        <w:bidi w:val="0"/>
        <w:spacing w:lineRule="auto" w:line="268"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This is an amendment (“Amendment”) to the Senior Management Agreement executed June 1, 2022 (the “SMA”), between Huron Consulting Group Inc. (the “Company”) and James R. Dail Jr. (“Executive”), and this Amendment is effective as of January 1, 2025 (the “Amendment Effective Date”).</w:t>
      </w:r>
    </w:p>
    <w:p>
      <w:pPr>
        <w:pStyle w:val="TextBody"/>
        <w:bidi w:val="0"/>
        <w:spacing w:before="0" w:after="0"/>
        <w:ind w:left="0" w:right="0" w:firstLine="719"/>
        <w:jc w:val="both"/>
        <w:rPr/>
      </w:pPr>
      <w:r>
        <w:rPr/>
      </w:r>
    </w:p>
    <w:p>
      <w:pPr>
        <w:pStyle w:val="TextBody"/>
        <w:bidi w:val="0"/>
        <w:spacing w:lineRule="auto" w:line="268"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Company and Executive previously entered into the SMA, as modified from time to time;</w:t>
      </w:r>
    </w:p>
    <w:p>
      <w:pPr>
        <w:pStyle w:val="TextBody"/>
        <w:bidi w:val="0"/>
        <w:spacing w:before="0" w:after="0"/>
        <w:jc w:val="left"/>
        <w:rPr/>
      </w:pPr>
      <w:r>
        <w:rPr/>
      </w:r>
    </w:p>
    <w:p>
      <w:pPr>
        <w:pStyle w:val="TextBody"/>
        <w:bidi w:val="0"/>
        <w:spacing w:lineRule="auto" w:line="268"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Company desires to continue to employ Executive as Executive Vice President, Chief Operating Officer as of the Amendment Effective Date pursuant to the terms of the SMA as modified herein;</w:t>
      </w:r>
    </w:p>
    <w:p>
      <w:pPr>
        <w:pStyle w:val="TextBody"/>
        <w:bidi w:val="0"/>
        <w:spacing w:before="0" w:after="0"/>
        <w:jc w:val="left"/>
        <w:rPr/>
      </w:pPr>
      <w:r>
        <w:rPr/>
      </w:r>
    </w:p>
    <w:p>
      <w:pPr>
        <w:pStyle w:val="TextBody"/>
        <w:bidi w:val="0"/>
        <w:spacing w:lineRule="auto" w:line="268"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premises, the mutual covenants of the parties hereinafter set forth and other good and valuable consideration, the receipt and sufficiency of which are hereby acknowledged, the parties hereto hereby agree as follows: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4"/>
        </w:rPr>
        <w:t xml:space="preserve">5.5 </w:t>
      </w:r>
      <w:r>
        <w:rPr>
          <w:rFonts w:ascii="Times New Roman;sans-serif" w:hAnsi="Times New Roman;sans-serif"/>
          <w:b/>
          <w:color w:val="000000"/>
          <w:sz w:val="24"/>
          <w:u w:val="single"/>
        </w:rPr>
        <w:t>Change of Control</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ans-serif" w:hAnsi="Times New Roman;sans-serif"/>
          <w:b w:val="false"/>
          <w:i/>
          <w:color w:val="000000"/>
          <w:sz w:val="24"/>
        </w:rPr>
      </w:pPr>
      <w:r>
        <w:rPr>
          <w:rFonts w:ascii="Times New Roman;sans-serif" w:hAnsi="Times New Roman;sans-serif"/>
          <w:b w:val="false"/>
          <w:i/>
          <w:color w:val="000000"/>
          <w:sz w:val="24"/>
        </w:rPr>
        <w:t>The following language in SMA section 5.5(f) shall be stricken and not replaced:</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foregoing to the contrary notwithstanding, if Huron is acquired as a subsidiary or division of a reporting company pursuant to Section 13 and Section 15(d) of the Securities Exchange Act of 1934, the fact that Executive is not named as Chief Operating Officer of the reporting company following the Change of Control shall not constitute CoC Good Reason.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382"/>
        <w:jc w:val="center"/>
        <w:rPr>
          <w:rFonts w:ascii="Times New Roman;sans-serif" w:hAnsi="Times New Roman;sans-serif"/>
          <w:b w:val="false"/>
          <w:i/>
          <w:color w:val="000000"/>
          <w:sz w:val="24"/>
        </w:rPr>
      </w:pPr>
      <w:r>
        <w:rPr>
          <w:rFonts w:ascii="Times New Roman;sans-serif" w:hAnsi="Times New Roman;sans-serif"/>
          <w:b w:val="false"/>
          <w:i/>
          <w:color w:val="000000"/>
          <w:sz w:val="24"/>
        </w:rPr>
        <w:t>[INTENTIONALLY LEFT BLANK]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Except for those provisions of the SMA specifically modified herein, all terms and conditions of the SMA remain in full force and effect and are not changed or superseded in any way by this Amendment.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executed this Amendment as of the dates written below.</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COMPANY: </w:t>
      </w:r>
    </w:p>
    <w:p>
      <w:pPr>
        <w:pStyle w:val="TextBody"/>
        <w:bidi w:val="0"/>
        <w:spacing w:lineRule="auto" w:line="288" w:before="180" w:after="283"/>
        <w:jc w:val="left"/>
        <w:rPr>
          <w:rFonts w:ascii="Times New Roman;sans-serif" w:hAnsi="Times New Roman;sans-serif"/>
          <w:b/>
          <w:color w:val="000000"/>
          <w:sz w:val="24"/>
        </w:rPr>
      </w:pPr>
      <w:r>
        <w:rPr>
          <w:rFonts w:ascii="Times New Roman;sans-serif" w:hAnsi="Times New Roman;sans-serif"/>
          <w:b/>
          <w:color w:val="000000"/>
          <w:sz w:val="24"/>
        </w:rPr>
        <w:t xml:space="preserve">HURON CONSULTING GROUP INC. </w:t>
      </w:r>
    </w:p>
    <w:tbl>
      <w:tblPr>
        <w:tblW w:w="5111" w:type="dxa"/>
        <w:jc w:val="left"/>
        <w:tblInd w:w="0" w:type="dxa"/>
        <w:tblLayout w:type="fixed"/>
        <w:tblCellMar>
          <w:top w:w="28" w:type="dxa"/>
          <w:left w:w="28" w:type="dxa"/>
          <w:bottom w:w="28" w:type="dxa"/>
          <w:right w:w="28" w:type="dxa"/>
        </w:tblCellMar>
      </w:tblPr>
      <w:tblGrid>
        <w:gridCol w:w="227"/>
        <w:gridCol w:w="200"/>
        <w:gridCol w:w="203"/>
        <w:gridCol w:w="1368"/>
        <w:gridCol w:w="1368"/>
        <w:gridCol w:w="1373"/>
        <w:gridCol w:w="109"/>
        <w:gridCol w:w="109"/>
        <w:gridCol w:w="154"/>
      </w:tblGrid>
      <w:tr>
        <w:trPr/>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Kristen Bruner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Its:</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CVP and Chief Human Resources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tc>
        <w:tc>
          <w:tcPr>
            <w:tcW w:w="41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4/8/2025</w:t>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EXECUTIVE: </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JAMES R. DAIL JR. </w:t>
      </w:r>
    </w:p>
    <w:p>
      <w:pPr>
        <w:pStyle w:val="TextBody"/>
        <w:bidi w:val="0"/>
        <w:spacing w:before="0" w:after="0"/>
        <w:jc w:val="left"/>
        <w:rPr/>
      </w:pPr>
      <w:r>
        <w:rPr/>
      </w:r>
    </w:p>
    <w:tbl>
      <w:tblPr>
        <w:tblW w:w="2532" w:type="dxa"/>
        <w:jc w:val="left"/>
        <w:tblInd w:w="0" w:type="dxa"/>
        <w:tblLayout w:type="fixed"/>
        <w:tblCellMar>
          <w:top w:w="28" w:type="dxa"/>
          <w:left w:w="28" w:type="dxa"/>
          <w:bottom w:w="28" w:type="dxa"/>
          <w:right w:w="28" w:type="dxa"/>
        </w:tblCellMar>
      </w:tblPr>
      <w:tblGrid>
        <w:gridCol w:w="227"/>
        <w:gridCol w:w="200"/>
        <w:gridCol w:w="203"/>
        <w:gridCol w:w="509"/>
        <w:gridCol w:w="509"/>
        <w:gridCol w:w="512"/>
        <w:gridCol w:w="109"/>
        <w:gridCol w:w="109"/>
        <w:gridCol w:w="154"/>
      </w:tblGrid>
      <w:tr>
        <w:trPr/>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Ronnie Dail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Ronnie Dail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(print name)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tc>
        <w:tc>
          <w:tcPr>
            <w:tcW w:w="15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4/8/2025</w:t>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10.2</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AMENDMENT TO SENIOR MANAGEMENT AGREEMENT</w: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JOHN D. KELLY</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This is an amendment (“Amendment”) to the Senior Management Agreement effective January 3, 2017 (the “SMA”), between Huron Consulting Group Inc. (the “Company”) and John D. Kelly (“Executive”), and this Amendment is effective as of January 1, 2025 (the “Amendment Effective Date”).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WHEREAS, the Company and Executive previously entered into the SMA, as modified from time to time;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WHEREAS, the Company desires to continue to employ Executive as Executive Vice</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President, Chief Financial Officer as of the Amendment Effective Date pursuant to the terms of</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SMA as modified herein;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premises, the mutual covenants of the parties hereinafter set forth and other good and valuable consideration, the receipt and sufficiency of which are hereby acknowledged, the parties hereto hereby agree as follows: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5.5 Change of Control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4"/>
        </w:rPr>
      </w:pPr>
      <w:r>
        <w:rPr>
          <w:rFonts w:ascii="Times New Roman;sans-serif" w:hAnsi="Times New Roman;sans-serif"/>
          <w:b w:val="false"/>
          <w:i/>
          <w:color w:val="000000"/>
          <w:sz w:val="24"/>
        </w:rPr>
        <w:t xml:space="preserve">The following language in SMA section 5.5(f) shall be stricken and not replaced: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foregoing to the contrary notwithstanding, if Huron is acquired as a subsidiary or division of a reporting company pursuant to Section 13 and Section 15(d) of the Securities Exchange Act of 1934, the fact that Executive is not named as General Counsel of the reporting company following the Change of Control shall not constitute CoC Good Reason.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[INTENTIONALLY LEFT BLANK]</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10.2</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Except for those provisions of the SMA specifically modified herein, all terms and conditions of the SMA remain in full force and effect and are not changed or superseded in any way by this Amendment.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IN WITNESS WHEREOF, the parties hereto have executed this Amendment as of the dates written below.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COMPANY: </w:t>
      </w:r>
    </w:p>
    <w:p>
      <w:pPr>
        <w:pStyle w:val="TextBody"/>
        <w:bidi w:val="0"/>
        <w:spacing w:lineRule="auto" w:line="288" w:before="180" w:after="283"/>
        <w:jc w:val="left"/>
        <w:rPr>
          <w:rFonts w:ascii="Times New Roman;sans-serif" w:hAnsi="Times New Roman;sans-serif"/>
          <w:b/>
          <w:color w:val="000000"/>
          <w:sz w:val="24"/>
        </w:rPr>
      </w:pPr>
      <w:r>
        <w:rPr>
          <w:rFonts w:ascii="Times New Roman;sans-serif" w:hAnsi="Times New Roman;sans-serif"/>
          <w:b/>
          <w:color w:val="000000"/>
          <w:sz w:val="24"/>
        </w:rPr>
        <w:t xml:space="preserve">HURON CONSULTING GROUP INC. </w:t>
      </w:r>
    </w:p>
    <w:p>
      <w:pPr>
        <w:pStyle w:val="TextBody"/>
        <w:bidi w:val="0"/>
        <w:spacing w:before="0" w:after="0"/>
        <w:jc w:val="left"/>
        <w:rPr/>
      </w:pPr>
      <w:r>
        <w:rPr/>
      </w:r>
    </w:p>
    <w:tbl>
      <w:tblPr>
        <w:tblW w:w="5111" w:type="dxa"/>
        <w:jc w:val="left"/>
        <w:tblInd w:w="0" w:type="dxa"/>
        <w:tblLayout w:type="fixed"/>
        <w:tblCellMar>
          <w:top w:w="28" w:type="dxa"/>
          <w:left w:w="28" w:type="dxa"/>
          <w:bottom w:w="28" w:type="dxa"/>
          <w:right w:w="28" w:type="dxa"/>
        </w:tblCellMar>
      </w:tblPr>
      <w:tblGrid>
        <w:gridCol w:w="227"/>
        <w:gridCol w:w="200"/>
        <w:gridCol w:w="203"/>
        <w:gridCol w:w="1368"/>
        <w:gridCol w:w="1368"/>
        <w:gridCol w:w="1373"/>
        <w:gridCol w:w="109"/>
        <w:gridCol w:w="109"/>
        <w:gridCol w:w="154"/>
      </w:tblGrid>
      <w:tr>
        <w:trPr/>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Kristen Bruner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Its:</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CVP and Chief Human Resources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tc>
        <w:tc>
          <w:tcPr>
            <w:tcW w:w="41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4/10/2025</w:t>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EXECUTIVE: </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JOHN D. KELLY </w:t>
      </w:r>
    </w:p>
    <w:p>
      <w:pPr>
        <w:pStyle w:val="TextBody"/>
        <w:bidi w:val="0"/>
        <w:spacing w:before="0" w:after="0"/>
        <w:jc w:val="left"/>
        <w:rPr/>
      </w:pPr>
      <w:r>
        <w:rPr/>
      </w:r>
    </w:p>
    <w:tbl>
      <w:tblPr>
        <w:tblW w:w="2712" w:type="dxa"/>
        <w:jc w:val="left"/>
        <w:tblInd w:w="0" w:type="dxa"/>
        <w:tblLayout w:type="fixed"/>
        <w:tblCellMar>
          <w:top w:w="28" w:type="dxa"/>
          <w:left w:w="28" w:type="dxa"/>
          <w:bottom w:w="28" w:type="dxa"/>
          <w:right w:w="28" w:type="dxa"/>
        </w:tblCellMar>
      </w:tblPr>
      <w:tblGrid>
        <w:gridCol w:w="227"/>
        <w:gridCol w:w="200"/>
        <w:gridCol w:w="203"/>
        <w:gridCol w:w="569"/>
        <w:gridCol w:w="569"/>
        <w:gridCol w:w="572"/>
        <w:gridCol w:w="109"/>
        <w:gridCol w:w="109"/>
        <w:gridCol w:w="154"/>
      </w:tblGrid>
      <w:tr>
        <w:trPr/>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John D. Kelly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John D. Kelly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(print name)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tc>
        <w:tc>
          <w:tcPr>
            <w:tcW w:w="17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4/10/2025</w:t>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44" w:before="0" w:after="0"/>
        <w:ind w:left="0" w:right="0" w:firstLine="2649"/>
        <w:jc w:val="center"/>
        <w:rPr>
          <w:rFonts w:ascii="Times New Roman;sans-serif" w:hAnsi="Times New Roman;sans-serif"/>
          <w:b/>
          <w:color w:val="000000"/>
          <w:sz w:val="24"/>
        </w:rPr>
      </w:pPr>
      <w:r>
        <w:rPr>
          <w:rFonts w:ascii="Times New Roman;sans-serif" w:hAnsi="Times New Roman;sans-serif"/>
          <w:b/>
          <w:color w:val="000000"/>
          <w:sz w:val="24"/>
        </w:rPr>
        <w:t xml:space="preserve">SENIOR MANAGEMENT AGREEMENT </w:t>
      </w:r>
    </w:p>
    <w:p>
      <w:pPr>
        <w:pStyle w:val="TextBody"/>
        <w:bidi w:val="0"/>
        <w:spacing w:lineRule="auto" w:line="444" w:before="0" w:after="0"/>
        <w:ind w:left="0" w:right="0" w:firstLine="2649"/>
        <w:jc w:val="center"/>
        <w:rPr>
          <w:rFonts w:ascii="Times New Roman;sans-serif" w:hAnsi="Times New Roman;sans-serif"/>
          <w:b/>
          <w:color w:val="000000"/>
          <w:sz w:val="24"/>
        </w:rPr>
      </w:pPr>
      <w:r>
        <w:rPr>
          <w:rFonts w:ascii="Times New Roman;sans-serif" w:hAnsi="Times New Roman;sans-serif"/>
          <w:b/>
          <w:color w:val="000000"/>
          <w:sz w:val="24"/>
        </w:rPr>
        <w:t>BY AND BETWEEN</w:t>
      </w:r>
    </w:p>
    <w:p>
      <w:pPr>
        <w:pStyle w:val="TextBody"/>
        <w:bidi w:val="0"/>
        <w:spacing w:lineRule="auto" w:line="451" w:before="0" w:after="0"/>
        <w:ind w:left="0" w:right="0" w:firstLine="2649"/>
        <w:jc w:val="center"/>
        <w:rPr>
          <w:rFonts w:ascii="Times New Roman;sans-serif" w:hAnsi="Times New Roman;sans-serif"/>
          <w:b/>
          <w:color w:val="000000"/>
          <w:sz w:val="24"/>
        </w:rPr>
      </w:pPr>
      <w:r>
        <w:rPr>
          <w:rFonts w:ascii="Times New Roman;sans-serif" w:hAnsi="Times New Roman;sans-serif"/>
          <w:b/>
          <w:color w:val="000000"/>
          <w:sz w:val="24"/>
        </w:rPr>
        <w:t xml:space="preserve">HURON CONSULTING GROUP INC. </w:t>
      </w:r>
    </w:p>
    <w:p>
      <w:pPr>
        <w:pStyle w:val="TextBody"/>
        <w:bidi w:val="0"/>
        <w:spacing w:lineRule="auto" w:line="451" w:before="0" w:after="0"/>
        <w:ind w:left="0" w:right="0" w:firstLine="2649"/>
        <w:jc w:val="center"/>
        <w:rPr>
          <w:rFonts w:ascii="Times New Roman;sans-serif" w:hAnsi="Times New Roman;sans-serif"/>
          <w:b/>
          <w:color w:val="000000"/>
          <w:sz w:val="24"/>
        </w:rPr>
      </w:pPr>
      <w:r>
        <w:rPr>
          <w:rFonts w:ascii="Times New Roman;sans-serif" w:hAnsi="Times New Roman;sans-serif"/>
          <w:b/>
          <w:color w:val="000000"/>
          <w:sz w:val="24"/>
        </w:rPr>
        <w:t>AND</w:t>
      </w:r>
    </w:p>
    <w:p>
      <w:pPr>
        <w:pStyle w:val="TextBody"/>
        <w:bidi w:val="0"/>
        <w:spacing w:lineRule="auto" w:line="288" w:before="0" w:after="0"/>
        <w:ind w:left="0" w:right="0" w:firstLine="2655"/>
        <w:jc w:val="center"/>
        <w:rPr>
          <w:rFonts w:ascii="Times New Roman;sans-serif" w:hAnsi="Times New Roman;sans-serif"/>
          <w:b/>
          <w:color w:val="000000"/>
          <w:sz w:val="24"/>
        </w:rPr>
      </w:pPr>
      <w:r>
        <w:rPr>
          <w:rFonts w:ascii="Times New Roman;sans-serif" w:hAnsi="Times New Roman;sans-serif"/>
          <w:b/>
          <w:color w:val="000000"/>
          <w:sz w:val="24"/>
        </w:rPr>
        <w:t>HOPE KATZ</w:t>
      </w:r>
    </w:p>
    <w:p>
      <w:pPr>
        <w:pStyle w:val="TextBody"/>
        <w:bidi w:val="0"/>
        <w:spacing w:before="0" w:after="0"/>
        <w:ind w:left="0" w:right="0" w:firstLine="2655"/>
        <w:jc w:val="center"/>
        <w:rPr/>
      </w:pPr>
      <w:r>
        <w:rPr/>
      </w:r>
    </w:p>
    <w:p>
      <w:pPr>
        <w:pStyle w:val="TextBody"/>
        <w:bidi w:val="0"/>
        <w:spacing w:before="0" w:after="0"/>
        <w:ind w:left="0" w:right="0" w:firstLine="2655"/>
        <w:jc w:val="center"/>
        <w:rPr/>
      </w:pPr>
      <w:r>
        <w:rPr/>
      </w:r>
    </w:p>
    <w:p>
      <w:pPr>
        <w:pStyle w:val="TextBody"/>
        <w:bidi w:val="0"/>
        <w:spacing w:before="0" w:after="0"/>
        <w:ind w:left="0" w:right="0" w:firstLine="2655"/>
        <w:jc w:val="center"/>
        <w:rPr/>
      </w:pPr>
      <w:r>
        <w:rPr/>
      </w:r>
    </w:p>
    <w:p>
      <w:pPr>
        <w:pStyle w:val="TextBody"/>
        <w:bidi w:val="0"/>
        <w:spacing w:before="0" w:after="0"/>
        <w:ind w:left="0" w:right="0" w:firstLine="2655"/>
        <w:jc w:val="center"/>
        <w:rPr/>
      </w:pPr>
      <w:r>
        <w:rPr/>
      </w:r>
    </w:p>
    <w:p>
      <w:pPr>
        <w:pStyle w:val="TextBody"/>
        <w:bidi w:val="0"/>
        <w:spacing w:before="0" w:after="0"/>
        <w:ind w:left="0" w:right="0" w:firstLine="2655"/>
        <w:jc w:val="center"/>
        <w:rPr/>
      </w:pPr>
      <w:r>
        <w:rPr/>
      </w:r>
    </w:p>
    <w:p>
      <w:pPr>
        <w:pStyle w:val="TextBody"/>
        <w:bidi w:val="0"/>
        <w:spacing w:before="0" w:after="0"/>
        <w:ind w:left="0" w:right="0" w:firstLine="2655"/>
        <w:jc w:val="center"/>
        <w:rPr/>
      </w:pPr>
      <w:r>
        <w:rPr/>
      </w:r>
    </w:p>
    <w:p>
      <w:pPr>
        <w:pStyle w:val="TextBody"/>
        <w:bidi w:val="0"/>
        <w:spacing w:before="0" w:after="0"/>
        <w:ind w:left="0" w:right="0" w:firstLine="2655"/>
        <w:jc w:val="center"/>
        <w:rPr/>
      </w:pPr>
      <w:r>
        <w:rPr/>
      </w:r>
    </w:p>
    <w:p>
      <w:pPr>
        <w:pStyle w:val="TextBody"/>
        <w:bidi w:val="0"/>
        <w:spacing w:before="0" w:after="0"/>
        <w:ind w:left="0" w:right="0" w:firstLine="2655"/>
        <w:jc w:val="center"/>
        <w:rPr/>
      </w:pPr>
      <w:r>
        <w:rPr/>
      </w:r>
    </w:p>
    <w:p>
      <w:pPr>
        <w:pStyle w:val="TextBody"/>
        <w:bidi w:val="0"/>
        <w:spacing w:before="0" w:after="0"/>
        <w:ind w:left="0" w:right="0" w:firstLine="2655"/>
        <w:jc w:val="center"/>
        <w:rPr/>
      </w:pPr>
      <w:r>
        <w:rPr/>
      </w:r>
    </w:p>
    <w:p>
      <w:pPr>
        <w:pStyle w:val="TextBody"/>
        <w:bidi w:val="0"/>
        <w:spacing w:before="0" w:after="0"/>
        <w:ind w:left="0" w:right="0" w:firstLine="2655"/>
        <w:jc w:val="center"/>
        <w:rPr/>
      </w:pPr>
      <w:r>
        <w:rPr/>
      </w:r>
    </w:p>
    <w:p>
      <w:pPr>
        <w:pStyle w:val="TextBody"/>
        <w:bidi w:val="0"/>
        <w:spacing w:before="0" w:after="0"/>
        <w:ind w:left="0" w:right="0" w:firstLine="2655"/>
        <w:jc w:val="center"/>
        <w:rPr/>
      </w:pPr>
      <w:r>
        <w:rPr/>
      </w:r>
    </w:p>
    <w:p>
      <w:pPr>
        <w:pStyle w:val="TextBody"/>
        <w:bidi w:val="0"/>
        <w:spacing w:before="0" w:after="0"/>
        <w:ind w:left="0" w:right="0" w:firstLine="2655"/>
        <w:jc w:val="center"/>
        <w:rPr/>
      </w:pPr>
      <w:r>
        <w:rPr/>
      </w:r>
    </w:p>
    <w:p>
      <w:pPr>
        <w:pStyle w:val="TextBody"/>
        <w:bidi w:val="0"/>
        <w:spacing w:before="0" w:after="0"/>
        <w:ind w:left="0" w:right="0" w:firstLine="2655"/>
        <w:jc w:val="center"/>
        <w:rPr/>
      </w:pPr>
      <w:r>
        <w:rPr/>
      </w:r>
    </w:p>
    <w:p>
      <w:pPr>
        <w:pStyle w:val="TextBody"/>
        <w:bidi w:val="0"/>
        <w:spacing w:before="0" w:after="0"/>
        <w:ind w:left="0" w:right="0" w:firstLine="2655"/>
        <w:jc w:val="center"/>
        <w:rPr/>
      </w:pPr>
      <w:r>
        <w:rPr/>
      </w:r>
    </w:p>
    <w:p>
      <w:pPr>
        <w:pStyle w:val="TextBody"/>
        <w:bidi w:val="0"/>
        <w:spacing w:before="0" w:after="0"/>
        <w:ind w:left="0" w:right="0" w:firstLine="2655"/>
        <w:jc w:val="center"/>
        <w:rPr/>
      </w:pPr>
      <w:r>
        <w:rPr/>
      </w:r>
    </w:p>
    <w:p>
      <w:pPr>
        <w:pStyle w:val="TextBody"/>
        <w:bidi w:val="0"/>
        <w:spacing w:before="0" w:after="0"/>
        <w:ind w:left="0" w:right="0" w:firstLine="2655"/>
        <w:jc w:val="center"/>
        <w:rPr/>
      </w:pPr>
      <w:r>
        <w:rPr/>
      </w:r>
    </w:p>
    <w:p>
      <w:pPr>
        <w:pStyle w:val="TextBody"/>
        <w:bidi w:val="0"/>
        <w:spacing w:before="0" w:after="0"/>
        <w:ind w:left="0" w:right="0" w:firstLine="2655"/>
        <w:jc w:val="center"/>
        <w:rPr/>
      </w:pPr>
      <w:r>
        <w:rPr/>
      </w:r>
    </w:p>
    <w:p>
      <w:pPr>
        <w:pStyle w:val="TextBody"/>
        <w:bidi w:val="0"/>
        <w:spacing w:before="0" w:after="0"/>
        <w:ind w:left="0" w:right="0" w:firstLine="2655"/>
        <w:jc w:val="center"/>
        <w:rPr/>
      </w:pPr>
      <w:r>
        <w:rPr/>
      </w:r>
    </w:p>
    <w:p>
      <w:pPr>
        <w:pStyle w:val="TextBody"/>
        <w:bidi w:val="0"/>
        <w:spacing w:before="0" w:after="0"/>
        <w:ind w:left="0" w:right="0" w:firstLine="2655"/>
        <w:jc w:val="center"/>
        <w:rPr/>
      </w:pPr>
      <w:r>
        <w:rPr/>
      </w:r>
    </w:p>
    <w:p>
      <w:pPr>
        <w:pStyle w:val="TextBody"/>
        <w:bidi w:val="0"/>
        <w:spacing w:before="0" w:after="0"/>
        <w:ind w:left="0" w:right="0" w:firstLine="2655"/>
        <w:jc w:val="center"/>
        <w:rPr/>
      </w:pPr>
      <w:r>
        <w:rPr/>
      </w:r>
    </w:p>
    <w:p>
      <w:pPr>
        <w:pStyle w:val="TextBody"/>
        <w:bidi w:val="0"/>
        <w:spacing w:before="0" w:after="0"/>
        <w:ind w:left="0" w:right="0" w:firstLine="2655"/>
        <w:jc w:val="center"/>
        <w:rPr/>
      </w:pPr>
      <w:r>
        <w:rPr/>
      </w:r>
    </w:p>
    <w:p>
      <w:pPr>
        <w:pStyle w:val="TextBody"/>
        <w:bidi w:val="0"/>
        <w:spacing w:before="0" w:after="0"/>
        <w:ind w:left="0" w:right="0" w:firstLine="2655"/>
        <w:jc w:val="center"/>
        <w:rPr/>
      </w:pPr>
      <w:r>
        <w:rPr/>
      </w:r>
    </w:p>
    <w:p>
      <w:pPr>
        <w:pStyle w:val="TextBody"/>
        <w:bidi w:val="0"/>
        <w:spacing w:before="0" w:after="0"/>
        <w:ind w:left="0" w:right="0" w:firstLine="2655"/>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SENIOR MANAGEMENT AGREEMENT</w:t>
      </w:r>
    </w:p>
    <w:p>
      <w:pPr>
        <w:pStyle w:val="TextBody"/>
        <w:bidi w:val="0"/>
        <w:spacing w:before="0" w:after="0"/>
        <w:jc w:val="center"/>
        <w:rPr/>
      </w:pPr>
      <w:r>
        <w:rPr/>
      </w:r>
    </w:p>
    <w:p>
      <w:pPr>
        <w:pStyle w:val="TextBody"/>
        <w:bidi w:val="0"/>
        <w:spacing w:lineRule="auto" w:line="288" w:before="180" w:after="283"/>
        <w:ind w:left="0" w:right="0" w:firstLine="721"/>
        <w:jc w:val="both"/>
        <w:rPr/>
      </w:pPr>
      <w:r>
        <w:rPr>
          <w:rFonts w:ascii="Times New Roman;sans-serif" w:hAnsi="Times New Roman;sans-serif"/>
          <w:b w:val="false"/>
          <w:color w:val="000000"/>
          <w:sz w:val="24"/>
        </w:rPr>
        <w:t>SENIOR MANAGEMENT AGREEMENT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effective as of January 1, 2025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4"/>
        </w:rPr>
        <w:t>), by and between Huron Consulting Group Inc., a Delaware corporation (</w:t>
      </w:r>
      <w:r>
        <w:rPr>
          <w:color w:val="000000"/>
        </w:rPr>
        <w:t>“</w:t>
      </w:r>
      <w:r>
        <w:rPr>
          <w:rFonts w:ascii="Times New Roman;sans-serif" w:hAnsi="Times New Roman;sans-serif"/>
          <w:b/>
          <w:color w:val="000000"/>
          <w:sz w:val="24"/>
        </w:rPr>
        <w:t>Huron”)</w:t>
      </w:r>
      <w:r>
        <w:rPr>
          <w:rFonts w:ascii="Times New Roman;sans-serif" w:hAnsi="Times New Roman;sans-serif"/>
          <w:b w:val="false"/>
          <w:color w:val="000000"/>
          <w:sz w:val="24"/>
        </w:rPr>
        <w:t>, and Hope Katz (“</w:t>
      </w:r>
      <w:r>
        <w:rPr>
          <w:rFonts w:ascii="Times New Roman;sans-serif" w:hAnsi="Times New Roman;sans-serif"/>
          <w:b/>
          <w:color w:val="000000"/>
          <w:sz w:val="24"/>
        </w:rPr>
        <w:t>Executive</w:t>
      </w:r>
      <w:r>
        <w:rPr>
          <w:color w:val="000000"/>
        </w:rPr>
        <w:t>”</w:t>
      </w:r>
      <w:r>
        <w:rPr>
          <w:rFonts w:ascii="Times New Roman;sans-serif" w:hAnsi="Times New Roman;sans-serif"/>
          <w:b w:val="false"/>
          <w:color w:val="000000"/>
          <w:sz w:val="24"/>
        </w:rPr>
        <w:t>).</w: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PRELIMINARY RECITALS</w:t>
      </w:r>
    </w:p>
    <w:p>
      <w:pPr>
        <w:pStyle w:val="TextBody"/>
        <w:bidi w:val="0"/>
        <w:spacing w:lineRule="auto" w:line="288" w:before="180" w:after="283"/>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4"/>
        </w:rPr>
        <w:t>WHEREAS, Huron and its affiliates are engaged in the business of providing diversified business consulting services (the “</w:t>
      </w:r>
      <w:r>
        <w:rPr>
          <w:rFonts w:ascii="Times New Roman;sans-serif" w:hAnsi="Times New Roman;sans-serif"/>
          <w:b/>
          <w:color w:val="000000"/>
          <w:sz w:val="24"/>
        </w:rPr>
        <w:t>Business</w:t>
      </w:r>
      <w:r>
        <w:rPr>
          <w:color w:val="000000"/>
        </w:rPr>
        <w:t>”</w:t>
      </w:r>
      <w:r>
        <w:rPr>
          <w:rFonts w:ascii="Times New Roman;sans-serif" w:hAnsi="Times New Roman;sans-serif"/>
          <w:b w:val="false"/>
          <w:color w:val="000000"/>
          <w:sz w:val="24"/>
        </w:rPr>
        <w:t>). For purposes of this Agreement (except where the context contemplates otherwise), the term the “</w:t>
      </w:r>
      <w:r>
        <w:rPr>
          <w:rFonts w:ascii="Times New Roman;sans-serif" w:hAnsi="Times New Roman;sans-serif"/>
          <w:b/>
          <w:color w:val="000000"/>
          <w:sz w:val="24"/>
        </w:rPr>
        <w:t>Company</w:t>
      </w:r>
      <w:r>
        <w:rPr>
          <w:color w:val="000000"/>
        </w:rPr>
        <w:t xml:space="preserve">” </w:t>
      </w:r>
      <w:r>
        <w:rPr>
          <w:rFonts w:ascii="Times New Roman;sans-serif" w:hAnsi="Times New Roman;sans-serif"/>
          <w:b w:val="false"/>
          <w:color w:val="000000"/>
          <w:sz w:val="24"/>
        </w:rPr>
        <w:t>shall include Huron, its subsidiaries and assignees and any successors in interest of the Company and its subsidiaries; and</w:t>
      </w:r>
    </w:p>
    <w:p>
      <w:pPr>
        <w:pStyle w:val="TextBody"/>
        <w:bidi w:val="0"/>
        <w:spacing w:lineRule="auto" w:line="288" w:before="180" w:after="283"/>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4"/>
        </w:rPr>
        <w:t>WHEREAS, Huron and Executive previously entered into one or more Senior Management Agreements; and</w:t>
      </w:r>
    </w:p>
    <w:p>
      <w:pPr>
        <w:pStyle w:val="TextBody"/>
        <w:bidi w:val="0"/>
        <w:spacing w:lineRule="auto" w:line="288" w:before="180" w:after="283"/>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4"/>
        </w:rPr>
        <w:t>WHEREAS, the Company has appointed Executive to become the Executive Vice President, General Counsel and Corporate Secretary on the Effective Date and Executive desires to be so employed by the Company in such role, as set forth herein; and</w:t>
      </w:r>
    </w:p>
    <w:p>
      <w:pPr>
        <w:pStyle w:val="TextBody"/>
        <w:bidi w:val="0"/>
        <w:spacing w:lineRule="auto" w:line="288" w:before="180" w:after="283"/>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4"/>
        </w:rPr>
        <w:t>WHEREAS, this Senior Management Agreement will supersede and replace any prior Senior Management Agreements between the Company and Executive.</w:t>
      </w:r>
    </w:p>
    <w:p>
      <w:pPr>
        <w:pStyle w:val="TextBody"/>
        <w:bidi w:val="0"/>
        <w:spacing w:lineRule="auto" w:line="288" w:before="180" w:after="283"/>
        <w:ind w:left="0" w:right="0" w:firstLine="721"/>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premises, the mutual covenants of the parties hereinafter set forth and other good and valuable consideration, the receipt and sufficiency of which are hereby acknowledged, the parties hereto hereby agree as follows:</w:t>
      </w:r>
    </w:p>
    <w:p>
      <w:pPr>
        <w:pStyle w:val="TextBody"/>
        <w:bidi w:val="0"/>
        <w:spacing w:lineRule="auto" w:line="288" w:before="180" w:after="283"/>
        <w:ind w:left="0" w:right="0" w:hanging="360"/>
        <w:jc w:val="left"/>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Employment</w:t>
      </w:r>
      <w:r>
        <w:rPr>
          <w:rFonts w:ascii="Times New Roman;sans-serif" w:hAnsi="Times New Roman;sans-serif"/>
          <w:b w:val="false"/>
          <w:color w:val="000000"/>
          <w:sz w:val="24"/>
        </w:rPr>
        <w:t>.</w:t>
      </w:r>
    </w:p>
    <w:p>
      <w:pPr>
        <w:pStyle w:val="TextBody"/>
        <w:bidi w:val="0"/>
        <w:spacing w:lineRule="auto" w:line="288" w:before="180" w:after="283"/>
        <w:ind w:left="0" w:right="0" w:firstLine="1440"/>
        <w:jc w:val="both"/>
        <w:rPr/>
      </w:pPr>
      <w:r>
        <w:rPr>
          <w:rFonts w:ascii="Times New Roman;sans-serif" w:hAnsi="Times New Roman;sans-serif"/>
          <w:b w:val="false"/>
          <w:color w:val="000000"/>
          <w:sz w:val="24"/>
        </w:rPr>
        <w:t>1.1    </w:t>
      </w:r>
      <w:r>
        <w:rPr>
          <w:rFonts w:ascii="Times New Roman;sans-serif" w:hAnsi="Times New Roman;sans-serif"/>
          <w:b w:val="false"/>
          <w:color w:val="000000"/>
          <w:sz w:val="24"/>
          <w:u w:val="single"/>
        </w:rPr>
        <w:t>Title and Duties</w:t>
      </w:r>
      <w:r>
        <w:rPr>
          <w:rFonts w:ascii="Times New Roman;sans-serif" w:hAnsi="Times New Roman;sans-serif"/>
          <w:b w:val="false"/>
          <w:color w:val="000000"/>
          <w:sz w:val="24"/>
        </w:rPr>
        <w:t>. The Company agrees to employ Executive, and Executive agrees to accept such employment with the Company, as Executive Vice President, General Counsel and Corporate Secretary for the Employment Period, in accordance with the terms and conditions of this Agreement. During the Employment Period, Executive shall (a) have such responsibilities, duties and authorities as are customarily assigned to such position and shall render such services or act in such capacity for the Company and its affiliates as Huron’s Chief Executive Officer of the Company (the “</w:t>
      </w:r>
      <w:r>
        <w:rPr>
          <w:rFonts w:ascii="Times New Roman;sans-serif" w:hAnsi="Times New Roman;sans-serif"/>
          <w:b/>
          <w:color w:val="000000"/>
          <w:sz w:val="24"/>
        </w:rPr>
        <w:t>CEO</w:t>
      </w:r>
      <w:r>
        <w:rPr>
          <w:color w:val="000000"/>
        </w:rPr>
        <w:t>”</w:t>
      </w:r>
      <w:r>
        <w:rPr>
          <w:rFonts w:ascii="Times New Roman;sans-serif" w:hAnsi="Times New Roman;sans-serif"/>
          <w:b w:val="false"/>
          <w:color w:val="000000"/>
          <w:sz w:val="24"/>
        </w:rPr>
        <w:t>) shall from time to time direct. Executive shall perform the duties and carry out the responsibilities assigned to Executive, to the best of Executive’s ability, in a trustworthy and businesslike manner for the purpose of advancing the business of the Company and its affiliates. Executive shall engage in travel as reasonably required in the performance of Executive’s duties. Executive acknowledges that Executive’s duties and responsibilities hereunder will require Executive’s full business time and effort and agrees that, during the Employment Period, Executive will not engage in any other business activity or have any business pursuits or interests which materially interfere or conflict with the performance of Executive’s duties hereunder; provided that Executive may, with the approval of the CEO or their designee, serve on the board of other corporations or charitable organizations and engage in charitable activities, community affairs, and teaching.</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ind w:left="0" w:right="0" w:firstLine="1441"/>
        <w:jc w:val="both"/>
        <w:rPr/>
      </w:pPr>
      <w:r>
        <w:rPr>
          <w:rFonts w:ascii="Times New Roman;sans-serif" w:hAnsi="Times New Roman;sans-serif"/>
          <w:b w:val="false"/>
          <w:color w:val="000000"/>
          <w:sz w:val="24"/>
        </w:rPr>
        <w:t xml:space="preserve">1.2 </w:t>
      </w:r>
      <w:r>
        <w:rPr>
          <w:rFonts w:ascii="Times New Roman;sans-serif" w:hAnsi="Times New Roman;sans-serif"/>
          <w:b w:val="false"/>
          <w:color w:val="000000"/>
          <w:sz w:val="24"/>
          <w:u w:val="single"/>
        </w:rPr>
        <w:t>Employment Period</w:t>
      </w:r>
      <w:r>
        <w:rPr>
          <w:rFonts w:ascii="Times New Roman;sans-serif" w:hAnsi="Times New Roman;sans-serif"/>
          <w:b w:val="false"/>
          <w:color w:val="000000"/>
          <w:sz w:val="24"/>
        </w:rPr>
        <w:t>. The employment of Executive under this Agreement shall continue unless one of the parties shall deliver to the other sixty (60) days’ advance written notice of the cessation of Executive’s employment (the “</w:t>
      </w:r>
      <w:r>
        <w:rPr>
          <w:rFonts w:ascii="Times New Roman;sans-serif" w:hAnsi="Times New Roman;sans-serif"/>
          <w:b/>
          <w:color w:val="000000"/>
          <w:sz w:val="24"/>
        </w:rPr>
        <w:t>Employment Period</w:t>
      </w:r>
      <w:r>
        <w:rPr>
          <w:color w:val="000000"/>
        </w:rPr>
        <w:t>”</w:t>
      </w:r>
      <w:r>
        <w:rPr>
          <w:rFonts w:ascii="Times New Roman;sans-serif" w:hAnsi="Times New Roman;sans-serif"/>
          <w:b w:val="false"/>
          <w:color w:val="000000"/>
          <w:sz w:val="24"/>
        </w:rPr>
        <w:t xml:space="preserve">). Notwithstanding anything to the contrary contained herein, the Employment Period is subject to termination pursuant to this </w:t>
      </w:r>
      <w:r>
        <w:rPr>
          <w:rFonts w:ascii="Times New Roman;sans-serif" w:hAnsi="Times New Roman;sans-serif"/>
          <w:b/>
          <w:color w:val="000000"/>
          <w:sz w:val="24"/>
        </w:rPr>
        <w:t xml:space="preserve">Section 1.2 </w:t>
      </w:r>
      <w:r>
        <w:rPr>
          <w:rFonts w:ascii="Times New Roman;sans-serif" w:hAnsi="Times New Roman;sans-serif"/>
          <w:b w:val="false"/>
          <w:color w:val="000000"/>
          <w:sz w:val="24"/>
        </w:rPr>
        <w:t xml:space="preserve">and </w:t>
      </w:r>
      <w:r>
        <w:rPr>
          <w:rFonts w:ascii="Times New Roman;sans-serif" w:hAnsi="Times New Roman;sans-serif"/>
          <w:b/>
          <w:color w:val="000000"/>
          <w:sz w:val="24"/>
        </w:rPr>
        <w:t xml:space="preserve">Sections 1.3, 1.4 </w:t>
      </w:r>
      <w:r>
        <w:rPr>
          <w:rFonts w:ascii="Times New Roman;sans-serif" w:hAnsi="Times New Roman;sans-serif"/>
          <w:b w:val="false"/>
          <w:color w:val="000000"/>
          <w:sz w:val="24"/>
        </w:rPr>
        <w:t xml:space="preserve">and </w:t>
      </w:r>
      <w:r>
        <w:rPr>
          <w:rFonts w:ascii="Times New Roman;sans-serif" w:hAnsi="Times New Roman;sans-serif"/>
          <w:b/>
          <w:color w:val="000000"/>
          <w:sz w:val="24"/>
        </w:rPr>
        <w:t>1.5</w:t>
      </w:r>
      <w:r>
        <w:rPr>
          <w:rFonts w:ascii="Times New Roman;sans-serif" w:hAnsi="Times New Roman;sans-serif"/>
          <w:b w:val="false"/>
          <w:color w:val="000000"/>
          <w:sz w:val="24"/>
        </w:rPr>
        <w:t>.</w:t>
      </w:r>
    </w:p>
    <w:p>
      <w:pPr>
        <w:pStyle w:val="TextBody"/>
        <w:bidi w:val="0"/>
        <w:spacing w:lineRule="auto" w:line="288" w:before="180" w:after="283"/>
        <w:ind w:left="0" w:right="0" w:firstLine="1440"/>
        <w:jc w:val="left"/>
        <w:rPr/>
      </w:pPr>
      <w:r>
        <w:rPr>
          <w:rFonts w:ascii="Times New Roman;sans-serif" w:hAnsi="Times New Roman;sans-serif"/>
          <w:b w:val="false"/>
          <w:color w:val="000000"/>
          <w:sz w:val="24"/>
        </w:rPr>
        <w:t>1.3    </w:t>
      </w:r>
      <w:r>
        <w:rPr>
          <w:rFonts w:ascii="Times New Roman;sans-serif" w:hAnsi="Times New Roman;sans-serif"/>
          <w:b w:val="false"/>
          <w:color w:val="000000"/>
          <w:sz w:val="24"/>
          <w:u w:val="single"/>
        </w:rPr>
        <w:t>Termination Upon Death</w:t>
      </w:r>
      <w:r>
        <w:rPr>
          <w:rFonts w:ascii="Times New Roman;sans-serif" w:hAnsi="Times New Roman;sans-serif"/>
          <w:b w:val="false"/>
          <w:color w:val="000000"/>
          <w:sz w:val="24"/>
        </w:rPr>
        <w:t>. If Executive dies during the Employment Period, Executive’s employment shall automatically terminate on the date of Executive’s death.</w:t>
      </w:r>
    </w:p>
    <w:p>
      <w:pPr>
        <w:pStyle w:val="TextBody"/>
        <w:bidi w:val="0"/>
        <w:spacing w:lineRule="auto" w:line="288" w:before="180" w:after="283"/>
        <w:ind w:left="0" w:right="0" w:firstLine="1440"/>
        <w:jc w:val="left"/>
        <w:rPr/>
      </w:pPr>
      <w:r>
        <w:rPr>
          <w:rFonts w:ascii="Times New Roman;sans-serif" w:hAnsi="Times New Roman;sans-serif"/>
          <w:b w:val="false"/>
          <w:color w:val="000000"/>
          <w:sz w:val="24"/>
        </w:rPr>
        <w:t>1.4    </w:t>
      </w:r>
      <w:r>
        <w:rPr>
          <w:rFonts w:ascii="Times New Roman;sans-serif" w:hAnsi="Times New Roman;sans-serif"/>
          <w:b w:val="false"/>
          <w:color w:val="000000"/>
          <w:sz w:val="24"/>
          <w:u w:val="single"/>
        </w:rPr>
        <w:t>Termination by the Company</w:t>
      </w:r>
      <w:r>
        <w:rPr>
          <w:rFonts w:ascii="Times New Roman;sans-serif" w:hAnsi="Times New Roman;sans-serif"/>
          <w:b w:val="false"/>
          <w:color w:val="000000"/>
          <w:sz w:val="24"/>
        </w:rPr>
        <w:t>.</w:t>
      </w:r>
    </w:p>
    <w:p>
      <w:pPr>
        <w:pStyle w:val="TextBody"/>
        <w:bidi w:val="0"/>
        <w:spacing w:lineRule="auto" w:line="288" w:before="180" w:after="283"/>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4"/>
        </w:rPr>
        <w:t xml:space="preserve">The Company may terminate Executive’s employment hereunder upon written notice to Executive as described in </w:t>
      </w:r>
      <w:r>
        <w:rPr>
          <w:rFonts w:ascii="Times New Roman;sans-serif" w:hAnsi="Times New Roman;sans-serif"/>
          <w:b/>
          <w:color w:val="000000"/>
          <w:sz w:val="24"/>
        </w:rPr>
        <w:t>Section 10.5</w:t>
      </w:r>
      <w:r>
        <w:rPr>
          <w:rFonts w:ascii="Times New Roman;sans-serif" w:hAnsi="Times New Roman;sans-serif"/>
          <w:b w:val="false"/>
          <w:color w:val="000000"/>
          <w:sz w:val="24"/>
        </w:rPr>
        <w:t xml:space="preserve">. Such termination shall be effective upon the date notice of such termination is given pursuant to </w:t>
      </w:r>
      <w:r>
        <w:rPr>
          <w:rFonts w:ascii="Times New Roman;sans-serif" w:hAnsi="Times New Roman;sans-serif"/>
          <w:b/>
          <w:color w:val="000000"/>
          <w:sz w:val="24"/>
        </w:rPr>
        <w:t xml:space="preserve">Section 10.5 </w:t>
      </w:r>
      <w:r>
        <w:rPr>
          <w:rFonts w:ascii="Times New Roman;sans-serif" w:hAnsi="Times New Roman;sans-serif"/>
          <w:b w:val="false"/>
          <w:color w:val="000000"/>
          <w:sz w:val="24"/>
        </w:rPr>
        <w:t>unless such notice shall otherwise provide.</w:t>
      </w:r>
    </w:p>
    <w:p>
      <w:pPr>
        <w:pStyle w:val="TextBody"/>
        <w:bidi w:val="0"/>
        <w:spacing w:lineRule="auto" w:line="288" w:before="180" w:after="283"/>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4"/>
        </w:rPr>
        <w:t>For purpose of this Agreement, “</w:t>
      </w:r>
      <w:r>
        <w:rPr>
          <w:rFonts w:ascii="Times New Roman;sans-serif" w:hAnsi="Times New Roman;sans-serif"/>
          <w:b/>
          <w:color w:val="000000"/>
          <w:sz w:val="24"/>
        </w:rPr>
        <w:t>Cause</w:t>
      </w:r>
      <w:r>
        <w:rPr>
          <w:color w:val="000000"/>
        </w:rPr>
        <w:t xml:space="preserve">” </w:t>
      </w:r>
      <w:r>
        <w:rPr>
          <w:rFonts w:ascii="Times New Roman;sans-serif" w:hAnsi="Times New Roman;sans-serif"/>
          <w:b w:val="false"/>
          <w:color w:val="000000"/>
          <w:sz w:val="24"/>
        </w:rPr>
        <w:t>means the occurrence of any of the following events, as determined in the reasonable good faith judgment of the CEO:</w:t>
      </w:r>
    </w:p>
    <w:p>
      <w:pPr>
        <w:pStyle w:val="TextBody"/>
        <w:bidi w:val="0"/>
        <w:spacing w:lineRule="auto" w:line="288" w:before="180" w:after="283"/>
        <w:ind w:left="0" w:right="0" w:firstLine="603"/>
        <w:jc w:val="both"/>
        <w:rPr/>
      </w:pPr>
      <w:r>
        <w:rPr>
          <w:rFonts w:ascii="Times New Roman;sans-serif" w:hAnsi="Times New Roman;sans-serif"/>
          <w:b w:val="false"/>
          <w:color w:val="000000"/>
          <w:sz w:val="22"/>
        </w:rPr>
        <w:t>(i)</w:t>
      </w:r>
      <w:r>
        <w:rPr>
          <w:rFonts w:ascii="Times New Roman;sans-serif" w:hAnsi="Times New Roman;sans-serif"/>
          <w:b w:val="false"/>
          <w:color w:val="000000"/>
          <w:sz w:val="24"/>
        </w:rPr>
        <w:t>the failure of Executive to perform Executive’s material duties (unless such failure relates to any disability, sickness or injury of Executive) which failure continues for twenty (20) days after the Company has given written notice to Executive specifying in reasonable detail the manner in which Executive has failed to perform such duties and affording opportunity to cure;</w:t>
      </w:r>
    </w:p>
    <w:p>
      <w:pPr>
        <w:pStyle w:val="TextBody"/>
        <w:bidi w:val="0"/>
        <w:spacing w:lineRule="auto" w:line="288" w:before="180" w:after="283"/>
        <w:ind w:left="0" w:right="0" w:firstLine="542"/>
        <w:jc w:val="both"/>
        <w:rPr/>
      </w:pPr>
      <w:r>
        <w:rPr>
          <w:rFonts w:ascii="Times New Roman;sans-serif" w:hAnsi="Times New Roman;sans-serif"/>
          <w:b w:val="false"/>
          <w:color w:val="000000"/>
          <w:sz w:val="22"/>
        </w:rPr>
        <w:t>(ii)</w:t>
      </w:r>
      <w:r>
        <w:rPr>
          <w:rFonts w:ascii="Times New Roman;sans-serif" w:hAnsi="Times New Roman;sans-serif"/>
          <w:b w:val="false"/>
          <w:color w:val="000000"/>
          <w:sz w:val="24"/>
        </w:rPr>
        <w:t>commission by Executive of an act or omission (A) constituting (x) a felony, (y) dishonesty with respect to the Company or (z) fraud, or (B) that (x) could reasonably be expected to adversely and materially affect the Company’s business or reputation, or (y) involves moral turpitude;</w:t>
      </w:r>
    </w:p>
    <w:p>
      <w:pPr>
        <w:pStyle w:val="TextBody"/>
        <w:bidi w:val="0"/>
        <w:spacing w:lineRule="auto" w:line="288" w:before="180" w:after="283"/>
        <w:ind w:left="0" w:right="0" w:firstLine="481"/>
        <w:jc w:val="both"/>
        <w:rPr/>
      </w:pPr>
      <w:r>
        <w:rPr>
          <w:rFonts w:ascii="Times New Roman;sans-serif" w:hAnsi="Times New Roman;sans-serif"/>
          <w:b w:val="false"/>
          <w:color w:val="000000"/>
          <w:sz w:val="22"/>
        </w:rPr>
        <w:t>(iii)</w:t>
      </w:r>
      <w:r>
        <w:rPr>
          <w:rFonts w:ascii="Times New Roman;sans-serif" w:hAnsi="Times New Roman;sans-serif"/>
          <w:b w:val="false"/>
          <w:color w:val="000000"/>
          <w:sz w:val="24"/>
        </w:rPr>
        <w:t xml:space="preserve">the breach, non-performance or non-observance of any of the material terms of this Agreement (other than a breach, non-performance or non- observance described in clause (i) of this </w:t>
      </w:r>
      <w:r>
        <w:rPr>
          <w:rFonts w:ascii="Times New Roman;sans-serif" w:hAnsi="Times New Roman;sans-serif"/>
          <w:b/>
          <w:color w:val="000000"/>
          <w:sz w:val="24"/>
        </w:rPr>
        <w:t>Section 1.4(b)</w:t>
      </w:r>
      <w:r>
        <w:rPr>
          <w:rFonts w:ascii="Times New Roman;sans-serif" w:hAnsi="Times New Roman;sans-serif"/>
          <w:b w:val="false"/>
          <w:color w:val="000000"/>
          <w:sz w:val="24"/>
        </w:rPr>
        <w:t>), or any other agreement to which Executive and the Company are parties, by Executive, if such breach, non- performance or non-observance shall continue beyond a period of twenty (20) days immediately after written notice thereof given by the Company to Executive; or</w:t>
      </w:r>
    </w:p>
    <w:p>
      <w:pPr>
        <w:pStyle w:val="TextBody"/>
        <w:bidi w:val="0"/>
        <w:spacing w:lineRule="auto" w:line="288" w:before="180" w:after="283"/>
        <w:ind w:left="0" w:right="0" w:firstLine="493"/>
        <w:jc w:val="both"/>
        <w:rPr/>
      </w:pPr>
      <w:r>
        <w:rPr>
          <w:rFonts w:ascii="Times New Roman;sans-serif" w:hAnsi="Times New Roman;sans-serif"/>
          <w:b w:val="false"/>
          <w:color w:val="000000"/>
          <w:sz w:val="22"/>
        </w:rPr>
        <w:t>(iv)</w:t>
      </w:r>
      <w:r>
        <w:rPr>
          <w:rFonts w:ascii="Times New Roman;sans-serif" w:hAnsi="Times New Roman;sans-serif"/>
          <w:b w:val="false"/>
          <w:color w:val="000000"/>
          <w:sz w:val="24"/>
        </w:rPr>
        <w:t xml:space="preserve">any breach, non-performance or non-observance of any of </w:t>
      </w:r>
      <w:r>
        <w:rPr>
          <w:rFonts w:ascii="Times New Roman;sans-serif" w:hAnsi="Times New Roman;sans-serif"/>
          <w:b/>
          <w:color w:val="000000"/>
          <w:sz w:val="24"/>
        </w:rPr>
        <w:t xml:space="preserve">Sections 6.3, 6.4, </w:t>
      </w:r>
      <w:r>
        <w:rPr>
          <w:rFonts w:ascii="Times New Roman;sans-serif" w:hAnsi="Times New Roman;sans-serif"/>
          <w:b w:val="false"/>
          <w:color w:val="000000"/>
          <w:sz w:val="24"/>
        </w:rPr>
        <w:t xml:space="preserve">or </w:t>
      </w:r>
      <w:r>
        <w:rPr>
          <w:rFonts w:ascii="Times New Roman;sans-serif" w:hAnsi="Times New Roman;sans-serif"/>
          <w:b/>
          <w:color w:val="000000"/>
          <w:sz w:val="24"/>
        </w:rPr>
        <w:t xml:space="preserve">6.5 </w:t>
      </w:r>
      <w:r>
        <w:rPr>
          <w:rFonts w:ascii="Times New Roman;sans-serif" w:hAnsi="Times New Roman;sans-serif"/>
          <w:b w:val="false"/>
          <w:color w:val="000000"/>
          <w:sz w:val="24"/>
        </w:rPr>
        <w:t>of this Agreement; provided, that if such conduct occurs while Executive is employed hereunder, the Company shall allow Executive an opportunity for a hearing before Huron’s Board of Directors (the “</w:t>
      </w:r>
      <w:r>
        <w:rPr>
          <w:rFonts w:ascii="Times New Roman;sans-serif" w:hAnsi="Times New Roman;sans-serif"/>
          <w:b/>
          <w:color w:val="000000"/>
          <w:sz w:val="24"/>
        </w:rPr>
        <w:t>Board”</w:t>
      </w:r>
      <w:r>
        <w:rPr>
          <w:rFonts w:ascii="Times New Roman;sans-serif" w:hAnsi="Times New Roman;sans-serif"/>
          <w:b w:val="false"/>
          <w:color w:val="000000"/>
          <w:sz w:val="24"/>
        </w:rPr>
        <w:t>) prior to any termination of Executive for Cause.</w:t>
      </w:r>
    </w:p>
    <w:p>
      <w:pPr>
        <w:pStyle w:val="TextBody"/>
        <w:bidi w:val="0"/>
        <w:spacing w:lineRule="auto" w:line="288" w:before="180" w:after="283"/>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4"/>
        </w:rPr>
        <w:t>Executive shall be deemed to have a “</w:t>
      </w:r>
      <w:r>
        <w:rPr>
          <w:rFonts w:ascii="Times New Roman;sans-serif" w:hAnsi="Times New Roman;sans-serif"/>
          <w:b/>
          <w:color w:val="000000"/>
          <w:sz w:val="24"/>
        </w:rPr>
        <w:t>Permanent Disability</w:t>
      </w:r>
      <w:r>
        <w:rPr>
          <w:color w:val="000000"/>
        </w:rPr>
        <w:t xml:space="preserve">” </w:t>
      </w:r>
      <w:r>
        <w:rPr>
          <w:rFonts w:ascii="Times New Roman;sans-serif" w:hAnsi="Times New Roman;sans-serif"/>
          <w:b w:val="false"/>
          <w:color w:val="000000"/>
          <w:sz w:val="24"/>
        </w:rPr>
        <w:t>for purposes of this Agreement if Executive is eligible to receive benefits under the Company’s long-term disability plan then covering Executive.</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ind w:left="0" w:right="0" w:firstLine="1440"/>
        <w:jc w:val="both"/>
        <w:rPr/>
      </w:pPr>
      <w:r>
        <w:rPr>
          <w:rFonts w:ascii="Times New Roman;sans-serif" w:hAnsi="Times New Roman;sans-serif"/>
          <w:b w:val="false"/>
          <w:color w:val="000000"/>
          <w:sz w:val="24"/>
        </w:rPr>
        <w:t>1.5    </w:t>
      </w:r>
      <w:r>
        <w:rPr>
          <w:rFonts w:ascii="Times New Roman;sans-serif" w:hAnsi="Times New Roman;sans-serif"/>
          <w:b w:val="false"/>
          <w:color w:val="000000"/>
          <w:sz w:val="24"/>
          <w:u w:val="single"/>
        </w:rPr>
        <w:t>Termination by Executive</w:t>
      </w:r>
      <w:r>
        <w:rPr>
          <w:rFonts w:ascii="Times New Roman;sans-serif" w:hAnsi="Times New Roman;sans-serif"/>
          <w:b w:val="false"/>
          <w:color w:val="000000"/>
          <w:sz w:val="24"/>
        </w:rPr>
        <w:t xml:space="preserve">. Except as otherwise provided herein, Executive shall give sixty (60) days' notice to the Company prior to the effectiveness of any resignation of Executive's employment with the Company. Executive's termination of employment shall be deemed to be on account of "Good Reason" if (a)(i) </w:t>
      </w:r>
      <w:r>
        <w:rPr>
          <w:rFonts w:ascii="Times New Roman;sans-serif" w:hAnsi="Times New Roman;sans-serif"/>
          <w:b w:val="false"/>
          <w:color w:val="151515"/>
          <w:sz w:val="24"/>
        </w:rPr>
        <w:t xml:space="preserve">the Company gives notice to Executive that, during the Employment Period, Executive's primary location of employment with the Company will change to a location that is more than fifty (50) miles from Executive's primary location of employment with the Company in Chicago, Illinois, (ii) if </w:t>
      </w:r>
      <w:r>
        <w:rPr>
          <w:rFonts w:ascii="Times New Roman;sans-serif" w:hAnsi="Times New Roman;sans-serif"/>
          <w:b w:val="false"/>
          <w:color w:val="000000"/>
          <w:sz w:val="24"/>
        </w:rPr>
        <w:t>Executive gives notice to the Company that the Company has materially failed to comply with any material term of this Agreement, or (iii) the Company materially reduces Executive's base salary or benefits coverage, provided that such reduction is without Executive's consent, is not warranted by the Company's financial condition, and is not a change that applies uniformly to similarly-situated Company executives, (b) the Company does not rescind (or otherwise cure) such event or condition within the sixty (60) day period following the occurrence of such event or, if applicable, the date of the notice from Executive to the Company, and (c) Executive resigns Executive’s employment within thirty (30) days after the end of such sixty (60) day cure period. Any notice from Executive to the Company under Section 1.5(a)(i) or (ii) shall be provided within thirty (30) days after Executive first has knowledge of the applicable event or condition.</w:t>
      </w:r>
    </w:p>
    <w:p>
      <w:pPr>
        <w:pStyle w:val="TextBody"/>
        <w:bidi w:val="0"/>
        <w:spacing w:lineRule="auto" w:line="288" w:before="180" w:after="283"/>
        <w:ind w:left="0" w:right="0" w:hanging="360"/>
        <w:jc w:val="left"/>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Compensation</w:t>
      </w:r>
      <w:r>
        <w:rPr>
          <w:rFonts w:ascii="Times New Roman;sans-serif" w:hAnsi="Times New Roman;sans-serif"/>
          <w:b w:val="false"/>
          <w:color w:val="000000"/>
          <w:sz w:val="24"/>
        </w:rPr>
        <w:t>.</w:t>
      </w:r>
    </w:p>
    <w:p>
      <w:pPr>
        <w:pStyle w:val="TextBody"/>
        <w:bidi w:val="0"/>
        <w:spacing w:lineRule="auto" w:line="288" w:before="180" w:after="283"/>
        <w:ind w:left="0" w:right="0" w:firstLine="1440"/>
        <w:jc w:val="both"/>
        <w:rPr/>
      </w:pPr>
      <w:r>
        <w:rPr>
          <w:rFonts w:ascii="Times New Roman;sans-serif" w:hAnsi="Times New Roman;sans-serif"/>
          <w:b w:val="false"/>
          <w:color w:val="000000"/>
          <w:sz w:val="24"/>
        </w:rPr>
        <w:t>2.1    </w:t>
      </w:r>
      <w:r>
        <w:rPr>
          <w:rFonts w:ascii="Times New Roman;sans-serif" w:hAnsi="Times New Roman;sans-serif"/>
          <w:b w:val="false"/>
          <w:color w:val="000000"/>
          <w:sz w:val="24"/>
          <w:u w:val="single"/>
        </w:rPr>
        <w:t>Base Salary</w:t>
      </w:r>
      <w:r>
        <w:rPr>
          <w:rFonts w:ascii="Times New Roman;sans-serif" w:hAnsi="Times New Roman;sans-serif"/>
          <w:b w:val="false"/>
          <w:color w:val="000000"/>
          <w:sz w:val="24"/>
        </w:rPr>
        <w:t>. As consideration for the services of Executive hereunder, the Company shall pay Executive an annual base salary (the “</w:t>
      </w:r>
      <w:r>
        <w:rPr>
          <w:rFonts w:ascii="Times New Roman;sans-serif" w:hAnsi="Times New Roman;sans-serif"/>
          <w:b/>
          <w:color w:val="000000"/>
          <w:sz w:val="24"/>
        </w:rPr>
        <w:t>Base Salary</w:t>
      </w:r>
      <w:r>
        <w:rPr>
          <w:color w:val="000000"/>
        </w:rPr>
        <w:t>”</w:t>
      </w:r>
      <w:r>
        <w:rPr>
          <w:rFonts w:ascii="Times New Roman;sans-serif" w:hAnsi="Times New Roman;sans-serif"/>
          <w:b w:val="false"/>
          <w:color w:val="000000"/>
          <w:sz w:val="24"/>
        </w:rPr>
        <w:t>), payable in accordance with the Company’s customary payroll practices as in effect from time to time. The Board shall perform an annual review of Executive’s compensation based on Executive’s performance of Executive’s duties and the Company’s other compensation policies, provided that Executive’s Base Salary shall not be reduced without Executive’s consent unless such reduction is part of a comparable overall reduction for members of senior management. The term Base Salary shall include any changes to the Base Salary from time to time.</w:t>
      </w:r>
    </w:p>
    <w:p>
      <w:pPr>
        <w:pStyle w:val="TextBody"/>
        <w:bidi w:val="0"/>
        <w:spacing w:lineRule="auto" w:line="288" w:before="180" w:after="283"/>
        <w:ind w:left="0" w:right="0" w:firstLine="1440"/>
        <w:jc w:val="both"/>
        <w:rPr/>
      </w:pPr>
      <w:r>
        <w:rPr>
          <w:rFonts w:ascii="Times New Roman;sans-serif" w:hAnsi="Times New Roman;sans-serif"/>
          <w:b w:val="false"/>
          <w:color w:val="000000"/>
          <w:sz w:val="24"/>
        </w:rPr>
        <w:t>2.2    </w:t>
      </w:r>
      <w:r>
        <w:rPr>
          <w:color w:val="000000"/>
          <w:u w:val="single"/>
        </w:rPr>
        <w:t xml:space="preserve"> </w:t>
      </w:r>
      <w:r>
        <w:rPr>
          <w:rFonts w:ascii="Times New Roman;sans-serif" w:hAnsi="Times New Roman;sans-serif"/>
          <w:b w:val="false"/>
          <w:color w:val="000000"/>
          <w:sz w:val="24"/>
          <w:u w:val="single"/>
        </w:rPr>
        <w:t>Bonus Programs</w:t>
      </w:r>
      <w:r>
        <w:rPr>
          <w:rFonts w:ascii="Times New Roman;sans-serif" w:hAnsi="Times New Roman;sans-serif"/>
          <w:b w:val="false"/>
          <w:color w:val="000000"/>
          <w:sz w:val="24"/>
        </w:rPr>
        <w:t>. For each calendar year, Executive shall be eligible for an annual bonus in an amount determined by the Compensation Committee of the Board (the "</w:t>
      </w:r>
      <w:r>
        <w:rPr>
          <w:rFonts w:ascii="Times New Roman;sans-serif" w:hAnsi="Times New Roman;sans-serif"/>
          <w:b/>
          <w:color w:val="000000"/>
          <w:sz w:val="24"/>
        </w:rPr>
        <w:t>Compensation Committee</w:t>
      </w:r>
      <w:r>
        <w:rPr>
          <w:rFonts w:ascii="Times New Roman;sans-serif" w:hAnsi="Times New Roman;sans-serif"/>
          <w:b w:val="false"/>
          <w:color w:val="000000"/>
          <w:sz w:val="24"/>
        </w:rPr>
        <w:t>") based on Executive's performance of Executive's duties and the Company's other compensation policies (the "</w:t>
      </w:r>
      <w:r>
        <w:rPr>
          <w:rFonts w:ascii="Times New Roman;sans-serif" w:hAnsi="Times New Roman;sans-serif"/>
          <w:b/>
          <w:color w:val="000000"/>
          <w:sz w:val="24"/>
        </w:rPr>
        <w:t>Annual Bonus</w:t>
      </w:r>
      <w:r>
        <w:rPr>
          <w:rFonts w:ascii="Times New Roman;sans-serif" w:hAnsi="Times New Roman;sans-serif"/>
          <w:b w:val="false"/>
          <w:color w:val="000000"/>
          <w:sz w:val="24"/>
        </w:rPr>
        <w:t xml:space="preserve">"). The actual Annual Bonus paid will be based on Company and Executive performance. Except as otherwise described in this Agreement, Executive's right to any bonus payable pursuant to this </w:t>
      </w:r>
      <w:r>
        <w:rPr>
          <w:rFonts w:ascii="Times New Roman;sans-serif" w:hAnsi="Times New Roman;sans-serif"/>
          <w:b/>
          <w:color w:val="000000"/>
          <w:sz w:val="24"/>
        </w:rPr>
        <w:t>Section 2.2</w:t>
      </w:r>
      <w:r>
        <w:rPr>
          <w:color w:val="000000"/>
        </w:rPr>
        <w:t xml:space="preserve"> </w:t>
      </w:r>
      <w:r>
        <w:rPr>
          <w:rFonts w:ascii="Times New Roman;sans-serif" w:hAnsi="Times New Roman;sans-serif"/>
          <w:b w:val="false"/>
          <w:color w:val="000000"/>
          <w:sz w:val="24"/>
        </w:rPr>
        <w:t>shall be contingent upon Executive being employed by the Company on the date the Annual Bonus is generally paid to executives of the Company.</w:t>
      </w:r>
    </w:p>
    <w:p>
      <w:pPr>
        <w:pStyle w:val="TextBody"/>
        <w:bidi w:val="0"/>
        <w:spacing w:lineRule="auto" w:line="288" w:before="180" w:after="283"/>
        <w:ind w:left="0" w:right="0" w:firstLine="1440"/>
        <w:jc w:val="both"/>
        <w:rPr/>
      </w:pPr>
      <w:r>
        <w:rPr>
          <w:rFonts w:ascii="Times New Roman;sans-serif" w:hAnsi="Times New Roman;sans-serif"/>
          <w:b w:val="false"/>
          <w:color w:val="000000"/>
          <w:sz w:val="24"/>
        </w:rPr>
        <w:t>2.3    </w:t>
      </w:r>
      <w:r>
        <w:rPr>
          <w:rFonts w:ascii="Times New Roman;sans-serif" w:hAnsi="Times New Roman;sans-serif"/>
          <w:b w:val="false"/>
          <w:color w:val="000000"/>
          <w:sz w:val="24"/>
          <w:u w:val="single"/>
        </w:rPr>
        <w:t>Staking Grant.</w:t>
      </w:r>
      <w:r>
        <w:rPr>
          <w:color w:val="000000"/>
        </w:rPr>
        <w:t xml:space="preserve"> </w:t>
      </w:r>
      <w:r>
        <w:rPr>
          <w:rFonts w:ascii="Times New Roman;sans-serif" w:hAnsi="Times New Roman;sans-serif"/>
          <w:b w:val="false"/>
          <w:color w:val="000000"/>
          <w:sz w:val="24"/>
        </w:rPr>
        <w:t xml:space="preserve">Any Staking Grants paid in equity to Executive prior to the Effective Date pursuant to Executive’s prior SMA with the Company shall continue to be subject to the terms of the applicable equity incentive plan of the Company and granting agreement. Any shares granted shall vest in four equal increments, with one-fourth vesting on the first anniversary of the grant date and one-fourth vesting on each of the next three anniversaries of the grant date; provided, however, that no shares shall vest if Executive is not employed by the Company as of such vesting date. No new staking grant shall be provided with this Agreement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and Executive shall not be eligible for any further staking grant payments in cash or in equity pursuant to Executive’s prior SMA with the Company.</w:t>
      </w:r>
    </w:p>
    <w:p>
      <w:pPr>
        <w:pStyle w:val="TextBody"/>
        <w:bidi w:val="0"/>
        <w:spacing w:lineRule="auto" w:line="288" w:before="180" w:after="283"/>
        <w:ind w:left="0" w:right="0" w:firstLine="117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Equity Awards.</w:t>
      </w:r>
      <w:r>
        <w:rPr>
          <w:color w:val="000000"/>
        </w:rPr>
        <w:t xml:space="preserve"> </w:t>
      </w:r>
      <w:r>
        <w:rPr>
          <w:rFonts w:ascii="Times New Roman;sans-serif" w:hAnsi="Times New Roman;sans-serif"/>
          <w:b w:val="false"/>
          <w:color w:val="000000"/>
          <w:sz w:val="24"/>
        </w:rPr>
        <w:t>Executive shall generally be eligible to participate in Huron's equity plans from time to time, with the amount of any equity awards, and the terms and conditions under which they are granted being in the sole discretion of the Compensation Committee based on Executive's performance of Executive's duties and the Company's other compensation policies. Such equity awards shall be subject to the terms of the applicable equity incentive plan of the Company and granting agreement.</w:t>
      </w:r>
    </w:p>
    <w:p>
      <w:pPr>
        <w:pStyle w:val="TextBody"/>
        <w:bidi w:val="0"/>
        <w:spacing w:lineRule="auto" w:line="288" w:before="180" w:after="283"/>
        <w:ind w:left="0" w:right="0" w:firstLine="108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Benefits and Expenses</w:t>
      </w:r>
      <w:r>
        <w:rPr>
          <w:rFonts w:ascii="Times New Roman;sans-serif" w:hAnsi="Times New Roman;sans-serif"/>
          <w:b w:val="false"/>
          <w:color w:val="000000"/>
          <w:sz w:val="24"/>
        </w:rPr>
        <w:t>.</w:t>
      </w:r>
    </w:p>
    <w:p>
      <w:pPr>
        <w:pStyle w:val="TextBody"/>
        <w:bidi w:val="0"/>
        <w:spacing w:lineRule="auto" w:line="288" w:before="180" w:after="283"/>
        <w:ind w:left="0" w:right="0" w:firstLine="1440"/>
        <w:jc w:val="both"/>
        <w:rPr/>
      </w:pPr>
      <w:r>
        <w:rPr>
          <w:rFonts w:ascii="Times New Roman;sans-serif" w:hAnsi="Times New Roman;sans-serif"/>
          <w:b w:val="false"/>
          <w:color w:val="000000"/>
          <w:sz w:val="24"/>
        </w:rPr>
        <w:t>4.1    </w:t>
      </w:r>
      <w:r>
        <w:rPr>
          <w:rFonts w:ascii="Times New Roman;sans-serif" w:hAnsi="Times New Roman;sans-serif"/>
          <w:b w:val="false"/>
          <w:color w:val="000000"/>
          <w:sz w:val="24"/>
          <w:u w:val="single"/>
        </w:rPr>
        <w:t>Benefits</w:t>
      </w:r>
      <w:r>
        <w:rPr>
          <w:rFonts w:ascii="Times New Roman;sans-serif" w:hAnsi="Times New Roman;sans-serif"/>
          <w:b w:val="false"/>
          <w:color w:val="000000"/>
          <w:sz w:val="24"/>
        </w:rPr>
        <w:t>. During the Employment Period, Executive shall be eligible to participate in the various health and welfare benefit plans maintained by the Company for its similarly-situated key management employees from time to time, including but not limited to paid vacation, medical and dental insurance, and disability and life insurance at levels as are provided from time to time to similarly-situated executives of the Company.</w:t>
      </w:r>
    </w:p>
    <w:p>
      <w:pPr>
        <w:pStyle w:val="TextBody"/>
        <w:bidi w:val="0"/>
        <w:spacing w:lineRule="auto" w:line="288" w:before="180" w:after="283"/>
        <w:ind w:left="0" w:right="0" w:firstLine="1440"/>
        <w:jc w:val="both"/>
        <w:rPr/>
      </w:pPr>
      <w:r>
        <w:rPr>
          <w:rFonts w:ascii="Times New Roman;sans-serif" w:hAnsi="Times New Roman;sans-serif"/>
          <w:b w:val="false"/>
          <w:color w:val="000000"/>
          <w:sz w:val="24"/>
        </w:rPr>
        <w:t>4.2    </w:t>
      </w:r>
      <w:r>
        <w:rPr>
          <w:rFonts w:ascii="Times New Roman;sans-serif" w:hAnsi="Times New Roman;sans-serif"/>
          <w:b w:val="false"/>
          <w:color w:val="000000"/>
          <w:sz w:val="24"/>
          <w:u w:val="single"/>
        </w:rPr>
        <w:t>Business Expenses</w:t>
      </w:r>
      <w:r>
        <w:rPr>
          <w:rFonts w:ascii="Times New Roman;sans-serif" w:hAnsi="Times New Roman;sans-serif"/>
          <w:b w:val="false"/>
          <w:color w:val="000000"/>
          <w:sz w:val="24"/>
        </w:rPr>
        <w:t>. During the Employment Period, the Company shall reimburse Executive for all ordinary, necessary and reasonable travel and other business expenses incurred by Executive in connection with the performance of Executive’s duties hereunder, in accordance with the Company policy. Such reimbursement shall be made upon presentation of itemized expense statements and such other supporting documentation as the Company may reasonably require. To the extent that any such reimbursements are taxable to Executive (“</w:t>
      </w:r>
      <w:r>
        <w:rPr>
          <w:rFonts w:ascii="Times New Roman;sans-serif" w:hAnsi="Times New Roman;sans-serif"/>
          <w:b/>
          <w:color w:val="000000"/>
          <w:sz w:val="24"/>
        </w:rPr>
        <w:t>Taxable Reimbursements</w:t>
      </w:r>
      <w:r>
        <w:rPr>
          <w:color w:val="000000"/>
        </w:rPr>
        <w:t>”</w:t>
      </w:r>
      <w:r>
        <w:rPr>
          <w:rFonts w:ascii="Times New Roman;sans-serif" w:hAnsi="Times New Roman;sans-serif"/>
          <w:b w:val="false"/>
          <w:color w:val="000000"/>
          <w:sz w:val="24"/>
        </w:rPr>
        <w:t>), such reimbursements shall be paid to Executive only if (a) the expenses are incurred and reimbursable pursuant to a reimbursement plan that provides an objectively determinable nondiscretionary definition of the expenses that are eligible for reimbursement, and (b) the expenses are incurred during the Employment Period. With respect to any Taxable Reimbursements, the amount of the expenses that are eligible for reimbursement during one calendar year may not affect the amount of reimbursements to be provided in any subsequent calendar year, the reimbursement of an eligible expense shall be made on or before the last day of the calendar year following the calendar year in which the expense was incurred, and the right to reimbursement of the expenses shall not be subject to liquidation or exchange for any other benefit.</w:t>
      </w:r>
    </w:p>
    <w:p>
      <w:pPr>
        <w:pStyle w:val="TextBody"/>
        <w:bidi w:val="0"/>
        <w:spacing w:lineRule="auto" w:line="288" w:before="180" w:after="283"/>
        <w:ind w:left="0" w:right="0" w:firstLine="108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Compensation After Termination</w:t>
      </w:r>
      <w:r>
        <w:rPr>
          <w:rFonts w:ascii="Times New Roman;sans-serif" w:hAnsi="Times New Roman;sans-serif"/>
          <w:b w:val="false"/>
          <w:color w:val="000000"/>
          <w:sz w:val="24"/>
        </w:rPr>
        <w:t>.</w:t>
      </w:r>
    </w:p>
    <w:p>
      <w:pPr>
        <w:pStyle w:val="TextBody"/>
        <w:bidi w:val="0"/>
        <w:spacing w:lineRule="auto" w:line="288" w:before="180" w:after="283"/>
        <w:ind w:left="0" w:right="0" w:firstLine="1440"/>
        <w:jc w:val="both"/>
        <w:rPr/>
      </w:pPr>
      <w:r>
        <w:rPr>
          <w:rFonts w:ascii="Times New Roman;sans-serif" w:hAnsi="Times New Roman;sans-serif"/>
          <w:b w:val="false"/>
          <w:color w:val="000000"/>
          <w:sz w:val="24"/>
        </w:rPr>
        <w:t>5.1    </w:t>
      </w:r>
      <w:r>
        <w:rPr>
          <w:rFonts w:ascii="Times New Roman;sans-serif" w:hAnsi="Times New Roman;sans-serif"/>
          <w:b w:val="false"/>
          <w:color w:val="000000"/>
          <w:sz w:val="24"/>
          <w:u w:val="single"/>
        </w:rPr>
        <w:t>Termination For Cause; Resignation Without Good Reason</w:t>
      </w:r>
      <w:r>
        <w:rPr>
          <w:rFonts w:ascii="Times New Roman;sans-serif" w:hAnsi="Times New Roman;sans-serif"/>
          <w:b w:val="false"/>
          <w:color w:val="000000"/>
          <w:sz w:val="24"/>
        </w:rPr>
        <w:t>. If Executive’s employment is terminated by the Company for Cause or if Executive resigns Executive’s employment other than for Good Reason during the Employment Period then, except as required by law, the Company shall have no further obligations to Executive (except payment of the Base Salary accrued through the date of said termination), and the Company shall continue to have all other rights available hereunder (including, without limitation, all rights under the Restrictive Covenants at law or in equity).</w:t>
      </w:r>
    </w:p>
    <w:p>
      <w:pPr>
        <w:pStyle w:val="TextBody"/>
        <w:bidi w:val="0"/>
        <w:spacing w:lineRule="auto" w:line="288" w:before="180" w:after="283"/>
        <w:ind w:left="0" w:right="0" w:firstLine="1440"/>
        <w:jc w:val="both"/>
        <w:rPr/>
      </w:pPr>
      <w:r>
        <w:rPr>
          <w:rFonts w:ascii="Times New Roman;sans-serif" w:hAnsi="Times New Roman;sans-serif"/>
          <w:b w:val="false"/>
          <w:color w:val="000000"/>
          <w:sz w:val="24"/>
        </w:rPr>
        <w:t>5.2    </w:t>
      </w:r>
      <w:r>
        <w:rPr>
          <w:rFonts w:ascii="Times New Roman;sans-serif" w:hAnsi="Times New Roman;sans-serif"/>
          <w:b w:val="false"/>
          <w:color w:val="000000"/>
          <w:sz w:val="24"/>
          <w:u w:val="single"/>
        </w:rPr>
        <w:t>Termination Without Cause; Resignation For Good Reason</w:t>
      </w:r>
      <w:r>
        <w:rPr>
          <w:rFonts w:ascii="Times New Roman;sans-serif" w:hAnsi="Times New Roman;sans-serif"/>
          <w:b w:val="false"/>
          <w:color w:val="000000"/>
          <w:sz w:val="24"/>
        </w:rPr>
        <w:t>.</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ind w:left="0" w:right="0" w:firstLine="990"/>
        <w:jc w:val="both"/>
        <w:rPr/>
      </w:pPr>
      <w:r>
        <w:rPr>
          <w:rFonts w:ascii="Times New Roman;sans-serif" w:hAnsi="Times New Roman;sans-serif"/>
          <w:b w:val="false"/>
          <w:color w:val="000000"/>
          <w:sz w:val="22"/>
        </w:rPr>
        <w:t>(a)</w:t>
      </w:r>
      <w:r>
        <w:rPr>
          <w:rFonts w:ascii="Times New Roman;sans-serif" w:hAnsi="Times New Roman;sans-serif"/>
          <w:b w:val="false"/>
          <w:color w:val="000000"/>
          <w:sz w:val="24"/>
        </w:rPr>
        <w:t>If, Executive's employment is terminated by the Company without Cause or Executive resigns for Good Reason, then, subject to the terms and conditions of this Agreement, Executive shall be entitled to receive the following amounts and benefits:</w:t>
      </w:r>
    </w:p>
    <w:p>
      <w:pPr>
        <w:pStyle w:val="TextBody"/>
        <w:bidi w:val="0"/>
        <w:spacing w:lineRule="auto" w:line="288" w:before="180" w:after="283"/>
        <w:ind w:left="0" w:right="0" w:firstLine="1124"/>
        <w:jc w:val="both"/>
        <w:rPr>
          <w:rFonts w:ascii="Times New Roman;sans-serif" w:hAnsi="Times New Roman;sans-serif"/>
          <w:b w:val="false"/>
          <w:color w:val="000000"/>
          <w:sz w:val="24"/>
        </w:rPr>
      </w:pPr>
      <w:r>
        <w:rPr>
          <w:rFonts w:ascii="Times New Roman;sans-serif" w:hAnsi="Times New Roman;sans-serif"/>
          <w:b w:val="false"/>
          <w:color w:val="000000"/>
          <w:sz w:val="24"/>
        </w:rPr>
        <w:t>(i)an amount in cash equal to one (1) times the sum of Executive's annual Base Salary and Target Bonus for the year of termination or resignation (“Severance Pay”) payable to Executive in one lump sum within sixty (60) days following Executive’s termination of employment;</w:t>
      </w:r>
    </w:p>
    <w:p>
      <w:pPr>
        <w:pStyle w:val="TextBody"/>
        <w:bidi w:val="0"/>
        <w:spacing w:lineRule="auto" w:line="288" w:before="180" w:after="283"/>
        <w:ind w:left="0" w:right="0" w:firstLine="1057"/>
        <w:jc w:val="both"/>
        <w:rPr>
          <w:rFonts w:ascii="Times New Roman;sans-serif" w:hAnsi="Times New Roman;sans-serif"/>
          <w:b w:val="false"/>
          <w:color w:val="000000"/>
          <w:sz w:val="24"/>
        </w:rPr>
      </w:pPr>
      <w:r>
        <w:rPr>
          <w:rFonts w:ascii="Times New Roman;sans-serif" w:hAnsi="Times New Roman;sans-serif"/>
          <w:b w:val="false"/>
          <w:color w:val="000000"/>
          <w:sz w:val="24"/>
        </w:rPr>
        <w:t>(ii)Continuation of medical benefits for twelve (12) months upon the same terms as exist from time to time for active similarly-situated executives of the Company, which benefits shall be considered part of, and not in addition to, any coverage required under COBRA; and</w:t>
      </w:r>
    </w:p>
    <w:p>
      <w:pPr>
        <w:pStyle w:val="TextBody"/>
        <w:bidi w:val="0"/>
        <w:spacing w:lineRule="auto" w:line="288" w:before="180" w:after="283"/>
        <w:ind w:left="0" w:right="0" w:firstLine="991"/>
        <w:jc w:val="both"/>
        <w:rPr>
          <w:rFonts w:ascii="Times New Roman;sans-serif" w:hAnsi="Times New Roman;sans-serif"/>
          <w:b w:val="false"/>
          <w:color w:val="000000"/>
          <w:sz w:val="24"/>
        </w:rPr>
      </w:pPr>
      <w:r>
        <w:rPr>
          <w:rFonts w:ascii="Times New Roman;sans-serif" w:hAnsi="Times New Roman;sans-serif"/>
          <w:b w:val="false"/>
          <w:color w:val="000000"/>
          <w:sz w:val="24"/>
        </w:rPr>
        <w:t>(iii)An amount in cash equal to the Annual Bonus that Executive would have earned for the year of termination or resignation had Executive remained employed for the year in which Executive’s termination or resignation occurs based on satisfaction of Company performance targets, multiplied by a fraction, the numerator of which is the number of completed days of employment by Executive (including the date of termination or resignation) during the year of termination or resignation and the denominator of which is 365, which amount will be paid to Executive at the same time that the annual bonus is otherwise payable to the Company’s executives in accordance with the annual bonus plan.</w:t>
      </w:r>
    </w:p>
    <w:p>
      <w:pPr>
        <w:pStyle w:val="TextBody"/>
        <w:bidi w:val="0"/>
        <w:spacing w:lineRule="auto" w:line="288" w:before="180" w:after="283"/>
        <w:ind w:left="0" w:right="0" w:firstLine="990"/>
        <w:jc w:val="both"/>
        <w:rPr>
          <w:rFonts w:ascii="Times New Roman;sans-serif" w:hAnsi="Times New Roman;sans-serif"/>
          <w:b w:val="false"/>
          <w:color w:val="000000"/>
          <w:sz w:val="24"/>
        </w:rPr>
      </w:pPr>
      <w:r>
        <w:rPr>
          <w:rFonts w:ascii="Times New Roman;sans-serif" w:hAnsi="Times New Roman;sans-serif"/>
          <w:b w:val="false"/>
          <w:color w:val="000000"/>
          <w:sz w:val="24"/>
        </w:rPr>
        <w:t>(b)The Company shall have no other obligations under the Agreement or otherwise for periods from and after Executive’s employment termination date (except payment of the Base Salary accrued through the date of said termination), and the Company shall continue to have all other rights available hereunder (including, without limitation, all rights under the Restrictive Covenants at law or in equity).</w:t>
      </w:r>
    </w:p>
    <w:p>
      <w:pPr>
        <w:pStyle w:val="TextBody"/>
        <w:bidi w:val="0"/>
        <w:spacing w:lineRule="auto" w:line="288" w:before="180" w:after="283"/>
        <w:ind w:left="0" w:right="0" w:firstLine="1440"/>
        <w:jc w:val="both"/>
        <w:rPr/>
      </w:pPr>
      <w:r>
        <w:rPr>
          <w:rFonts w:ascii="Times New Roman;sans-serif" w:hAnsi="Times New Roman;sans-serif"/>
          <w:b w:val="false"/>
          <w:color w:val="000000"/>
          <w:sz w:val="24"/>
        </w:rPr>
        <w:t>5.3    </w:t>
      </w:r>
      <w:r>
        <w:rPr>
          <w:rFonts w:ascii="Times New Roman;sans-serif" w:hAnsi="Times New Roman;sans-serif"/>
          <w:b w:val="false"/>
          <w:color w:val="000000"/>
          <w:sz w:val="24"/>
          <w:u w:val="single"/>
        </w:rPr>
        <w:t>Termination Due To Death, Permanent Disability</w:t>
      </w:r>
      <w:r>
        <w:rPr>
          <w:rFonts w:ascii="Times New Roman;sans-serif" w:hAnsi="Times New Roman;sans-serif"/>
          <w:b w:val="false"/>
          <w:color w:val="000000"/>
          <w:sz w:val="24"/>
        </w:rPr>
        <w:t xml:space="preserve">. If Executive’s employment is terminated due to Executive’s Permanent Disability or if Executive dies during the Employment Period, then subject to the terms and conditions of this Agreement (a) Executive or Executive’s estate, as the case may be, shall be entitled to receive, in addition to any amounts Executive may be entitled to receive under the Company’s long-term disability plan or other benefit plans, payment of Base Salary through the date of termination, and (b) Executive and/or Executive’s eligible dependents shall receive continuation of medical benefits upon the same terms as exist immediately prior to the termination of employment for similarly- situated active executives of the Company for the six (6)-month period immediately following the termination of employment (which benefits shall be considered part of, and not in addition to, any coverage required under COBRA). The Company shall have no other obligations under this </w:t>
      </w:r>
      <w:r>
        <w:rPr>
          <w:rFonts w:ascii="Times New Roman;sans-serif" w:hAnsi="Times New Roman;sans-serif"/>
          <w:b/>
          <w:color w:val="000000"/>
          <w:sz w:val="24"/>
        </w:rPr>
        <w:t>Section 5.3</w:t>
      </w:r>
      <w:r>
        <w:rPr>
          <w:color w:val="000000"/>
        </w:rPr>
        <w:t xml:space="preserve"> </w:t>
      </w:r>
      <w:r>
        <w:rPr>
          <w:rFonts w:ascii="Times New Roman;sans-serif" w:hAnsi="Times New Roman;sans-serif"/>
          <w:b w:val="false"/>
          <w:color w:val="000000"/>
          <w:sz w:val="24"/>
        </w:rPr>
        <w:t>or otherwise with respect to Executive’s employment from and after the termination date, and the Company shall continue to have all other rights available hereunder (including, without limitation, all rights under the Restrictive Covenants at law or in equity). Subject to the terms and conditions of this Agreement, Executive or Executive’s estate shall also be entitled to receive the following amounts and benefits:</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ind w:left="0" w:right="0" w:firstLine="990"/>
        <w:jc w:val="both"/>
        <w:rPr/>
      </w:pPr>
      <w:r>
        <w:rPr>
          <w:rFonts w:ascii="Times New Roman;sans-serif" w:hAnsi="Times New Roman;sans-serif"/>
          <w:b w:val="false"/>
          <w:color w:val="000000"/>
          <w:sz w:val="24"/>
        </w:rPr>
        <w:t>(a)An amount in cash equal to the then-prevailing target amount of Executive's Annual Bonus ("</w:t>
      </w:r>
      <w:r>
        <w:rPr>
          <w:rFonts w:ascii="Times New Roman;sans-serif" w:hAnsi="Times New Roman;sans-serif"/>
          <w:b/>
          <w:color w:val="000000"/>
          <w:sz w:val="24"/>
        </w:rPr>
        <w:t>Target Bonus</w:t>
      </w:r>
      <w:r>
        <w:rPr>
          <w:rFonts w:ascii="Times New Roman;sans-serif" w:hAnsi="Times New Roman;sans-serif"/>
          <w:b w:val="false"/>
          <w:color w:val="000000"/>
          <w:sz w:val="24"/>
        </w:rPr>
        <w:t>") for the year of death or disability multiplied by a fraction, the numerator of which is the number of completed days of employment by Executive (including the date of termination or resignation) during the year of termination or resignation and the denominator of which is 365, which amount will be paid to Executive or Executive’s estate at the same time that the annual bonus is otherwise payable to the Company’s executives in accordance with the annual bonus plan.</w:t>
      </w:r>
    </w:p>
    <w:p>
      <w:pPr>
        <w:pStyle w:val="TextBody"/>
        <w:bidi w:val="0"/>
        <w:spacing w:lineRule="auto" w:line="288" w:before="180" w:after="283"/>
        <w:ind w:left="0" w:right="0" w:firstLine="990"/>
        <w:jc w:val="both"/>
        <w:rPr>
          <w:rFonts w:ascii="Times New Roman;sans-serif" w:hAnsi="Times New Roman;sans-serif"/>
          <w:b w:val="false"/>
          <w:color w:val="000000"/>
          <w:sz w:val="24"/>
        </w:rPr>
      </w:pPr>
      <w:r>
        <w:rPr>
          <w:rFonts w:ascii="Times New Roman;sans-serif" w:hAnsi="Times New Roman;sans-serif"/>
          <w:b w:val="false"/>
          <w:color w:val="000000"/>
          <w:sz w:val="24"/>
        </w:rPr>
        <w:t>(b)Full vesting of any outstanding time-based equity awards granted to Executive, notwithstanding anything to the contrary that may be delineated in any equity plan or equity award agreement. Performance based equity will be treated in accordance with the applicable performance share equity agreement then in effect.</w:t>
      </w:r>
    </w:p>
    <w:p>
      <w:pPr>
        <w:pStyle w:val="TextBody"/>
        <w:bidi w:val="0"/>
        <w:spacing w:lineRule="auto" w:line="288" w:before="180" w:after="283"/>
        <w:jc w:val="both"/>
        <w:rPr/>
      </w:pPr>
      <w:r>
        <w:rPr>
          <w:rFonts w:ascii="Times New Roman;sans-serif" w:hAnsi="Times New Roman;sans-serif"/>
          <w:b w:val="false"/>
          <w:color w:val="000000"/>
          <w:sz w:val="24"/>
        </w:rPr>
        <w:t>5.4    </w:t>
      </w:r>
      <w:r>
        <w:rPr>
          <w:rFonts w:ascii="Times New Roman;sans-serif" w:hAnsi="Times New Roman;sans-serif"/>
          <w:b w:val="false"/>
          <w:color w:val="000000"/>
          <w:sz w:val="24"/>
          <w:u w:val="single"/>
        </w:rPr>
        <w:t>This Section Intentionally Left Blank</w:t>
      </w:r>
    </w:p>
    <w:p>
      <w:pPr>
        <w:pStyle w:val="TextBody"/>
        <w:bidi w:val="0"/>
        <w:spacing w:lineRule="auto" w:line="288" w:before="180" w:after="283"/>
        <w:jc w:val="left"/>
        <w:rPr/>
      </w:pPr>
      <w:r>
        <w:rPr>
          <w:rFonts w:ascii="Times New Roman;sans-serif" w:hAnsi="Times New Roman;sans-serif"/>
          <w:b w:val="false"/>
          <w:color w:val="000000"/>
          <w:sz w:val="24"/>
        </w:rPr>
        <w:t>5.5    </w:t>
      </w:r>
      <w:r>
        <w:rPr>
          <w:rFonts w:ascii="Times New Roman;sans-serif" w:hAnsi="Times New Roman;sans-serif"/>
          <w:b w:val="false"/>
          <w:color w:val="000000"/>
          <w:sz w:val="24"/>
          <w:u w:val="single"/>
        </w:rPr>
        <w:t>Change of Control</w:t>
      </w:r>
      <w:r>
        <w:rPr>
          <w:rFonts w:ascii="Times New Roman;sans-serif" w:hAnsi="Times New Roman;sans-serif"/>
          <w:b w:val="false"/>
          <w:color w:val="000000"/>
          <w:sz w:val="24"/>
        </w:rPr>
        <w:t>.</w:t>
      </w:r>
    </w:p>
    <w:p>
      <w:pPr>
        <w:pStyle w:val="TextBody"/>
        <w:bidi w:val="0"/>
        <w:spacing w:lineRule="auto" w:line="288" w:before="180" w:after="283"/>
        <w:ind w:left="0" w:right="0" w:firstLine="990"/>
        <w:jc w:val="both"/>
        <w:rPr/>
      </w:pPr>
      <w:r>
        <w:rPr>
          <w:rFonts w:ascii="Times New Roman;sans-serif" w:hAnsi="Times New Roman;sans-serif"/>
          <w:b w:val="false"/>
          <w:color w:val="000000"/>
          <w:sz w:val="24"/>
        </w:rPr>
        <w:t xml:space="preserve">(a)The provisions of </w:t>
      </w:r>
      <w:r>
        <w:rPr>
          <w:rFonts w:ascii="Times New Roman;sans-serif" w:hAnsi="Times New Roman;sans-serif"/>
          <w:b/>
          <w:color w:val="000000"/>
          <w:sz w:val="24"/>
        </w:rPr>
        <w:t>Section 5.2 and 5.3</w:t>
      </w:r>
      <w:r>
        <w:rPr>
          <w:color w:val="000000"/>
        </w:rPr>
        <w:t xml:space="preserve"> </w:t>
      </w:r>
      <w:r>
        <w:rPr>
          <w:rFonts w:ascii="Times New Roman;sans-serif" w:hAnsi="Times New Roman;sans-serif"/>
          <w:b w:val="false"/>
          <w:color w:val="000000"/>
          <w:sz w:val="24"/>
        </w:rPr>
        <w:t>hereof to the contrary notwithstanding but subject to the other terms and conditions of this Agreement, if (i) Executive is terminated by the Company without Cause or Executive resigns Executive’s employment for CoC Good Reason (defined below) in either case during the period commencing on a Change of Control (defined below) and ending on the second anniversary of the Change of Control (such two-year period being the “</w:t>
      </w:r>
      <w:r>
        <w:rPr>
          <w:rFonts w:ascii="Times New Roman;sans-serif" w:hAnsi="Times New Roman;sans-serif"/>
          <w:b/>
          <w:color w:val="000000"/>
          <w:sz w:val="24"/>
        </w:rPr>
        <w:t>Protection Period</w:t>
      </w:r>
      <w:r>
        <w:rPr>
          <w:color w:val="000000"/>
        </w:rPr>
        <w:t xml:space="preserve">” </w:t>
      </w:r>
      <w:r>
        <w:rPr>
          <w:rFonts w:ascii="Times New Roman;sans-serif" w:hAnsi="Times New Roman;sans-serif"/>
          <w:b w:val="false"/>
          <w:color w:val="000000"/>
          <w:sz w:val="24"/>
        </w:rPr>
        <w:t>hereunder), or (ii) Executive reasonably demonstrates that the Company’s termination of Executive’s employment (or event which, had it occurred following a Change of Control, would have constituted CoC Good Reason) prior to a Change of Control was attributable to or intended to facilitate a Change of Control or was at the request of or instigation of a third party who was taking steps reasonably calculated to effect a Change of Control (or otherwise in contemplation of a Change of Control) and a Change of Control actually occurs within twelve (12) months of such termination or resignation of Executive (a “</w:t>
      </w:r>
      <w:r>
        <w:rPr>
          <w:rFonts w:ascii="Times New Roman;sans-serif" w:hAnsi="Times New Roman;sans-serif"/>
          <w:b/>
          <w:color w:val="000000"/>
          <w:sz w:val="24"/>
        </w:rPr>
        <w:t>Qualifying Termination</w:t>
      </w:r>
      <w:r>
        <w:rPr>
          <w:color w:val="000000"/>
        </w:rPr>
        <w:t>”</w:t>
      </w:r>
      <w:r>
        <w:rPr>
          <w:rFonts w:ascii="Times New Roman;sans-serif" w:hAnsi="Times New Roman;sans-serif"/>
          <w:b w:val="false"/>
          <w:color w:val="000000"/>
          <w:sz w:val="24"/>
        </w:rPr>
        <w:t>), then, subject to the terms and conditions of this Agreement, Executive shall be entitled to receive the following payments and benefits:</w:t>
      </w:r>
    </w:p>
    <w:p>
      <w:pPr>
        <w:pStyle w:val="TextBody"/>
        <w:bidi w:val="0"/>
        <w:spacing w:lineRule="auto" w:line="288" w:before="180" w:after="283"/>
        <w:ind w:left="0" w:right="0" w:firstLine="1124"/>
        <w:jc w:val="both"/>
        <w:rPr>
          <w:rFonts w:ascii="Times New Roman;sans-serif" w:hAnsi="Times New Roman;sans-serif"/>
          <w:b w:val="false"/>
          <w:color w:val="000000"/>
          <w:sz w:val="24"/>
        </w:rPr>
      </w:pPr>
      <w:r>
        <w:rPr>
          <w:rFonts w:ascii="Times New Roman;sans-serif" w:hAnsi="Times New Roman;sans-serif"/>
          <w:b w:val="false"/>
          <w:color w:val="000000"/>
          <w:sz w:val="24"/>
        </w:rPr>
        <w:t>(i)an amount in cash equal to one and one half (1.5) times the sum of Executive's annual Base Salary and Target Bonus for the year of termination or resignation;</w:t>
      </w:r>
    </w:p>
    <w:p>
      <w:pPr>
        <w:pStyle w:val="TextBody"/>
        <w:bidi w:val="0"/>
        <w:spacing w:lineRule="auto" w:line="288" w:before="180" w:after="283"/>
        <w:ind w:left="0" w:right="0" w:firstLine="1057"/>
        <w:jc w:val="both"/>
        <w:rPr/>
      </w:pPr>
      <w:r>
        <w:rPr>
          <w:rFonts w:ascii="Times New Roman;sans-serif" w:hAnsi="Times New Roman;sans-serif"/>
          <w:b w:val="false"/>
          <w:color w:val="000000"/>
          <w:sz w:val="24"/>
        </w:rPr>
        <w:t>(ii)an amount in cash equal to the then-prevailing target amount of Executive's Annual Bonus ("</w:t>
      </w:r>
      <w:r>
        <w:rPr>
          <w:rFonts w:ascii="Times New Roman;sans-serif" w:hAnsi="Times New Roman;sans-serif"/>
          <w:b/>
          <w:color w:val="000000"/>
          <w:sz w:val="24"/>
        </w:rPr>
        <w:t>Target Bonus</w:t>
      </w:r>
      <w:r>
        <w:rPr>
          <w:rFonts w:ascii="Times New Roman;sans-serif" w:hAnsi="Times New Roman;sans-serif"/>
          <w:b w:val="false"/>
          <w:color w:val="000000"/>
          <w:sz w:val="24"/>
        </w:rPr>
        <w:t>") for the year of termination or resignation multiplied by a fraction, the numerator of which is the number of completed days of employment by Executive (including the date of termination or resignation) during the year of termination or resignation and the denominator of which is 365, which amount will be paid to Executive at the same time that the annual bonus is otherwise payable to the Company’s executives in accordance with the annual bonus plan;</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ind w:left="0" w:right="0" w:firstLine="991"/>
        <w:jc w:val="both"/>
        <w:rPr>
          <w:rFonts w:ascii="Times New Roman;sans-serif" w:hAnsi="Times New Roman;sans-serif"/>
          <w:b w:val="false"/>
          <w:color w:val="000000"/>
          <w:sz w:val="24"/>
        </w:rPr>
      </w:pPr>
      <w:r>
        <w:rPr>
          <w:rFonts w:ascii="Times New Roman;sans-serif" w:hAnsi="Times New Roman;sans-serif"/>
          <w:b w:val="false"/>
          <w:color w:val="000000"/>
          <w:sz w:val="24"/>
        </w:rPr>
        <w:t>(iii)anything set forth in any equity plan, equity award or any other provision of this Agreement between the Company and Executive to the contrary notwithstanding, all of Executive’s outstanding equity grants that were awarded at or prior to the time of the Change of Control shall fully vest upon the occurrence of a Qualifying Termination; and</w:t>
      </w:r>
    </w:p>
    <w:p>
      <w:pPr>
        <w:pStyle w:val="TextBody"/>
        <w:bidi w:val="0"/>
        <w:spacing w:lineRule="auto" w:line="288" w:before="180" w:after="283"/>
        <w:ind w:left="0" w:right="0" w:firstLine="1004"/>
        <w:jc w:val="both"/>
        <w:rPr>
          <w:rFonts w:ascii="Times New Roman;sans-serif" w:hAnsi="Times New Roman;sans-serif"/>
          <w:b w:val="false"/>
          <w:color w:val="000000"/>
          <w:sz w:val="24"/>
        </w:rPr>
      </w:pPr>
      <w:r>
        <w:rPr>
          <w:rFonts w:ascii="Times New Roman;sans-serif" w:hAnsi="Times New Roman;sans-serif"/>
          <w:b w:val="false"/>
          <w:color w:val="000000"/>
          <w:sz w:val="24"/>
        </w:rPr>
        <w:t>(iv)continuation of medical benefits for eighteen (18) months from the date of such termination or resignation upon the same terms as exist for Executive immediately prior to the termination or resignation date (which benefits shall be considered part of, and not in addition to, any coverage required under COBRA).</w:t>
      </w:r>
    </w:p>
    <w:p>
      <w:pPr>
        <w:pStyle w:val="TextBody"/>
        <w:bidi w:val="0"/>
        <w:spacing w:lineRule="auto" w:line="288" w:before="180" w:after="283"/>
        <w:ind w:left="0" w:right="0" w:firstLine="990"/>
        <w:jc w:val="both"/>
        <w:rPr/>
      </w:pPr>
      <w:r>
        <w:rPr>
          <w:rFonts w:ascii="Times New Roman;sans-serif" w:hAnsi="Times New Roman;sans-serif"/>
          <w:b w:val="false"/>
          <w:color w:val="000000"/>
          <w:sz w:val="24"/>
        </w:rPr>
        <w:t xml:space="preserve">Following any termination or resignation of Executive’s employment pursuant to this </w:t>
      </w:r>
      <w:r>
        <w:rPr>
          <w:rFonts w:ascii="Times New Roman;sans-serif" w:hAnsi="Times New Roman;sans-serif"/>
          <w:b/>
          <w:color w:val="000000"/>
          <w:sz w:val="24"/>
        </w:rPr>
        <w:t>Section 5.5</w:t>
      </w:r>
      <w:r>
        <w:rPr>
          <w:rFonts w:ascii="Times New Roman;sans-serif" w:hAnsi="Times New Roman;sans-serif"/>
          <w:b w:val="false"/>
          <w:color w:val="000000"/>
          <w:sz w:val="24"/>
        </w:rPr>
        <w:t xml:space="preserve">, the Company shall continue to have all other rights available hereunder (including, without limitation, all rights under the Restrictive Covenants and any restrictive covenants set forth in any plan, award and agreement applicable to Executive, at law or in equity). Subject to Executive’s execution of the Release described in </w:t>
      </w:r>
      <w:r>
        <w:rPr>
          <w:rFonts w:ascii="Times New Roman;sans-serif" w:hAnsi="Times New Roman;sans-serif"/>
          <w:b/>
          <w:color w:val="000000"/>
          <w:sz w:val="24"/>
        </w:rPr>
        <w:t>Section 5.6</w:t>
      </w:r>
      <w:r>
        <w:rPr>
          <w:rFonts w:ascii="Times New Roman;sans-serif" w:hAnsi="Times New Roman;sans-serif"/>
          <w:b w:val="false"/>
          <w:color w:val="000000"/>
          <w:sz w:val="24"/>
        </w:rPr>
        <w:t>, the payments described in clauses (i) and (ii) (“</w:t>
      </w:r>
      <w:r>
        <w:rPr>
          <w:rFonts w:ascii="Times New Roman;sans-serif" w:hAnsi="Times New Roman;sans-serif"/>
          <w:b/>
          <w:color w:val="000000"/>
          <w:sz w:val="24"/>
        </w:rPr>
        <w:t>Change of Control Severance Pay</w:t>
      </w:r>
      <w:r>
        <w:rPr>
          <w:color w:val="000000"/>
        </w:rPr>
        <w:t>”</w:t>
      </w:r>
      <w:r>
        <w:rPr>
          <w:rFonts w:ascii="Times New Roman;sans-serif" w:hAnsi="Times New Roman;sans-serif"/>
          <w:b w:val="false"/>
          <w:color w:val="000000"/>
          <w:sz w:val="24"/>
        </w:rPr>
        <w:t xml:space="preserve">) shall be paid in a lump sum within sixty (60) days following Executive’s termination or resignation of employment (or, in the case of a Qualifying Termination that occurs prior to the Change of Control, within sixty (60) days following the Change of Control). If the Qualifying Termination occurs prior to a Change of Control, in addition to the benefits described in clause (iv) of this </w:t>
      </w:r>
      <w:r>
        <w:rPr>
          <w:rFonts w:ascii="Times New Roman;sans-serif" w:hAnsi="Times New Roman;sans-serif"/>
          <w:b/>
          <w:color w:val="000000"/>
          <w:sz w:val="24"/>
        </w:rPr>
        <w:t>Section 5.5(a)</w:t>
      </w:r>
      <w:r>
        <w:rPr>
          <w:rFonts w:ascii="Times New Roman;sans-serif" w:hAnsi="Times New Roman;sans-serif"/>
          <w:b w:val="false"/>
          <w:color w:val="000000"/>
          <w:sz w:val="24"/>
        </w:rPr>
        <w:t>, Executive shall be paid a lump sum cash payment equal to the difference between (I) the applicable premium paid by Executive for continuation of medical benefits under COBRA from the date of the Qualifying Termination through the date of the Change of Control (the “</w:t>
      </w:r>
      <w:r>
        <w:rPr>
          <w:rFonts w:ascii="Times New Roman;sans-serif" w:hAnsi="Times New Roman;sans-serif"/>
          <w:b/>
          <w:color w:val="000000"/>
          <w:sz w:val="24"/>
        </w:rPr>
        <w:t>Pre-CoC Coverage Period</w:t>
      </w:r>
      <w:r>
        <w:rPr>
          <w:color w:val="000000"/>
        </w:rPr>
        <w:t>”</w:t>
      </w:r>
      <w:r>
        <w:rPr>
          <w:rFonts w:ascii="Times New Roman;sans-serif" w:hAnsi="Times New Roman;sans-serif"/>
          <w:b w:val="false"/>
          <w:color w:val="000000"/>
          <w:sz w:val="24"/>
        </w:rPr>
        <w:t xml:space="preserve">) and (II) the amount of the applicable premium that would have been paid by Executive for continuation of medical benefits during the Pre-CoC Coverage Period had the provisions of </w:t>
      </w:r>
      <w:r>
        <w:rPr>
          <w:rFonts w:ascii="Times New Roman;sans-serif" w:hAnsi="Times New Roman;sans-serif"/>
          <w:b/>
          <w:color w:val="000000"/>
          <w:sz w:val="24"/>
        </w:rPr>
        <w:t>Section 5.5(a)(iv)</w:t>
      </w:r>
      <w:r>
        <w:rPr>
          <w:color w:val="000000"/>
        </w:rPr>
        <w:t xml:space="preserve"> </w:t>
      </w:r>
      <w:r>
        <w:rPr>
          <w:rFonts w:ascii="Times New Roman;sans-serif" w:hAnsi="Times New Roman;sans-serif"/>
          <w:b w:val="false"/>
          <w:color w:val="000000"/>
          <w:sz w:val="24"/>
        </w:rPr>
        <w:t xml:space="preserve">been given effect from the date of the Qualifying Termination, which payment shall be made in a lump sum within sixty (60) days following the Change of Control. If (and to the extent) that the benefits provided pursuant to </w:t>
      </w:r>
      <w:r>
        <w:rPr>
          <w:rFonts w:ascii="Times New Roman;sans-serif" w:hAnsi="Times New Roman;sans-serif"/>
          <w:b/>
          <w:color w:val="000000"/>
          <w:sz w:val="24"/>
        </w:rPr>
        <w:t>Section 5.5(a)(iv)</w:t>
      </w:r>
      <w:r>
        <w:rPr>
          <w:color w:val="000000"/>
        </w:rPr>
        <w:t xml:space="preserve"> </w:t>
      </w:r>
      <w:r>
        <w:rPr>
          <w:rFonts w:ascii="Times New Roman;sans-serif" w:hAnsi="Times New Roman;sans-serif"/>
          <w:b w:val="false"/>
          <w:color w:val="000000"/>
          <w:sz w:val="24"/>
        </w:rPr>
        <w:t>are taxable to Executive and are subject to Section 409A of the Internal Revenue Code of 1986, as amended (the "</w:t>
      </w:r>
      <w:r>
        <w:rPr>
          <w:rFonts w:ascii="Times New Roman;sans-serif" w:hAnsi="Times New Roman;sans-serif"/>
          <w:b/>
          <w:color w:val="000000"/>
          <w:sz w:val="24"/>
        </w:rPr>
        <w:t>Code</w:t>
      </w:r>
      <w:r>
        <w:rPr>
          <w:rFonts w:ascii="Times New Roman;sans-serif" w:hAnsi="Times New Roman;sans-serif"/>
          <w:b w:val="false"/>
          <w:color w:val="000000"/>
          <w:sz w:val="24"/>
        </w:rPr>
        <w:t>"), the amount of the expenses that are eligible for reimbursement during one calendar year may not affect the amount of reimbursements to be provided in any subsequent calendar year, the reimbursement of an eligible expense shall be made on or before the last day of the calendar year following the calendar year in which the expense was incurred, and the right to reimbursement of the expenses shall not be subject to liquidation or exchange for any other benefit.</w:t>
      </w:r>
    </w:p>
    <w:p>
      <w:pPr>
        <w:pStyle w:val="TextBody"/>
        <w:bidi w:val="0"/>
        <w:spacing w:lineRule="auto" w:line="288" w:before="180" w:after="283"/>
        <w:ind w:left="0" w:right="0" w:firstLine="990"/>
        <w:jc w:val="both"/>
        <w:rPr/>
      </w:pPr>
      <w:r>
        <w:rPr>
          <w:rFonts w:ascii="Times New Roman;sans-serif" w:hAnsi="Times New Roman;sans-serif"/>
          <w:b w:val="false"/>
          <w:color w:val="000000"/>
          <w:sz w:val="24"/>
        </w:rPr>
        <w:t xml:space="preserve">(b)    Payments and benefits under </w:t>
      </w:r>
      <w:r>
        <w:rPr>
          <w:rFonts w:ascii="Times New Roman;sans-serif" w:hAnsi="Times New Roman;sans-serif"/>
          <w:b/>
          <w:color w:val="000000"/>
          <w:sz w:val="24"/>
        </w:rPr>
        <w:t>Section 5.5(a)</w:t>
      </w:r>
      <w:r>
        <w:rPr>
          <w:color w:val="000000"/>
        </w:rPr>
        <w:t xml:space="preserve"> </w:t>
      </w:r>
      <w:r>
        <w:rPr>
          <w:rFonts w:ascii="Times New Roman;sans-serif" w:hAnsi="Times New Roman;sans-serif"/>
          <w:b w:val="false"/>
          <w:color w:val="000000"/>
          <w:sz w:val="24"/>
        </w:rPr>
        <w:t xml:space="preserve">shall not be subject to mitigation or offset, except that medical benefits may be offset by comparable benefits obtained by Executive in connection with subsequent employment. Nothing in this </w:t>
      </w:r>
      <w:r>
        <w:rPr>
          <w:rFonts w:ascii="Times New Roman;sans-serif" w:hAnsi="Times New Roman;sans-serif"/>
          <w:b/>
          <w:color w:val="000000"/>
          <w:sz w:val="24"/>
        </w:rPr>
        <w:t>Section 5.5</w:t>
      </w:r>
      <w:r>
        <w:rPr>
          <w:color w:val="000000"/>
        </w:rPr>
        <w:t xml:space="preserve"> </w:t>
      </w:r>
      <w:r>
        <w:rPr>
          <w:rFonts w:ascii="Times New Roman;sans-serif" w:hAnsi="Times New Roman;sans-serif"/>
          <w:b w:val="false"/>
          <w:color w:val="000000"/>
          <w:sz w:val="24"/>
        </w:rPr>
        <w:t>is intended to result in duplication of benefits provided by other provisions of this Agreement.</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ind w:left="0" w:right="0" w:firstLine="990"/>
        <w:jc w:val="both"/>
        <w:rPr/>
      </w:pPr>
      <w:r>
        <w:rPr>
          <w:rFonts w:ascii="Times New Roman;sans-serif" w:hAnsi="Times New Roman;sans-serif"/>
          <w:b w:val="false"/>
          <w:color w:val="000000"/>
          <w:sz w:val="24"/>
        </w:rPr>
        <w:t xml:space="preserve">(c)    The Change of Control Severance Pay shall be in lieu of the Severance Pay otherwise for a termination under </w:t>
      </w:r>
      <w:r>
        <w:rPr>
          <w:rFonts w:ascii="Times New Roman;sans-serif" w:hAnsi="Times New Roman;sans-serif"/>
          <w:b/>
          <w:color w:val="000000"/>
          <w:sz w:val="24"/>
        </w:rPr>
        <w:t>Section 5.2</w:t>
      </w:r>
      <w:r>
        <w:rPr>
          <w:color w:val="000000"/>
        </w:rPr>
        <w:t xml:space="preserve"> </w:t>
      </w:r>
      <w:r>
        <w:rPr>
          <w:rFonts w:ascii="Times New Roman;sans-serif" w:hAnsi="Times New Roman;sans-serif"/>
          <w:b w:val="false"/>
          <w:color w:val="000000"/>
          <w:sz w:val="24"/>
        </w:rPr>
        <w:t xml:space="preserve">of this Agreement and any other plan or agreement of the Company, whether adopted before or after the date hereof, which provides severance payments or benefits. For the avoidance of doubt, Executive shall not be entitled to payments and benefits under both this </w:t>
      </w:r>
      <w:r>
        <w:rPr>
          <w:rFonts w:ascii="Times New Roman;sans-serif" w:hAnsi="Times New Roman;sans-serif"/>
          <w:b/>
          <w:color w:val="000000"/>
          <w:sz w:val="24"/>
        </w:rPr>
        <w:t>Section 5.5</w:t>
      </w:r>
      <w:r>
        <w:rPr>
          <w:color w:val="000000"/>
        </w:rPr>
        <w:t xml:space="preserve"> </w:t>
      </w:r>
      <w:r>
        <w:rPr>
          <w:rFonts w:ascii="Times New Roman;sans-serif" w:hAnsi="Times New Roman;sans-serif"/>
          <w:b w:val="false"/>
          <w:color w:val="000000"/>
          <w:sz w:val="24"/>
        </w:rPr>
        <w:t>and any other provision of this Section 5 as the result of Executive’s termination of employment.</w:t>
      </w:r>
    </w:p>
    <w:p>
      <w:pPr>
        <w:pStyle w:val="TextBody"/>
        <w:bidi w:val="0"/>
        <w:spacing w:lineRule="auto" w:line="288" w:before="180" w:after="283"/>
        <w:ind w:left="0" w:right="0" w:firstLine="990"/>
        <w:jc w:val="both"/>
        <w:rPr/>
      </w:pPr>
      <w:r>
        <w:rPr>
          <w:rFonts w:ascii="Times New Roman;sans-serif" w:hAnsi="Times New Roman;sans-serif"/>
          <w:b w:val="false"/>
          <w:color w:val="000000"/>
          <w:sz w:val="24"/>
        </w:rPr>
        <w:t>(d)    If it is determined that any amount, right or benefit paid or payable (or otherwise provided or to be provided) to Executive by the Company or any of its affiliates under this Agreement or any other plan, program or arrangement under which Executive participates or is a party (collectively, the “</w:t>
      </w:r>
      <w:r>
        <w:rPr>
          <w:rFonts w:ascii="Times New Roman;sans-serif" w:hAnsi="Times New Roman;sans-serif"/>
          <w:b/>
          <w:color w:val="000000"/>
          <w:sz w:val="24"/>
        </w:rPr>
        <w:t>Payments</w:t>
      </w:r>
      <w:r>
        <w:rPr>
          <w:color w:val="000000"/>
        </w:rPr>
        <w:t>”</w:t>
      </w:r>
      <w:r>
        <w:rPr>
          <w:rFonts w:ascii="Times New Roman;sans-serif" w:hAnsi="Times New Roman;sans-serif"/>
          <w:b w:val="false"/>
          <w:color w:val="000000"/>
          <w:sz w:val="24"/>
        </w:rPr>
        <w:t>), would constitute an “</w:t>
      </w:r>
      <w:r>
        <w:rPr>
          <w:rFonts w:ascii="Times New Roman;sans-serif" w:hAnsi="Times New Roman;sans-serif"/>
          <w:b/>
          <w:color w:val="000000"/>
          <w:sz w:val="24"/>
        </w:rPr>
        <w:t>excess parachute payment</w:t>
      </w:r>
      <w:r>
        <w:rPr>
          <w:color w:val="000000"/>
        </w:rPr>
        <w:t xml:space="preserve">” </w:t>
      </w:r>
      <w:r>
        <w:rPr>
          <w:rFonts w:ascii="Times New Roman;sans-serif" w:hAnsi="Times New Roman;sans-serif"/>
          <w:b w:val="false"/>
          <w:color w:val="000000"/>
          <w:sz w:val="24"/>
        </w:rPr>
        <w:t>within the meaning of Section 280G of the Code, subject to the excise tax imposed by Section 4999 of the Code, as amended from time to time (the “Excise Tax”), then the amount of the Payments payable to Executive under this Agreement shall be reduced (a “</w:t>
      </w:r>
      <w:r>
        <w:rPr>
          <w:rFonts w:ascii="Times New Roman;sans-serif" w:hAnsi="Times New Roman;sans-serif"/>
          <w:b/>
          <w:color w:val="000000"/>
          <w:sz w:val="24"/>
        </w:rPr>
        <w:t>Reduction</w:t>
      </w:r>
      <w:r>
        <w:rPr>
          <w:color w:val="000000"/>
        </w:rPr>
        <w:t>”</w:t>
      </w:r>
      <w:r>
        <w:rPr>
          <w:rFonts w:ascii="Times New Roman;sans-serif" w:hAnsi="Times New Roman;sans-serif"/>
          <w:b w:val="false"/>
          <w:color w:val="000000"/>
          <w:sz w:val="24"/>
        </w:rPr>
        <w:t>) to the extent necessary so that no portion of such Payments payable to Executive is subject to the Excise Tax.</w:t>
      </w:r>
    </w:p>
    <w:p>
      <w:pPr>
        <w:pStyle w:val="TextBody"/>
        <w:bidi w:val="0"/>
        <w:spacing w:lineRule="auto" w:line="288" w:before="180" w:after="283"/>
        <w:ind w:left="0" w:right="0" w:firstLine="990"/>
        <w:jc w:val="both"/>
        <w:rPr/>
      </w:pPr>
      <w:r>
        <w:rPr>
          <w:rFonts w:ascii="Times New Roman;sans-serif" w:hAnsi="Times New Roman;sans-serif"/>
          <w:b w:val="false"/>
          <w:color w:val="000000"/>
          <w:sz w:val="24"/>
        </w:rPr>
        <w:t xml:space="preserve">All determinations required to be made under this </w:t>
      </w:r>
      <w:r>
        <w:rPr>
          <w:rFonts w:ascii="Times New Roman;sans-serif" w:hAnsi="Times New Roman;sans-serif"/>
          <w:b/>
          <w:color w:val="000000"/>
          <w:sz w:val="24"/>
        </w:rPr>
        <w:t>Section 5.5(d)</w:t>
      </w:r>
      <w:r>
        <w:rPr>
          <w:color w:val="000000"/>
        </w:rPr>
        <w:t xml:space="preserve"> </w:t>
      </w:r>
      <w:r>
        <w:rPr>
          <w:rFonts w:ascii="Times New Roman;sans-serif" w:hAnsi="Times New Roman;sans-serif"/>
          <w:b w:val="false"/>
          <w:color w:val="000000"/>
          <w:sz w:val="24"/>
        </w:rPr>
        <w:t>and the assumptions to be utilized in arriving at such determination, shall be made by an independent, nationally recognized accounting firm mutually acceptable to the Company and Executive (the “</w:t>
      </w:r>
      <w:r>
        <w:rPr>
          <w:rFonts w:ascii="Times New Roman;sans-serif" w:hAnsi="Times New Roman;sans-serif"/>
          <w:b/>
          <w:color w:val="000000"/>
          <w:sz w:val="24"/>
        </w:rPr>
        <w:t>Auditor</w:t>
      </w:r>
      <w:r>
        <w:rPr>
          <w:color w:val="000000"/>
        </w:rPr>
        <w:t>”</w:t>
      </w:r>
      <w:r>
        <w:rPr>
          <w:rFonts w:ascii="Times New Roman;sans-serif" w:hAnsi="Times New Roman;sans-serif"/>
          <w:b w:val="false"/>
          <w:color w:val="000000"/>
          <w:sz w:val="24"/>
        </w:rPr>
        <w:t>); provided that in the event a Reduction is required, Executive may determine which Payments shall be reduced in order to comply with the provisions of Section 5.5(d); provided, however that Executive may not determine such order with respect io any payments that are subject to Section 4094 of the Code. The Auditor shall promptly provide detailed supporting calculations to both the Company and Executive following any determination that a Reduction is necessary. All fees and expenses of the Auditor shall be paid by the Company. All determinations made by the Auditor shall be binding upon the Company and Executive.</w:t>
      </w:r>
    </w:p>
    <w:p>
      <w:pPr>
        <w:pStyle w:val="TextBody"/>
        <w:bidi w:val="0"/>
        <w:spacing w:lineRule="auto" w:line="288" w:before="180" w:after="283"/>
        <w:ind w:left="0" w:right="0" w:firstLine="990"/>
        <w:jc w:val="both"/>
        <w:rPr/>
      </w:pPr>
      <w:r>
        <w:rPr>
          <w:rFonts w:ascii="Times New Roman;sans-serif" w:hAnsi="Times New Roman;sans-serif"/>
          <w:b w:val="false"/>
          <w:color w:val="000000"/>
          <w:sz w:val="24"/>
        </w:rPr>
        <w:t>(e)    For purposes of this Agreement, the term “</w:t>
      </w:r>
      <w:r>
        <w:rPr>
          <w:rFonts w:ascii="Times New Roman;sans-serif" w:hAnsi="Times New Roman;sans-serif"/>
          <w:b/>
          <w:color w:val="000000"/>
          <w:sz w:val="24"/>
        </w:rPr>
        <w:t>Change of Control</w:t>
      </w:r>
      <w:r>
        <w:rPr>
          <w:color w:val="000000"/>
        </w:rPr>
        <w:t xml:space="preserve">” </w:t>
      </w:r>
      <w:r>
        <w:rPr>
          <w:rFonts w:ascii="Times New Roman;sans-serif" w:hAnsi="Times New Roman;sans-serif"/>
          <w:b w:val="false"/>
          <w:color w:val="000000"/>
          <w:sz w:val="24"/>
        </w:rPr>
        <w:t>shall be deemed to have occurred upon the first to occur of the following events:</w:t>
      </w:r>
    </w:p>
    <w:p>
      <w:pPr>
        <w:pStyle w:val="TextBody"/>
        <w:bidi w:val="0"/>
        <w:spacing w:lineRule="auto" w:line="288" w:before="180" w:after="283"/>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(i)    any Person becomes the Beneficial Owner, directly or indirectly, of common stock or voting securities of Huron (not including in the amounts beneficially owned by such Person any common stock or voting securities acquired directly from Huron or its Affiliates) representing 40% or more of the combined voting power of Huron’s then outstanding securities; or</w:t>
      </w:r>
    </w:p>
    <w:p>
      <w:pPr>
        <w:pStyle w:val="TextBody"/>
        <w:bidi w:val="0"/>
        <w:spacing w:lineRule="auto" w:line="288" w:before="180" w:after="283"/>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there is consummated a merger or consolidation of Huron or any direct or indirect subsidiary of Huron with any Person, other than (A) a merger or consolidation which would result in the voting securities of Huron outstanding immediately prior to such merger or consolidation continuing to represent (either by remaining outstanding or by being converted into voting securities of the surviving entity or any parent thereof) at least 50% of the combined voting power of the securities of Huron or such surviving entity or any parent thereof outstanding immediately after such merger or consolidation, (B) a merger or consolidation effected to implement a recapitalization of Huron (or similar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transaction) after which no Person other than existing security holders is or becomes the Beneficial Owner, directly or indirectly, of securities of Huron (not including in the amount Beneficially Owned by such Person any common stock or voting securities acquired directly from Huron or its Affiliates) representing 50% or more of the combined voting power of Huron’s then outstanding securities, or (C) a merger or consolidation of a subsidiary of Huron that does not represent a sale of all or substantially all of the assets of Huron; or</w:t>
      </w:r>
    </w:p>
    <w:p>
      <w:pPr>
        <w:pStyle w:val="TextBody"/>
        <w:bidi w:val="0"/>
        <w:spacing w:lineRule="auto" w:line="288" w:before="180" w:after="283"/>
        <w:ind w:left="0" w:right="0" w:firstLine="991"/>
        <w:jc w:val="both"/>
        <w:rPr>
          <w:rFonts w:ascii="Times New Roman;sans-serif" w:hAnsi="Times New Roman;sans-serif"/>
          <w:b w:val="false"/>
          <w:color w:val="000000"/>
          <w:sz w:val="24"/>
        </w:rPr>
      </w:pPr>
      <w:r>
        <w:rPr>
          <w:rFonts w:ascii="Times New Roman;sans-serif" w:hAnsi="Times New Roman;sans-serif"/>
          <w:b w:val="false"/>
          <w:color w:val="000000"/>
          <w:sz w:val="24"/>
        </w:rPr>
        <w:t>(iii)the shareholders of Huron approve a plan of complete liquidation or dissolution of Huron (except for a plan of liquidation or dissolution effected to implement a recapitalization of Huron addressed in (ii) above); or</w:t>
      </w:r>
    </w:p>
    <w:p>
      <w:pPr>
        <w:pStyle w:val="TextBody"/>
        <w:bidi w:val="0"/>
        <w:spacing w:lineRule="auto" w:line="288" w:before="180" w:after="283"/>
        <w:ind w:left="0" w:right="0" w:firstLine="1004"/>
        <w:jc w:val="both"/>
        <w:rPr>
          <w:rFonts w:ascii="Times New Roman;sans-serif" w:hAnsi="Times New Roman;sans-serif"/>
          <w:b w:val="false"/>
          <w:color w:val="000000"/>
          <w:sz w:val="24"/>
        </w:rPr>
      </w:pPr>
      <w:r>
        <w:rPr>
          <w:rFonts w:ascii="Times New Roman;sans-serif" w:hAnsi="Times New Roman;sans-serif"/>
          <w:b w:val="false"/>
          <w:color w:val="000000"/>
          <w:sz w:val="24"/>
        </w:rPr>
        <w:t>(iv)there is consummated an agreement for the sale or disposition of all or substantially all of the assets of Huron to a Person, other than a sale or disposition by Huron of all or substantially all of the assets of Huron to an entity, at least 50% of the combined voting power of the voting securities of which are owned by shareholders of Huron.</w:t>
      </w:r>
    </w:p>
    <w:p>
      <w:pPr>
        <w:pStyle w:val="TextBody"/>
        <w:bidi w:val="0"/>
        <w:spacing w:lineRule="auto" w:line="288" w:before="180" w:after="283"/>
        <w:ind w:left="0" w:right="0" w:firstLine="1440"/>
        <w:jc w:val="both"/>
        <w:rPr/>
      </w:pPr>
      <w:r>
        <w:rPr>
          <w:rFonts w:ascii="Times New Roman;sans-serif" w:hAnsi="Times New Roman;sans-serif"/>
          <w:b w:val="false"/>
          <w:color w:val="000000"/>
          <w:sz w:val="24"/>
        </w:rPr>
        <w:t>Notwithstanding the foregoing, a “</w:t>
      </w:r>
      <w:r>
        <w:rPr>
          <w:rFonts w:ascii="Times New Roman;sans-serif" w:hAnsi="Times New Roman;sans-serif"/>
          <w:b/>
          <w:color w:val="000000"/>
          <w:sz w:val="24"/>
        </w:rPr>
        <w:t>Change of Control</w:t>
      </w:r>
      <w:r>
        <w:rPr>
          <w:color w:val="000000"/>
        </w:rPr>
        <w:t xml:space="preserve">” </w:t>
      </w:r>
      <w:r>
        <w:rPr>
          <w:rFonts w:ascii="Times New Roman;sans-serif" w:hAnsi="Times New Roman;sans-serif"/>
          <w:b w:val="false"/>
          <w:color w:val="000000"/>
          <w:sz w:val="24"/>
        </w:rPr>
        <w:t>shall not be deemed to have occurred by virtue of the consummation of any transaction or series of integrated transactions immediately following which the record holders of the common stock of Huron immediately prior to such transaction or series of transactions continue to have substantially the same proportionate ownership in an entity which owns all or substantially all of the assets of Huron immediately following such transaction or series of transactions.</w:t>
      </w:r>
    </w:p>
    <w:p>
      <w:pPr>
        <w:pStyle w:val="TextBody"/>
        <w:bidi w:val="0"/>
        <w:spacing w:lineRule="auto" w:line="288" w:before="180" w:after="283"/>
        <w:ind w:left="0" w:right="0" w:firstLine="1440"/>
        <w:jc w:val="both"/>
        <w:rPr/>
      </w:pPr>
      <w:r>
        <w:rPr>
          <w:rFonts w:ascii="Times New Roman;sans-serif" w:hAnsi="Times New Roman;sans-serif"/>
          <w:b w:val="false"/>
          <w:color w:val="000000"/>
          <w:sz w:val="24"/>
        </w:rPr>
        <w:t xml:space="preserve">For purposes of this Change of Control definition, (I) </w:t>
      </w:r>
      <w:r>
        <w:rPr>
          <w:color w:val="000000"/>
        </w:rPr>
        <w:t>“</w:t>
      </w:r>
      <w:r>
        <w:rPr>
          <w:rFonts w:ascii="Times New Roman;sans-serif" w:hAnsi="Times New Roman;sans-serif"/>
          <w:b/>
          <w:color w:val="000000"/>
          <w:sz w:val="24"/>
        </w:rPr>
        <w:t>Beneficial Owner</w:t>
      </w:r>
      <w:r>
        <w:rPr>
          <w:color w:val="000000"/>
        </w:rPr>
        <w:t xml:space="preserve">” </w:t>
      </w:r>
      <w:r>
        <w:rPr>
          <w:rFonts w:ascii="Times New Roman;sans-serif" w:hAnsi="Times New Roman;sans-serif"/>
          <w:b w:val="false"/>
          <w:color w:val="000000"/>
          <w:sz w:val="24"/>
        </w:rPr>
        <w:t xml:space="preserve">shall have the meaning set forth in Rule 13d-3 under the Exchange Act, (II) </w:t>
      </w:r>
      <w:r>
        <w:rPr>
          <w:color w:val="000000"/>
        </w:rPr>
        <w:t>“</w:t>
      </w:r>
      <w:r>
        <w:rPr>
          <w:rFonts w:ascii="Times New Roman;sans-serif" w:hAnsi="Times New Roman;sans-serif"/>
          <w:b/>
          <w:color w:val="000000"/>
          <w:sz w:val="24"/>
        </w:rPr>
        <w:t>Exchange Act”</w:t>
      </w:r>
      <w:r>
        <w:rPr>
          <w:color w:val="000000"/>
        </w:rPr>
        <w:t xml:space="preserve"> </w:t>
      </w:r>
      <w:r>
        <w:rPr>
          <w:rFonts w:ascii="Times New Roman;sans-serif" w:hAnsi="Times New Roman;sans-serif"/>
          <w:b w:val="false"/>
          <w:color w:val="000000"/>
          <w:sz w:val="24"/>
        </w:rPr>
        <w:t xml:space="preserve">shall mean the Securities Exchange Act of 1934, as amended from time to time, (III) </w:t>
      </w:r>
      <w:r>
        <w:rPr>
          <w:color w:val="000000"/>
        </w:rPr>
        <w:t>“</w:t>
      </w:r>
      <w:r>
        <w:rPr>
          <w:rFonts w:ascii="Times New Roman;sans-serif" w:hAnsi="Times New Roman;sans-serif"/>
          <w:b/>
          <w:color w:val="000000"/>
          <w:sz w:val="24"/>
        </w:rPr>
        <w:t>Person”</w:t>
      </w:r>
      <w:r>
        <w:rPr>
          <w:color w:val="000000"/>
        </w:rPr>
        <w:t xml:space="preserve"> </w:t>
      </w:r>
      <w:r>
        <w:rPr>
          <w:rFonts w:ascii="Times New Roman;sans-serif" w:hAnsi="Times New Roman;sans-serif"/>
          <w:b w:val="false"/>
          <w:color w:val="000000"/>
          <w:sz w:val="24"/>
        </w:rPr>
        <w:t>shall have the meaning given in Section 3(a)(9) of the Exchange Act, as modified and used in Sections 13(d) and 14(d) thereof, except that such term shall not include (w) Huron or any of Huron’s direct or indirect subsidiaries, (x) a trustee or other fiduciary holding securities under an employee benefit plan of Huron or any of its Affiliates, (y) an underwriter temporarily holding securities pursuant to an offering of such securities, or (z) a corporation owned, directly or indirectly, by the stockholders of Huron in substantially the same proportions as their ownership of stock of Huron and (IV) “</w:t>
      </w:r>
      <w:r>
        <w:rPr>
          <w:rFonts w:ascii="Times New Roman;sans-serif" w:hAnsi="Times New Roman;sans-serif"/>
          <w:b/>
          <w:color w:val="000000"/>
          <w:sz w:val="24"/>
        </w:rPr>
        <w:t>Affiliate</w:t>
      </w:r>
      <w:r>
        <w:rPr>
          <w:color w:val="000000"/>
        </w:rPr>
        <w:t xml:space="preserve">” </w:t>
      </w:r>
      <w:r>
        <w:rPr>
          <w:rFonts w:ascii="Times New Roman;sans-serif" w:hAnsi="Times New Roman;sans-serif"/>
          <w:b w:val="false"/>
          <w:color w:val="000000"/>
          <w:sz w:val="24"/>
        </w:rPr>
        <w:t>shall have the meaning set forth in Rule 12b-2 promulgated under Section 12 of the Exchange Act.</w:t>
      </w:r>
    </w:p>
    <w:p>
      <w:pPr>
        <w:pStyle w:val="TextBody"/>
        <w:bidi w:val="0"/>
        <w:spacing w:lineRule="auto" w:line="288" w:before="180" w:after="283"/>
        <w:ind w:left="0" w:right="0" w:firstLine="990"/>
        <w:jc w:val="both"/>
        <w:rPr/>
      </w:pPr>
      <w:r>
        <w:rPr>
          <w:rFonts w:ascii="Times New Roman;sans-serif" w:hAnsi="Times New Roman;sans-serif"/>
          <w:b w:val="false"/>
          <w:color w:val="000000"/>
          <w:sz w:val="24"/>
        </w:rPr>
        <w:t xml:space="preserve">(f)    For purposes of this </w:t>
      </w:r>
      <w:r>
        <w:rPr>
          <w:rFonts w:ascii="Times New Roman;sans-serif" w:hAnsi="Times New Roman;sans-serif"/>
          <w:b/>
          <w:color w:val="000000"/>
          <w:sz w:val="24"/>
        </w:rPr>
        <w:t>Section 5.5</w:t>
      </w:r>
      <w:r>
        <w:rPr>
          <w:color w:val="000000"/>
        </w:rPr>
        <w:t xml:space="preserve"> </w:t>
      </w:r>
      <w:r>
        <w:rPr>
          <w:rFonts w:ascii="Times New Roman;sans-serif" w:hAnsi="Times New Roman;sans-serif"/>
          <w:b w:val="false"/>
          <w:color w:val="000000"/>
          <w:sz w:val="24"/>
        </w:rPr>
        <w:t>(and distinguished from “</w:t>
      </w:r>
      <w:r>
        <w:rPr>
          <w:rFonts w:ascii="Times New Roman;sans-serif" w:hAnsi="Times New Roman;sans-serif"/>
          <w:b/>
          <w:color w:val="000000"/>
          <w:sz w:val="24"/>
        </w:rPr>
        <w:t>Good</w:t>
      </w:r>
      <w:r>
        <w:rPr>
          <w:color w:val="000000"/>
        </w:rPr>
        <w:t xml:space="preserve"> </w:t>
      </w:r>
      <w:r>
        <w:rPr>
          <w:rFonts w:ascii="Times New Roman;sans-serif" w:hAnsi="Times New Roman;sans-serif"/>
          <w:b/>
          <w:color w:val="000000"/>
          <w:sz w:val="24"/>
        </w:rPr>
        <w:t>Reason</w:t>
      </w:r>
      <w:r>
        <w:rPr>
          <w:color w:val="000000"/>
        </w:rPr>
        <w:t xml:space="preserve">” </w:t>
      </w:r>
      <w:r>
        <w:rPr>
          <w:rFonts w:ascii="Times New Roman;sans-serif" w:hAnsi="Times New Roman;sans-serif"/>
          <w:b w:val="false"/>
          <w:color w:val="000000"/>
          <w:sz w:val="24"/>
        </w:rPr>
        <w:t>provided under certain other circumstances under the Agreement), the term “</w:t>
      </w:r>
      <w:r>
        <w:rPr>
          <w:rFonts w:ascii="Times New Roman;sans-serif" w:hAnsi="Times New Roman;sans-serif"/>
          <w:b/>
          <w:color w:val="000000"/>
          <w:sz w:val="24"/>
        </w:rPr>
        <w:t>CoC Good Reason</w:t>
      </w:r>
      <w:r>
        <w:rPr>
          <w:color w:val="000000"/>
        </w:rPr>
        <w:t xml:space="preserve">” </w:t>
      </w:r>
      <w:r>
        <w:rPr>
          <w:rFonts w:ascii="Times New Roman;sans-serif" w:hAnsi="Times New Roman;sans-serif"/>
          <w:b w:val="false"/>
          <w:color w:val="000000"/>
          <w:sz w:val="24"/>
        </w:rPr>
        <w:t>means the occurrence of any of the following within the twenty- four (24) month period following a Change of Control (or prior to a Change of Control in connection with a Qualifying Termination) without the express written consent of Executive:</w:t>
      </w:r>
    </w:p>
    <w:p>
      <w:pPr>
        <w:pStyle w:val="TextBody"/>
        <w:bidi w:val="0"/>
        <w:spacing w:lineRule="auto" w:line="288" w:before="180" w:after="283"/>
        <w:ind w:left="0" w:right="0" w:firstLine="1124"/>
        <w:jc w:val="both"/>
        <w:rPr>
          <w:rFonts w:ascii="Times New Roman;sans-serif" w:hAnsi="Times New Roman;sans-serif"/>
          <w:b w:val="false"/>
          <w:color w:val="000000"/>
          <w:sz w:val="24"/>
        </w:rPr>
      </w:pPr>
      <w:r>
        <w:rPr>
          <w:rFonts w:ascii="Times New Roman;sans-serif" w:hAnsi="Times New Roman;sans-serif"/>
          <w:b w:val="false"/>
          <w:color w:val="000000"/>
          <w:sz w:val="24"/>
        </w:rPr>
        <w:t>(i)any material breach by the Company of the Agreement;</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ind w:left="0" w:right="0" w:firstLine="1057"/>
        <w:jc w:val="both"/>
        <w:rPr>
          <w:rFonts w:ascii="Times New Roman;sans-serif" w:hAnsi="Times New Roman;sans-serif"/>
          <w:b w:val="false"/>
          <w:color w:val="000000"/>
          <w:sz w:val="24"/>
        </w:rPr>
      </w:pPr>
      <w:r>
        <w:rPr>
          <w:rFonts w:ascii="Times New Roman;sans-serif" w:hAnsi="Times New Roman;sans-serif"/>
          <w:b w:val="false"/>
          <w:color w:val="000000"/>
          <w:sz w:val="24"/>
        </w:rPr>
        <w:t>(ii)any material adverse change in the status, responsibilities or position of Executive;</w:t>
      </w:r>
    </w:p>
    <w:p>
      <w:pPr>
        <w:pStyle w:val="TextBody"/>
        <w:bidi w:val="0"/>
        <w:spacing w:lineRule="auto" w:line="288" w:before="180" w:after="283"/>
        <w:ind w:left="0" w:right="0" w:firstLine="991"/>
        <w:jc w:val="both"/>
        <w:rPr>
          <w:rFonts w:ascii="Times New Roman;sans-serif" w:hAnsi="Times New Roman;sans-serif"/>
          <w:b w:val="false"/>
          <w:color w:val="000000"/>
          <w:sz w:val="24"/>
        </w:rPr>
      </w:pPr>
      <w:r>
        <w:rPr>
          <w:rFonts w:ascii="Times New Roman;sans-serif" w:hAnsi="Times New Roman;sans-serif"/>
          <w:b w:val="false"/>
          <w:color w:val="000000"/>
          <w:sz w:val="24"/>
        </w:rPr>
        <w:t>(iii)any material reduction in Base Salary or Target Bonus, other than in connection with an across-the-board reduction in Base Salaries applicable in like proportions to all similarly situated executives of the Company and any direct or indirect parent of the Company;</w:t>
      </w:r>
    </w:p>
    <w:p>
      <w:pPr>
        <w:pStyle w:val="TextBody"/>
        <w:bidi w:val="0"/>
        <w:spacing w:lineRule="auto" w:line="288" w:before="180" w:after="283"/>
        <w:ind w:left="0" w:right="0" w:firstLine="1004"/>
        <w:jc w:val="both"/>
        <w:rPr>
          <w:rFonts w:ascii="Times New Roman;sans-serif" w:hAnsi="Times New Roman;sans-serif"/>
          <w:b w:val="false"/>
          <w:color w:val="000000"/>
          <w:sz w:val="24"/>
        </w:rPr>
      </w:pPr>
      <w:r>
        <w:rPr>
          <w:rFonts w:ascii="Times New Roman;sans-serif" w:hAnsi="Times New Roman;sans-serif"/>
          <w:b w:val="false"/>
          <w:color w:val="000000"/>
          <w:sz w:val="24"/>
        </w:rPr>
        <w:t>(iv)assignment of duties to Executive that are materially inconsistent with Executive’s position and responsibilities described in this Agreement; and</w:t>
      </w:r>
    </w:p>
    <w:p>
      <w:pPr>
        <w:pStyle w:val="TextBody"/>
        <w:bidi w:val="0"/>
        <w:spacing w:lineRule="auto" w:line="288" w:before="180" w:after="283"/>
        <w:ind w:left="0" w:right="0" w:firstLine="1070"/>
        <w:jc w:val="both"/>
        <w:rPr>
          <w:rFonts w:ascii="Times New Roman;sans-serif" w:hAnsi="Times New Roman;sans-serif"/>
          <w:b w:val="false"/>
          <w:color w:val="000000"/>
          <w:sz w:val="24"/>
        </w:rPr>
      </w:pPr>
      <w:r>
        <w:rPr>
          <w:rFonts w:ascii="Times New Roman;sans-serif" w:hAnsi="Times New Roman;sans-serif"/>
          <w:b w:val="false"/>
          <w:color w:val="000000"/>
          <w:sz w:val="24"/>
        </w:rPr>
        <w:t>(v)requiring Executive to be principally based at any office or location more than fifty (50) miles from the current offices of the Company in Chicago, Illinois.</w:t>
      </w:r>
    </w:p>
    <w:p>
      <w:pPr>
        <w:pStyle w:val="TextBody"/>
        <w:bidi w:val="0"/>
        <w:spacing w:lineRule="auto" w:line="288" w:before="180" w:after="283"/>
        <w:ind w:left="0" w:right="0" w:firstLine="990"/>
        <w:jc w:val="both"/>
        <w:rPr/>
      </w:pPr>
      <w:r>
        <w:rPr>
          <w:rFonts w:ascii="Times New Roman;sans-serif" w:hAnsi="Times New Roman;sans-serif"/>
          <w:b w:val="false"/>
          <w:color w:val="000000"/>
          <w:sz w:val="24"/>
        </w:rPr>
        <w:t xml:space="preserve">Notwithstanding the foregoing provisions of this paragraph (f), Executive’s termination of employment shall be considered to be on account of CoC Good Reason only if (A) an event or condition occurs which satisfies the foregoing provisions of this </w:t>
      </w:r>
      <w:r>
        <w:rPr>
          <w:rFonts w:ascii="Times New Roman;sans-serif" w:hAnsi="Times New Roman;sans-serif"/>
          <w:b/>
          <w:color w:val="000000"/>
          <w:sz w:val="24"/>
        </w:rPr>
        <w:t>Section 5.5(f)</w:t>
      </w:r>
      <w:r>
        <w:rPr>
          <w:rFonts w:ascii="Times New Roman;sans-serif" w:hAnsi="Times New Roman;sans-serif"/>
          <w:b w:val="false"/>
          <w:color w:val="000000"/>
          <w:sz w:val="24"/>
        </w:rPr>
        <w:t xml:space="preserve">, (B) Executive provides the Company with written notice pursuant to </w:t>
      </w:r>
      <w:r>
        <w:rPr>
          <w:rFonts w:ascii="Times New Roman;sans-serif" w:hAnsi="Times New Roman;sans-serif"/>
          <w:b/>
          <w:color w:val="000000"/>
          <w:sz w:val="24"/>
        </w:rPr>
        <w:t xml:space="preserve">Section 10.5 </w:t>
      </w:r>
      <w:r>
        <w:rPr>
          <w:rFonts w:ascii="Times New Roman;sans-serif" w:hAnsi="Times New Roman;sans-serif"/>
          <w:b w:val="false"/>
          <w:color w:val="000000"/>
          <w:sz w:val="24"/>
        </w:rPr>
        <w:t xml:space="preserve">that Executive intends to resign for CoC Good Reason and such written notice includes (I) a designation of at least one of </w:t>
      </w:r>
      <w:r>
        <w:rPr>
          <w:rFonts w:ascii="Times New Roman;sans-serif" w:hAnsi="Times New Roman;sans-serif"/>
          <w:b/>
          <w:color w:val="000000"/>
          <w:sz w:val="24"/>
        </w:rPr>
        <w:t xml:space="preserve">Section 5.5(f)(i)-(v) </w:t>
      </w:r>
      <w:r>
        <w:rPr>
          <w:rFonts w:ascii="Times New Roman;sans-serif" w:hAnsi="Times New Roman;sans-serif"/>
          <w:b w:val="false"/>
          <w:color w:val="000000"/>
          <w:sz w:val="24"/>
        </w:rPr>
        <w:t xml:space="preserve">(the </w:t>
      </w:r>
      <w:r>
        <w:rPr>
          <w:color w:val="000000"/>
        </w:rPr>
        <w:t>“</w:t>
      </w:r>
      <w:r>
        <w:rPr>
          <w:rFonts w:ascii="Times New Roman;sans-serif" w:hAnsi="Times New Roman;sans-serif"/>
          <w:b/>
          <w:color w:val="000000"/>
          <w:sz w:val="24"/>
        </w:rPr>
        <w:t xml:space="preserve">Designated Sections”) </w:t>
      </w:r>
      <w:r>
        <w:rPr>
          <w:rFonts w:ascii="Times New Roman;sans-serif" w:hAnsi="Times New Roman;sans-serif"/>
          <w:b w:val="false"/>
          <w:color w:val="000000"/>
          <w:sz w:val="24"/>
        </w:rPr>
        <w:t>which Executive believes is the basis for CoC Good Reason, and (II) specifically describes the events or conditions Executive is relying upon to satisfy the requirements of the Designated Sections, (C) as of the thirtieth (30</w:t>
      </w:r>
      <w:r>
        <w:rPr>
          <w:rFonts w:ascii="Times New Roman;sans-serif" w:hAnsi="Times New Roman;sans-serif"/>
          <w:b w:val="false"/>
          <w:color w:val="000000"/>
          <w:sz w:val="16"/>
        </w:rPr>
        <w:t>th</w:t>
      </w:r>
      <w:r>
        <w:rPr>
          <w:rFonts w:ascii="Times New Roman;sans-serif" w:hAnsi="Times New Roman;sans-serif"/>
          <w:b w:val="false"/>
          <w:color w:val="000000"/>
          <w:sz w:val="24"/>
        </w:rPr>
        <w:t>) day following the Company’s receipt of such notice from Executive, such events or conditions have not been corrected in all material respects, and (D) Executive resigns Executive’s employment within sixty (60) days after the date on which Executive first has actual knowledge of the events or conditions upon which Executive relies upon to satisfy any of the Designated Sections.</w:t>
      </w:r>
    </w:p>
    <w:p>
      <w:pPr>
        <w:pStyle w:val="TextBody"/>
        <w:bidi w:val="0"/>
        <w:spacing w:lineRule="auto" w:line="288" w:before="180" w:after="283"/>
        <w:ind w:left="0" w:right="0" w:firstLine="1440"/>
        <w:jc w:val="both"/>
        <w:rPr/>
      </w:pPr>
      <w:r>
        <w:rPr>
          <w:rFonts w:ascii="Times New Roman;sans-serif" w:hAnsi="Times New Roman;sans-serif"/>
          <w:b w:val="false"/>
          <w:color w:val="000000"/>
          <w:sz w:val="24"/>
        </w:rPr>
        <w:t>5.6    </w:t>
      </w:r>
      <w:r>
        <w:rPr>
          <w:rFonts w:ascii="Times New Roman;sans-serif" w:hAnsi="Times New Roman;sans-serif"/>
          <w:b w:val="false"/>
          <w:color w:val="000000"/>
          <w:sz w:val="24"/>
          <w:u w:val="single"/>
        </w:rPr>
        <w:t>General Release</w:t>
      </w:r>
      <w:r>
        <w:rPr>
          <w:rFonts w:ascii="Times New Roman;sans-serif" w:hAnsi="Times New Roman;sans-serif"/>
          <w:b w:val="false"/>
          <w:color w:val="000000"/>
          <w:sz w:val="24"/>
        </w:rPr>
        <w:t xml:space="preserve">. Executive acknowledges and agrees that Executive’s right to receive severance pay and other benefits (including post-termination equity vesting) pursuant to </w:t>
      </w:r>
      <w:r>
        <w:rPr>
          <w:rFonts w:ascii="Times New Roman;sans-serif" w:hAnsi="Times New Roman;sans-serif"/>
          <w:b/>
          <w:color w:val="000000"/>
          <w:sz w:val="24"/>
        </w:rPr>
        <w:t xml:space="preserve">Section 5.2 </w:t>
      </w:r>
      <w:r>
        <w:rPr>
          <w:rFonts w:ascii="Times New Roman;sans-serif" w:hAnsi="Times New Roman;sans-serif"/>
          <w:b w:val="false"/>
          <w:color w:val="000000"/>
          <w:sz w:val="24"/>
        </w:rPr>
        <w:t xml:space="preserve">and </w:t>
      </w:r>
      <w:r>
        <w:rPr>
          <w:rFonts w:ascii="Times New Roman;sans-serif" w:hAnsi="Times New Roman;sans-serif"/>
          <w:b/>
          <w:color w:val="000000"/>
          <w:sz w:val="24"/>
        </w:rPr>
        <w:t xml:space="preserve">5.5 </w:t>
      </w:r>
      <w:r>
        <w:rPr>
          <w:rFonts w:ascii="Times New Roman;sans-serif" w:hAnsi="Times New Roman;sans-serif"/>
          <w:b w:val="false"/>
          <w:color w:val="000000"/>
          <w:sz w:val="24"/>
        </w:rPr>
        <w:t xml:space="preserve">of this Agreement (collectively, the </w:t>
      </w:r>
      <w:r>
        <w:rPr>
          <w:color w:val="000000"/>
        </w:rPr>
        <w:t>“</w:t>
      </w:r>
      <w:r>
        <w:rPr>
          <w:rFonts w:ascii="Times New Roman;sans-serif" w:hAnsi="Times New Roman;sans-serif"/>
          <w:b/>
          <w:color w:val="000000"/>
          <w:sz w:val="24"/>
        </w:rPr>
        <w:t>Severance Benefits”</w:t>
      </w:r>
      <w:r>
        <w:rPr>
          <w:rFonts w:ascii="Times New Roman;sans-serif" w:hAnsi="Times New Roman;sans-serif"/>
          <w:b w:val="false"/>
          <w:color w:val="000000"/>
          <w:sz w:val="24"/>
        </w:rPr>
        <w:t xml:space="preserve">) is contingent upon Executive’s compliance with the covenants, representations, warranties and agreements set forth in </w:t>
      </w:r>
      <w:r>
        <w:rPr>
          <w:rFonts w:ascii="Times New Roman;sans-serif" w:hAnsi="Times New Roman;sans-serif"/>
          <w:b/>
          <w:color w:val="000000"/>
          <w:sz w:val="24"/>
        </w:rPr>
        <w:t xml:space="preserve">Section 6 </w:t>
      </w:r>
      <w:r>
        <w:rPr>
          <w:rFonts w:ascii="Times New Roman;sans-serif" w:hAnsi="Times New Roman;sans-serif"/>
          <w:b w:val="false"/>
          <w:color w:val="000000"/>
          <w:sz w:val="24"/>
        </w:rPr>
        <w:t>of this Agreement and, except for those payments and benefits required to be made or provided by law or pursuant to the express terms of a benefit plan (and other than those benefits to be provided upon death), such Severance Benefits shall be conditioned upon Executive’s execution and acceptance of the terms and conditions of, and the effectiveness of, a general release in the standard form used by the Company at the time of Executive’s termination of employment. (the “</w:t>
      </w:r>
      <w:r>
        <w:rPr>
          <w:rFonts w:ascii="Times New Roman;sans-serif" w:hAnsi="Times New Roman;sans-serif"/>
          <w:b/>
          <w:color w:val="000000"/>
          <w:sz w:val="24"/>
        </w:rPr>
        <w:t>Release”)</w:t>
      </w:r>
      <w:r>
        <w:rPr>
          <w:rFonts w:ascii="Times New Roman;sans-serif" w:hAnsi="Times New Roman;sans-serif"/>
          <w:b w:val="false"/>
          <w:color w:val="000000"/>
          <w:sz w:val="24"/>
        </w:rPr>
        <w:t xml:space="preserve">; provided, however, that such Release shall not require Executive to relinquish any rights or claims that (a) arise after Executive’s execution of the Release, (b) relate to indemnification or liability insurance pursuant to the Company’s insurance plans, bylaws or applicable law, or (c) cannot be waived by law. If Executive fails to comply with the covenants set forth in </w:t>
      </w:r>
      <w:r>
        <w:rPr>
          <w:rFonts w:ascii="Times New Roman;sans-serif" w:hAnsi="Times New Roman;sans-serif"/>
          <w:b/>
          <w:color w:val="000000"/>
          <w:sz w:val="24"/>
        </w:rPr>
        <w:t xml:space="preserve">Section 6 </w:t>
      </w:r>
      <w:r>
        <w:rPr>
          <w:rFonts w:ascii="Times New Roman;sans-serif" w:hAnsi="Times New Roman;sans-serif"/>
          <w:b w:val="false"/>
          <w:color w:val="000000"/>
          <w:sz w:val="24"/>
        </w:rPr>
        <w:t xml:space="preserve">or if Executive fails to execute the Release or revokes the Release during the seven (7)-day period following Executive’s execution of the Release, then Executive shall not be entitled to any Severance Benefits. The Company shall provide Executive with the Release within five (5) days following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Executive’s termination of employment (or, in the case of any benefits relating to a Qualifying Termination occurring prior to a Change of Control, within five (5) days following the Change of Control). Executive shall be entitled to any such Severance Benefits only if the Release has been executed, is effective and the applicable revocation period has expired no later than the date as of which such Severance Benefits are to be paid (or provided) pursuant to this Agreement and if such requirements are not satisfied, Executive shall not be entitled to any such Severance Benefits.</w:t>
      </w:r>
    </w:p>
    <w:p>
      <w:pPr>
        <w:pStyle w:val="TextBody"/>
        <w:bidi w:val="0"/>
        <w:spacing w:lineRule="auto" w:line="288" w:before="180" w:after="283"/>
        <w:ind w:left="0" w:right="0" w:firstLine="1080"/>
        <w:jc w:val="left"/>
        <w:rPr/>
      </w:pPr>
      <w:r>
        <w:rPr>
          <w:rFonts w:ascii="Times New Roman;sans-serif" w:hAnsi="Times New Roman;sans-serif"/>
          <w:b w:val="false"/>
          <w:color w:val="000000"/>
          <w:sz w:val="22"/>
        </w:rPr>
        <w:t>6.</w:t>
      </w:r>
      <w:r>
        <w:rPr>
          <w:rFonts w:ascii="Times New Roman;sans-serif" w:hAnsi="Times New Roman;sans-serif"/>
          <w:b w:val="false"/>
          <w:color w:val="000000"/>
          <w:sz w:val="24"/>
          <w:u w:val="single"/>
        </w:rPr>
        <w:t>Restrictive Covenants and Agreements</w:t>
      </w:r>
      <w:r>
        <w:rPr>
          <w:rFonts w:ascii="Times New Roman;sans-serif" w:hAnsi="Times New Roman;sans-serif"/>
          <w:b w:val="false"/>
          <w:color w:val="000000"/>
          <w:sz w:val="24"/>
        </w:rPr>
        <w:t>.</w:t>
      </w:r>
    </w:p>
    <w:p>
      <w:pPr>
        <w:pStyle w:val="TextBody"/>
        <w:bidi w:val="0"/>
        <w:spacing w:lineRule="auto" w:line="288" w:before="180" w:after="283"/>
        <w:ind w:left="0" w:right="0" w:firstLine="1440"/>
        <w:jc w:val="both"/>
        <w:rPr/>
      </w:pPr>
      <w:r>
        <w:rPr>
          <w:rFonts w:ascii="Times New Roman;sans-serif" w:hAnsi="Times New Roman;sans-serif"/>
          <w:b w:val="false"/>
          <w:color w:val="000000"/>
          <w:sz w:val="24"/>
        </w:rPr>
        <w:t>6.1    </w:t>
      </w:r>
      <w:r>
        <w:rPr>
          <w:rFonts w:ascii="Times New Roman;sans-serif" w:hAnsi="Times New Roman;sans-serif"/>
          <w:b w:val="false"/>
          <w:color w:val="000000"/>
          <w:sz w:val="24"/>
          <w:u w:val="single"/>
        </w:rPr>
        <w:t>Executive’s Acknowledgment</w:t>
      </w:r>
      <w:r>
        <w:rPr>
          <w:rFonts w:ascii="Times New Roman;sans-serif" w:hAnsi="Times New Roman;sans-serif"/>
          <w:b w:val="false"/>
          <w:color w:val="000000"/>
          <w:sz w:val="24"/>
        </w:rPr>
        <w:t>. Executive agrees and acknowledges that in order to assure the Company that it will retain its value and that of the Business as a going concern, it is necessary that Executive not utilize special knowledge of the Business and its relationships with customers to compete with the Company. Executive further acknowledges that:</w:t>
      </w:r>
    </w:p>
    <w:p>
      <w:pPr>
        <w:pStyle w:val="TextBody"/>
        <w:bidi w:val="0"/>
        <w:spacing w:lineRule="auto" w:line="288" w:before="180" w:after="283"/>
        <w:ind w:left="0" w:right="0" w:firstLine="990"/>
        <w:jc w:val="both"/>
        <w:rPr>
          <w:rFonts w:ascii="Times New Roman;sans-serif" w:hAnsi="Times New Roman;sans-serif"/>
          <w:b w:val="false"/>
          <w:color w:val="000000"/>
          <w:sz w:val="24"/>
        </w:rPr>
      </w:pPr>
      <w:r>
        <w:rPr>
          <w:rFonts w:ascii="Times New Roman;sans-serif" w:hAnsi="Times New Roman;sans-serif"/>
          <w:b w:val="false"/>
          <w:color w:val="000000"/>
          <w:sz w:val="24"/>
        </w:rPr>
        <w:t>(a)    the Company is and will be engaged in the Business during the Employment Period and thereafter;</w:t>
      </w:r>
    </w:p>
    <w:p>
      <w:pPr>
        <w:pStyle w:val="TextBody"/>
        <w:bidi w:val="0"/>
        <w:spacing w:lineRule="auto" w:line="288" w:before="180" w:after="283"/>
        <w:ind w:left="0" w:right="0" w:firstLine="99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Executive will occupy a position of trust and confidence with the Company, and during the Employment Period, Executive will become familiar with the Company’s trade secrets and with other proprietary and Confidential Information concerning the Company and the Business; </w:t>
      </w:r>
    </w:p>
    <w:p>
      <w:pPr>
        <w:pStyle w:val="TextBody"/>
        <w:bidi w:val="0"/>
        <w:spacing w:lineRule="auto" w:line="288" w:before="180" w:after="283"/>
        <w:ind w:left="0" w:right="0" w:firstLine="990"/>
        <w:jc w:val="both"/>
        <w:rPr/>
      </w:pPr>
      <w:r>
        <w:rPr>
          <w:rFonts w:ascii="Times New Roman;sans-serif" w:hAnsi="Times New Roman;sans-serif"/>
          <w:b w:val="false"/>
          <w:color w:val="000000"/>
          <w:sz w:val="24"/>
        </w:rPr>
        <w:t xml:space="preserve">(c)    the agreements and covenants contained in this </w:t>
      </w:r>
      <w:r>
        <w:rPr>
          <w:rFonts w:ascii="Times New Roman;sans-serif" w:hAnsi="Times New Roman;sans-serif"/>
          <w:b/>
          <w:color w:val="000000"/>
          <w:sz w:val="24"/>
        </w:rPr>
        <w:t xml:space="preserve">Section 6 and Sections 7, 8 </w:t>
      </w:r>
      <w:r>
        <w:rPr>
          <w:rFonts w:ascii="Times New Roman;sans-serif" w:hAnsi="Times New Roman;sans-serif"/>
          <w:b w:val="false"/>
          <w:color w:val="000000"/>
          <w:sz w:val="24"/>
        </w:rPr>
        <w:t xml:space="preserve">and </w:t>
      </w:r>
      <w:r>
        <w:rPr>
          <w:rFonts w:ascii="Times New Roman;sans-serif" w:hAnsi="Times New Roman;sans-serif"/>
          <w:b/>
          <w:color w:val="000000"/>
          <w:sz w:val="24"/>
        </w:rPr>
        <w:t xml:space="preserve">9 </w:t>
      </w:r>
      <w:r>
        <w:rPr>
          <w:rFonts w:ascii="Times New Roman;sans-serif" w:hAnsi="Times New Roman;sans-serif"/>
          <w:b w:val="false"/>
          <w:color w:val="000000"/>
          <w:sz w:val="24"/>
        </w:rPr>
        <w:t>are essential to protect the Company and the confidentiality of its Confidential Information (defined below) and near permanent client relationships as well as goodwill of the Business and compliance with such agreements and covenants will not impair Executive’s ability to procure subsequent and comparable employment; and</w:t>
      </w:r>
    </w:p>
    <w:p>
      <w:pPr>
        <w:pStyle w:val="TextBody"/>
        <w:bidi w:val="0"/>
        <w:spacing w:lineRule="auto" w:line="288" w:before="180" w:after="283"/>
        <w:ind w:left="0" w:right="0" w:firstLine="990"/>
        <w:jc w:val="both"/>
        <w:rPr>
          <w:rFonts w:ascii="Times New Roman;sans-serif" w:hAnsi="Times New Roman;sans-serif"/>
          <w:b w:val="false"/>
          <w:color w:val="000000"/>
          <w:sz w:val="24"/>
        </w:rPr>
      </w:pPr>
      <w:r>
        <w:rPr>
          <w:rFonts w:ascii="Times New Roman;sans-serif" w:hAnsi="Times New Roman;sans-serif"/>
          <w:b w:val="false"/>
          <w:color w:val="000000"/>
          <w:sz w:val="24"/>
        </w:rPr>
        <w:t>(d)    Executive’s employment with the Company has special, unique and extraordinary value to the Company and the Company would be irreparably damaged if Executive were to provide services to any person or entity in violation of the provisions of this Agreement.</w:t>
      </w:r>
    </w:p>
    <w:p>
      <w:pPr>
        <w:pStyle w:val="TextBody"/>
        <w:bidi w:val="0"/>
        <w:spacing w:lineRule="auto" w:line="288" w:before="180" w:after="283"/>
        <w:ind w:left="0" w:right="0" w:firstLine="99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    Executive agrees that the professional and financial benefits of the position in which Executive is being employed provided for in this Agreement (such as but not limited to the Sign On Bonus and Severance Pay rights) are adequate consideration to support Executive’s covenants in this Agreement (including but not limited to the post- employment obligations provided for in Section 5). Executive is not entering into, and will not be bound by any restriction that constitutes a “Noncompete covenant” within the meaning given this term under Section 5 of the Illinois Freedom to Work Act (“820 ILCS 90/5”) unless Executive’s actual or expected annualized rate of earnings with the Company exceed $75,000 per year (or $80,000 per year beginning on January 1, 2027, $85,000 per year beginning on January 1, 2032, and $90,000 per year beginning on January 1, 2037). Executive is not entering into, and will not be bound by any restriction that constitutes a “Nonsolicit covenant” within the meaning of this term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under 820 ILCS 90/5 unless Executive’s actual or expected annualized rate of earnings with the Company exceed $45,000 per year (or $47,500 per year beginning on January 1, 2027, $50,000 per year beginning on January 1, 2032, and $52,500 per year beginning on January 1, 2037).</w:t>
      </w:r>
    </w:p>
    <w:p>
      <w:pPr>
        <w:pStyle w:val="TextBody"/>
        <w:bidi w:val="0"/>
        <w:spacing w:lineRule="auto" w:line="288" w:before="180" w:after="283"/>
        <w:ind w:left="0" w:right="0" w:firstLine="990"/>
        <w:jc w:val="both"/>
        <w:rPr>
          <w:rFonts w:ascii="Times New Roman;sans-serif" w:hAnsi="Times New Roman;sans-serif"/>
          <w:b w:val="false"/>
          <w:color w:val="000000"/>
          <w:sz w:val="24"/>
        </w:rPr>
      </w:pPr>
      <w:r>
        <w:rPr>
          <w:rFonts w:ascii="Times New Roman;sans-serif" w:hAnsi="Times New Roman;sans-serif"/>
          <w:b w:val="false"/>
          <w:color w:val="000000"/>
          <w:sz w:val="24"/>
        </w:rPr>
        <w:t>(f)    Executive acknowledges that Executive had 14 days or more to consider this Agreement before being required to sign it and if Executive has signed this Agreement before the expiration of the 14 day period, Executive did so of Executive’s own volition and Executive waives the remainder of the 14 day consideration period. Executive also acknowledges that Executive was advised to consult with an attorney before signing this Agreement.</w:t>
      </w:r>
    </w:p>
    <w:p>
      <w:pPr>
        <w:pStyle w:val="TextBody"/>
        <w:bidi w:val="0"/>
        <w:spacing w:lineRule="auto" w:line="288" w:before="180" w:after="283"/>
        <w:ind w:left="0" w:right="0" w:firstLine="1440"/>
        <w:jc w:val="both"/>
        <w:rPr/>
      </w:pPr>
      <w:r>
        <w:rPr>
          <w:rFonts w:ascii="Times New Roman;sans-serif" w:hAnsi="Times New Roman;sans-serif"/>
          <w:b w:val="false"/>
          <w:color w:val="000000"/>
          <w:sz w:val="24"/>
        </w:rPr>
        <w:t>6.2    </w:t>
      </w:r>
      <w:r>
        <w:rPr>
          <w:rFonts w:ascii="Times New Roman;sans-serif" w:hAnsi="Times New Roman;sans-serif"/>
          <w:b w:val="false"/>
          <w:color w:val="000000"/>
          <w:sz w:val="24"/>
          <w:u w:val="single"/>
        </w:rPr>
        <w:t>Confidential Information</w:t>
      </w:r>
      <w:r>
        <w:rPr>
          <w:rFonts w:ascii="Times New Roman;sans-serif" w:hAnsi="Times New Roman;sans-serif"/>
          <w:b w:val="false"/>
          <w:color w:val="000000"/>
          <w:sz w:val="24"/>
        </w:rPr>
        <w:t xml:space="preserve">. As used in this </w:t>
      </w:r>
      <w:r>
        <w:rPr>
          <w:rFonts w:ascii="Times New Roman;sans-serif" w:hAnsi="Times New Roman;sans-serif"/>
          <w:b/>
          <w:color w:val="000000"/>
          <w:sz w:val="24"/>
        </w:rPr>
        <w:t>Section 6</w:t>
      </w:r>
      <w:r>
        <w:rPr>
          <w:rFonts w:ascii="Times New Roman;sans-serif" w:hAnsi="Times New Roman;sans-serif"/>
          <w:b w:val="false"/>
          <w:color w:val="000000"/>
          <w:sz w:val="24"/>
        </w:rPr>
        <w:t>, “</w:t>
      </w:r>
      <w:r>
        <w:rPr>
          <w:rFonts w:ascii="Times New Roman;sans-serif" w:hAnsi="Times New Roman;sans-serif"/>
          <w:b/>
          <w:color w:val="000000"/>
          <w:sz w:val="24"/>
        </w:rPr>
        <w:t>Confidential Information</w:t>
      </w:r>
      <w:r>
        <w:rPr>
          <w:color w:val="000000"/>
        </w:rPr>
        <w:t xml:space="preserve">” </w:t>
      </w:r>
      <w:r>
        <w:rPr>
          <w:rFonts w:ascii="Times New Roman;sans-serif" w:hAnsi="Times New Roman;sans-serif"/>
          <w:b w:val="false"/>
          <w:color w:val="000000"/>
          <w:sz w:val="24"/>
        </w:rPr>
        <w:t>shall mean the Company’s trade secrets and other non-public information relating to the Company or the Business, including, without limitation, information relating to financial statements, customer identities, potential customers, employees, suppliers, acquisition targets, servicing methods, equipment, programs, strategies and information, analyses, marketing plans and strategies, profit margins and other information developed or used by the Company in connection with the Business that is not known generally to the public or the industry and that gives the Company an advantage in the marketplace. Confidential Information shall not include any information that is in the public domain or becomes known in the public domain through no wrongful act on the part of Executive. Executive agrees to deliver to the Company at the termination of Executive’s employment, or at any other time the Company may request, all memoranda, notes, plans, records, reports and other documents (and copies thereof) relating to the Business or the Company or other forms of Confidential Information which Executive may then possess or have under Executive’s control.</w:t>
      </w:r>
    </w:p>
    <w:p>
      <w:pPr>
        <w:pStyle w:val="TextBody"/>
        <w:bidi w:val="0"/>
        <w:spacing w:lineRule="auto" w:line="288" w:before="180" w:after="283"/>
        <w:ind w:left="0" w:right="0" w:firstLine="1440"/>
        <w:jc w:val="both"/>
        <w:rPr/>
      </w:pPr>
      <w:r>
        <w:rPr>
          <w:rFonts w:ascii="Times New Roman;sans-serif" w:hAnsi="Times New Roman;sans-serif"/>
          <w:b w:val="false"/>
          <w:color w:val="000000"/>
          <w:sz w:val="24"/>
        </w:rPr>
        <w:t>6.3    </w:t>
      </w:r>
      <w:r>
        <w:rPr>
          <w:rFonts w:ascii="Times New Roman;sans-serif" w:hAnsi="Times New Roman;sans-serif"/>
          <w:b w:val="false"/>
          <w:color w:val="000000"/>
          <w:sz w:val="24"/>
          <w:u w:val="single"/>
        </w:rPr>
        <w:t>Non-Disclosure</w:t>
      </w:r>
      <w:r>
        <w:rPr>
          <w:rFonts w:ascii="Times New Roman;sans-serif" w:hAnsi="Times New Roman;sans-serif"/>
          <w:b w:val="false"/>
          <w:color w:val="000000"/>
          <w:sz w:val="24"/>
        </w:rPr>
        <w:t>. Executive agrees that during employment with the Company and thereafter, Executive shall not reveal to any competitor or other person or entity (other than current employees of the Company) any Confidential Information regarding Clients (as defined herein) that Executive obtains while performing services for the Company. Executive further agrees that Executive will not use or disclose any Confidential Information of the Company, other than in connection with Executive's work for the Company, until such information becomes generally known in the industry through no fault of Executive.</w:t>
      </w:r>
    </w:p>
    <w:p>
      <w:pPr>
        <w:pStyle w:val="TextBody"/>
        <w:bidi w:val="0"/>
        <w:spacing w:lineRule="auto" w:line="288" w:before="18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Nothing in this Agreement prohibits Executive from reporting an event that Executive reasonably and in good faith believes is a violation of law to the relevant law enforcement agency (such as the Securities and Exchange Commission, Equal Employment Opportunity Commission, or Department of Labor), or from cooperating in an investigation conducted by such a government agency. In addition, nothing in the Agreement shall be construed to prohibit the Executive from disclosing information about unlawful acts in the workplace, such as harassment or discrimination or any other conduct that the Executive has reason to believe is unlawful. Executive is hereby provided notice that under the 2016 Defend Trade Secrets Act (DTSA): (1) no individual will be held criminally or civilly liable under Federal or State trade secret law for the disclosure of a trade secret (as defined in the Economic Espionage Act) that: (A) is made in confidence to a Federal, State, or local government official,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either directly or indirectly, or to an attorney; and made solely for the purpose of reporting or investigating a suspected violation of law; or, (B) is made in a complaint or other document filed in a lawsuit or other proceeding, if such filing is made under seal so that it is not made public; and, (2)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 and does not disclose the trade secret, except as permitted by court order.</w:t>
      </w:r>
    </w:p>
    <w:p>
      <w:pPr>
        <w:pStyle w:val="TextBody"/>
        <w:bidi w:val="0"/>
        <w:spacing w:lineRule="auto" w:line="288" w:before="180" w:after="283"/>
        <w:ind w:left="0" w:right="0" w:firstLine="1440"/>
        <w:jc w:val="both"/>
        <w:rPr/>
      </w:pPr>
      <w:r>
        <w:rPr>
          <w:rFonts w:ascii="Times New Roman;sans-serif" w:hAnsi="Times New Roman;sans-serif"/>
          <w:b w:val="false"/>
          <w:color w:val="000000"/>
          <w:sz w:val="24"/>
        </w:rPr>
        <w:t>6.4    </w:t>
      </w:r>
      <w:r>
        <w:rPr>
          <w:rFonts w:ascii="Times New Roman;sans-serif" w:hAnsi="Times New Roman;sans-serif"/>
          <w:b w:val="false"/>
          <w:color w:val="000000"/>
          <w:sz w:val="24"/>
          <w:u w:val="single"/>
        </w:rPr>
        <w:t>Non-Solicitation of Clients</w:t>
      </w:r>
      <w:r>
        <w:rPr>
          <w:rFonts w:ascii="Times New Roman;sans-serif" w:hAnsi="Times New Roman;sans-serif"/>
          <w:b w:val="false"/>
          <w:color w:val="000000"/>
          <w:sz w:val="24"/>
        </w:rPr>
        <w:t>. Executive acknowledges that Executive will learn and develop Confidential Information relating to the Company’s Clients and relating to the Company’s servicing of those Clients. Executive recognizes that the Company’s relationships with its Clients are extremely valuable to it and that the protection of the Company’s relationships with its Clients is essential.</w:t>
      </w:r>
    </w:p>
    <w:p>
      <w:pPr>
        <w:pStyle w:val="TextBody"/>
        <w:bidi w:val="0"/>
        <w:spacing w:lineRule="auto" w:line="288" w:before="180" w:after="283"/>
        <w:ind w:left="0" w:right="0" w:firstLine="1440"/>
        <w:jc w:val="both"/>
        <w:rPr/>
      </w:pPr>
      <w:r>
        <w:rPr>
          <w:rFonts w:ascii="Times New Roman;sans-serif" w:hAnsi="Times New Roman;sans-serif"/>
          <w:b w:val="false"/>
          <w:color w:val="000000"/>
          <w:sz w:val="24"/>
        </w:rPr>
        <w:t>Accordingly, and in consideration of the Company’s employment of Executive and the various benefits and payments provided in conjunction therewith, Executive agrees that during the Employment Period and for the longer period (</w:t>
      </w:r>
      <w:r>
        <w:rPr>
          <w:color w:val="000000"/>
        </w:rPr>
        <w:t>“</w:t>
      </w:r>
      <w:r>
        <w:rPr>
          <w:rFonts w:ascii="Times New Roman;sans-serif" w:hAnsi="Times New Roman;sans-serif"/>
          <w:b/>
          <w:color w:val="000000"/>
          <w:sz w:val="24"/>
        </w:rPr>
        <w:t>Restricted Period”</w:t>
      </w:r>
      <w:r>
        <w:rPr>
          <w:rFonts w:ascii="Times New Roman;sans-serif" w:hAnsi="Times New Roman;sans-serif"/>
          <w:b w:val="false"/>
          <w:color w:val="000000"/>
          <w:sz w:val="24"/>
        </w:rPr>
        <w:t xml:space="preserve">) thereafter of (i) the period for which Executive is entitled to receive severance payments under </w:t>
      </w:r>
      <w:r>
        <w:rPr>
          <w:rFonts w:ascii="Times New Roman;sans-serif" w:hAnsi="Times New Roman;sans-serif"/>
          <w:b/>
          <w:color w:val="000000"/>
          <w:sz w:val="24"/>
        </w:rPr>
        <w:t xml:space="preserve">Section 5.2(a)(i) </w:t>
      </w:r>
      <w:r>
        <w:rPr>
          <w:rFonts w:ascii="Times New Roman;sans-serif" w:hAnsi="Times New Roman;sans-serif"/>
          <w:b w:val="false"/>
          <w:color w:val="000000"/>
          <w:sz w:val="24"/>
        </w:rPr>
        <w:t xml:space="preserve">or, if applicable, </w:t>
      </w:r>
      <w:r>
        <w:rPr>
          <w:rFonts w:ascii="Times New Roman;sans-serif" w:hAnsi="Times New Roman;sans-serif"/>
          <w:b/>
          <w:color w:val="000000"/>
          <w:sz w:val="24"/>
        </w:rPr>
        <w:t>Section 5.5(a)(ii)</w:t>
      </w:r>
      <w:r>
        <w:rPr>
          <w:rFonts w:ascii="Times New Roman;sans-serif" w:hAnsi="Times New Roman;sans-serif"/>
          <w:b w:val="false"/>
          <w:color w:val="000000"/>
          <w:sz w:val="24"/>
        </w:rPr>
        <w:t>, or (ii) twelve (12) months following any termination of employment with the Company, Executive will not, whether or not Executive is then self- employed or employed by another, directly or through another, provide services that are the same or similar to those services offered for sale and/or under any stage of development by the Company at the time of Executive’s termination, to any Client of the Company whom Executive:</w:t>
      </w:r>
    </w:p>
    <w:p>
      <w:pPr>
        <w:pStyle w:val="TextBody"/>
        <w:bidi w:val="0"/>
        <w:spacing w:lineRule="auto" w:line="288" w:before="180" w:after="283"/>
        <w:ind w:left="0" w:right="0" w:firstLine="1080"/>
        <w:jc w:val="left"/>
        <w:rPr/>
      </w:pPr>
      <w:r>
        <w:rPr>
          <w:rFonts w:ascii="Times New Roman;sans-serif" w:hAnsi="Times New Roman;sans-serif"/>
          <w:b w:val="false"/>
          <w:color w:val="000000"/>
          <w:sz w:val="22"/>
        </w:rPr>
        <w:t>(a)</w:t>
      </w:r>
      <w:r>
        <w:rPr>
          <w:rFonts w:ascii="Times New Roman;sans-serif" w:hAnsi="Times New Roman;sans-serif"/>
          <w:b w:val="false"/>
          <w:color w:val="000000"/>
          <w:sz w:val="24"/>
        </w:rPr>
        <w:t>obtained as a Client for the Company; or</w:t>
      </w:r>
    </w:p>
    <w:p>
      <w:pPr>
        <w:pStyle w:val="TextBody"/>
        <w:bidi w:val="0"/>
        <w:spacing w:lineRule="auto" w:line="288" w:before="180" w:after="283"/>
        <w:ind w:left="0" w:right="0" w:firstLine="1080"/>
        <w:jc w:val="both"/>
        <w:rPr>
          <w:rFonts w:ascii="Times New Roman;sans-serif" w:hAnsi="Times New Roman;sans-serif"/>
          <w:b w:val="false"/>
          <w:color w:val="000000"/>
          <w:sz w:val="24"/>
        </w:rPr>
      </w:pPr>
      <w:r>
        <w:rPr>
          <w:rFonts w:ascii="Times New Roman;sans-serif" w:hAnsi="Times New Roman;sans-serif"/>
          <w:b w:val="false"/>
          <w:color w:val="000000"/>
          <w:sz w:val="24"/>
        </w:rPr>
        <w:t>(b)consulted with, provided services for, supervised the provision of services for or about whom Executive learned Confidential Information during the twelve (12) month period immediately preceding termination of Executive’s employment; or</w:t>
      </w:r>
    </w:p>
    <w:p>
      <w:pPr>
        <w:pStyle w:val="TextBody"/>
        <w:bidi w:val="0"/>
        <w:spacing w:lineRule="auto" w:line="288" w:before="180" w:after="283"/>
        <w:ind w:left="0" w:right="0" w:firstLine="1080"/>
        <w:jc w:val="both"/>
        <w:rPr>
          <w:rFonts w:ascii="Times New Roman;sans-serif" w:hAnsi="Times New Roman;sans-serif"/>
          <w:b w:val="false"/>
          <w:color w:val="000000"/>
          <w:sz w:val="24"/>
        </w:rPr>
      </w:pPr>
      <w:r>
        <w:rPr>
          <w:rFonts w:ascii="Times New Roman;sans-serif" w:hAnsi="Times New Roman;sans-serif"/>
          <w:b w:val="false"/>
          <w:color w:val="000000"/>
          <w:sz w:val="24"/>
        </w:rPr>
        <w:t>(c)submitted or assisted in the submission of a proposal for the provision of services during the six (6) month period immediately preceding termination of Executive’s employment.</w:t>
      </w:r>
    </w:p>
    <w:p>
      <w:pPr>
        <w:pStyle w:val="TextBody"/>
        <w:bidi w:val="0"/>
        <w:spacing w:lineRule="auto" w:line="288" w:before="180" w:after="283"/>
        <w:ind w:left="0" w:right="0" w:firstLine="721"/>
        <w:jc w:val="both"/>
        <w:rPr/>
      </w:pPr>
      <w:r>
        <w:rPr>
          <w:color w:val="000000"/>
        </w:rPr>
        <w:t>“</w:t>
      </w:r>
      <w:r>
        <w:rPr>
          <w:rFonts w:ascii="Times New Roman;sans-serif" w:hAnsi="Times New Roman;sans-serif"/>
          <w:b/>
          <w:color w:val="000000"/>
          <w:sz w:val="24"/>
        </w:rPr>
        <w:t xml:space="preserve">Client” </w:t>
      </w:r>
      <w:r>
        <w:rPr>
          <w:rFonts w:ascii="Times New Roman;sans-serif" w:hAnsi="Times New Roman;sans-serif"/>
          <w:b w:val="false"/>
          <w:color w:val="000000"/>
          <w:sz w:val="24"/>
        </w:rPr>
        <w:t>shall mean those persons or firms for whom the Company has either directly or indirectly provided services within the twenty-four (24)-month period immediately preceding termination of Executive’s employment and therefore includes both the referral source or entity that consults with the Company and the entity to which the consultation related.</w:t>
      </w:r>
    </w:p>
    <w:p>
      <w:pPr>
        <w:pStyle w:val="TextBody"/>
        <w:bidi w:val="0"/>
        <w:spacing w:lineRule="auto" w:line="288" w:before="180" w:after="283"/>
        <w:jc w:val="both"/>
        <w:rPr/>
      </w:pPr>
      <w:r>
        <w:rPr>
          <w:color w:val="000000"/>
        </w:rPr>
        <w:t>“</w:t>
      </w:r>
      <w:r>
        <w:rPr>
          <w:rFonts w:ascii="Times New Roman;sans-serif" w:hAnsi="Times New Roman;sans-serif"/>
          <w:b/>
          <w:color w:val="000000"/>
          <w:sz w:val="24"/>
        </w:rPr>
        <w:t xml:space="preserve">Client” </w:t>
      </w:r>
      <w:r>
        <w:rPr>
          <w:rFonts w:ascii="Times New Roman;sans-serif" w:hAnsi="Times New Roman;sans-serif"/>
          <w:b w:val="false"/>
          <w:color w:val="000000"/>
          <w:sz w:val="24"/>
        </w:rPr>
        <w:t>also includes those persons or firms to whom Executive has submitted a proposal (or assisted in the submission of a proposal) to perform services during the six (6) month period immediately preceding termination of Executive’s employment. For the avoidance of doubt, for purposes of determining the Restricted Period, the period for which Executive is entitled to receive severance payments shall be determined based on the period of Base Salary that is to be paid to Executive as severance payments, regardless of the period over which the severance pay is actually paid.</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ind w:left="0" w:right="0" w:firstLine="1440"/>
        <w:jc w:val="both"/>
        <w:rPr/>
      </w:pPr>
      <w:r>
        <w:rPr>
          <w:rFonts w:ascii="Times New Roman;sans-serif" w:hAnsi="Times New Roman;sans-serif"/>
          <w:b w:val="false"/>
          <w:color w:val="000000"/>
          <w:sz w:val="24"/>
        </w:rPr>
        <w:t>6.5    </w:t>
      </w:r>
      <w:r>
        <w:rPr>
          <w:rFonts w:ascii="Times New Roman;sans-serif" w:hAnsi="Times New Roman;sans-serif"/>
          <w:b w:val="false"/>
          <w:color w:val="000000"/>
          <w:sz w:val="24"/>
          <w:u w:val="single"/>
        </w:rPr>
        <w:t>Non-Interference with Relationships</w:t>
      </w:r>
      <w:r>
        <w:rPr>
          <w:rFonts w:ascii="Times New Roman;sans-serif" w:hAnsi="Times New Roman;sans-serif"/>
          <w:b w:val="false"/>
          <w:color w:val="000000"/>
          <w:sz w:val="24"/>
        </w:rPr>
        <w:t>. Executive shall not at any time during the Restricted Period directly or indirectly solicit, induce or encourage (a) any executive or employee or other personnel (including contractors) of the Company, or (b) any customer, Client, supplier, lender, professional advisor or other business relation of the Company to leave, alter or cease his/her/its relationship with the Company, for any reason whatsoever. Executive shall not hire or assist in the hiring of any executive or employee or other personnel (including contractors) of the Company for that same time period, whether or not Executive is then self-employed or employed by another business. Executive shall not at any time directly or indirectly make disparaging remarks about the Company.</w:t>
      </w:r>
    </w:p>
    <w:p>
      <w:pPr>
        <w:pStyle w:val="TextBody"/>
        <w:bidi w:val="0"/>
        <w:spacing w:lineRule="auto" w:line="288" w:before="180" w:after="283"/>
        <w:ind w:left="0" w:right="0" w:firstLine="1440"/>
        <w:jc w:val="both"/>
        <w:rPr/>
      </w:pPr>
      <w:r>
        <w:rPr>
          <w:rFonts w:ascii="Times New Roman;sans-serif" w:hAnsi="Times New Roman;sans-serif"/>
          <w:b w:val="false"/>
          <w:color w:val="000000"/>
          <w:sz w:val="24"/>
        </w:rPr>
        <w:t>6.6    </w:t>
      </w:r>
      <w:r>
        <w:rPr>
          <w:rFonts w:ascii="Times New Roman;sans-serif" w:hAnsi="Times New Roman;sans-serif"/>
          <w:b w:val="false"/>
          <w:color w:val="000000"/>
          <w:sz w:val="24"/>
          <w:u w:val="single"/>
        </w:rPr>
        <w:t>Modification</w:t>
      </w:r>
      <w:r>
        <w:rPr>
          <w:rFonts w:ascii="Times New Roman;sans-serif" w:hAnsi="Times New Roman;sans-serif"/>
          <w:b w:val="false"/>
          <w:color w:val="000000"/>
          <w:sz w:val="24"/>
        </w:rPr>
        <w:t xml:space="preserve">. If any court of competent jurisdiction shall at any time deem that the term of any Restrictive Covenant is too lengthy, or the scope or subject matter of any Restrictive Covenant exceeds the limitations imposed by applicable law, the parties agree that provisions of </w:t>
      </w:r>
      <w:r>
        <w:rPr>
          <w:rFonts w:ascii="Times New Roman;sans-serif" w:hAnsi="Times New Roman;sans-serif"/>
          <w:b/>
          <w:color w:val="000000"/>
          <w:sz w:val="24"/>
        </w:rPr>
        <w:t>Sections 6.3</w:t>
      </w:r>
      <w:r>
        <w:rPr>
          <w:rFonts w:ascii="Times New Roman;sans-serif" w:hAnsi="Times New Roman;sans-serif"/>
          <w:b w:val="false"/>
          <w:color w:val="000000"/>
          <w:sz w:val="24"/>
        </w:rPr>
        <w:t xml:space="preserve">, </w:t>
      </w:r>
      <w:r>
        <w:rPr>
          <w:rFonts w:ascii="Times New Roman;sans-serif" w:hAnsi="Times New Roman;sans-serif"/>
          <w:b/>
          <w:color w:val="000000"/>
          <w:sz w:val="24"/>
        </w:rPr>
        <w:t xml:space="preserve">6.4, </w:t>
      </w:r>
      <w:r>
        <w:rPr>
          <w:rFonts w:ascii="Times New Roman;sans-serif" w:hAnsi="Times New Roman;sans-serif"/>
          <w:b w:val="false"/>
          <w:color w:val="000000"/>
          <w:sz w:val="24"/>
        </w:rPr>
        <w:t xml:space="preserve">and </w:t>
      </w:r>
      <w:r>
        <w:rPr>
          <w:rFonts w:ascii="Times New Roman;sans-serif" w:hAnsi="Times New Roman;sans-serif"/>
          <w:b/>
          <w:color w:val="000000"/>
          <w:sz w:val="24"/>
        </w:rPr>
        <w:t xml:space="preserve">6.5 </w:t>
      </w:r>
      <w:r>
        <w:rPr>
          <w:rFonts w:ascii="Times New Roman;sans-serif" w:hAnsi="Times New Roman;sans-serif"/>
          <w:b w:val="false"/>
          <w:color w:val="000000"/>
          <w:sz w:val="24"/>
        </w:rPr>
        <w:t>shall be amended to the minimum extent necessary such that the provision is enforceable or permissible by such applicable law and be enforced as amended.</w:t>
      </w:r>
    </w:p>
    <w:p>
      <w:pPr>
        <w:pStyle w:val="TextBody"/>
        <w:bidi w:val="0"/>
        <w:spacing w:lineRule="auto" w:line="288" w:before="180" w:after="283"/>
        <w:ind w:left="0" w:right="0" w:firstLine="1440"/>
        <w:jc w:val="both"/>
        <w:rPr/>
      </w:pPr>
      <w:r>
        <w:rPr>
          <w:rFonts w:ascii="Times New Roman;sans-serif" w:hAnsi="Times New Roman;sans-serif"/>
          <w:b w:val="false"/>
          <w:color w:val="000000"/>
          <w:sz w:val="24"/>
        </w:rPr>
        <w:t>6.7    </w:t>
      </w:r>
      <w:r>
        <w:rPr>
          <w:rFonts w:ascii="Times New Roman;sans-serif" w:hAnsi="Times New Roman;sans-serif"/>
          <w:b w:val="false"/>
          <w:color w:val="000000"/>
          <w:sz w:val="24"/>
          <w:u w:val="single"/>
        </w:rPr>
        <w:t>Representations and Warranties</w:t>
      </w:r>
      <w:r>
        <w:rPr>
          <w:rFonts w:ascii="Times New Roman;sans-serif" w:hAnsi="Times New Roman;sans-serif"/>
          <w:b w:val="false"/>
          <w:color w:val="000000"/>
          <w:sz w:val="24"/>
        </w:rPr>
        <w:t>. Executive has made full disclosure to the Company concerning the existence of, and delivered copies of any documents relating to, any contractual arrangement (including, but not limited to, any non-compete or non-solicitation agreement) that Executive has with any current or former employer which agreement purports to be in effect as of the Effective Date or the dates of Executive’s intended employment with the Company (other than prior agreements with the Company). Executive represents, warrants and covenants to the Company that (a) Executive is not a party to or bound by any employment agreement, noncompete, nonsolicitation (of customers or employees), nondisturbance (of customers, employees or vendors), or confidentiality agreement with any previous employer or any other person or entity that would be violated by Executive’s acceptance of this position or which would interfere in any material respect with the performance of Executive’s duties with the Company, (b) that Executive will not use any confidential information or trade secrets of any person or party other than the Company in connection with the performance of Executive's duties with the Company, (c) that Executive will not at any time breach (or threaten to breach) any such agreement with any such previous employer or any other person or entity during Executive's employment with the Company and Executive shall not at any time enter into any modification of any forgoing such agreement or any new agreement with, waive any rights of Executive under any agreement with, or acknowledge any amounts due from Executive to, Executive's previous employer without first obtaining the prior written consent of the Company in its sole discretion. Executive shall hereafter immediately disclose to the Company any knowledge of Executive of a possible or potential violation of any forgoing such agreement occurring at any time.</w:t>
      </w:r>
    </w:p>
    <w:p>
      <w:pPr>
        <w:pStyle w:val="TextBody"/>
        <w:bidi w:val="0"/>
        <w:spacing w:lineRule="auto" w:line="288" w:before="180" w:after="283"/>
        <w:ind w:left="0" w:right="0" w:firstLine="1080"/>
        <w:jc w:val="both"/>
        <w:rPr/>
      </w:pPr>
      <w:r>
        <w:rPr>
          <w:rFonts w:ascii="Times New Roman;sans-serif" w:hAnsi="Times New Roman;sans-serif"/>
          <w:b w:val="false"/>
          <w:color w:val="000000"/>
          <w:sz w:val="22"/>
        </w:rPr>
        <w:t>7.</w:t>
      </w:r>
      <w:r>
        <w:rPr>
          <w:rFonts w:ascii="Times New Roman;sans-serif" w:hAnsi="Times New Roman;sans-serif"/>
          <w:b w:val="false"/>
          <w:color w:val="000000"/>
          <w:sz w:val="24"/>
          <w:u w:val="single"/>
        </w:rPr>
        <w:t>Ownership of Intellectual Property</w:t>
      </w:r>
      <w:r>
        <w:rPr>
          <w:rFonts w:ascii="Times New Roman;sans-serif" w:hAnsi="Times New Roman;sans-serif"/>
          <w:b w:val="false"/>
          <w:color w:val="000000"/>
          <w:sz w:val="24"/>
        </w:rPr>
        <w:t xml:space="preserve">. All intellectual property, ideas, inventions, writings, software and Confidential Information created or conceived by Executive alone or with others while employed with the Company that relate to the Company’s business or clients or work assigned to Executive by the Company (collectively, </w:t>
      </w:r>
      <w:r>
        <w:rPr>
          <w:color w:val="000000"/>
        </w:rPr>
        <w:t>“</w:t>
      </w:r>
      <w:r>
        <w:rPr>
          <w:rFonts w:ascii="Times New Roman;sans-serif" w:hAnsi="Times New Roman;sans-serif"/>
          <w:b/>
          <w:color w:val="000000"/>
          <w:sz w:val="24"/>
        </w:rPr>
        <w:t>Materials”</w:t>
      </w:r>
      <w:r>
        <w:rPr>
          <w:rFonts w:ascii="Times New Roman;sans-serif" w:hAnsi="Times New Roman;sans-serif"/>
          <w:b w:val="false"/>
          <w:color w:val="000000"/>
          <w:sz w:val="24"/>
        </w:rPr>
        <w:t xml:space="preserve">) constitute </w:t>
      </w:r>
      <w:r>
        <w:rPr>
          <w:color w:val="000000"/>
        </w:rPr>
        <w:t>“</w:t>
      </w:r>
      <w:r>
        <w:rPr>
          <w:rFonts w:ascii="Times New Roman;sans-serif" w:hAnsi="Times New Roman;sans-serif"/>
          <w:b/>
          <w:color w:val="000000"/>
          <w:sz w:val="24"/>
        </w:rPr>
        <w:t xml:space="preserve">work made for hire” </w:t>
      </w:r>
      <w:r>
        <w:rPr>
          <w:rFonts w:ascii="Times New Roman;sans-serif" w:hAnsi="Times New Roman;sans-serif"/>
          <w:b w:val="false"/>
          <w:color w:val="000000"/>
          <w:sz w:val="24"/>
        </w:rPr>
        <w:t xml:space="preserve">and are the exclusive property of the Company. If for any reason any Materials cannot legally constitute a </w:t>
      </w:r>
      <w:r>
        <w:rPr>
          <w:color w:val="000000"/>
        </w:rPr>
        <w:t>“</w:t>
      </w:r>
      <w:r>
        <w:rPr>
          <w:rFonts w:ascii="Times New Roman;sans-serif" w:hAnsi="Times New Roman;sans-serif"/>
          <w:b/>
          <w:color w:val="000000"/>
          <w:sz w:val="24"/>
        </w:rPr>
        <w:t xml:space="preserve">work made for hire,” </w:t>
      </w:r>
      <w:r>
        <w:rPr>
          <w:rFonts w:ascii="Times New Roman;sans-serif" w:hAnsi="Times New Roman;sans-serif"/>
          <w:b w:val="false"/>
          <w:color w:val="000000"/>
          <w:sz w:val="24"/>
        </w:rPr>
        <w:t xml:space="preserve">then this Agreement shall operate as an irrevocable assignment and agreement to assign to the Company all right, title and interest in such Materials.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Executive will promptly disclose to the Company in writing all Materials developed during Executive’s employment with the Company, and Executive will execute such documents as may be necessary to evidence Executive’s assignment(s) of all right, title and interest in Materials to the Company. If Executive claims ownership in any intellectual property, ideas or inventions that predate Executive’s employment with the Company, then Executive will disclose such claims in writing to the Company's Human Resources Department before commencing any work for the Company</w:t>
      </w:r>
    </w:p>
    <w:p>
      <w:pPr>
        <w:pStyle w:val="TextBody"/>
        <w:bidi w:val="0"/>
        <w:spacing w:lineRule="auto" w:line="288" w:before="180" w:after="283"/>
        <w:ind w:left="0" w:right="0" w:firstLine="1080"/>
        <w:jc w:val="both"/>
        <w:rPr/>
      </w:pPr>
      <w:r>
        <w:rPr>
          <w:rFonts w:ascii="Times New Roman;sans-serif" w:hAnsi="Times New Roman;sans-serif"/>
          <w:b w:val="false"/>
          <w:color w:val="000000"/>
          <w:sz w:val="22"/>
        </w:rPr>
        <w:t>8.</w:t>
      </w:r>
      <w:r>
        <w:rPr>
          <w:rFonts w:ascii="Times New Roman;sans-serif" w:hAnsi="Times New Roman;sans-serif"/>
          <w:b w:val="false"/>
          <w:color w:val="000000"/>
          <w:sz w:val="24"/>
          <w:u w:val="single"/>
        </w:rPr>
        <w:t>Effect on Termination</w:t>
      </w:r>
      <w:r>
        <w:rPr>
          <w:rFonts w:ascii="Times New Roman;sans-serif" w:hAnsi="Times New Roman;sans-serif"/>
          <w:b w:val="false"/>
          <w:color w:val="000000"/>
          <w:sz w:val="24"/>
        </w:rPr>
        <w:t xml:space="preserve">. If, for any reason, this Agreement shall terminate or Executive’s employment with the Company shall terminate, then, notwithstanding such termination, those provisions contained in this </w:t>
      </w:r>
      <w:r>
        <w:rPr>
          <w:rFonts w:ascii="Times New Roman;sans-serif" w:hAnsi="Times New Roman;sans-serif"/>
          <w:b/>
          <w:color w:val="000000"/>
          <w:sz w:val="24"/>
        </w:rPr>
        <w:t xml:space="preserve">Section 8 </w:t>
      </w:r>
      <w:r>
        <w:rPr>
          <w:rFonts w:ascii="Times New Roman;sans-serif" w:hAnsi="Times New Roman;sans-serif"/>
          <w:b w:val="false"/>
          <w:color w:val="000000"/>
          <w:sz w:val="24"/>
        </w:rPr>
        <w:t xml:space="preserve">and </w:t>
      </w:r>
      <w:r>
        <w:rPr>
          <w:rFonts w:ascii="Times New Roman;sans-serif" w:hAnsi="Times New Roman;sans-serif"/>
          <w:b/>
          <w:color w:val="000000"/>
          <w:sz w:val="24"/>
        </w:rPr>
        <w:t xml:space="preserve">Sections 6, 7, 9 </w:t>
      </w:r>
      <w:r>
        <w:rPr>
          <w:rFonts w:ascii="Times New Roman;sans-serif" w:hAnsi="Times New Roman;sans-serif"/>
          <w:b w:val="false"/>
          <w:color w:val="000000"/>
          <w:sz w:val="24"/>
        </w:rPr>
        <w:t xml:space="preserve">and </w:t>
      </w:r>
      <w:r>
        <w:rPr>
          <w:rFonts w:ascii="Times New Roman;sans-serif" w:hAnsi="Times New Roman;sans-serif"/>
          <w:b/>
          <w:color w:val="000000"/>
          <w:sz w:val="24"/>
        </w:rPr>
        <w:t xml:space="preserve">10 </w:t>
      </w:r>
      <w:r>
        <w:rPr>
          <w:rFonts w:ascii="Times New Roman;sans-serif" w:hAnsi="Times New Roman;sans-serif"/>
          <w:b w:val="false"/>
          <w:color w:val="000000"/>
          <w:sz w:val="24"/>
        </w:rPr>
        <w:t>hereof shall survive and thereafter remain in full force and effect.</w:t>
      </w:r>
    </w:p>
    <w:p>
      <w:pPr>
        <w:pStyle w:val="TextBody"/>
        <w:bidi w:val="0"/>
        <w:spacing w:lineRule="auto" w:line="288" w:before="180" w:after="283"/>
        <w:ind w:left="0" w:right="0" w:firstLine="1080"/>
        <w:jc w:val="left"/>
        <w:rPr/>
      </w:pPr>
      <w:r>
        <w:rPr>
          <w:rFonts w:ascii="Times New Roman;sans-serif" w:hAnsi="Times New Roman;sans-serif"/>
          <w:b w:val="false"/>
          <w:color w:val="000000"/>
          <w:sz w:val="22"/>
        </w:rPr>
        <w:t>9.</w:t>
      </w:r>
      <w:r>
        <w:rPr>
          <w:rFonts w:ascii="Times New Roman;sans-serif" w:hAnsi="Times New Roman;sans-serif"/>
          <w:b w:val="false"/>
          <w:color w:val="000000"/>
          <w:sz w:val="24"/>
          <w:u w:val="single"/>
        </w:rPr>
        <w:t>Remedies</w:t>
      </w:r>
      <w:r>
        <w:rPr>
          <w:rFonts w:ascii="Times New Roman;sans-serif" w:hAnsi="Times New Roman;sans-serif"/>
          <w:b w:val="false"/>
          <w:color w:val="000000"/>
          <w:sz w:val="24"/>
        </w:rPr>
        <w:t>.</w:t>
      </w:r>
    </w:p>
    <w:p>
      <w:pPr>
        <w:pStyle w:val="TextBody"/>
        <w:bidi w:val="0"/>
        <w:spacing w:lineRule="auto" w:line="288" w:before="180" w:after="283"/>
        <w:ind w:left="0" w:right="0" w:firstLine="1440"/>
        <w:jc w:val="both"/>
        <w:rPr/>
      </w:pPr>
      <w:r>
        <w:rPr>
          <w:rFonts w:ascii="Times New Roman;sans-serif" w:hAnsi="Times New Roman;sans-serif"/>
          <w:b w:val="false"/>
          <w:color w:val="000000"/>
          <w:sz w:val="24"/>
        </w:rPr>
        <w:t>9.1    </w:t>
      </w:r>
      <w:r>
        <w:rPr>
          <w:rFonts w:ascii="Times New Roman;sans-serif" w:hAnsi="Times New Roman;sans-serif"/>
          <w:b w:val="false"/>
          <w:color w:val="000000"/>
          <w:sz w:val="24"/>
          <w:u w:val="single"/>
        </w:rPr>
        <w:t>Non-Exclusive Remedy for Restrictive Covenants</w:t>
      </w:r>
      <w:r>
        <w:rPr>
          <w:rFonts w:ascii="Times New Roman;sans-serif" w:hAnsi="Times New Roman;sans-serif"/>
          <w:b w:val="false"/>
          <w:color w:val="000000"/>
          <w:sz w:val="24"/>
        </w:rPr>
        <w:t xml:space="preserve">. Executive acknowledges and agrees that the covenants set forth in </w:t>
      </w:r>
      <w:r>
        <w:rPr>
          <w:rFonts w:ascii="Times New Roman;sans-serif" w:hAnsi="Times New Roman;sans-serif"/>
          <w:b/>
          <w:color w:val="000000"/>
          <w:sz w:val="24"/>
        </w:rPr>
        <w:t xml:space="preserve">Sections 6.3, 6.4, </w:t>
      </w:r>
      <w:r>
        <w:rPr>
          <w:rFonts w:ascii="Times New Roman;sans-serif" w:hAnsi="Times New Roman;sans-serif"/>
          <w:b w:val="false"/>
          <w:color w:val="000000"/>
          <w:sz w:val="24"/>
        </w:rPr>
        <w:t xml:space="preserve">and </w:t>
      </w:r>
      <w:r>
        <w:rPr>
          <w:rFonts w:ascii="Times New Roman;sans-serif" w:hAnsi="Times New Roman;sans-serif"/>
          <w:b/>
          <w:color w:val="000000"/>
          <w:sz w:val="24"/>
        </w:rPr>
        <w:t xml:space="preserve">6.5 </w:t>
      </w:r>
      <w:r>
        <w:rPr>
          <w:rFonts w:ascii="Times New Roman;sans-serif" w:hAnsi="Times New Roman;sans-serif"/>
          <w:b w:val="false"/>
          <w:color w:val="000000"/>
          <w:sz w:val="24"/>
        </w:rPr>
        <w:t>of this Agreement (collectively, the “</w:t>
      </w:r>
      <w:r>
        <w:rPr>
          <w:rFonts w:ascii="Times New Roman;sans-serif" w:hAnsi="Times New Roman;sans-serif"/>
          <w:b/>
          <w:color w:val="000000"/>
          <w:sz w:val="24"/>
        </w:rPr>
        <w:t>Restrictive Covenants</w:t>
      </w:r>
      <w:r>
        <w:rPr>
          <w:color w:val="000000"/>
        </w:rPr>
        <w:t>”</w:t>
      </w:r>
      <w:r>
        <w:rPr>
          <w:rFonts w:ascii="Times New Roman;sans-serif" w:hAnsi="Times New Roman;sans-serif"/>
          <w:b w:val="false"/>
          <w:color w:val="000000"/>
          <w:sz w:val="24"/>
        </w:rPr>
        <w:t>) are reasonable and necessary for the protection of the Company’s business interests, that irreparable injury will result to the Company if Executive breaches any of the terms of the Restrictive Covenants, and that in the event of Executive’s actual or threatened breach of any such Restrictive Covenants, the Company will have no adequate remedy at law. Executive accordingly agrees that in the event of any actual or threatened breach by Executive of any of the Restrictive Covenants, the Company shall be entitled to immediate temporary injunctive and other equitable relief, without the necessity of showing actual monetary damages or the posting of bond. Nothing contained herein shall be construed as prohibiting the Company from pursuing any other remedies available to it for such breach or threatened breach, including the recovery of damages.</w:t>
      </w:r>
    </w:p>
    <w:p>
      <w:pPr>
        <w:pStyle w:val="TextBody"/>
        <w:bidi w:val="0"/>
        <w:spacing w:lineRule="auto" w:line="288" w:before="180" w:after="283"/>
        <w:ind w:left="0" w:right="0" w:firstLine="1440"/>
        <w:jc w:val="both"/>
        <w:rPr/>
      </w:pPr>
      <w:r>
        <w:rPr>
          <w:rFonts w:ascii="Times New Roman;sans-serif" w:hAnsi="Times New Roman;sans-serif"/>
          <w:b w:val="false"/>
          <w:color w:val="000000"/>
          <w:sz w:val="24"/>
        </w:rPr>
        <w:t>9.2    </w:t>
      </w:r>
      <w:r>
        <w:rPr>
          <w:rFonts w:ascii="Times New Roman;sans-serif" w:hAnsi="Times New Roman;sans-serif"/>
          <w:b w:val="false"/>
          <w:color w:val="000000"/>
          <w:sz w:val="24"/>
          <w:u w:val="single"/>
        </w:rPr>
        <w:t>Arbitration</w:t>
      </w:r>
      <w:r>
        <w:rPr>
          <w:rFonts w:ascii="Times New Roman;sans-serif" w:hAnsi="Times New Roman;sans-serif"/>
          <w:b w:val="false"/>
          <w:color w:val="000000"/>
          <w:sz w:val="24"/>
        </w:rPr>
        <w:t xml:space="preserve">. Except as set forth in </w:t>
      </w:r>
      <w:r>
        <w:rPr>
          <w:rFonts w:ascii="Times New Roman;sans-serif" w:hAnsi="Times New Roman;sans-serif"/>
          <w:b/>
          <w:color w:val="000000"/>
          <w:sz w:val="24"/>
        </w:rPr>
        <w:t>Section 9.1</w:t>
      </w:r>
      <w:r>
        <w:rPr>
          <w:rFonts w:ascii="Times New Roman;sans-serif" w:hAnsi="Times New Roman;sans-serif"/>
          <w:b w:val="false"/>
          <w:color w:val="000000"/>
          <w:sz w:val="24"/>
        </w:rPr>
        <w:t>, any controversy or claim arising out of or related to (i) this Agreement, (ii) the breach thereof, (iii) Executive’s employment with the Company or the termination of such employment, or (iv) Employment Discrimination, shall be settled by arbitration in Chicago, Illinois before a single arbitrator administered by the American Arbitration Association (“</w:t>
      </w:r>
      <w:r>
        <w:rPr>
          <w:rFonts w:ascii="Times New Roman;sans-serif" w:hAnsi="Times New Roman;sans-serif"/>
          <w:b/>
          <w:color w:val="000000"/>
          <w:sz w:val="24"/>
        </w:rPr>
        <w:t>AAA</w:t>
      </w:r>
      <w:r>
        <w:rPr>
          <w:color w:val="000000"/>
        </w:rPr>
        <w:t>”</w:t>
      </w:r>
      <w:r>
        <w:rPr>
          <w:rFonts w:ascii="Times New Roman;sans-serif" w:hAnsi="Times New Roman;sans-serif"/>
          <w:b w:val="false"/>
          <w:color w:val="000000"/>
          <w:sz w:val="24"/>
        </w:rPr>
        <w:t>) under its National Rules for the Resolution of Employment Disputes, amended and restated effective as of January 1, 2004 (the “</w:t>
      </w:r>
      <w:r>
        <w:rPr>
          <w:rFonts w:ascii="Times New Roman;sans-serif" w:hAnsi="Times New Roman;sans-serif"/>
          <w:b/>
          <w:color w:val="000000"/>
          <w:sz w:val="24"/>
        </w:rPr>
        <w:t>Employment Rules</w:t>
      </w:r>
      <w:r>
        <w:rPr>
          <w:color w:val="000000"/>
        </w:rPr>
        <w:t>”</w:t>
      </w:r>
      <w:r>
        <w:rPr>
          <w:rFonts w:ascii="Times New Roman;sans-serif" w:hAnsi="Times New Roman;sans-serif"/>
          <w:b w:val="false"/>
          <w:color w:val="000000"/>
          <w:sz w:val="24"/>
        </w:rPr>
        <w:t>), and judgment on the award rendered by the arbitrator may be entered in any court having jurisdiction thereof. Notwithstanding the foregoing, Rule R-34 of the AAA’s Commercial Arbitration Rules amended and restated effective as of September 1, 2007 (instead of Rule 27 of the Employment Rules) shall apply to interim measures. References herein to any arbitration rule(s) shall be construed as referring to such rule(s) as amended or renumbered from time to time and to any successor rules. References to the AAA include any successor organization. “</w:t>
      </w:r>
      <w:r>
        <w:rPr>
          <w:rFonts w:ascii="Times New Roman;sans-serif" w:hAnsi="Times New Roman;sans-serif"/>
          <w:b/>
          <w:color w:val="000000"/>
          <w:sz w:val="24"/>
        </w:rPr>
        <w:t>Employment Discrimination</w:t>
      </w:r>
      <w:r>
        <w:rPr>
          <w:color w:val="000000"/>
        </w:rPr>
        <w:t xml:space="preserve">” </w:t>
      </w:r>
      <w:r>
        <w:rPr>
          <w:rFonts w:ascii="Times New Roman;sans-serif" w:hAnsi="Times New Roman;sans-serif"/>
          <w:b w:val="false"/>
          <w:color w:val="000000"/>
          <w:sz w:val="24"/>
        </w:rPr>
        <w:t>means any discrimination against or harassment of Executive in connection with Executive’s employment with the Company or the termination of such employment, including any discrimination or harassment prohibited under federal, state or local statute or other applicable law, including the Age Discrimination in Employment Act, Title VII of the Civil Rights Act of 1964, the Americans with Disability Act or any similar federal, state or local statute.</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ind w:left="0" w:right="0" w:firstLine="1080"/>
        <w:jc w:val="left"/>
        <w:rPr/>
      </w:pPr>
      <w:r>
        <w:rPr>
          <w:rFonts w:ascii="Times New Roman;sans-serif" w:hAnsi="Times New Roman;sans-serif"/>
          <w:b w:val="false"/>
          <w:color w:val="000000"/>
          <w:sz w:val="22"/>
        </w:rPr>
        <w:t>10.</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w:t>
      </w:r>
    </w:p>
    <w:p>
      <w:pPr>
        <w:pStyle w:val="TextBody"/>
        <w:bidi w:val="0"/>
        <w:spacing w:lineRule="auto" w:line="288" w:before="180" w:after="283"/>
        <w:ind w:left="0" w:right="0" w:firstLine="1440"/>
        <w:jc w:val="both"/>
        <w:rPr/>
      </w:pPr>
      <w:r>
        <w:rPr>
          <w:rFonts w:ascii="Times New Roman;sans-serif" w:hAnsi="Times New Roman;sans-serif"/>
          <w:b w:val="false"/>
          <w:color w:val="000000"/>
          <w:sz w:val="24"/>
        </w:rPr>
        <w:t>10.1    </w:t>
      </w:r>
      <w:r>
        <w:rPr>
          <w:rFonts w:ascii="Times New Roman;sans-serif" w:hAnsi="Times New Roman;sans-serif"/>
          <w:b w:val="false"/>
          <w:color w:val="000000"/>
          <w:sz w:val="24"/>
          <w:u w:val="single"/>
        </w:rPr>
        <w:t>Assignment</w:t>
      </w:r>
      <w:r>
        <w:rPr>
          <w:rFonts w:ascii="Times New Roman;sans-serif" w:hAnsi="Times New Roman;sans-serif"/>
          <w:b w:val="false"/>
          <w:color w:val="000000"/>
          <w:sz w:val="24"/>
        </w:rPr>
        <w:t>. Executive may not assign any of Executive’s rights or obligations hereunder without the written consent of the Company. The Company may assign this Agreement without the consent of Executive. Except as otherwise expressly provided herein, all covenants and agreements contained in this Agreement by or on behalf of any of the parties hereto shall bind and inure to the benefit of the respective successors and assigns of the parties hereto whether so expressed or not. In connection with a Change of Control, the Company shall cause a successor to the Company to explicitly assume and agree to be bound by this Agreement and any such successor shall explicitly assume and agree to be bound by this Agreement.</w:t>
      </w:r>
    </w:p>
    <w:p>
      <w:pPr>
        <w:pStyle w:val="TextBody"/>
        <w:bidi w:val="0"/>
        <w:spacing w:lineRule="auto" w:line="288" w:before="180" w:after="283"/>
        <w:ind w:left="0" w:right="0" w:firstLine="1440"/>
        <w:jc w:val="both"/>
        <w:rPr/>
      </w:pPr>
      <w:r>
        <w:rPr>
          <w:rFonts w:ascii="Times New Roman;sans-serif" w:hAnsi="Times New Roman;sans-serif"/>
          <w:b w:val="false"/>
          <w:color w:val="000000"/>
          <w:sz w:val="24"/>
        </w:rPr>
        <w:t>10.2    </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and without invalidating the remainder of this Agreement.</w:t>
      </w:r>
    </w:p>
    <w:p>
      <w:pPr>
        <w:pStyle w:val="TextBody"/>
        <w:bidi w:val="0"/>
        <w:spacing w:lineRule="auto" w:line="288" w:before="180" w:after="283"/>
        <w:ind w:left="0" w:right="0" w:firstLine="1440"/>
        <w:jc w:val="both"/>
        <w:rPr/>
      </w:pPr>
      <w:r>
        <w:rPr>
          <w:rFonts w:ascii="Times New Roman;sans-serif" w:hAnsi="Times New Roman;sans-serif"/>
          <w:b w:val="false"/>
          <w:color w:val="000000"/>
          <w:sz w:val="24"/>
        </w:rPr>
        <w:t>10.3    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multiple counterparts, each of which shall be deemed an original, but all of which taken together shall constitute one and the same Agreement.</w:t>
      </w:r>
    </w:p>
    <w:p>
      <w:pPr>
        <w:pStyle w:val="TextBody"/>
        <w:bidi w:val="0"/>
        <w:spacing w:lineRule="auto" w:line="288" w:before="180" w:after="283"/>
        <w:ind w:left="0" w:right="0" w:firstLine="1440"/>
        <w:jc w:val="both"/>
        <w:rPr/>
      </w:pPr>
      <w:r>
        <w:rPr>
          <w:rFonts w:ascii="Times New Roman;sans-serif" w:hAnsi="Times New Roman;sans-serif"/>
          <w:b w:val="false"/>
          <w:color w:val="000000"/>
          <w:sz w:val="24"/>
        </w:rPr>
        <w:t>10.4    </w:t>
      </w:r>
      <w:r>
        <w:rPr>
          <w:rFonts w:ascii="Times New Roman;sans-serif" w:hAnsi="Times New Roman;sans-serif"/>
          <w:b w:val="false"/>
          <w:color w:val="000000"/>
          <w:sz w:val="24"/>
          <w:u w:val="single"/>
        </w:rPr>
        <w:t>Descriptive Headings; Interpretation</w:t>
      </w:r>
      <w:r>
        <w:rPr>
          <w:rFonts w:ascii="Times New Roman;sans-serif" w:hAnsi="Times New Roman;sans-serif"/>
          <w:b w:val="false"/>
          <w:color w:val="000000"/>
          <w:sz w:val="24"/>
        </w:rPr>
        <w:t>. The descriptive headings in this Agreement are inserted for convenience of reference only and are not intended to be part of or to affect the meaning or interpretation of this Agreement. The use of the word “</w:t>
      </w:r>
      <w:r>
        <w:rPr>
          <w:rFonts w:ascii="Times New Roman;sans-serif" w:hAnsi="Times New Roman;sans-serif"/>
          <w:b/>
          <w:color w:val="000000"/>
          <w:sz w:val="24"/>
        </w:rPr>
        <w:t>including</w:t>
      </w:r>
      <w:r>
        <w:rPr>
          <w:color w:val="000000"/>
        </w:rPr>
        <w:t xml:space="preserve">” </w:t>
      </w:r>
      <w:r>
        <w:rPr>
          <w:rFonts w:ascii="Times New Roman;sans-serif" w:hAnsi="Times New Roman;sans-serif"/>
          <w:b w:val="false"/>
          <w:color w:val="000000"/>
          <w:sz w:val="24"/>
        </w:rPr>
        <w:t>in this Agreement shall be by way of example rather than by limitation.</w:t>
      </w:r>
    </w:p>
    <w:p>
      <w:pPr>
        <w:pStyle w:val="TextBody"/>
        <w:bidi w:val="0"/>
        <w:spacing w:lineRule="auto" w:line="288" w:before="180" w:after="283"/>
        <w:ind w:left="0" w:right="0" w:firstLine="1440"/>
        <w:jc w:val="both"/>
        <w:rPr/>
      </w:pPr>
      <w:r>
        <w:rPr>
          <w:rFonts w:ascii="Times New Roman;sans-serif" w:hAnsi="Times New Roman;sans-serif"/>
          <w:b w:val="false"/>
          <w:color w:val="000000"/>
          <w:sz w:val="24"/>
        </w:rPr>
        <w:t>10.5    </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All notices, demands or other communications to be given under or by reason of the provisions of this Agreement shall be in writing and shall be deemed to have been duly given if (a) delivered personally to the recipient, (b) sent to the recipient by reputable express courier service (charges prepaid) or mailed to the recipient by certified or registered mail, return receipt requested and postage prepaid, or (c) transmitted by telecopy or electronic mail to the recipient. Such notices, demands and other communications shall be sent to the addresses indicated below:</w:t>
      </w:r>
    </w:p>
    <w:p>
      <w:pPr>
        <w:pStyle w:val="TextBody"/>
        <w:bidi w:val="0"/>
        <w:spacing w:lineRule="auto" w:line="288" w:before="0" w:after="0"/>
        <w:ind w:left="0" w:right="0" w:firstLine="721"/>
        <w:jc w:val="both"/>
        <w:rPr>
          <w:rFonts w:ascii="Times New Roman;sans-serif" w:hAnsi="Times New Roman;sans-serif"/>
          <w:b w:val="false"/>
          <w:color w:val="000000"/>
          <w:sz w:val="24"/>
        </w:rPr>
      </w:pPr>
      <w:r>
        <w:rPr>
          <w:rFonts w:ascii="Times New Roman;sans-serif" w:hAnsi="Times New Roman;sans-serif"/>
          <w:b w:val="false"/>
          <w:color w:val="000000"/>
          <w:sz w:val="24"/>
        </w:rPr>
        <w:t>To the Company:     Huron Consulting Group Inc.</w:t>
      </w:r>
    </w:p>
    <w:p>
      <w:pPr>
        <w:pStyle w:val="TextBody"/>
        <w:bidi w:val="0"/>
        <w:spacing w:lineRule="auto" w:line="288" w:before="0" w:after="0"/>
        <w:ind w:left="0" w:right="0" w:firstLine="28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550 West Van Buren Street </w:t>
      </w:r>
    </w:p>
    <w:p>
      <w:pPr>
        <w:pStyle w:val="TextBody"/>
        <w:bidi w:val="0"/>
        <w:spacing w:lineRule="auto" w:line="288" w:before="0" w:after="0"/>
        <w:ind w:left="0" w:right="0" w:firstLine="2883"/>
        <w:jc w:val="left"/>
        <w:rPr>
          <w:rFonts w:ascii="Times New Roman;sans-serif" w:hAnsi="Times New Roman;sans-serif"/>
          <w:b w:val="false"/>
          <w:color w:val="000000"/>
          <w:sz w:val="24"/>
        </w:rPr>
      </w:pPr>
      <w:r>
        <w:rPr>
          <w:rFonts w:ascii="Times New Roman;sans-serif" w:hAnsi="Times New Roman;sans-serif"/>
          <w:b w:val="false"/>
          <w:color w:val="000000"/>
          <w:sz w:val="24"/>
        </w:rPr>
        <w:t>Chicago, IL 60607</w:t>
      </w:r>
    </w:p>
    <w:p>
      <w:pPr>
        <w:pStyle w:val="TextBody"/>
        <w:bidi w:val="0"/>
        <w:spacing w:lineRule="auto" w:line="288" w:before="0" w:after="0"/>
        <w:ind w:left="0" w:right="0" w:firstLine="2883"/>
        <w:jc w:val="left"/>
        <w:rPr>
          <w:rFonts w:ascii="Times New Roman;sans-serif" w:hAnsi="Times New Roman;sans-serif"/>
          <w:b w:val="false"/>
          <w:color w:val="000000"/>
          <w:sz w:val="24"/>
        </w:rPr>
      </w:pPr>
      <w:r>
        <w:rPr>
          <w:rFonts w:ascii="Times New Roman;sans-serif" w:hAnsi="Times New Roman;sans-serif"/>
          <w:b w:val="false"/>
          <w:color w:val="000000"/>
          <w:sz w:val="24"/>
        </w:rPr>
        <w:t>Attention: Kristen Bruner</w:t>
      </w:r>
    </w:p>
    <w:p>
      <w:pPr>
        <w:pStyle w:val="TextBody"/>
        <w:bidi w:val="0"/>
        <w:spacing w:lineRule="auto" w:line="288" w:before="0" w:after="0"/>
        <w:ind w:left="0" w:right="0" w:firstLine="2883"/>
        <w:jc w:val="left"/>
        <w:rPr/>
      </w:pPr>
      <w:r>
        <w:rPr>
          <w:rFonts w:ascii="Times New Roman;sans-serif" w:hAnsi="Times New Roman;sans-serif"/>
          <w:b w:val="false"/>
          <w:color w:val="000000"/>
          <w:sz w:val="24"/>
        </w:rPr>
        <w:t xml:space="preserve">Email: </w:t>
      </w:r>
      <w:r>
        <w:rPr>
          <w:rFonts w:ascii="Times New Roman;sans-serif" w:hAnsi="Times New Roman;sans-serif"/>
          <w:b w:val="false"/>
          <w:color w:val="0000FF"/>
          <w:sz w:val="24"/>
        </w:rPr>
        <w:t>kbruner@hcg.com</w:t>
      </w:r>
    </w:p>
    <w:p>
      <w:pPr>
        <w:pStyle w:val="TextBody"/>
        <w:bidi w:val="0"/>
        <w:spacing w:before="18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To Executive:     Hope Katz</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1914 N. Burling Street </w:t>
      </w:r>
    </w:p>
    <w:p>
      <w:pPr>
        <w:pStyle w:val="TextBody"/>
        <w:bidi w:val="0"/>
        <w:spacing w:lineRule="auto" w:line="288" w:before="0" w:after="0"/>
        <w:ind w:left="0" w:right="0" w:firstLine="2883"/>
        <w:jc w:val="left"/>
        <w:rPr>
          <w:rFonts w:ascii="Times New Roman;sans-serif" w:hAnsi="Times New Roman;sans-serif"/>
          <w:b w:val="false"/>
          <w:color w:val="000000"/>
          <w:sz w:val="24"/>
        </w:rPr>
      </w:pPr>
      <w:r>
        <w:rPr>
          <w:rFonts w:ascii="Times New Roman;sans-serif" w:hAnsi="Times New Roman;sans-serif"/>
          <w:b w:val="false"/>
          <w:color w:val="000000"/>
          <w:sz w:val="24"/>
        </w:rPr>
        <w:t>Chicago, IL 60614</w:t>
      </w:r>
    </w:p>
    <w:p>
      <w:pPr>
        <w:pStyle w:val="TextBody"/>
        <w:bidi w:val="0"/>
        <w:spacing w:lineRule="auto" w:line="288" w:before="0" w:after="0"/>
        <w:ind w:left="0" w:right="0" w:firstLine="2883"/>
        <w:jc w:val="left"/>
        <w:rPr/>
      </w:pPr>
      <w:r>
        <w:rPr>
          <w:rFonts w:ascii="Times New Roman;sans-serif" w:hAnsi="Times New Roman;sans-serif"/>
          <w:b w:val="false"/>
          <w:color w:val="000000"/>
          <w:sz w:val="24"/>
        </w:rPr>
        <w:t xml:space="preserve">Email: </w:t>
      </w:r>
      <w:r>
        <w:rPr>
          <w:rFonts w:ascii="Times New Roman;sans-serif" w:hAnsi="Times New Roman;sans-serif"/>
          <w:b w:val="false"/>
          <w:color w:val="0000FF"/>
          <w:sz w:val="24"/>
        </w:rPr>
        <w:t>hkatz@hcg.com</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or to such other address or to the attention of such other person as the recipient party shall have specified by prior written notice to the sending party. The date in which such notice shall be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deemed given shall be (w) the date of receipt if personally delivered, (x) three (3) business days after the date of mailing if sent by certified or registered mail, (y) one business day after the date of delivery to the overnight courier if sent by overnight courier or (z) the next business day after the date of transmittal by telecopy or electronic mail.</w:t>
      </w:r>
    </w:p>
    <w:p>
      <w:pPr>
        <w:pStyle w:val="TextBody"/>
        <w:bidi w:val="0"/>
        <w:spacing w:lineRule="auto" w:line="288" w:before="180" w:after="283"/>
        <w:ind w:left="0" w:right="0" w:firstLine="1440"/>
        <w:jc w:val="both"/>
        <w:rPr/>
      </w:pPr>
      <w:r>
        <w:rPr>
          <w:rFonts w:ascii="Times New Roman;sans-serif" w:hAnsi="Times New Roman;sans-serif"/>
          <w:b w:val="false"/>
          <w:color w:val="000000"/>
          <w:sz w:val="24"/>
          <w:u w:val="single"/>
        </w:rPr>
        <w:t>10.6    Preamble; Preliminary Recitals</w:t>
      </w:r>
      <w:r>
        <w:rPr>
          <w:rFonts w:ascii="Times New Roman;sans-serif" w:hAnsi="Times New Roman;sans-serif"/>
          <w:b w:val="false"/>
          <w:color w:val="000000"/>
          <w:sz w:val="24"/>
        </w:rPr>
        <w:t>. The Preliminary Recitals set forth in the Preamble hereto are hereby incorporated and made part of this Agreement.</w:t>
      </w:r>
    </w:p>
    <w:p>
      <w:pPr>
        <w:pStyle w:val="TextBody"/>
        <w:bidi w:val="0"/>
        <w:spacing w:lineRule="auto" w:line="288" w:before="180" w:after="283"/>
        <w:ind w:left="0" w:right="0" w:firstLine="1440"/>
        <w:jc w:val="both"/>
        <w:rPr/>
      </w:pPr>
      <w:r>
        <w:rPr>
          <w:rFonts w:ascii="Times New Roman;sans-serif" w:hAnsi="Times New Roman;sans-serif"/>
          <w:b w:val="false"/>
          <w:color w:val="000000"/>
          <w:sz w:val="24"/>
          <w:u w:val="single"/>
        </w:rPr>
        <w:t>10.7    Taxes</w:t>
      </w:r>
      <w:r>
        <w:rPr>
          <w:rFonts w:ascii="Times New Roman;sans-serif" w:hAnsi="Times New Roman;sans-serif"/>
          <w:b w:val="false"/>
          <w:color w:val="000000"/>
          <w:sz w:val="24"/>
        </w:rPr>
        <w:t>. All compensation payable to Executive from the Company shall be subject to all applicable withholding taxes, normal payroll withholding and any other amounts required by law to be withheld.</w:t>
      </w:r>
    </w:p>
    <w:p>
      <w:pPr>
        <w:pStyle w:val="TextBody"/>
        <w:bidi w:val="0"/>
        <w:spacing w:lineRule="auto" w:line="288" w:before="180" w:after="283"/>
        <w:ind w:left="0" w:right="0" w:firstLine="1440"/>
        <w:jc w:val="both"/>
        <w:rPr/>
      </w:pPr>
      <w:r>
        <w:rPr>
          <w:rFonts w:ascii="Times New Roman;sans-serif" w:hAnsi="Times New Roman;sans-serif"/>
          <w:b w:val="false"/>
          <w:color w:val="000000"/>
          <w:sz w:val="24"/>
          <w:u w:val="single"/>
        </w:rPr>
        <w:t>10.8    Entire Agreement</w:t>
      </w:r>
      <w:r>
        <w:rPr>
          <w:rFonts w:ascii="Times New Roman;sans-serif" w:hAnsi="Times New Roman;sans-serif"/>
          <w:b w:val="false"/>
          <w:color w:val="000000"/>
          <w:sz w:val="24"/>
        </w:rPr>
        <w:t>. Except as otherwise expressly set forth herein, this Agreement sets forth the entire understanding of the parties, and supersedes and preempts all prior oral or written understandings and agreements with respect to the subject matter hereof.</w:t>
      </w:r>
    </w:p>
    <w:p>
      <w:pPr>
        <w:pStyle w:val="TextBody"/>
        <w:bidi w:val="0"/>
        <w:spacing w:lineRule="auto" w:line="288" w:before="180" w:after="283"/>
        <w:ind w:left="0" w:right="0" w:firstLine="1440"/>
        <w:jc w:val="both"/>
        <w:rPr/>
      </w:pPr>
      <w:r>
        <w:rPr>
          <w:rFonts w:ascii="Times New Roman;sans-serif" w:hAnsi="Times New Roman;sans-serif"/>
          <w:b w:val="false"/>
          <w:color w:val="000000"/>
          <w:sz w:val="24"/>
          <w:u w:val="single"/>
        </w:rPr>
        <w:t>10.9    Governing Law</w:t>
      </w:r>
      <w:r>
        <w:rPr>
          <w:rFonts w:ascii="Times New Roman;sans-serif" w:hAnsi="Times New Roman;sans-serif"/>
          <w:b w:val="false"/>
          <w:color w:val="000000"/>
          <w:sz w:val="24"/>
        </w:rPr>
        <w:t>. This Agreement shall be construed and enforced in accordance with, and all questions concerning the construction, validity, interpretation and performance of this Agreement shall be governed by, the laws of the State of Illinois without giving effect to provisions thereof regarding conflict of laws.</w:t>
      </w:r>
    </w:p>
    <w:p>
      <w:pPr>
        <w:pStyle w:val="TextBody"/>
        <w:bidi w:val="0"/>
        <w:spacing w:lineRule="auto" w:line="288" w:before="180" w:after="283"/>
        <w:ind w:left="0" w:right="0" w:firstLine="1440"/>
        <w:jc w:val="both"/>
        <w:rPr/>
      </w:pPr>
      <w:r>
        <w:rPr>
          <w:rFonts w:ascii="Times New Roman;sans-serif" w:hAnsi="Times New Roman;sans-serif"/>
          <w:b w:val="false"/>
          <w:color w:val="000000"/>
          <w:sz w:val="24"/>
          <w:u w:val="single"/>
        </w:rPr>
        <w:t>10.10    No Strict Construction</w:t>
      </w:r>
      <w:r>
        <w:rPr>
          <w:rFonts w:ascii="Times New Roman;sans-serif" w:hAnsi="Times New Roman;sans-serif"/>
          <w:b w:val="false"/>
          <w:color w:val="000000"/>
          <w:sz w:val="24"/>
        </w:rPr>
        <w:t>. The language used in this Agreement will be deemed to be the language chosen by the parties hereto to express their mutual intent, and no rule of strict construction will be applied against any party hereto.</w:t>
      </w:r>
    </w:p>
    <w:p>
      <w:pPr>
        <w:pStyle w:val="TextBody"/>
        <w:bidi w:val="0"/>
        <w:spacing w:lineRule="auto" w:line="288" w:before="180" w:after="283"/>
        <w:ind w:left="0" w:right="0" w:firstLine="1440"/>
        <w:jc w:val="both"/>
        <w:rPr/>
      </w:pPr>
      <w:r>
        <w:rPr>
          <w:rFonts w:ascii="Times New Roman;sans-serif" w:hAnsi="Times New Roman;sans-serif"/>
          <w:b w:val="false"/>
          <w:color w:val="000000"/>
          <w:sz w:val="24"/>
          <w:u w:val="single"/>
        </w:rPr>
        <w:t>10.11    Amendment and Waivers</w:t>
      </w:r>
      <w:r>
        <w:rPr>
          <w:rFonts w:ascii="Times New Roman;sans-serif" w:hAnsi="Times New Roman;sans-serif"/>
          <w:b w:val="false"/>
          <w:color w:val="000000"/>
          <w:sz w:val="24"/>
        </w:rPr>
        <w:t>. Any provisions of the Agreement may be amended or waived only with the prior written consent of the Company and Executive.</w:t>
      </w:r>
    </w:p>
    <w:p>
      <w:pPr>
        <w:pStyle w:val="TextBody"/>
        <w:bidi w:val="0"/>
        <w:spacing w:lineRule="auto" w:line="288" w:before="180" w:after="283"/>
        <w:ind w:left="0" w:right="0" w:firstLine="1440"/>
        <w:jc w:val="both"/>
        <w:rPr/>
      </w:pPr>
      <w:r>
        <w:rPr>
          <w:rFonts w:ascii="Times New Roman;sans-serif" w:hAnsi="Times New Roman;sans-serif"/>
          <w:b w:val="false"/>
          <w:color w:val="000000"/>
          <w:sz w:val="24"/>
          <w:u w:val="single"/>
        </w:rPr>
        <w:t>10.12    Additional Section 409A Provisions</w:t>
      </w:r>
      <w:r>
        <w:rPr>
          <w:rFonts w:ascii="Times New Roman;sans-serif" w:hAnsi="Times New Roman;sans-serif"/>
          <w:b w:val="false"/>
          <w:color w:val="000000"/>
          <w:sz w:val="24"/>
        </w:rPr>
        <w:t xml:space="preserve">. Notwithstanding any provision contained in this Agreement to the contrary, (a) any payment hereunder is subject to Section 409A of the Code, (b) such payment is to be paid on account of Executive’s separation from service (within the meaning of Section 409A of the Code), and (c) Executive is a </w:t>
      </w:r>
      <w:r>
        <w:rPr>
          <w:color w:val="000000"/>
        </w:rPr>
        <w:t>“</w:t>
      </w:r>
      <w:r>
        <w:rPr>
          <w:rFonts w:ascii="Times New Roman;sans-serif" w:hAnsi="Times New Roman;sans-serif"/>
          <w:b/>
          <w:color w:val="000000"/>
          <w:sz w:val="24"/>
        </w:rPr>
        <w:t xml:space="preserve">specified employee” </w:t>
      </w:r>
      <w:r>
        <w:rPr>
          <w:rFonts w:ascii="Times New Roman;sans-serif" w:hAnsi="Times New Roman;sans-serif"/>
          <w:b w:val="false"/>
          <w:color w:val="000000"/>
          <w:sz w:val="24"/>
        </w:rPr>
        <w:t xml:space="preserve">(within the meaning of Section 409A(a)(2)(B) of the Code), then such payment shall be delayed, if necessary, until the first day of the seventh month following Executive’s separation from service (or, if later, the date on which such payment is otherwise to be paid under this Agreement). With respect to any payments hereunder that are subject to Section 409A of the Code and that are payable on account of a separation from service, the determination of whether Executive has had a separation from service shall be determined in accordance with Section 409A of the Code. It is the intention of both the Company and Executive that the benefits and rights to which Executive could be entitled in connection with termination of employment comply with Section 409A of the Code and the Treasury Regulations and other guidance promulgated or issued thereunder, and the provisions of this Agreement shall be construed in a manner consistent with that intention. If Executive or the Company believes, at any time, that any such benefit or right does not so comply, it shall promptly advise the other and shall negotiate reasonably and in good faith to amend the terms of such benefits and rights such that they comply with Section 409A of the Code (with the most limited possible economic effect on Executive and on the Company). Neither the Company nor Executive, individually or in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combination, may accelerate any payment or benefit that is subject to Section 409A of the Code, except in compliance with Section 409A and the provisions of this Agreement, and no amount that is subject to Section 409A shall be paid prior to the earliest date on which it may be paid without violating Section 409A.</w:t>
      </w:r>
    </w:p>
    <w:p>
      <w:pPr>
        <w:pStyle w:val="TextBody"/>
        <w:bidi w:val="0"/>
        <w:spacing w:lineRule="auto" w:line="288" w:before="180" w:after="283"/>
        <w:ind w:left="0" w:right="0" w:firstLine="721"/>
        <w:jc w:val="left"/>
        <w:rPr/>
      </w:pPr>
      <w:r>
        <w:rPr>
          <w:rFonts w:ascii="Times New Roman;sans-serif" w:hAnsi="Times New Roman;sans-serif"/>
          <w:b/>
          <w:color w:val="000000"/>
          <w:sz w:val="24"/>
        </w:rPr>
        <w:t xml:space="preserve">IN WITNESS WHEREOF, </w:t>
      </w:r>
      <w:r>
        <w:rPr>
          <w:rFonts w:ascii="Times New Roman;sans-serif" w:hAnsi="Times New Roman;sans-serif"/>
          <w:b w:val="false"/>
          <w:color w:val="000000"/>
          <w:sz w:val="24"/>
        </w:rPr>
        <w:t>the parties hereto have executed this Agreement as of the dates written below.</w:t>
      </w: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 xml:space="preserve">COMPANY: </w:t>
      </w:r>
    </w:p>
    <w:p>
      <w:pPr>
        <w:pStyle w:val="TextBody"/>
        <w:bidi w:val="0"/>
        <w:spacing w:lineRule="auto" w:line="288" w:before="180" w:after="283"/>
        <w:jc w:val="left"/>
        <w:rPr>
          <w:rFonts w:ascii="Times New Roman;sans-serif" w:hAnsi="Times New Roman;sans-serif"/>
          <w:b/>
          <w:color w:val="000000"/>
          <w:sz w:val="24"/>
        </w:rPr>
      </w:pPr>
      <w:r>
        <w:rPr>
          <w:rFonts w:ascii="Times New Roman;sans-serif" w:hAnsi="Times New Roman;sans-serif"/>
          <w:b/>
          <w:color w:val="000000"/>
          <w:sz w:val="24"/>
        </w:rPr>
        <w:t xml:space="preserve">HURON CONSULTING GROUP INC. </w:t>
      </w:r>
    </w:p>
    <w:p>
      <w:pPr>
        <w:pStyle w:val="TextBody"/>
        <w:bidi w:val="0"/>
        <w:spacing w:before="0" w:after="0"/>
        <w:jc w:val="left"/>
        <w:rPr/>
      </w:pPr>
      <w:r>
        <w:rPr/>
      </w:r>
    </w:p>
    <w:tbl>
      <w:tblPr>
        <w:tblW w:w="5111" w:type="dxa"/>
        <w:jc w:val="left"/>
        <w:tblInd w:w="0" w:type="dxa"/>
        <w:tblLayout w:type="fixed"/>
        <w:tblCellMar>
          <w:top w:w="28" w:type="dxa"/>
          <w:left w:w="28" w:type="dxa"/>
          <w:bottom w:w="28" w:type="dxa"/>
          <w:right w:w="28" w:type="dxa"/>
        </w:tblCellMar>
      </w:tblPr>
      <w:tblGrid>
        <w:gridCol w:w="227"/>
        <w:gridCol w:w="200"/>
        <w:gridCol w:w="203"/>
        <w:gridCol w:w="1368"/>
        <w:gridCol w:w="1368"/>
        <w:gridCol w:w="1373"/>
        <w:gridCol w:w="109"/>
        <w:gridCol w:w="109"/>
        <w:gridCol w:w="154"/>
      </w:tblGrid>
      <w:tr>
        <w:trPr/>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Kristen Bruner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Its:</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CVP and Chief Human Resources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tc>
        <w:tc>
          <w:tcPr>
            <w:tcW w:w="41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4/1/2025</w:t>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HOPE KATZ</w:t>
      </w:r>
    </w:p>
    <w:p>
      <w:pPr>
        <w:pStyle w:val="TextBody"/>
        <w:bidi w:val="0"/>
        <w:spacing w:before="0" w:after="0"/>
        <w:jc w:val="left"/>
        <w:rPr/>
      </w:pPr>
      <w:r>
        <w:rPr/>
      </w:r>
    </w:p>
    <w:tbl>
      <w:tblPr>
        <w:tblW w:w="3042" w:type="dxa"/>
        <w:jc w:val="left"/>
        <w:tblInd w:w="0" w:type="dxa"/>
        <w:tblLayout w:type="fixed"/>
        <w:tblCellMar>
          <w:top w:w="28" w:type="dxa"/>
          <w:left w:w="28" w:type="dxa"/>
          <w:bottom w:w="28" w:type="dxa"/>
          <w:right w:w="28" w:type="dxa"/>
        </w:tblCellMar>
      </w:tblPr>
      <w:tblGrid>
        <w:gridCol w:w="456"/>
        <w:gridCol w:w="399"/>
        <w:gridCol w:w="405"/>
        <w:gridCol w:w="469"/>
        <w:gridCol w:w="469"/>
        <w:gridCol w:w="472"/>
        <w:gridCol w:w="109"/>
        <w:gridCol w:w="109"/>
        <w:gridCol w:w="154"/>
      </w:tblGrid>
      <w:tr>
        <w:trPr/>
        <w:tc>
          <w:tcPr>
            <w:tcW w:w="45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Hope Katz</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Print Name:</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Hope Katz</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tc>
        <w:tc>
          <w:tcPr>
            <w:tcW w:w="14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4/1/2025</w:t>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31.1</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EXECUTIVE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RULE 13a-14(a)/15d-14(a),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302 OF THE SARBANES-OXLEY ACT OF 2002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 C. Mark Hussey, certify that: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1.I have reviewed this Quarterly Report on Form 10-Q of Huron Consulting Group Inc.;</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5794" w:type="dxa"/>
        <w:jc w:val="left"/>
        <w:tblInd w:w="0" w:type="dxa"/>
        <w:tblLayout w:type="fixed"/>
        <w:tblCellMar>
          <w:top w:w="28" w:type="dxa"/>
          <w:left w:w="28" w:type="dxa"/>
          <w:bottom w:w="28" w:type="dxa"/>
          <w:right w:w="28" w:type="dxa"/>
        </w:tblCellMar>
      </w:tblPr>
      <w:tblGrid>
        <w:gridCol w:w="216"/>
        <w:gridCol w:w="190"/>
        <w:gridCol w:w="193"/>
        <w:gridCol w:w="109"/>
        <w:gridCol w:w="109"/>
        <w:gridCol w:w="109"/>
        <w:gridCol w:w="364"/>
        <w:gridCol w:w="364"/>
        <w:gridCol w:w="367"/>
        <w:gridCol w:w="109"/>
        <w:gridCol w:w="109"/>
        <w:gridCol w:w="109"/>
        <w:gridCol w:w="110"/>
        <w:gridCol w:w="110"/>
        <w:gridCol w:w="110"/>
        <w:gridCol w:w="109"/>
        <w:gridCol w:w="109"/>
        <w:gridCol w:w="109"/>
        <w:gridCol w:w="815"/>
        <w:gridCol w:w="815"/>
        <w:gridCol w:w="115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April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C. MARK HUSSEY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 Mark Hussey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Chief Executive Officer and President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31.2</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FINANCIAL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RULE 13a-14(a)/15d-14(a),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302 OF THE SARBANES-OXLEY ACT OF 2002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 John D. Kelly, certify that: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1.I have reviewed this Quarterly Report on Form 10-Q of Huron Consulting Group Inc.;</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5794" w:type="dxa"/>
        <w:jc w:val="left"/>
        <w:tblInd w:w="0" w:type="dxa"/>
        <w:tblLayout w:type="fixed"/>
        <w:tblCellMar>
          <w:top w:w="28" w:type="dxa"/>
          <w:left w:w="28" w:type="dxa"/>
          <w:bottom w:w="28" w:type="dxa"/>
          <w:right w:w="28" w:type="dxa"/>
        </w:tblCellMar>
      </w:tblPr>
      <w:tblGrid>
        <w:gridCol w:w="216"/>
        <w:gridCol w:w="190"/>
        <w:gridCol w:w="193"/>
        <w:gridCol w:w="109"/>
        <w:gridCol w:w="109"/>
        <w:gridCol w:w="109"/>
        <w:gridCol w:w="364"/>
        <w:gridCol w:w="364"/>
        <w:gridCol w:w="367"/>
        <w:gridCol w:w="109"/>
        <w:gridCol w:w="109"/>
        <w:gridCol w:w="109"/>
        <w:gridCol w:w="110"/>
        <w:gridCol w:w="110"/>
        <w:gridCol w:w="110"/>
        <w:gridCol w:w="109"/>
        <w:gridCol w:w="109"/>
        <w:gridCol w:w="109"/>
        <w:gridCol w:w="815"/>
        <w:gridCol w:w="815"/>
        <w:gridCol w:w="115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April 29,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JOHN D.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John D.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Executive Vice President, </w:t>
              <w:br/>
              <w:t>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32.1</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EXECUTIVE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18 U.S.C. SECTION 1350,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906 OF THE SARBANES-OXLEY ACT OF 2002</w:t>
      </w:r>
    </w:p>
    <w:p>
      <w:pPr>
        <w:pStyle w:val="TextBody"/>
        <w:bidi w:val="0"/>
        <w:spacing w:lineRule="auto" w:line="288" w:before="1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In connection with the Quarterly Report of Huron Consulting Group Inc. (the "Company") on Form 10-Q for the quarter ended March 31, 2025 as filed with the Securities and Exchange Commission on the date hereof (the "Report"), I, C. Mark Hussey, President and Chief Executive Officer of the Company, hereby certify, pursuant to 18 U.S.C. Section 1350, as adopted pursuant to Section 906 of the Sarbanes-Oxley Act of 2002, that:</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2.The information contained in the Report fairly presents, in all material respects, the financial condition and results of operations of the Company for the periods presented therein.</w:t>
      </w:r>
    </w:p>
    <w:tbl>
      <w:tblPr>
        <w:tblW w:w="5794" w:type="dxa"/>
        <w:jc w:val="left"/>
        <w:tblInd w:w="0" w:type="dxa"/>
        <w:tblLayout w:type="fixed"/>
        <w:tblCellMar>
          <w:top w:w="28" w:type="dxa"/>
          <w:left w:w="28" w:type="dxa"/>
          <w:bottom w:w="28" w:type="dxa"/>
          <w:right w:w="28" w:type="dxa"/>
        </w:tblCellMar>
      </w:tblPr>
      <w:tblGrid>
        <w:gridCol w:w="216"/>
        <w:gridCol w:w="190"/>
        <w:gridCol w:w="193"/>
        <w:gridCol w:w="109"/>
        <w:gridCol w:w="109"/>
        <w:gridCol w:w="109"/>
        <w:gridCol w:w="364"/>
        <w:gridCol w:w="364"/>
        <w:gridCol w:w="367"/>
        <w:gridCol w:w="109"/>
        <w:gridCol w:w="109"/>
        <w:gridCol w:w="109"/>
        <w:gridCol w:w="110"/>
        <w:gridCol w:w="110"/>
        <w:gridCol w:w="110"/>
        <w:gridCol w:w="109"/>
        <w:gridCol w:w="109"/>
        <w:gridCol w:w="109"/>
        <w:gridCol w:w="815"/>
        <w:gridCol w:w="815"/>
        <w:gridCol w:w="115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April 29,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val="false"/>
                <w:color w:val="000000"/>
                <w:sz w:val="20"/>
              </w:rPr>
              <w:t>/</w:t>
            </w:r>
            <w:r>
              <w:rPr>
                <w:rFonts w:ascii="Arial Narrow;sans-serif" w:hAnsi="Arial Narrow;sans-serif"/>
                <w:b w:val="false"/>
                <w:color w:val="000000"/>
                <w:sz w:val="16"/>
              </w:rPr>
              <w:t>S</w:t>
            </w:r>
            <w:r>
              <w:rPr>
                <w:rFonts w:ascii="Arial Narrow;sans-serif" w:hAnsi="Arial Narrow;sans-serif"/>
                <w:b w:val="false"/>
                <w:color w:val="000000"/>
                <w:sz w:val="20"/>
              </w:rPr>
              <w:t>/    C. MARK HUSSEY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 Mark Hussey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Chief Executive Officer and President</w:t>
            </w:r>
          </w:p>
        </w:tc>
      </w:tr>
    </w:tbl>
    <w:p>
      <w:pPr>
        <w:pStyle w:val="TextBody"/>
        <w:bidi w:val="0"/>
        <w:spacing w:lineRule="auto" w:line="288" w:before="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8" w:before="1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The foregoing certification is being furnished to the Securities and Exchange Commission as an exhibit to the Form 10-Q and shall not be considered filed as part of the Form 10-Q.</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32.2</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FINANCIAL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18 U.S.C. SECTION 1350,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906 OF THE SARBANES-OXLEY ACT OF 2002</w:t>
      </w:r>
    </w:p>
    <w:p>
      <w:pPr>
        <w:pStyle w:val="TextBody"/>
        <w:bidi w:val="0"/>
        <w:spacing w:lineRule="auto" w:line="288" w:before="1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In connection with the Quarterly Report of Huron Consulting Group Inc. (the "Company") on Form 10-Q for the quarter ended March 31, 2025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2.The information contained in the Report fairly presents, in all material respects, the financial condition and results of operations of the Company for the periods presented therein.</w:t>
      </w:r>
    </w:p>
    <w:tbl>
      <w:tblPr>
        <w:tblW w:w="5794" w:type="dxa"/>
        <w:jc w:val="left"/>
        <w:tblInd w:w="0" w:type="dxa"/>
        <w:tblLayout w:type="fixed"/>
        <w:tblCellMar>
          <w:top w:w="28" w:type="dxa"/>
          <w:left w:w="28" w:type="dxa"/>
          <w:bottom w:w="28" w:type="dxa"/>
          <w:right w:w="28" w:type="dxa"/>
        </w:tblCellMar>
      </w:tblPr>
      <w:tblGrid>
        <w:gridCol w:w="216"/>
        <w:gridCol w:w="190"/>
        <w:gridCol w:w="193"/>
        <w:gridCol w:w="109"/>
        <w:gridCol w:w="109"/>
        <w:gridCol w:w="109"/>
        <w:gridCol w:w="364"/>
        <w:gridCol w:w="364"/>
        <w:gridCol w:w="367"/>
        <w:gridCol w:w="109"/>
        <w:gridCol w:w="109"/>
        <w:gridCol w:w="109"/>
        <w:gridCol w:w="110"/>
        <w:gridCol w:w="110"/>
        <w:gridCol w:w="110"/>
        <w:gridCol w:w="109"/>
        <w:gridCol w:w="109"/>
        <w:gridCol w:w="109"/>
        <w:gridCol w:w="815"/>
        <w:gridCol w:w="815"/>
        <w:gridCol w:w="115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April 29,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JOHN D.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John D.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Executive Vice President, </w:t>
              <w:br/>
              <w:t>Chief Financial Officer and Treasurer</w:t>
            </w:r>
          </w:p>
        </w:tc>
      </w:tr>
    </w:tbl>
    <w:p>
      <w:pPr>
        <w:pStyle w:val="TextBody"/>
        <w:bidi w:val="0"/>
        <w:spacing w:lineRule="auto" w:line="288" w:before="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8" w:before="1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The foregoing certification is being furnished to the Securities and Exchange Commission as an exhibit to the Form 10-Q and shall not be considered filed as part of the Form 10-Q.</w:t>
      </w:r>
    </w:p>
    <w:p>
      <w:pPr>
        <w:pStyle w:val="TextBody"/>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sans-serif"/>
    <w:charset w:val="01"/>
    <w:family w:val="auto"/>
    <w:pitch w:val="default"/>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34399</Words>
  <Characters>194539</Characters>
  <CharactersWithSpaces>227342</CharactersWithSpaces>
  <Paragraphs>2854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