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spacing w:lineRule="auto" w:line="288" w:before="0" w:after="0"/>
        <w:jc w:val="center"/>
        <w:rPr/>
      </w:pPr>
      <w:r>
        <w:rPr>
          <w:rFonts w:ascii="Arial Narrow;sans-serif" w:hAnsi="Arial Narrow;sans-serif"/>
          <w:b/>
          <w:color w:val="000000"/>
          <w:sz w:val="20"/>
        </w:rPr>
        <w:t>Washington, D.C. 20549</w:t>
      </w: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rFonts w:ascii="Arial Narrow;sans-serif" w:hAnsi="Arial Narrow;sans-serif"/>
          <w:b/>
          <w:color w:val="000000"/>
          <w:sz w:val="28"/>
        </w:rPr>
        <w:t>FORM 10-Q</w:t>
      </w: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rPr>
          <w:rFonts w:ascii="Arial Narrow;sans-serif" w:hAnsi="Arial Narrow;sans-serif"/>
          <w:b/>
          <w:color w:val="000000"/>
          <w:sz w:val="20"/>
        </w:rPr>
      </w:pPr>
      <w:r>
        <w:rPr>
          <w:rFonts w:ascii="Arial Narrow;sans-serif" w:hAnsi="Arial Narrow;sans-serif"/>
          <w:b/>
          <w:color w:val="000000"/>
          <w:sz w:val="20"/>
        </w:rPr>
        <w:t>(Mark One)</w:t>
      </w:r>
    </w:p>
    <w:tbl>
      <w:tblPr>
        <w:tblW w:w="8877" w:type="dxa"/>
        <w:jc w:val="left"/>
        <w:tblInd w:w="0" w:type="dxa"/>
        <w:tblCellMar>
          <w:top w:w="28" w:type="dxa"/>
          <w:left w:w="28" w:type="dxa"/>
          <w:bottom w:w="28" w:type="dxa"/>
          <w:right w:w="28" w:type="dxa"/>
        </w:tblCellMar>
      </w:tblPr>
      <w:tblGrid>
        <w:gridCol w:w="124"/>
        <w:gridCol w:w="109"/>
        <w:gridCol w:w="109"/>
        <w:gridCol w:w="2500"/>
        <w:gridCol w:w="2500"/>
        <w:gridCol w:w="353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353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5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March 31, 2023</w:t>
      </w:r>
    </w:p>
    <w:p>
      <w:pPr>
        <w:pStyle w:val="TextBody"/>
        <w:spacing w:lineRule="auto" w:line="288" w:before="0" w:after="0"/>
        <w:jc w:val="center"/>
        <w:rPr/>
      </w:pPr>
      <w:r>
        <w:rPr>
          <w:rFonts w:ascii="Arial Narrow;sans-serif" w:hAnsi="Arial Narrow;sans-serif"/>
          <w:b/>
          <w:color w:val="000000"/>
          <w:sz w:val="20"/>
        </w:rPr>
        <w:t>OR</w:t>
      </w:r>
      <w:r>
        <w:rPr>
          <w:color w:val="000000"/>
        </w:rPr>
        <w:t> </w:t>
      </w:r>
    </w:p>
    <w:tbl>
      <w:tblPr>
        <w:tblW w:w="8862" w:type="dxa"/>
        <w:jc w:val="left"/>
        <w:tblInd w:w="0" w:type="dxa"/>
        <w:tblCellMar>
          <w:top w:w="28" w:type="dxa"/>
          <w:left w:w="28" w:type="dxa"/>
          <w:bottom w:w="28" w:type="dxa"/>
          <w:right w:w="28" w:type="dxa"/>
        </w:tblCellMar>
      </w:tblPr>
      <w:tblGrid>
        <w:gridCol w:w="124"/>
        <w:gridCol w:w="109"/>
        <w:gridCol w:w="109"/>
        <w:gridCol w:w="2491"/>
        <w:gridCol w:w="2491"/>
        <w:gridCol w:w="35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c>
          <w:tcPr>
            <w:tcW w:w="35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spacing w:lineRule="auto" w:line="288" w:before="0" w:after="0"/>
        <w:jc w:val="center"/>
        <w:rPr/>
      </w:pPr>
      <w:r>
        <w:rPr>
          <w:rFonts w:ascii="Arial Narrow;sans-serif" w:hAnsi="Arial Narrow;sans-serif"/>
          <w:b/>
          <w:color w:val="000000"/>
          <w:sz w:val="20"/>
        </w:rPr>
        <w:t>Commission file number: 000-50976</w:t>
      </w: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HURON CONSULTING GROUP INC. </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tbl>
      <w:tblPr>
        <w:tblW w:w="4227" w:type="dxa"/>
        <w:jc w:val="left"/>
        <w:tblInd w:w="0" w:type="dxa"/>
        <w:tblCellMar>
          <w:top w:w="28" w:type="dxa"/>
          <w:left w:w="28" w:type="dxa"/>
          <w:bottom w:w="28" w:type="dxa"/>
          <w:right w:w="28" w:type="dxa"/>
        </w:tblCellMar>
      </w:tblPr>
      <w:tblGrid>
        <w:gridCol w:w="802"/>
        <w:gridCol w:w="706"/>
        <w:gridCol w:w="712"/>
        <w:gridCol w:w="109"/>
        <w:gridCol w:w="109"/>
        <w:gridCol w:w="109"/>
        <w:gridCol w:w="489"/>
        <w:gridCol w:w="489"/>
        <w:gridCol w:w="702"/>
      </w:tblGrid>
      <w:tr>
        <w:trPr/>
        <w:tc>
          <w:tcPr>
            <w:tcW w:w="802"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01-0666114</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(IRS Employer</w:t>
              <w:br/>
              <w:t>Identification Number)</w:t>
            </w:r>
          </w:p>
        </w:tc>
      </w:tr>
    </w:tbl>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550 West Van Buren Street </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Chicago, Illinois </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60607 </w:t>
      </w:r>
    </w:p>
    <w:p>
      <w:pPr>
        <w:pStyle w:val="TextBody"/>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(Address of principal executive offices)</w:t>
      </w:r>
    </w:p>
    <w:p>
      <w:pPr>
        <w:pStyle w:val="TextBody"/>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(Zip Code)</w:t>
      </w:r>
    </w:p>
    <w:p>
      <w:pPr>
        <w:pStyle w:val="TextBody"/>
        <w:spacing w:lineRule="auto" w:line="288" w:before="120" w:after="283"/>
        <w:jc w:val="center"/>
        <w:rPr>
          <w:rFonts w:ascii="Arial Narrow;sans-serif" w:hAnsi="Arial Narrow;sans-serif"/>
          <w:b/>
          <w:color w:val="000000"/>
          <w:sz w:val="20"/>
        </w:rPr>
      </w:pPr>
      <w:r>
        <w:rPr>
          <w:rFonts w:ascii="Arial Narrow;sans-serif" w:hAnsi="Arial Narrow;sans-serif"/>
          <w:b/>
          <w:color w:val="000000"/>
          <w:sz w:val="20"/>
        </w:rPr>
        <w:t xml:space="preserve">(312) 583-8700 </w:t>
      </w:r>
    </w:p>
    <w:p>
      <w:pPr>
        <w:pStyle w:val="TextBody"/>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(Registrant’s telephone number, including area code)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 Narrow;sans-serif" w:hAnsi="Arial Narrow;sans-serif"/>
          <w:b w:val="false"/>
          <w:color w:val="000000"/>
          <w:sz w:val="19"/>
        </w:rPr>
      </w:pPr>
      <w:r>
        <w:rPr>
          <w:rFonts w:ascii="Arial Narrow;sans-serif" w:hAnsi="Arial Narrow;sans-serif"/>
          <w:b w:val="false"/>
          <w:color w:val="000000"/>
          <w:sz w:val="19"/>
        </w:rPr>
        <w:t>Securities registered pursuant to Section 12(b) of the Act:</w:t>
      </w:r>
    </w:p>
    <w:tbl>
      <w:tblPr>
        <w:tblW w:w="8338" w:type="dxa"/>
        <w:jc w:val="center"/>
        <w:tblInd w:w="0" w:type="dxa"/>
        <w:tblCellMar>
          <w:top w:w="28" w:type="dxa"/>
          <w:left w:w="28" w:type="dxa"/>
          <w:bottom w:w="28" w:type="dxa"/>
          <w:right w:w="28" w:type="dxa"/>
        </w:tblCellMar>
      </w:tblPr>
      <w:tblGrid>
        <w:gridCol w:w="1138"/>
        <w:gridCol w:w="999"/>
        <w:gridCol w:w="1012"/>
        <w:gridCol w:w="519"/>
        <w:gridCol w:w="519"/>
        <w:gridCol w:w="521"/>
        <w:gridCol w:w="1063"/>
        <w:gridCol w:w="1063"/>
        <w:gridCol w:w="1504"/>
      </w:tblGrid>
      <w:tr>
        <w:trPr/>
        <w:tc>
          <w:tcPr>
            <w:tcW w:w="1138"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Title of each class</w:t>
            </w:r>
          </w:p>
        </w:tc>
        <w:tc>
          <w:tcPr>
            <w:tcW w:w="15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Trading Symbol(s)</w:t>
            </w:r>
          </w:p>
        </w:tc>
        <w:tc>
          <w:tcPr>
            <w:tcW w:w="363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Name of each exchange on which registered</w:t>
            </w:r>
          </w:p>
        </w:tc>
      </w:tr>
      <w:tr>
        <w:trPr/>
        <w:tc>
          <w:tcPr>
            <w:tcW w:w="314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Common Stock, par value $0.01 per share</w:t>
            </w:r>
          </w:p>
        </w:tc>
        <w:tc>
          <w:tcPr>
            <w:tcW w:w="15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HURN</w:t>
            </w:r>
          </w:p>
        </w:tc>
        <w:tc>
          <w:tcPr>
            <w:tcW w:w="363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NASDAQ Global Select Market</w:t>
            </w:r>
          </w:p>
        </w:tc>
      </w:tr>
    </w:tbl>
    <w:p>
      <w:pPr>
        <w:pStyle w:val="TextBody"/>
        <w:spacing w:lineRule="auto" w:line="288" w:before="0" w:after="0"/>
        <w:ind w:left="0" w:right="0" w:hanging="360"/>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9"/>
        </w:rPr>
        <w:t>No  </w:t>
      </w:r>
      <w:r>
        <w:rPr>
          <w:color w:val="000000"/>
        </w:rPr>
        <w:t>☐</w:t>
      </w:r>
    </w:p>
    <w:p>
      <w:pPr>
        <w:pStyle w:val="TextBody"/>
        <w:spacing w:lineRule="auto" w:line="288" w:before="60" w:after="283"/>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9"/>
        </w:rPr>
        <w:t>No  </w:t>
      </w:r>
      <w:r>
        <w:rPr>
          <w:color w:val="000000"/>
        </w:rPr>
        <w:t>☐</w:t>
      </w:r>
    </w:p>
    <w:p>
      <w:pPr>
        <w:pStyle w:val="TextBody"/>
        <w:spacing w:lineRule="auto" w:line="288" w:before="60" w:after="283"/>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color w:val="000000"/>
              </w:rPr>
            </w:pPr>
            <w:r>
              <w:rPr>
                <w:color w:val="000000"/>
              </w:rPr>
              <w:t>☐</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Smaller Reporting </w:t>
              <w:br/>
              <w:t>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0" w:after="0"/>
        <w:rPr/>
      </w:pPr>
      <w:r>
        <w:rPr>
          <w:rFonts w:ascii="Arial Narrow;sans-serif" w:hAnsi="Arial Narrow;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80" w:after="283"/>
        <w:rPr/>
      </w:pPr>
      <w:r>
        <w:rPr>
          <w:rFonts w:ascii="Arial Narrow;sans-serif" w:hAnsi="Arial Narrow;sans-serif"/>
          <w:b w:val="false"/>
          <w:color w:val="000000"/>
          <w:sz w:val="19"/>
        </w:rPr>
        <w:t>Indicate by check mark whether the registrant is a shell company (as defined in Rule 12b-2 of the Exchange Act).    Yes  </w:t>
      </w:r>
      <w:r>
        <w:rPr>
          <w:color w:val="000000"/>
        </w:rPr>
        <w:t>☐    </w:t>
      </w:r>
      <w:r>
        <w:rPr>
          <w:rFonts w:ascii="Arial Narrow;sans-serif" w:hAnsi="Arial Narrow;sans-serif"/>
          <w:b w:val="false"/>
          <w:color w:val="000000"/>
          <w:sz w:val="19"/>
        </w:rPr>
        <w:t>No  </w:t>
      </w:r>
      <w:r>
        <w:rPr>
          <w:color w:val="000000"/>
        </w:rPr>
        <w:t>☒</w:t>
      </w:r>
    </w:p>
    <w:p>
      <w:pPr>
        <w:pStyle w:val="TextBody"/>
        <w:spacing w:lineRule="auto" w:line="288" w:before="80" w:after="283"/>
        <w:rPr>
          <w:rFonts w:ascii="Arial Narrow;sans-serif" w:hAnsi="Arial Narrow;sans-serif"/>
          <w:b w:val="false"/>
          <w:color w:val="000000"/>
          <w:sz w:val="19"/>
        </w:rPr>
      </w:pPr>
      <w:r>
        <w:rPr>
          <w:rFonts w:ascii="Arial Narrow;sans-serif" w:hAnsi="Arial Narrow;sans-serif"/>
          <w:b w:val="false"/>
          <w:color w:val="000000"/>
          <w:sz w:val="19"/>
        </w:rPr>
        <w:t>Indicate the number of shares outstanding of each of the issuer’s classes of common stock, as of the latest practicable date.</w:t>
      </w:r>
    </w:p>
    <w:p>
      <w:pPr>
        <w:pStyle w:val="TextBody"/>
        <w:spacing w:lineRule="auto" w:line="288" w:before="80" w:after="283"/>
        <w:rPr>
          <w:rFonts w:ascii="Arial Narrow;sans-serif" w:hAnsi="Arial Narrow;sans-serif"/>
          <w:b w:val="false"/>
          <w:color w:val="000000"/>
          <w:sz w:val="19"/>
        </w:rPr>
      </w:pPr>
      <w:r>
        <w:rPr>
          <w:rFonts w:ascii="Arial Narrow;sans-serif" w:hAnsi="Arial Narrow;sans-serif"/>
          <w:b w:val="false"/>
          <w:color w:val="000000"/>
          <w:sz w:val="19"/>
        </w:rPr>
        <w:t>As of April 25, 2023, 19,211,704 shares of the registrant’s common stock, par value $0.01 per share, were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tbl>
      <w:tblPr>
        <w:tblW w:w="2460" w:type="dxa"/>
        <w:jc w:val="center"/>
        <w:tblInd w:w="0" w:type="dxa"/>
        <w:tblCellMar>
          <w:top w:w="28" w:type="dxa"/>
          <w:left w:w="28" w:type="dxa"/>
          <w:bottom w:w="28" w:type="dxa"/>
          <w:right w:w="28" w:type="dxa"/>
        </w:tblCellMar>
      </w:tblPr>
      <w:tblGrid>
        <w:gridCol w:w="786"/>
        <w:gridCol w:w="693"/>
        <w:gridCol w:w="981"/>
      </w:tblGrid>
      <w:tr>
        <w:trPr/>
        <w:tc>
          <w:tcPr>
            <w:tcW w:w="78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Huron Consulting Group Inc.</w:t>
            </w:r>
          </w:p>
        </w:tc>
      </w:tr>
    </w:tbl>
    <w:p>
      <w:pPr>
        <w:pStyle w:val="TextBody"/>
        <w:spacing w:lineRule="auto" w:line="288" w:before="140" w:after="283"/>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240" w:after="283"/>
        <w:jc w:val="center"/>
        <w:rPr>
          <w:rFonts w:ascii="Arial Narrow;sans-serif" w:hAnsi="Arial Narrow;sans-serif"/>
          <w:b/>
          <w:color w:val="000000"/>
          <w:sz w:val="20"/>
        </w:rPr>
      </w:pPr>
      <w:r>
        <w:rPr>
          <w:rFonts w:ascii="Arial Narrow;sans-serif" w:hAnsi="Arial Narrow;sans-serif"/>
          <w:b/>
          <w:color w:val="000000"/>
          <w:sz w:val="20"/>
        </w:rPr>
        <w:t>INDEX</w:t>
      </w:r>
    </w:p>
    <w:tbl>
      <w:tblPr>
        <w:tblW w:w="8039" w:type="dxa"/>
        <w:jc w:val="center"/>
        <w:tblInd w:w="0" w:type="dxa"/>
        <w:tblCellMar>
          <w:top w:w="28" w:type="dxa"/>
          <w:left w:w="28" w:type="dxa"/>
          <w:bottom w:w="28" w:type="dxa"/>
          <w:right w:w="28" w:type="dxa"/>
        </w:tblCellMar>
      </w:tblPr>
      <w:tblGrid>
        <w:gridCol w:w="442"/>
        <w:gridCol w:w="386"/>
        <w:gridCol w:w="386"/>
        <w:gridCol w:w="2096"/>
        <w:gridCol w:w="2096"/>
        <w:gridCol w:w="2152"/>
        <w:gridCol w:w="140"/>
        <w:gridCol w:w="140"/>
        <w:gridCol w:w="201"/>
      </w:tblGrid>
      <w:tr>
        <w:trPr/>
        <w:tc>
          <w:tcPr>
            <w:tcW w:w="442"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2096" w:type="dxa"/>
            <w:tcBorders/>
            <w:shd w:fill="auto" w:val="clear"/>
            <w:vAlign w:val="center"/>
          </w:tcPr>
          <w:p>
            <w:pPr>
              <w:pStyle w:val="TableContents"/>
              <w:spacing w:before="0" w:after="283"/>
              <w:rPr>
                <w:sz w:val="4"/>
                <w:szCs w:val="4"/>
              </w:rPr>
            </w:pPr>
            <w:r>
              <w:rPr>
                <w:sz w:val="4"/>
                <w:szCs w:val="4"/>
              </w:rPr>
            </w:r>
          </w:p>
        </w:tc>
        <w:tc>
          <w:tcPr>
            <w:tcW w:w="2096"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Page</w:t>
            </w:r>
          </w:p>
        </w:tc>
      </w:tr>
      <w:tr>
        <w:trPr/>
        <w:tc>
          <w:tcPr>
            <w:tcW w:w="755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0">
              <w:r>
                <w:rPr>
                  <w:rStyle w:val="InternetLink"/>
                  <w:rFonts w:ascii="Arial Narrow;sans-serif" w:hAnsi="Arial Narrow;sans-serif"/>
                  <w:b/>
                  <w:color w:val="0000FF"/>
                  <w:sz w:val="20"/>
                  <w:u w:val="single"/>
                </w:rPr>
                <w:t>Part I – Financial Information</w:t>
              </w:r>
            </w:hyperlink>
          </w:p>
        </w:tc>
        <w:tc>
          <w:tcPr>
            <w:tcW w:w="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3">
              <w:r>
                <w:rPr>
                  <w:rStyle w:val="InternetLink"/>
                  <w:rFonts w:ascii="Arial Narrow;sans-serif" w:hAnsi="Arial Narrow;sans-serif"/>
                  <w:b w:val="false"/>
                  <w:color w:val="0000FF"/>
                  <w:sz w:val="20"/>
                  <w:u w:val="single"/>
                </w:rPr>
                <w:t>Consolidated Financial Statements (Unaudited)</w:t>
              </w:r>
            </w:hyperlink>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6">
              <w:r>
                <w:rPr>
                  <w:rStyle w:val="InternetLink"/>
                  <w:rFonts w:ascii="Arial Narrow;sans-serif" w:hAnsi="Arial Narrow;sans-serif"/>
                  <w:b w:val="false"/>
                  <w:color w:val="0000FF"/>
                  <w:sz w:val="20"/>
                  <w:u w:val="single"/>
                </w:rPr>
                <w:t>Consolidated Balance Sheets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6">
              <w:r>
                <w:rPr>
                  <w:rStyle w:val="InternetLink"/>
                  <w:rFonts w:ascii="Arial Narrow;sans-serif" w:hAnsi="Arial Narrow;sans-serif"/>
                  <w:b w:val="false"/>
                  <w:color w:val="0000FF"/>
                  <w:sz w:val="20"/>
                  <w:u w:val="single"/>
                </w:rPr>
                <w:t>1</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9">
              <w:r>
                <w:rPr>
                  <w:rStyle w:val="InternetLink"/>
                  <w:rFonts w:ascii="Arial Narrow;sans-serif" w:hAnsi="Arial Narrow;sans-serif"/>
                  <w:b w:val="false"/>
                  <w:color w:val="0000FF"/>
                  <w:sz w:val="20"/>
                  <w:u w:val="single"/>
                </w:rPr>
                <w:t>Consolidated Statements of Operations and Other Comprehensive Income</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9">
              <w:r>
                <w:rPr>
                  <w:rStyle w:val="InternetLink"/>
                  <w:rFonts w:ascii="Arial Narrow;sans-serif" w:hAnsi="Arial Narrow;sans-serif"/>
                  <w:b w:val="false"/>
                  <w:color w:val="0000FF"/>
                  <w:sz w:val="20"/>
                  <w:u w:val="single"/>
                </w:rPr>
                <w:t>2</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22">
              <w:r>
                <w:rPr>
                  <w:rStyle w:val="InternetLink"/>
                  <w:rFonts w:ascii="Arial Narrow;sans-serif" w:hAnsi="Arial Narrow;sans-serif"/>
                  <w:b w:val="false"/>
                  <w:color w:val="0000FF"/>
                  <w:sz w:val="20"/>
                  <w:u w:val="single"/>
                </w:rPr>
                <w:t>Consolidated Statements of Stockholders’ Equity</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22">
              <w:r>
                <w:rPr>
                  <w:rStyle w:val="InternetLink"/>
                  <w:rFonts w:ascii="Arial Narrow;sans-serif" w:hAnsi="Arial Narrow;sans-serif"/>
                  <w:b w:val="false"/>
                  <w:color w:val="0000FF"/>
                  <w:sz w:val="20"/>
                  <w:u w:val="single"/>
                </w:rPr>
                <w:t>3</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25">
              <w:r>
                <w:rPr>
                  <w:rStyle w:val="InternetLink"/>
                  <w:rFonts w:ascii="Arial Narrow;sans-serif" w:hAnsi="Arial Narrow;sans-serif"/>
                  <w:b w:val="false"/>
                  <w:color w:val="0000FF"/>
                  <w:sz w:val="20"/>
                  <w:u w:val="single"/>
                </w:rPr>
                <w:t>Consolidated Statements of Cash Flows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25">
              <w:r>
                <w:rPr>
                  <w:rStyle w:val="InternetLink"/>
                  <w:rFonts w:ascii="Arial Narrow;sans-serif" w:hAnsi="Arial Narrow;sans-serif"/>
                  <w:b w:val="false"/>
                  <w:color w:val="0000FF"/>
                  <w:sz w:val="20"/>
                  <w:u w:val="single"/>
                </w:rPr>
                <w:t>4</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28">
              <w:r>
                <w:rPr>
                  <w:rStyle w:val="InternetLink"/>
                  <w:rFonts w:ascii="Arial Narrow;sans-serif" w:hAnsi="Arial Narrow;sans-serif"/>
                  <w:b w:val="false"/>
                  <w:color w:val="0000FF"/>
                  <w:sz w:val="20"/>
                  <w:u w:val="single"/>
                </w:rPr>
                <w:t>Notes to Consolidated Financial Statements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28">
              <w:r>
                <w:rPr>
                  <w:rStyle w:val="InternetLink"/>
                  <w:rFonts w:ascii="Arial Narrow;sans-serif" w:hAnsi="Arial Narrow;sans-serif"/>
                  <w:b w:val="false"/>
                  <w:color w:val="0000FF"/>
                  <w:sz w:val="20"/>
                  <w:u w:val="single"/>
                </w:rPr>
                <w:t>5</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85">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85">
              <w:r>
                <w:rPr>
                  <w:rStyle w:val="InternetLink"/>
                  <w:rFonts w:ascii="Arial Narrow;sans-serif" w:hAnsi="Arial Narrow;sans-serif"/>
                  <w:b w:val="false"/>
                  <w:color w:val="0000FF"/>
                  <w:sz w:val="20"/>
                  <w:u w:val="single"/>
                </w:rPr>
                <w:t>18</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21">
              <w:r>
                <w:rPr>
                  <w:rStyle w:val="InternetLink"/>
                  <w:rFonts w:ascii="Arial Narrow;sans-serif" w:hAnsi="Arial Narrow;sans-serif"/>
                  <w:b w:val="false"/>
                  <w:color w:val="0000FF"/>
                  <w:sz w:val="20"/>
                  <w:u w:val="single"/>
                </w:rPr>
                <w:t>Quantitative and Qualitative Disclosures About Market Risk</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21">
              <w:r>
                <w:rPr>
                  <w:rStyle w:val="InternetLink"/>
                  <w:rFonts w:ascii="Arial Narrow;sans-serif" w:hAnsi="Arial Narrow;sans-serif"/>
                  <w:b w:val="false"/>
                  <w:color w:val="0000FF"/>
                  <w:sz w:val="20"/>
                  <w:u w:val="single"/>
                </w:rPr>
                <w:t>32</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24">
              <w:r>
                <w:rPr>
                  <w:rStyle w:val="InternetLink"/>
                  <w:rFonts w:ascii="Arial Narrow;sans-serif" w:hAnsi="Arial Narrow;sans-serif"/>
                  <w:b w:val="false"/>
                  <w:color w:val="0000FF"/>
                  <w:sz w:val="20"/>
                  <w:u w:val="single"/>
                </w:rPr>
                <w:t>Controls and Procedures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24">
              <w:r>
                <w:rPr>
                  <w:rStyle w:val="InternetLink"/>
                  <w:rFonts w:ascii="Arial Narrow;sans-serif" w:hAnsi="Arial Narrow;sans-serif"/>
                  <w:b w:val="false"/>
                  <w:color w:val="0000FF"/>
                  <w:sz w:val="20"/>
                  <w:u w:val="single"/>
                </w:rPr>
                <w:t>33</w:t>
              </w:r>
            </w:hyperlink>
          </w:p>
        </w:tc>
      </w:tr>
      <w:tr>
        <w:trPr/>
        <w:tc>
          <w:tcPr>
            <w:tcW w:w="755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5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27">
              <w:r>
                <w:rPr>
                  <w:rStyle w:val="InternetLink"/>
                  <w:rFonts w:ascii="Arial Narrow;sans-serif" w:hAnsi="Arial Narrow;sans-serif"/>
                  <w:b/>
                  <w:color w:val="0000FF"/>
                  <w:sz w:val="20"/>
                  <w:u w:val="single"/>
                </w:rPr>
                <w:t>Part II – Other Information</w:t>
              </w:r>
            </w:hyperlink>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30">
              <w:r>
                <w:rPr>
                  <w:rStyle w:val="InternetLink"/>
                  <w:rFonts w:ascii="Arial Narrow;sans-serif" w:hAnsi="Arial Narrow;sans-serif"/>
                  <w:b w:val="false"/>
                  <w:color w:val="0000FF"/>
                  <w:sz w:val="20"/>
                  <w:u w:val="single"/>
                </w:rPr>
                <w:t>Legal Proceedings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30">
              <w:r>
                <w:rPr>
                  <w:rStyle w:val="InternetLink"/>
                  <w:rFonts w:ascii="Arial Narrow;sans-serif" w:hAnsi="Arial Narrow;sans-serif"/>
                  <w:b w:val="false"/>
                  <w:color w:val="0000FF"/>
                  <w:sz w:val="20"/>
                  <w:u w:val="single"/>
                </w:rPr>
                <w:t>33</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33">
              <w:r>
                <w:rPr>
                  <w:rStyle w:val="InternetLink"/>
                  <w:rFonts w:ascii="Arial Narrow;sans-serif" w:hAnsi="Arial Narrow;sans-serif"/>
                  <w:b w:val="false"/>
                  <w:color w:val="0000FF"/>
                  <w:sz w:val="20"/>
                  <w:u w:val="single"/>
                </w:rPr>
                <w:t>Risk Factors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33">
              <w:r>
                <w:rPr>
                  <w:rStyle w:val="InternetLink"/>
                  <w:rFonts w:ascii="Arial Narrow;sans-serif" w:hAnsi="Arial Narrow;sans-serif"/>
                  <w:b w:val="false"/>
                  <w:color w:val="0000FF"/>
                  <w:sz w:val="20"/>
                  <w:u w:val="single"/>
                </w:rPr>
                <w:t>33</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36">
              <w:r>
                <w:rPr>
                  <w:rStyle w:val="InternetLink"/>
                  <w:rFonts w:ascii="Arial Narrow;sans-serif" w:hAnsi="Arial Narrow;sans-serif"/>
                  <w:b w:val="false"/>
                  <w:color w:val="0000FF"/>
                  <w:sz w:val="20"/>
                  <w:u w:val="single"/>
                </w:rPr>
                <w:t>Unregistered Sales of Equity Securities and Use of Proceeds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36">
              <w:r>
                <w:rPr>
                  <w:rStyle w:val="InternetLink"/>
                  <w:rFonts w:ascii="Arial Narrow;sans-serif" w:hAnsi="Arial Narrow;sans-serif"/>
                  <w:b w:val="false"/>
                  <w:color w:val="0000FF"/>
                  <w:sz w:val="20"/>
                  <w:u w:val="single"/>
                </w:rPr>
                <w:t>33</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39">
              <w:r>
                <w:rPr>
                  <w:rStyle w:val="InternetLink"/>
                  <w:rFonts w:ascii="Arial Narrow;sans-serif" w:hAnsi="Arial Narrow;sans-serif"/>
                  <w:b w:val="false"/>
                  <w:color w:val="0000FF"/>
                  <w:sz w:val="20"/>
                  <w:u w:val="single"/>
                </w:rPr>
                <w:t>Defaults Upon Senior Securities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39">
              <w:r>
                <w:rPr>
                  <w:rStyle w:val="InternetLink"/>
                  <w:rFonts w:ascii="Arial Narrow;sans-serif" w:hAnsi="Arial Narrow;sans-serif"/>
                  <w:b w:val="false"/>
                  <w:color w:val="0000FF"/>
                  <w:sz w:val="20"/>
                  <w:u w:val="single"/>
                </w:rPr>
                <w:t>34</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42">
              <w:r>
                <w:rPr>
                  <w:rStyle w:val="InternetLink"/>
                  <w:rFonts w:ascii="Arial Narrow;sans-serif" w:hAnsi="Arial Narrow;sans-serif"/>
                  <w:b w:val="false"/>
                  <w:color w:val="0000FF"/>
                  <w:sz w:val="20"/>
                  <w:u w:val="single"/>
                </w:rPr>
                <w:t>Mine Safety Disclosures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42">
              <w:r>
                <w:rPr>
                  <w:rStyle w:val="InternetLink"/>
                  <w:rFonts w:ascii="Arial Narrow;sans-serif" w:hAnsi="Arial Narrow;sans-serif"/>
                  <w:b w:val="false"/>
                  <w:color w:val="0000FF"/>
                  <w:sz w:val="20"/>
                  <w:u w:val="single"/>
                </w:rPr>
                <w:t>34</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45">
              <w:r>
                <w:rPr>
                  <w:rStyle w:val="InternetLink"/>
                  <w:rFonts w:ascii="Arial Narrow;sans-serif" w:hAnsi="Arial Narrow;sans-serif"/>
                  <w:b w:val="false"/>
                  <w:color w:val="0000FF"/>
                  <w:sz w:val="20"/>
                  <w:u w:val="single"/>
                </w:rPr>
                <w:t>Other Information</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45">
              <w:r>
                <w:rPr>
                  <w:rStyle w:val="InternetLink"/>
                  <w:rFonts w:ascii="Arial Narrow;sans-serif" w:hAnsi="Arial Narrow;sans-serif"/>
                  <w:b w:val="false"/>
                  <w:color w:val="0000FF"/>
                  <w:sz w:val="20"/>
                  <w:u w:val="single"/>
                </w:rPr>
                <w:t>34</w:t>
              </w:r>
            </w:hyperlink>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63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48">
              <w:r>
                <w:rPr>
                  <w:rStyle w:val="InternetLink"/>
                  <w:rFonts w:ascii="Arial Narrow;sans-serif" w:hAnsi="Arial Narrow;sans-serif"/>
                  <w:b w:val="false"/>
                  <w:color w:val="0000FF"/>
                  <w:sz w:val="20"/>
                  <w:u w:val="single"/>
                </w:rPr>
                <w:t>Exhibits</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48">
              <w:r>
                <w:rPr>
                  <w:rStyle w:val="InternetLink"/>
                  <w:rFonts w:ascii="Arial Narrow;sans-serif" w:hAnsi="Arial Narrow;sans-serif"/>
                  <w:b w:val="false"/>
                  <w:color w:val="0000FF"/>
                  <w:sz w:val="20"/>
                  <w:u w:val="single"/>
                </w:rPr>
                <w:t>35</w:t>
              </w:r>
            </w:hyperlink>
          </w:p>
        </w:tc>
      </w:tr>
      <w:tr>
        <w:trPr/>
        <w:tc>
          <w:tcPr>
            <w:tcW w:w="755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5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62faa98e99f4764823b70df7ba2f407_151">
              <w:r>
                <w:rPr>
                  <w:rStyle w:val="InternetLink"/>
                  <w:rFonts w:ascii="Arial Narrow;sans-serif" w:hAnsi="Arial Narrow;sans-serif"/>
                  <w:b/>
                  <w:color w:val="0000FF"/>
                  <w:sz w:val="20"/>
                  <w:u w:val="single"/>
                </w:rPr>
                <w:t>Signature</w:t>
              </w:r>
            </w:hyperlink>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62faa98e99f4764823b70df7ba2f407_151">
              <w:r>
                <w:rPr>
                  <w:rStyle w:val="InternetLink"/>
                  <w:rFonts w:ascii="Arial Narrow;sans-serif" w:hAnsi="Arial Narrow;sans-serif"/>
                  <w:b w:val="false"/>
                  <w:color w:val="0000FF"/>
                  <w:sz w:val="20"/>
                  <w:u w:val="single"/>
                </w:rPr>
                <w:t>36</w:t>
              </w:r>
            </w:hyperlink>
          </w:p>
        </w:tc>
      </w:tr>
    </w:tbl>
    <w:p>
      <w:pPr>
        <w:pStyle w:val="TextBody"/>
        <w:spacing w:before="2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ITEM 1.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left"/>
        <w:tblInd w:w="0" w:type="dxa"/>
        <w:tblCellMar>
          <w:top w:w="28" w:type="dxa"/>
          <w:left w:w="28" w:type="dxa"/>
          <w:bottom w:w="28" w:type="dxa"/>
          <w:right w:w="28" w:type="dxa"/>
        </w:tblCellMar>
      </w:tblPr>
      <w:tblGrid>
        <w:gridCol w:w="2744"/>
        <w:gridCol w:w="2336"/>
        <w:gridCol w:w="2379"/>
        <w:gridCol w:w="196"/>
        <w:gridCol w:w="871"/>
        <w:gridCol w:w="109"/>
        <w:gridCol w:w="109"/>
        <w:gridCol w:w="109"/>
        <w:gridCol w:w="109"/>
        <w:gridCol w:w="199"/>
        <w:gridCol w:w="885"/>
        <w:gridCol w:w="159"/>
      </w:tblGrid>
      <w:tr>
        <w:trPr/>
        <w:tc>
          <w:tcPr>
            <w:tcW w:w="2744"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237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2022</w:t>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11,834 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Receivables from clients, net of allowances of $12,803 and $10,600,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147,852 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Unbilled services, net of allowances of $5,937 and $3,850,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141,781 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receivable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328,484 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investments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91,194 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30,304 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73,039 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23,392 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624,966 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1,238,545 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1,199,040 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liabilities: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14,254 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27,268 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related benefits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171,723 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10,530 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revenues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21,909 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245,684 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33,614 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290,000 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45,556 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32,146 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401,316 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contingencies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500,000,000 shares authorized; 22,047,299 and 22,507,159 shares issued,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Treasury stock, at cost, 2,842,144 and 2,711,712 shares,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(141,353)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(137,556)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318,706 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352,548 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income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18,119 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552,040 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1,238,545 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1,199,040 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 (LOSS)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spacing w:lineRule="auto" w:line="288" w:before="0" w:after="0"/>
        <w:jc w:val="center"/>
        <w:rPr/>
      </w:pPr>
      <w:r>
        <w:rPr>
          <w:rFonts w:ascii="Arial Narrow;sans-serif" w:hAnsi="Arial Narrow;sans-serif"/>
          <w:b/>
          <w:color w:val="000000"/>
          <w:sz w:val="20"/>
        </w:rPr>
        <w:t>(Unaudited)</w:t>
      </w:r>
      <w:r>
        <w:rPr>
          <w:color w:val="000000"/>
        </w:rPr>
        <w:t> </w:t>
      </w:r>
    </w:p>
    <w:tbl>
      <w:tblPr>
        <w:tblW w:w="8591" w:type="dxa"/>
        <w:jc w:val="center"/>
        <w:tblInd w:w="0" w:type="dxa"/>
        <w:tblCellMar>
          <w:top w:w="28" w:type="dxa"/>
          <w:left w:w="28" w:type="dxa"/>
          <w:bottom w:w="28" w:type="dxa"/>
          <w:right w:w="28" w:type="dxa"/>
        </w:tblCellMar>
      </w:tblPr>
      <w:tblGrid>
        <w:gridCol w:w="1883"/>
        <w:gridCol w:w="1657"/>
        <w:gridCol w:w="1665"/>
        <w:gridCol w:w="109"/>
        <w:gridCol w:w="109"/>
        <w:gridCol w:w="152"/>
        <w:gridCol w:w="152"/>
        <w:gridCol w:w="273"/>
        <w:gridCol w:w="1026"/>
        <w:gridCol w:w="152"/>
        <w:gridCol w:w="109"/>
        <w:gridCol w:w="109"/>
        <w:gridCol w:w="109"/>
        <w:gridCol w:w="196"/>
        <w:gridCol w:w="736"/>
        <w:gridCol w:w="154"/>
      </w:tblGrid>
      <w:tr>
        <w:trPr/>
        <w:tc>
          <w:tcPr>
            <w:tcW w:w="1883"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5" w:type="dxa"/>
            <w:gridSpan w:val="5"/>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2022</w:t>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Revenues and reimbursable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317,895 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260,049 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8,490 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4,726 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revenues and reimbursable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326,385 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264,775 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Direct costs (exclusive of depreciation and amortization included below)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228,383 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187,247 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8,624 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4,756 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62,289 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48,395 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Restructuring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2,284 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6,374 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6,864 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307,954 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248,817 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Operating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18,431 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15,958 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Interest expense, net of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(4,303)</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1,719 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24,365 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(2,584)</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22,169 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before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15,847 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38,127 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Income tax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2,428 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11,275 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13,419 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basic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0.70 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diluted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0.68 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Weighted average shares used in calculating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19,119 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20,850 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19,699 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21,167 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13,419 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26,852 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Foreign currency translation adjustments,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52 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gain (loss) on investment,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3,873 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gain (loss) on cash flow hedging instruments,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(2,329)</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4,325 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1,596 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Comprehensive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15,015 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28,473 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1355" w:type="dxa"/>
        <w:jc w:val="center"/>
        <w:tblInd w:w="0" w:type="dxa"/>
        <w:tblCellMar>
          <w:top w:w="28" w:type="dxa"/>
          <w:left w:w="28" w:type="dxa"/>
          <w:bottom w:w="28" w:type="dxa"/>
          <w:right w:w="28" w:type="dxa"/>
        </w:tblCellMar>
      </w:tblPr>
      <w:tblGrid>
        <w:gridCol w:w="588"/>
        <w:gridCol w:w="253"/>
        <w:gridCol w:w="255"/>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58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9227" w:type="dxa"/>
            <w:gridSpan w:val="42"/>
            <w:tcBorders/>
            <w:shd w:fill="auto" w:val="clea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w:t>
              <w:br/>
              <w:t>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2022</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22,231,593 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(2,953,147)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318,706 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18,119 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552,040 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w:t>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15,015 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297,581 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118,449 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14,145 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627 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15,089 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(135,420)</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(9,529)</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(632,894)</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(44,267)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(44,273)</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March 31, 2023</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21,910,425 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(2,970,118)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284,420 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365,967 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19,715 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528,969 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2021</w:t>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23,868,918 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(2,908,849)</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(135,969)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413,794 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276,996 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16,840 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571,900 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w:t>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1,621 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28,473 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277,629 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130,240 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16,805 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647 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12,051 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(139,491)</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(6,884)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(6,884)</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(523,399)</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(23,905)</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March 31, 2022</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23,639,953 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(2,918,100)</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(135,367)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395,103 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303,848 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18,461 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582,282 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29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23" w:type="dxa"/>
            <w:gridSpan w:val="4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thousands)(Unaudited)</w:t>
      </w:r>
    </w:p>
    <w:tbl>
      <w:tblPr>
        <w:tblW w:w="7868" w:type="dxa"/>
        <w:jc w:val="center"/>
        <w:tblInd w:w="0" w:type="dxa"/>
        <w:tblCellMar>
          <w:top w:w="28" w:type="dxa"/>
          <w:left w:w="28" w:type="dxa"/>
          <w:bottom w:w="28" w:type="dxa"/>
          <w:right w:w="28" w:type="dxa"/>
        </w:tblCellMar>
      </w:tblPr>
      <w:tblGrid>
        <w:gridCol w:w="2093"/>
        <w:gridCol w:w="1833"/>
        <w:gridCol w:w="1848"/>
        <w:gridCol w:w="181"/>
        <w:gridCol w:w="571"/>
        <w:gridCol w:w="109"/>
        <w:gridCol w:w="109"/>
        <w:gridCol w:w="109"/>
        <w:gridCol w:w="109"/>
        <w:gridCol w:w="181"/>
        <w:gridCol w:w="571"/>
        <w:gridCol w:w="154"/>
      </w:tblGrid>
      <w:tr>
        <w:trPr/>
        <w:tc>
          <w:tcPr>
            <w:tcW w:w="2093" w:type="dxa"/>
            <w:tcBorders/>
            <w:shd w:fill="auto" w:val="clear"/>
            <w:vAlign w:val="center"/>
          </w:tcPr>
          <w:p>
            <w:pPr>
              <w:pStyle w:val="TableContents"/>
              <w:spacing w:before="0" w:after="283"/>
              <w:rPr>
                <w:sz w:val="4"/>
                <w:szCs w:val="4"/>
              </w:rPr>
            </w:pPr>
            <w:r>
              <w:rPr>
                <w:sz w:val="4"/>
                <w:szCs w:val="4"/>
              </w:rPr>
            </w:r>
          </w:p>
        </w:tc>
        <w:tc>
          <w:tcPr>
            <w:tcW w:w="1833"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March 31,</w:t>
            </w:r>
          </w:p>
        </w:tc>
      </w:tr>
      <w:tr>
        <w:trPr/>
        <w:tc>
          <w:tcPr>
            <w:tcW w:w="5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Lease-related impairment charge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issuance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Allowances for doubtful accounts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of property and equipment, excluding transaction costs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contingent consideration liabilities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preferred stock investment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 and divestiture:</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receivables from clients, net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unbilled services,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current income tax receivable / payable, net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other assets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accounts payable and other liabilities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accrued payroll and related benefits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(89,843)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(70,689)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deferred revenues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(79,099)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life insurance policies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businesses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Capitalization of internally developed software costs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sale of property and equipment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Divestiture of business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exercises of stock options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bank borrowings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Repayments of bank borrowings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debt issuance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payments on business acquisition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and cash equivalents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the period</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the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expenditures and capitalized software included in current liabilities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 obtained in exchange for operating lease liabilities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related to purchase of business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color w:val="000000"/>
        </w:rPr>
        <w:t>    </w:t>
      </w: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develop growth strategies, optimize operations and accelerate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through three operating segments: Healthcare, Education and Commercial. See Note 13 “Segment Information”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2. Basis of Presentation and Significant Accounting Policies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accompanying unaudited consolidated financial statements reflect the financial position, results of operations, and cash flows as of and for the three months ended March 31, 2023 and 2022.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2022 included in our Annual Report on Form 10-K. Our results for any interim period are not necessarily indicative of results for a full year or any other interim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3. Goodwill and Intangible Assets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amount of goodwill by reportable segment for the three months ended March 31, 2023.</w:t>
      </w:r>
    </w:p>
    <w:tbl>
      <w:tblPr>
        <w:tblW w:w="8415" w:type="dxa"/>
        <w:jc w:val="left"/>
        <w:tblInd w:w="0" w:type="dxa"/>
        <w:tblCellMar>
          <w:top w:w="28" w:type="dxa"/>
          <w:left w:w="28" w:type="dxa"/>
          <w:bottom w:w="28" w:type="dxa"/>
          <w:right w:w="28" w:type="dxa"/>
        </w:tblCellMar>
      </w:tblPr>
      <w:tblGrid>
        <w:gridCol w:w="1117"/>
        <w:gridCol w:w="983"/>
        <w:gridCol w:w="990"/>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11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pPr>
            <w:r>
              <w:rPr>
                <w:rFonts w:ascii="Arial Narrow;sans-serif" w:hAnsi="Arial Narrow;sans-serif"/>
                <w:b/>
                <w:sz w:val="20"/>
              </w:rPr>
              <w:br/>
            </w:r>
            <w:r>
              <w:rPr>
                <w:rFonts w:ascii="Arial Narrow;sans-serif" w:hAnsi="Arial Narrow;sans-serif"/>
                <w:b/>
                <w:color w:val="000000"/>
                <w:sz w:val="20"/>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1,080,858 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March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Intangible Assets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Intangible assets as of March 31, 2023 and December 31, 2022 consisted of the following:</w:t>
      </w:r>
    </w:p>
    <w:tbl>
      <w:tblPr>
        <w:tblW w:w="8731" w:type="dxa"/>
        <w:jc w:val="left"/>
        <w:tblInd w:w="0" w:type="dxa"/>
        <w:tblCellMar>
          <w:top w:w="28" w:type="dxa"/>
          <w:left w:w="28" w:type="dxa"/>
          <w:bottom w:w="28" w:type="dxa"/>
          <w:right w:w="28" w:type="dxa"/>
        </w:tblCellMar>
      </w:tblPr>
      <w:tblGrid>
        <w:gridCol w:w="793"/>
        <w:gridCol w:w="696"/>
        <w:gridCol w:w="701"/>
        <w:gridCol w:w="334"/>
        <w:gridCol w:w="334"/>
        <w:gridCol w:w="336"/>
        <w:gridCol w:w="109"/>
        <w:gridCol w:w="109"/>
        <w:gridCol w:w="109"/>
        <w:gridCol w:w="196"/>
        <w:gridCol w:w="646"/>
        <w:gridCol w:w="109"/>
        <w:gridCol w:w="109"/>
        <w:gridCol w:w="109"/>
        <w:gridCol w:w="109"/>
        <w:gridCol w:w="235"/>
        <w:gridCol w:w="775"/>
        <w:gridCol w:w="131"/>
        <w:gridCol w:w="109"/>
        <w:gridCol w:w="109"/>
        <w:gridCol w:w="109"/>
        <w:gridCol w:w="196"/>
        <w:gridCol w:w="646"/>
        <w:gridCol w:w="109"/>
        <w:gridCol w:w="109"/>
        <w:gridCol w:w="109"/>
        <w:gridCol w:w="109"/>
        <w:gridCol w:w="233"/>
        <w:gridCol w:w="769"/>
        <w:gridCol w:w="184"/>
      </w:tblGrid>
      <w:tr>
        <w:trPr/>
        <w:tc>
          <w:tcPr>
            <w:tcW w:w="793"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 2022</w:t>
            </w:r>
          </w:p>
        </w:tc>
      </w:tr>
      <w:tr>
        <w:trPr/>
        <w:tc>
          <w:tcPr>
            <w:tcW w:w="2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 </w:t>
              <w:br/>
              <w:t>(in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5 to 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49,257 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57,219 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100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8,513 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7,975 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10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5,907 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100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0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64,172 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71,441 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 xml:space="preserve">Identifiable intangible assets with finite lives are amortized over their estimated useful lives. Customer relationships as well as certain trade names and technology and software, are amortized on an accelerated basis to correspond to the cash flows expected to be derived from the assets. All other intangible assets with finite lives are amortized on a straight-line basis.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Intangible asset amortization expense was $2.2 million and $2.9 million for the three months ended March 31, 2023 and 2022, respectively. The table below sets forth the estimated annual amortization expense for the intangible assets recorded as of March 31, 2023.</w:t>
      </w:r>
    </w:p>
    <w:tbl>
      <w:tblPr>
        <w:tblW w:w="5202" w:type="dxa"/>
        <w:jc w:val="left"/>
        <w:tblInd w:w="0" w:type="dxa"/>
        <w:tblCellMar>
          <w:top w:w="28" w:type="dxa"/>
          <w:left w:w="28" w:type="dxa"/>
          <w:bottom w:w="28" w:type="dxa"/>
          <w:right w:w="28" w:type="dxa"/>
        </w:tblCellMar>
      </w:tblPr>
      <w:tblGrid>
        <w:gridCol w:w="787"/>
        <w:gridCol w:w="693"/>
        <w:gridCol w:w="695"/>
        <w:gridCol w:w="109"/>
        <w:gridCol w:w="109"/>
        <w:gridCol w:w="109"/>
        <w:gridCol w:w="584"/>
        <w:gridCol w:w="1656"/>
        <w:gridCol w:w="460"/>
      </w:tblGrid>
      <w:tr>
        <w:trPr/>
        <w:tc>
          <w:tcPr>
            <w:tcW w:w="78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Estimated 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8,122 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4,674 </w:t>
            </w:r>
          </w:p>
        </w:tc>
        <w:tc>
          <w:tcPr>
            <w:tcW w:w="4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3,503 </w:t>
            </w:r>
          </w:p>
        </w:tc>
        <w:tc>
          <w:tcPr>
            <w:tcW w:w="4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2,519 </w:t>
            </w:r>
          </w:p>
        </w:tc>
        <w:tc>
          <w:tcPr>
            <w:tcW w:w="4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1,773 </w:t>
            </w:r>
          </w:p>
        </w:tc>
        <w:tc>
          <w:tcPr>
            <w:tcW w:w="4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Actual future amortization expense could differ from these estimated amounts as a result of future acquisitions, dispositions,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4. Revenues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2023 and 2022, we recognized revenues of $317.9 million and $260.0 million, respectively. Of the $317.9 million recognized in the first quarter of 2023, we recognized revenues of $1.2 million from obligations satisfied, or partially satisfied, in prior periods, due to the release of allowances on receivables from clients and unbilled services. During the first quarter of 2023, we also recognized a $2.5 million decrease to revenues due to changes in the estimates of our variable consideration under performance-based billing arrangements. Of the $260.0 million recognized in the first quarter of 2022, we recognized revenues of $1.9 million from obligations satisfied, or partially satisfied, in prior periods, of which $1.0 million was primarily due to the release of allowances on receivables from clients and unbilled services, and $0.9 million was due to changes in the estimates of our variable consideration under performance-based billing arrangements.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As of March 31, 2023, we had $143.8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$143.8 million of performance obligations, we expect to recognize $61.9 million as revenue in 2023, $33.5 million in 2024, and the remaining $48.4 million thereafter. Actual revenue recognition could differ from these amounts as a result of changes in the estimated timing of work to be performed, adjustments to estimated variable consideration in performance-based arrangements, or other factors. </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March 31, 2023 and December 31, 2022 was $45.1 million and $50.2 million, respectively. The $5.1 million decrease primarily reflects timing differences between the completion of our performance obligations and the amounts billed or billable to clients in accordance with their contractual billing terms.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Client prepayments and retainers are classified as deferred revenues and recognized over future periods in accordance with the applicable engagement agreement and our revenue recognition accounting policy. Our deferred revenues balance as of March 31, 2023 and December 31, 2022, was $20.5 million and $21.9 million, respectively. The $1.4 million decrease primarily reflects timing differences between client payments in accordance with their contract terms and the completion of our performance obligations. For the three months ended March 31, 2023, $16.4 million of revenues recognized were included in the deferred revenue balance as of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5. Earnings Per Share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7419" w:type="dxa"/>
        <w:jc w:val="center"/>
        <w:tblInd w:w="0" w:type="dxa"/>
        <w:tblCellMar>
          <w:top w:w="28" w:type="dxa"/>
          <w:left w:w="28" w:type="dxa"/>
          <w:bottom w:w="28" w:type="dxa"/>
          <w:right w:w="28" w:type="dxa"/>
        </w:tblCellMar>
      </w:tblPr>
      <w:tblGrid>
        <w:gridCol w:w="1487"/>
        <w:gridCol w:w="1312"/>
        <w:gridCol w:w="1326"/>
        <w:gridCol w:w="109"/>
        <w:gridCol w:w="109"/>
        <w:gridCol w:w="163"/>
        <w:gridCol w:w="163"/>
        <w:gridCol w:w="294"/>
        <w:gridCol w:w="970"/>
        <w:gridCol w:w="163"/>
        <w:gridCol w:w="109"/>
        <w:gridCol w:w="109"/>
        <w:gridCol w:w="109"/>
        <w:gridCol w:w="196"/>
        <w:gridCol w:w="646"/>
        <w:gridCol w:w="154"/>
      </w:tblGrid>
      <w:tr>
        <w:trPr/>
        <w:tc>
          <w:tcPr>
            <w:tcW w:w="1487"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323" w:type="dxa"/>
            <w:gridSpan w:val="6"/>
            <w:tcBorders/>
            <w:shd w:fill="auto" w:val="clea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19,119 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The number of anti-dilutive securities excluded from the computation of the weighted average common stock equivalents presented above for the three months ended March 31, 2023 and 2022 were less than 0.1 million shares and 0.4 million shares, respectively, and related to unvested restricted stock and outstanding common stock options.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November 2020, our board of directors authorized a share repurchase program permitting us to repurchase up to $50 million of our common stock through December 31, 2021. Subsequent to the initial authorization, our board of directors authorized extensions of the share repurchase program through December 31, 2023 and increased the authorized amount to $300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All shares repurchased and retired are reflected as a reduction to our basic weighted average shares outstanding based on the trade date of the share repurchase.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the three months ended March 31, 2023, we repurchased and retired 632,894 shares for $44.3 million, and settled the repurchase of 15,200 shares for $1.1 million which were accrued as of December 31, 2022. In the three months ended March 31, 2022, we repurchased and retired 523,399 shares for $23.9 million, and settled the repurchase of 3,820 shares for $0.2 million that were accrued as of December 31, 2021. As of March 31, 2023, $64.8 million remained available for share repurchases under our share repurchase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6. Financing Arrangements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Company has a $600 million five-year senior secured revolving credit facility, subject to the terms of a Third Amended and Restated Credit Agreement dated as of November 15, 2022 (the "Amended Credit Agreement") that becomes due and payable in full upon maturity on November 15, 2027. The Amended Credit Agreement provides the option to increase the revolving credit facility or establish term loan facilities in an aggregate amount up to $250 million, subject to customary conditions and the approval of any lender whose commitment would be increased, resulting in a maximum available principal amount under the Amended Credit Agreement of $850 million. The initial borrowings under the Amended Credit Agreement were used to refinance borrowings outstanding under a prior credit agreement, and future borrowings under the Amended Credit Agreement may be used for working capital, capital expenditures, share repurchases, permitted acquisitions, and other general corporate purposes.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Fees and interest on borrowings vary based on our Consolidated Leverage Ratio (as defined in the Amended Credit Agreement). At our option, borrowings under the Amended Credit Agreement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April 2023, the Company and PNC Capital Markets, LLC, as Sustainability Structuring Agent, with the consent of the Required Lenders (as defined in the Amended Credit Agreement), amended the Amended Credit Agreement to incorporate specified key performance indicators with respect to certain environmental, social and governance targets of the Company. Based upon the performance of the Company against those key performance indicators in each Reference Year (as defined in the First Amendment),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loans and obligations under the Amended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2023, we were in compliance with these financial covenants with a Consolidated Leverage Ratio of 2.75 to 1.00 and a Consolidated Interest Coverage Ratio of 12.63 to 1.00.</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Borrowings outstanding under the Amended Credit Agreement at March 31, 2023 totaled $447.0 million and are classified as long-term debt in our consolidated balance sheet. These borrowings carried a weighted average interest rate of 4.8%, including the effect of the interest rate swaps described in Note 8 “Derivative Instruments and Hedging Activity.” Borrowings outstanding under the Amended Credit Agreement at December 31, 2022 were $290.0 million and carried a weighted average interest rate of 3.8%, including the effect of the interest rate swaps in effect at that time. The borrowing capacity under the revolving credit facility is reduced by any outstanding borrowings under the revolving credit facility and outstanding letters of credit. At March 31, 2023, we had outstanding letters of credit totaling $0.6 million, which are used as security deposits for our office facilities. As of March 31, 2023, the unused borrowing capacity under the revolving credit facility was $152.4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7. Restructuring Charges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Restructuring charges for the three months ended March 31, 2023 and 2022 were $2.3 million and $1.6 million, respectively. In the first quarter of 2023, we exited our office space in Hillsboro, Oregon which resulted in a $1.9 million non-cash impairment charge on the related fixed assets and right-of-use operating lease asset of that office space. Additionally, in the first quarter of 2023, we recognized $0.4 million of additional restructuring expense for rent and related expenses, net of sublease income, for previously vacated office spaces. The $1.6 million of restructuring charges incurred in the first three months of 2022 included $0.6 million for rent and related expenses, net of sublease income, for previously vacated office spaces, $0.5 million of employee-related expenses, $0.3 million of accelerated amortization of capitalized software implementation costs for a cloud-computing arrangement that is no longer in use, and $0.1 million for third-party transaction expenses related to the modification of our operating model.</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amount of our restructuring charge liability by restructuring type for the three months ended March 31, 2023.</w:t>
      </w:r>
    </w:p>
    <w:tbl>
      <w:tblPr>
        <w:tblW w:w="6433" w:type="dxa"/>
        <w:jc w:val="left"/>
        <w:tblInd w:w="0" w:type="dxa"/>
        <w:tblCellMar>
          <w:top w:w="28" w:type="dxa"/>
          <w:left w:w="28" w:type="dxa"/>
          <w:bottom w:w="28" w:type="dxa"/>
          <w:right w:w="28" w:type="dxa"/>
        </w:tblCellMar>
      </w:tblPr>
      <w:tblGrid>
        <w:gridCol w:w="922"/>
        <w:gridCol w:w="811"/>
        <w:gridCol w:w="817"/>
        <w:gridCol w:w="313"/>
        <w:gridCol w:w="891"/>
        <w:gridCol w:w="175"/>
        <w:gridCol w:w="109"/>
        <w:gridCol w:w="109"/>
        <w:gridCol w:w="109"/>
        <w:gridCol w:w="109"/>
        <w:gridCol w:w="109"/>
        <w:gridCol w:w="196"/>
        <w:gridCol w:w="421"/>
        <w:gridCol w:w="109"/>
        <w:gridCol w:w="109"/>
        <w:gridCol w:w="109"/>
        <w:gridCol w:w="109"/>
        <w:gridCol w:w="196"/>
        <w:gridCol w:w="556"/>
        <w:gridCol w:w="154"/>
      </w:tblGrid>
      <w:tr>
        <w:trPr/>
        <w:tc>
          <w:tcPr>
            <w:tcW w:w="922"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Other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(2,966)</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2023</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All of the $0.8 million restructuring charge liability related to employee costs at March 31, 2023 is expected to be paid in the next 12 months and is included as a component of accrued payroll and related benefits in our consolidated balance sheet. All of the $0.5 million other restructuring charge liability at March 31, 2023, which relates to the early termination of a contract in 2022, is expected to be paid in the next 12 months and is included as a component of accrued expenses and other current liabilities in our consolidated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8. Derivative Instruments and Hedging Activity</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Indian Rupee-denominated expenses of our operations in India. From time to time, we may enter into additional forward interest rate swaps or non-deliverable foreign exchange forward contracts to further hedge against our interest rate risk and foreign currency exchange rate risk. We do not use derivative instruments for trading or other speculative purposes.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have designated all of our derivative instruments as cash flow hedges. Therefore, changes in the fair value of the interest rate swaps and foreign exchange forward contracts are recorded to other comprehensive income (“OCI”) to the extent effective and reclassified to earnings upon settlement.</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Interest Rate Swaps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are party to forward interest rate swap agreements with aggregate notional amounts of $250.0 million and $200.0 million as of March 31, 2023 and December 31, 2022, respectively.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29, 2028.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As of March 31, 2023, it was anticipated that $5.1 million of the gains, net of tax, related to interest rate swaps currently recorded in accumulated other comprehensive income will be reclassified into interest expense, net of interest income in our consolidated statement of operations within the next 12 months.</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Foreign Exchange Forward Contracts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are party to non-deliverable foreign exchange forward contracts that are scheduled to mature monthly through December 29, 2023. As of March 31, 2023 and December 31, 2022, the aggregate notional amounts of these contracts were INR 789.6 million, or $9.6 million, and INR 657.9 million, or $8.0 million, respectively, based on the exchange rates in effect as of each period end.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As of March 31, 2023, it was anticipated that less than $0.1 million of the gains, net of tax, related to foreign exchange forward contracts currently recorded in accumulated other comprehensive income will be reclassified into direct costs in our consolidated statement of operations within the next 12 months.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as of March 31, 2023 and December 31, 2022.</w:t>
      </w:r>
    </w:p>
    <w:tbl>
      <w:tblPr>
        <w:tblW w:w="8775" w:type="dxa"/>
        <w:jc w:val="left"/>
        <w:tblInd w:w="0" w:type="dxa"/>
        <w:tblCellMar>
          <w:top w:w="28" w:type="dxa"/>
          <w:left w:w="28" w:type="dxa"/>
          <w:bottom w:w="28" w:type="dxa"/>
          <w:right w:w="28" w:type="dxa"/>
        </w:tblCellMar>
      </w:tblPr>
      <w:tblGrid>
        <w:gridCol w:w="977"/>
        <w:gridCol w:w="860"/>
        <w:gridCol w:w="863"/>
        <w:gridCol w:w="1104"/>
        <w:gridCol w:w="1104"/>
        <w:gridCol w:w="1107"/>
        <w:gridCol w:w="109"/>
        <w:gridCol w:w="109"/>
        <w:gridCol w:w="109"/>
        <w:gridCol w:w="196"/>
        <w:gridCol w:w="556"/>
        <w:gridCol w:w="109"/>
        <w:gridCol w:w="109"/>
        <w:gridCol w:w="109"/>
        <w:gridCol w:w="109"/>
        <w:gridCol w:w="245"/>
        <w:gridCol w:w="808"/>
        <w:gridCol w:w="192"/>
      </w:tblGrid>
      <w:tr>
        <w:trPr/>
        <w:tc>
          <w:tcPr>
            <w:tcW w:w="97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2022</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5,131 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3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Refer to Note 10 “Other Comprehensive Income (Loss)” for additional information on our derivative instruments.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9. Fair Value of Financial Instruments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 </w:t>
      </w:r>
    </w:p>
    <w:tbl>
      <w:tblPr>
        <w:tblW w:w="10205" w:type="dxa"/>
        <w:jc w:val="left"/>
        <w:tblInd w:w="0" w:type="dxa"/>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c>
          <w:tcPr>
            <w:tcW w:w="3635"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table below sets forth our fair value hierarchy for our financial assets and liabilities measured at fair value on a recurring basis as of March 31, 2023 and December 31, 2022.</w:t>
      </w:r>
    </w:p>
    <w:tbl>
      <w:tblPr>
        <w:tblW w:w="8651" w:type="dxa"/>
        <w:jc w:val="left"/>
        <w:tblInd w:w="0" w:type="dxa"/>
        <w:tblCellMar>
          <w:top w:w="28" w:type="dxa"/>
          <w:left w:w="28" w:type="dxa"/>
          <w:bottom w:w="28" w:type="dxa"/>
          <w:right w:w="28" w:type="dxa"/>
        </w:tblCellMar>
      </w:tblPr>
      <w:tblGrid>
        <w:gridCol w:w="1316"/>
        <w:gridCol w:w="1158"/>
        <w:gridCol w:w="1170"/>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316"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62,842 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Refer to Note 8 “Derivative Instruments and Hedging Activity” for additional information on our interest rate swaps.</w:t>
      </w:r>
    </w:p>
    <w:p>
      <w:pPr>
        <w:pStyle w:val="TextBody"/>
        <w:spacing w:lineRule="auto" w:line="288" w:before="180" w:after="283"/>
        <w:rPr/>
      </w:pPr>
      <w:r>
        <w:rPr>
          <w:rFonts w:ascii="Arial Narrow;sans-serif" w:hAnsi="Arial Narrow;sans-serif"/>
          <w:b w:val="false"/>
          <w:i/>
          <w:color w:val="000000"/>
          <w:sz w:val="20"/>
        </w:rPr>
        <w:t>Foreign exchange forward contracts</w:t>
      </w:r>
      <w:r>
        <w:rPr>
          <w:rFonts w:ascii="Arial Narrow;sans-serif" w:hAnsi="Arial Narrow;sans-serif"/>
          <w:b w:val="false"/>
          <w:color w:val="000000"/>
          <w:sz w:val="20"/>
        </w:rPr>
        <w:t>: The fair values of our foreign exchange forward contracts were derived using estimates to settle the foreign exchange forward contracts agreements, which are based on the net present value of expected future cash flows on each contract utilizing market-based inputs, including both forward and spot prices, and a discount rate reflecting the risks involved. Refer to Note 8 “Derivative Instruments and Hedging Activity” for additional information on our foreign exchange forward contracts.</w:t>
      </w:r>
    </w:p>
    <w:p>
      <w:pPr>
        <w:pStyle w:val="TextBody"/>
        <w:spacing w:lineRule="auto" w:line="288" w:before="180" w:after="283"/>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pStyle w:val="TextBody"/>
        <w:spacing w:lineRule="auto" w:line="288" w:before="180" w:after="283"/>
        <w:rPr/>
      </w:pPr>
      <w:r>
        <w:rPr>
          <w:rFonts w:ascii="Arial Narrow;sans-serif" w:hAnsi="Arial Narrow;sans-serif"/>
          <w:b w:val="false"/>
          <w:i/>
          <w:color w:val="000000"/>
          <w:sz w:val="20"/>
        </w:rPr>
        <w:t>Convertible debt investment:</w:t>
      </w:r>
      <w:r>
        <w:rPr>
          <w:color w:val="000000"/>
        </w:rPr>
        <w:t xml:space="preserve">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2027; the applicable waterfall distribution at the end of the expected holding period based on the rights and privileges of the various instruments; cash flow projections discounted at the risk-adjusted rate of 23.5% and 24.0% as of March 31, 2023 and December 31, 2022, respectively; and the concluded equity volatility of 40.0% as of March 31, 2023 and December 31, 2022,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in our consolidated balance sheets.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convertible debt investment for the three months ended March 31, 2023. </w:t>
      </w:r>
    </w:p>
    <w:tbl>
      <w:tblPr>
        <w:tblW w:w="5276" w:type="dxa"/>
        <w:jc w:val="left"/>
        <w:tblInd w:w="0" w:type="dxa"/>
        <w:tblCellMar>
          <w:top w:w="28" w:type="dxa"/>
          <w:left w:w="28" w:type="dxa"/>
          <w:bottom w:w="28" w:type="dxa"/>
          <w:right w:w="28" w:type="dxa"/>
        </w:tblCellMar>
      </w:tblPr>
      <w:tblGrid>
        <w:gridCol w:w="922"/>
        <w:gridCol w:w="811"/>
        <w:gridCol w:w="817"/>
        <w:gridCol w:w="109"/>
        <w:gridCol w:w="109"/>
        <w:gridCol w:w="109"/>
        <w:gridCol w:w="470"/>
        <w:gridCol w:w="1556"/>
        <w:gridCol w:w="373"/>
      </w:tblGrid>
      <w:tr>
        <w:trPr/>
        <w:tc>
          <w:tcPr>
            <w:tcW w:w="922"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99"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5,279 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62,842 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5.9% as of March 31, 2023 and 5.5% as of December 31, 2022.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three months ended March 31, 2023. </w:t>
      </w:r>
    </w:p>
    <w:tbl>
      <w:tblPr>
        <w:tblW w:w="7196" w:type="dxa"/>
        <w:jc w:val="left"/>
        <w:tblInd w:w="0" w:type="dxa"/>
        <w:tblCellMar>
          <w:top w:w="28" w:type="dxa"/>
          <w:left w:w="28" w:type="dxa"/>
          <w:bottom w:w="28" w:type="dxa"/>
          <w:right w:w="28" w:type="dxa"/>
        </w:tblCellMar>
      </w:tblPr>
      <w:tblGrid>
        <w:gridCol w:w="923"/>
        <w:gridCol w:w="811"/>
        <w:gridCol w:w="816"/>
        <w:gridCol w:w="109"/>
        <w:gridCol w:w="109"/>
        <w:gridCol w:w="109"/>
        <w:gridCol w:w="934"/>
        <w:gridCol w:w="2651"/>
        <w:gridCol w:w="734"/>
      </w:tblGrid>
      <w:tr>
        <w:trPr/>
        <w:tc>
          <w:tcPr>
            <w:tcW w:w="92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19"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19"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435 </w:t>
            </w:r>
          </w:p>
        </w:tc>
        <w:tc>
          <w:tcPr>
            <w:tcW w:w="7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3,625 </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19"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19"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19"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1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spacing w:lineRule="auto" w:line="288" w:before="180" w:after="283"/>
        <w:rPr>
          <w:rFonts w:ascii="Arial Narrow;sans-serif" w:hAnsi="Arial Narrow;sans-serif"/>
          <w:b w:val="false"/>
          <w:i/>
          <w:color w:val="000000"/>
          <w:sz w:val="20"/>
        </w:rPr>
      </w:pPr>
      <w:r>
        <w:rPr>
          <w:rFonts w:ascii="Arial Narrow;sans-serif" w:hAnsi="Arial Narrow;sans-serif"/>
          <w:b w:val="false"/>
          <w:i/>
          <w:color w:val="000000"/>
          <w:sz w:val="20"/>
        </w:rPr>
        <w:t>Medically Home Preferred Stock Investment</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In the fourth quarter of 2019, we invested $5.0 million in Medically Home Group, Inc. (“Medically Home”), a hospital-at-home company. The investment was made in the form of preferred stock. To determine the appropriate accounting treatment for our preferred stock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an identical or similar investment in Medically Home. On a quarterly basis, we review the information available to determine whether an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orderly and observable transaction for the same or similar equity instrument occurred, and remeasure to the fair value of the preferred stock using such identified transactions, with changes in the fair value recorded in our consolidated statement of operations.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During the first quarter of 2022, we recognized a pre-tax unrealized gain of $27.0 million based on an observable price change of preferred stock issued by Medically Home with similar rights and preferences to our preferred stock investment, a Level 2 input. There were no observable price changes for the remainder of 2022 or in the first quarter of 2023. Since our initial investment, we have recognized cumulative pre-tax unrealized gains of $28.6 million, which were recorded to other income (expense), net in our consolidated statement of operations, and we have not identified any impairments of our investment. As of March 31, 2023 and December 31, 2022, the carrying amount of our preferred stock investment was $33.6 million. </w:t>
      </w:r>
    </w:p>
    <w:p>
      <w:pPr>
        <w:pStyle w:val="TextBody"/>
        <w:spacing w:lineRule="auto" w:line="288" w:before="180" w:after="283"/>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6 “Financing Arrangements” for additional information on our senior secured credit facility.</w:t>
      </w:r>
    </w:p>
    <w:p>
      <w:pPr>
        <w:pStyle w:val="TextBody"/>
        <w:spacing w:lineRule="auto" w:line="288" w:before="180" w:after="283"/>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10. Other Comprehensive Income (Loss)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table below sets forth the components of other comprehensive income (loss), net of tax, for the three months ended March 31, 2023 and 2022.</w:t>
      </w:r>
    </w:p>
    <w:tbl>
      <w:tblPr>
        <w:tblW w:w="10205" w:type="dxa"/>
        <w:jc w:val="left"/>
        <w:tblInd w:w="0" w:type="dxa"/>
        <w:tblCellMar>
          <w:top w:w="28" w:type="dxa"/>
          <w:left w:w="28" w:type="dxa"/>
          <w:bottom w:w="28" w:type="dxa"/>
          <w:right w:w="28" w:type="dxa"/>
        </w:tblCellMar>
      </w:tblPr>
      <w:tblGrid>
        <w:gridCol w:w="1155"/>
        <w:gridCol w:w="938"/>
        <w:gridCol w:w="940"/>
        <w:gridCol w:w="196"/>
        <w:gridCol w:w="606"/>
        <w:gridCol w:w="109"/>
        <w:gridCol w:w="109"/>
        <w:gridCol w:w="109"/>
        <w:gridCol w:w="109"/>
        <w:gridCol w:w="196"/>
        <w:gridCol w:w="616"/>
        <w:gridCol w:w="109"/>
        <w:gridCol w:w="109"/>
        <w:gridCol w:w="109"/>
        <w:gridCol w:w="109"/>
        <w:gridCol w:w="196"/>
        <w:gridCol w:w="606"/>
        <w:gridCol w:w="109"/>
        <w:gridCol w:w="109"/>
        <w:gridCol w:w="109"/>
        <w:gridCol w:w="109"/>
        <w:gridCol w:w="196"/>
        <w:gridCol w:w="606"/>
        <w:gridCol w:w="109"/>
        <w:gridCol w:w="109"/>
        <w:gridCol w:w="109"/>
        <w:gridCol w:w="109"/>
        <w:gridCol w:w="196"/>
        <w:gridCol w:w="616"/>
        <w:gridCol w:w="109"/>
        <w:gridCol w:w="109"/>
        <w:gridCol w:w="109"/>
        <w:gridCol w:w="109"/>
        <w:gridCol w:w="196"/>
        <w:gridCol w:w="606"/>
        <w:gridCol w:w="160"/>
      </w:tblGrid>
      <w:tr>
        <w:trPr/>
        <w:tc>
          <w:tcPr>
            <w:tcW w:w="1155"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 2022</w:t>
            </w:r>
          </w:p>
        </w:tc>
      </w:tr>
      <w:tr>
        <w:trPr/>
        <w:tc>
          <w:tcPr>
            <w:tcW w:w="3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3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on foreign exchange forward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98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61" w:type="dxa"/>
            <w:gridSpan w:val="2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before tax amounts reclassified from accumulated other comprehensive income related to our interest rate swaps and foreign exchange forward contracts are recorded to interest expense, net of interest income, and direct costs, respectively. Refer to Note 8 “Derivative Instruments and Hedging Activity” for additional information on our derivative instruments.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0" w:after="0"/>
        <w:rPr/>
      </w:pPr>
      <w:r>
        <w:rPr>
          <w:rFonts w:ascii="Arial Narrow;sans-serif" w:hAnsi="Arial Narrow;sans-serif"/>
          <w:b w:val="false"/>
          <w:color w:val="000000"/>
          <w:sz w:val="20"/>
        </w:rPr>
        <w:t>Accumulated other comprehensive income, net of tax, includes the following components:</w:t>
      </w:r>
      <w:r>
        <w:rPr>
          <w:color w:val="000000"/>
        </w:rPr>
        <w:t> </w:t>
      </w:r>
    </w:p>
    <w:tbl>
      <w:tblPr>
        <w:tblW w:w="10205" w:type="dxa"/>
        <w:jc w:val="left"/>
        <w:tblInd w:w="0" w:type="dxa"/>
        <w:tblCellMar>
          <w:top w:w="28" w:type="dxa"/>
          <w:left w:w="28" w:type="dxa"/>
          <w:bottom w:w="28" w:type="dxa"/>
          <w:right w:w="28" w:type="dxa"/>
        </w:tblCellMar>
      </w:tblPr>
      <w:tblGrid>
        <w:gridCol w:w="555"/>
        <w:gridCol w:w="489"/>
        <w:gridCol w:w="492"/>
        <w:gridCol w:w="351"/>
        <w:gridCol w:w="1023"/>
        <w:gridCol w:w="196"/>
        <w:gridCol w:w="109"/>
        <w:gridCol w:w="109"/>
        <w:gridCol w:w="109"/>
        <w:gridCol w:w="383"/>
        <w:gridCol w:w="1265"/>
        <w:gridCol w:w="214"/>
        <w:gridCol w:w="109"/>
        <w:gridCol w:w="109"/>
        <w:gridCol w:w="109"/>
        <w:gridCol w:w="268"/>
        <w:gridCol w:w="762"/>
        <w:gridCol w:w="149"/>
        <w:gridCol w:w="109"/>
        <w:gridCol w:w="109"/>
        <w:gridCol w:w="109"/>
        <w:gridCol w:w="524"/>
        <w:gridCol w:w="927"/>
        <w:gridCol w:w="296"/>
        <w:gridCol w:w="109"/>
        <w:gridCol w:w="109"/>
        <w:gridCol w:w="109"/>
        <w:gridCol w:w="196"/>
        <w:gridCol w:w="646"/>
        <w:gridCol w:w="161"/>
      </w:tblGrid>
      <w:tr>
        <w:trPr/>
        <w:tc>
          <w:tcPr>
            <w:tcW w:w="555"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Cash Flow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Currency 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Available-for-Sale Investment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5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9,012 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period change</w:t>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3,873 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(2,451)</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2023</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16,101 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6,561 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11. Income Taxes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2023, our effective tax rate was 15.3% as we recognized income tax expense of $2.4 million on income of $15.8 million. The effective tax rate of 15.3% was more favorable than the statutory rate, inclusive of state income taxes, of 26.6%, primarily due to a discrete tax benefit for share-based compensation awards that vested during the quarter and a tax benefit related to non-taxable gains on our investments used to fund our deferred compensation liability. These favorable items were partially offset by certain nondeductible expense items.</w:t>
      </w:r>
    </w:p>
    <w:p>
      <w:pPr>
        <w:pStyle w:val="TextBody"/>
        <w:spacing w:lineRule="auto" w:line="26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For the three months ended March 31, 2022, our effective tax rate was 29.6% as we recognized income tax expense of $11.3 million on income of $38.1 million. The effective tax rate of 29.6% was less favorable than the statutory rate, inclusive of state income taxes, of 26.4%, primarily due to tax expense related to nondeductible losses on our investments used to fund our deferred compensation liability and certain nondeductible expense items.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As of March 31, 2023, we had $0.6 million of unrecognized tax benefits which would affect the effective tax rate if recognized. It is reasonably possible that $0.6 million of the liability for unrecognized tax benefits could decrease in the next twelve months due to the expiration of statutes of limitations.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12. Commitments, Contingencies and Guarantees</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Litigation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Guarantees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$0.6 million and $0.7 million were outstanding as of March 31, 2023 and December 31, 2022, respectively, to support certain office lease obligations.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connection with certain business acquisitions, we may be required to pay post-closing consideration to the sellers if specific financial performance targets are met over a number of years as specified in the related purchase agreements. As of March 31, 2023 and December 31, 2022, the total estimated fair value of our outstanding contingent consideration liability was $3.6 million and $3.2 million, respectively.</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13. Segment Information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chief executive officer, manages the business under three operating segments, which are our reportable segments: Healthcare, Education and Commercial. </w:t>
      </w:r>
    </w:p>
    <w:p>
      <w:pPr>
        <w:pStyle w:val="TextBody"/>
        <w:spacing w:lineRule="auto" w:line="288" w:before="180" w:after="283"/>
        <w:ind w:left="0" w:right="0" w:hanging="360"/>
        <w:rPr/>
      </w:pPr>
      <w:r>
        <w:rPr>
          <w:color w:val="000000"/>
        </w:rPr>
        <w:t>•</w:t>
      </w:r>
      <w:r>
        <w:rPr>
          <w:rFonts w:ascii="Arial Narrow;sans-serif" w:hAnsi="Arial Narrow;sans-serif"/>
          <w:b/>
          <w:color w:val="000000"/>
          <w:sz w:val="20"/>
        </w:rPr>
        <w:t>Healthcare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Healthcare organizations are focused on establishing a sustainable long-term strategy and business model centered around growth,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identifying new opportunities for growth, optimizing financial and operational performance, improving care delivery and clinical outcomes, increasing physician, patient and employee satisfaction, and maximizing return on technology investments. </w:t>
      </w:r>
    </w:p>
    <w:p>
      <w:pPr>
        <w:pStyle w:val="TextBody"/>
        <w:spacing w:lineRule="auto" w:line="288" w:before="180" w:after="283"/>
        <w:ind w:left="0" w:right="0" w:hanging="360"/>
        <w:rPr/>
      </w:pPr>
      <w:r>
        <w:rPr>
          <w:color w:val="000000"/>
        </w:rPr>
        <w:t>•</w:t>
      </w:r>
      <w:r>
        <w:rPr>
          <w:rFonts w:ascii="Arial Narrow;sans-serif" w:hAnsi="Arial Narrow;sans-serif"/>
          <w:b/>
          <w:color w:val="000000"/>
          <w:sz w:val="20"/>
        </w:rPr>
        <w:t>Education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Huron Research Suite, the leading software suite designed to facilitate and improve research administration service delivery and compliance;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w:t>
      </w:r>
    </w:p>
    <w:p>
      <w:pPr>
        <w:pStyle w:val="TextBody"/>
        <w:spacing w:lineRule="auto" w:line="288" w:before="180" w:after="283"/>
        <w:ind w:left="0" w:right="0" w:hanging="360"/>
        <w:rPr/>
      </w:pPr>
      <w:r>
        <w:rPr>
          <w:color w:val="000000"/>
        </w:rPr>
        <w:t>•</w:t>
      </w:r>
      <w:r>
        <w:rPr>
          <w:rFonts w:ascii="Arial Narrow;sans-serif" w:hAnsi="Arial Narrow;sans-serif"/>
          <w:b/>
          <w:color w:val="000000"/>
          <w:sz w:val="20"/>
        </w:rPr>
        <w:t>Commercial</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to identify the needs of tomorrow’s customers, evolving their strategies, and bringing new products to market; managing through stressed and distressed situations to create a viable path forward for stakeholders; and providing financial, risk and regulatory advisory offerings.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table below sets forth information about our operating segments for the three months ended March 31, 2023 and 2022, along with the items necessary to reconcile the segment information to the totals reported in the accompanying consolidated financial statements.</w:t>
      </w:r>
    </w:p>
    <w:tbl>
      <w:tblPr>
        <w:tblW w:w="8301" w:type="dxa"/>
        <w:jc w:val="left"/>
        <w:tblInd w:w="0" w:type="dxa"/>
        <w:tblCellMar>
          <w:top w:w="28" w:type="dxa"/>
          <w:left w:w="28" w:type="dxa"/>
          <w:bottom w:w="28" w:type="dxa"/>
          <w:right w:w="28" w:type="dxa"/>
        </w:tblCellMar>
      </w:tblPr>
      <w:tblGrid>
        <w:gridCol w:w="1730"/>
        <w:gridCol w:w="1525"/>
        <w:gridCol w:w="1529"/>
        <w:gridCol w:w="109"/>
        <w:gridCol w:w="109"/>
        <w:gridCol w:w="137"/>
        <w:gridCol w:w="137"/>
        <w:gridCol w:w="247"/>
        <w:gridCol w:w="929"/>
        <w:gridCol w:w="304"/>
        <w:gridCol w:w="109"/>
        <w:gridCol w:w="109"/>
        <w:gridCol w:w="109"/>
        <w:gridCol w:w="196"/>
        <w:gridCol w:w="736"/>
        <w:gridCol w:w="286"/>
      </w:tblGrid>
      <w:tr>
        <w:trPr/>
        <w:tc>
          <w:tcPr>
            <w:tcW w:w="1730"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5" w:type="dxa"/>
            <w:gridSpan w:val="6"/>
            <w:tcBorders/>
            <w:shd w:fill="auto" w:val="clea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149,049 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121,876 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32,255 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28,032 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104,147 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80,662 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23,165 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14,306 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64,699 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57,511 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14,067 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12,214 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260,049 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8,490 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and reimbursable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326,385 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264,775 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69,487 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46,340 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33,548 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4,716 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5,046 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18,431 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15,958 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22,169 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15,847 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38,127 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illustrates the disaggregation of revenues by our two principal capabilities: i) Consulting and Managed Services and ii) Digital, and includes a reconciliation of the disaggregated revenues to revenues from our three operating segments for the three months ended March 31, 2023 and 2022.</w:t>
      </w:r>
    </w:p>
    <w:tbl>
      <w:tblPr>
        <w:tblW w:w="6263" w:type="dxa"/>
        <w:jc w:val="left"/>
        <w:tblInd w:w="0" w:type="dxa"/>
        <w:tblCellMar>
          <w:top w:w="28" w:type="dxa"/>
          <w:left w:w="28" w:type="dxa"/>
          <w:bottom w:w="28" w:type="dxa"/>
          <w:right w:w="28" w:type="dxa"/>
        </w:tblCellMar>
      </w:tblPr>
      <w:tblGrid>
        <w:gridCol w:w="925"/>
        <w:gridCol w:w="810"/>
        <w:gridCol w:w="815"/>
        <w:gridCol w:w="109"/>
        <w:gridCol w:w="109"/>
        <w:gridCol w:w="109"/>
        <w:gridCol w:w="109"/>
        <w:gridCol w:w="109"/>
        <w:gridCol w:w="152"/>
        <w:gridCol w:w="152"/>
        <w:gridCol w:w="273"/>
        <w:gridCol w:w="1026"/>
        <w:gridCol w:w="152"/>
        <w:gridCol w:w="109"/>
        <w:gridCol w:w="109"/>
        <w:gridCol w:w="109"/>
        <w:gridCol w:w="196"/>
        <w:gridCol w:w="736"/>
        <w:gridCol w:w="154"/>
      </w:tblGrid>
      <w:tr>
        <w:trPr/>
        <w:tc>
          <w:tcPr>
            <w:tcW w:w="92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by Capability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101,736 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47,313 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149,049 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53,227 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50,920 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104,147 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22,231 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42,468 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64,699 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177,194 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140,701 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2023 and 2022, substantially all of our revenues were recognized over time. At March 31, 2023 and December 31, 2022, no single client accounted for greater than 10% of our combined balance of receivables from clients, net and unbilled services, net. During the three months ended March 31, 2023 and 2022, no single client generated greater than 10% of our consolidated revenues.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9315" w:type="dxa"/>
        <w:jc w:val="left"/>
        <w:tblInd w:w="0" w:type="dxa"/>
        <w:tblCellMar>
          <w:top w:w="28" w:type="dxa"/>
          <w:left w:w="28" w:type="dxa"/>
          <w:bottom w:w="28" w:type="dxa"/>
          <w:right w:w="28" w:type="dxa"/>
        </w:tblCellMar>
      </w:tblPr>
      <w:tblGrid>
        <w:gridCol w:w="250"/>
        <w:gridCol w:w="219"/>
        <w:gridCol w:w="221"/>
        <w:gridCol w:w="2525"/>
        <w:gridCol w:w="2525"/>
        <w:gridCol w:w="3575"/>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c>
          <w:tcPr>
            <w:tcW w:w="3575"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8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spacing w:lineRule="auto" w:line="288" w:before="80" w:after="283"/>
        <w:rPr>
          <w:rFonts w:ascii="Arial Narrow;sans-serif" w:hAnsi="Arial Narrow;sans-serif"/>
          <w:b w:val="false"/>
          <w:i/>
          <w:color w:val="000000"/>
          <w:sz w:val="20"/>
        </w:rPr>
      </w:pPr>
      <w:r>
        <w:rPr>
          <w:rFonts w:ascii="Arial Narrow;sans-serif" w:hAnsi="Arial Narrow;sans-serif"/>
          <w:b w:val="false"/>
          <w:i/>
          <w:color w:val="000000"/>
          <w:sz w:val="20"/>
        </w:rPr>
        <w:t>In this Quarterly Report on Form 10-Q, unless the context otherwise requires, the terms “Huron,” “Company,” “we,” “us” and “our” refer to Huron Consulting Group Inc. and its subsidiaries.</w:t>
      </w:r>
    </w:p>
    <w:p>
      <w:pPr>
        <w:pStyle w:val="TextBody"/>
        <w:spacing w:lineRule="auto" w:line="288" w:before="180" w:after="283"/>
        <w:rPr>
          <w:rFonts w:ascii="Arial Narrow;sans-serif" w:hAnsi="Arial Narrow;sans-serif"/>
          <w:b w:val="false"/>
          <w:i/>
          <w:color w:val="000000"/>
          <w:sz w:val="20"/>
        </w:rPr>
      </w:pPr>
      <w:r>
        <w:rPr>
          <w:rFonts w:ascii="Arial Narrow;sans-serif" w:hAnsi="Arial Narrow;sans-serif"/>
          <w:b w:val="false"/>
          <w:i/>
          <w:color w:val="000000"/>
          <w:sz w:val="20"/>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2022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OVERVIEW</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Our Business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develop growth strategies, optimize operations and accelerate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provide our services and products and manage our business under three operating segments: Healthcare, Education and Commercial. We also provide revenue reporting across two principal capabilities: i) Consulting and Managed Services and ii) Digital. </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Capabilities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Within each of our reportable segments, we provide services under two principal capabilities: i) Consulting and Managed Services and ii) Digital.</w:t>
      </w:r>
    </w:p>
    <w:p>
      <w:pPr>
        <w:pStyle w:val="TextBody"/>
        <w:spacing w:lineRule="auto" w:line="288" w:before="180" w:after="283"/>
        <w:ind w:left="0" w:right="0" w:hanging="360"/>
        <w:rPr/>
      </w:pPr>
      <w:r>
        <w:rPr>
          <w:color w:val="000000"/>
        </w:rPr>
        <w:t>•</w:t>
      </w:r>
      <w:r>
        <w:rPr>
          <w:rFonts w:ascii="Arial Narrow;sans-serif" w:hAnsi="Arial Narrow;sans-serif"/>
          <w:b/>
          <w:i/>
          <w:color w:val="000000"/>
          <w:sz w:val="20"/>
        </w:rPr>
        <w:t>Consulting and Managed Services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at our healthcare and education clients, where our consulting and managed services projects are often coupled with our digital services and product offerings.</w:t>
      </w:r>
    </w:p>
    <w:p>
      <w:pPr>
        <w:pStyle w:val="TextBody"/>
        <w:spacing w:lineRule="auto" w:line="288" w:before="180" w:after="283"/>
        <w:ind w:left="0" w:right="0" w:hanging="360"/>
        <w:rPr/>
      </w:pPr>
      <w:r>
        <w:rPr>
          <w:color w:val="000000"/>
        </w:rPr>
        <w:t>•</w:t>
      </w:r>
      <w:r>
        <w:rPr>
          <w:rFonts w:ascii="Arial Narrow;sans-serif" w:hAnsi="Arial Narrow;sans-serif"/>
          <w:b/>
          <w:i/>
          <w:color w:val="000000"/>
          <w:sz w:val="20"/>
        </w:rPr>
        <w:t>Digital</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25 technology partners. We are a Leading Modern Oracle Network Partner; a Summit-level consulting partner with Salesforce.com and a Premium Partner with Salesforce.org; a Workday Services, Preferred Channel, Extend, and Application Management Services Partner; an Amazon Web Services consulting partner; an Informatica Platinum Partner; an SAP Concur implementation partner; and a Boomi Elite Partner.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2023 Best in KLAS® report; and Huron Intelligence™ Analytic Suite in Healthcare, a predictive analytics suite to improve care delivery while lowering costs.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industries, which are our operating segments: Healthcare, Education and Commercial.</w:t>
      </w:r>
    </w:p>
    <w:p>
      <w:pPr>
        <w:pStyle w:val="TextBody"/>
        <w:spacing w:lineRule="auto" w:line="288" w:before="180" w:after="283"/>
        <w:ind w:left="0" w:right="0" w:hanging="360"/>
        <w:rPr/>
      </w:pPr>
      <w:r>
        <w:rPr>
          <w:color w:val="000000"/>
        </w:rPr>
        <w:t>•</w:t>
      </w:r>
      <w:r>
        <w:rPr>
          <w:rFonts w:ascii="Arial Narrow;sans-serif" w:hAnsi="Arial Narrow;sans-serif"/>
          <w:b/>
          <w:i/>
          <w:color w:val="000000"/>
          <w:sz w:val="20"/>
        </w:rPr>
        <w:t>Healthcare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Healthcare organizations are focused on establishing a sustainable long-term strategy and business model centered around growth,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identifying new opportunities for growth, optimizing financial and operational performance, improving care delivery and clinical outcomes, increasing physician, patient and employee satisfaction, and maximizing return on technology investments. </w:t>
      </w:r>
    </w:p>
    <w:p>
      <w:pPr>
        <w:pStyle w:val="TextBody"/>
        <w:spacing w:lineRule="auto" w:line="288" w:before="180" w:after="283"/>
        <w:ind w:left="0" w:right="0" w:hanging="360"/>
        <w:rPr/>
      </w:pPr>
      <w:r>
        <w:rPr>
          <w:color w:val="000000"/>
        </w:rPr>
        <w:t>•</w:t>
      </w:r>
      <w:r>
        <w:rPr>
          <w:rFonts w:ascii="Arial Narrow;sans-serif" w:hAnsi="Arial Narrow;sans-serif"/>
          <w:b/>
          <w:i/>
          <w:color w:val="000000"/>
          <w:sz w:val="20"/>
        </w:rPr>
        <w:t>Education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Huron Research Suite, the leading software suite designed to facilitate and improve research administration service delivery and compliance;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 </w:t>
      </w:r>
    </w:p>
    <w:p>
      <w:pPr>
        <w:pStyle w:val="TextBody"/>
        <w:spacing w:lineRule="auto" w:line="288" w:before="180" w:after="283"/>
        <w:ind w:left="0" w:right="0" w:hanging="360"/>
        <w:rPr/>
      </w:pPr>
      <w:r>
        <w:rPr>
          <w:color w:val="000000"/>
        </w:rPr>
        <w:t>•</w:t>
      </w:r>
      <w:r>
        <w:rPr>
          <w:rFonts w:ascii="Arial Narrow;sans-serif" w:hAnsi="Arial Narrow;sans-serif"/>
          <w:b/>
          <w:i/>
          <w:color w:val="000000"/>
          <w:sz w:val="20"/>
        </w:rPr>
        <w:t>Commercial</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to identify the needs of tomorrow’s customers, evolving their strategies, and bringing new products to market; managing through stressed and distressed situations to create a viable path forward for stakeholders; and providing financial, risk and regulatory advisory offerings.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Business Strategy, Opportunities and Challenges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Our strategy is to be the premier transformation partner to our clients by helping them address a variety of strategic, operational, financial, people, and organizational challenges through an array of industry-differentiated consulting, digital and managed services offerings that meet their unique needs. To achieve our strategic and financial objectives that will drive increased shareholder value, we remain focused on: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Extending our leading market positions and accelerating growth in healthcare and education,</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Growing our presence in commercial industries,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Advancing our integrated, global digital platform,</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Building a more sustainable base of revenue and executing on our margin levers to drive more consistent growth and improved profitability,</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 xml:space="preserve">Strategically deploying capital to accelerate our strategy and return capital to shareholders, and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Investing in and growing our talented team, including attracting and retaining our managing directors - the senior most practitioners that lead our revenue generation efforts.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regularly evaluate the performance of our businesses to ensure our investments meet these objectives.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Revenues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generate our revenues from providing professional services and software products under the following four types of billing arrangements: fixed-fee (including software license revenue); time-and-expense; performance-based; and software support, maintenance and subscriptions.</w:t>
      </w:r>
    </w:p>
    <w:p>
      <w:pPr>
        <w:pStyle w:val="TextBody"/>
        <w:spacing w:lineRule="auto" w:line="288" w:before="180" w:after="283"/>
        <w:ind w:left="0" w:right="0" w:hanging="360"/>
        <w:rPr/>
      </w:pPr>
      <w:r>
        <w:rPr>
          <w:color w:val="000000"/>
        </w:rPr>
        <w:t>•</w:t>
      </w:r>
      <w:r>
        <w:rPr>
          <w:rFonts w:ascii="Arial Narrow;sans-serif" w:hAnsi="Arial Narrow;sans-serif"/>
          <w:b w:val="false"/>
          <w:i/>
          <w:color w:val="000000"/>
          <w:sz w:val="20"/>
        </w:rPr>
        <w:t>Fixed-fee (including software license revenue):</w:t>
      </w:r>
      <w:r>
        <w:rPr>
          <w:color w:val="000000"/>
        </w:rPr>
        <w:t xml:space="preserve"> </w:t>
      </w:r>
      <w:r>
        <w:rPr>
          <w:rFonts w:ascii="Arial Narrow;sans-serif" w:hAnsi="Arial Narrow;sans-serif"/>
          <w:b w:val="false"/>
          <w:color w:val="000000"/>
          <w:sz w:val="20"/>
        </w:rPr>
        <w:t xml:space="preserve">In fixed-fee billing arrangements, we agree to a pre-established fee in exchange for a predetermined set of professional services. We set the fees based on our estimates of the costs and timing for completing the engagements. Fixed-fee arrangements also include software licenses for our revenue cycle management software and research administration and compliance software. </w:t>
      </w:r>
    </w:p>
    <w:p>
      <w:pPr>
        <w:pStyle w:val="TextBody"/>
        <w:spacing w:lineRule="auto" w:line="288" w:before="180" w:after="283"/>
        <w:ind w:left="0" w:right="0" w:hanging="360"/>
        <w:rPr/>
      </w:pPr>
      <w:r>
        <w:rPr>
          <w:color w:val="000000"/>
        </w:rPr>
        <w:t>•</w:t>
      </w:r>
      <w:r>
        <w:rPr>
          <w:rFonts w:ascii="Arial Narrow;sans-serif" w:hAnsi="Arial Narrow;sans-serif"/>
          <w:b w:val="false"/>
          <w:i/>
          <w:color w:val="000000"/>
          <w:sz w:val="20"/>
        </w:rPr>
        <w:t>Time-and-expense:</w:t>
      </w:r>
      <w:r>
        <w:rPr>
          <w:color w:val="000000"/>
        </w:rPr>
        <w:t xml:space="preserve"> </w:t>
      </w:r>
      <w:r>
        <w:rPr>
          <w:rFonts w:ascii="Arial Narrow;sans-serif" w:hAnsi="Arial Narrow;sans-serif"/>
          <w:b w:val="false"/>
          <w:color w:val="000000"/>
          <w:sz w:val="20"/>
        </w:rPr>
        <w:t xml:space="preserve">Under time-and-expense billing arrangements, we require the client to pay based on the number of hours worked by our revenue-generating professionals at agreed upon rates. Time-and-expense arrangements also include speaking engagements, conferences and publications purchased by our clients. </w:t>
      </w:r>
    </w:p>
    <w:p>
      <w:pPr>
        <w:pStyle w:val="TextBody"/>
        <w:spacing w:lineRule="auto" w:line="288" w:before="180" w:after="283"/>
        <w:ind w:left="0" w:right="0" w:hanging="360"/>
        <w:rPr/>
      </w:pPr>
      <w:r>
        <w:rPr>
          <w:color w:val="000000"/>
        </w:rPr>
        <w:t>•</w:t>
      </w:r>
      <w:r>
        <w:rPr>
          <w:rFonts w:ascii="Arial Narrow;sans-serif" w:hAnsi="Arial Narrow;sans-serif"/>
          <w:b w:val="false"/>
          <w:i/>
          <w:color w:val="000000"/>
          <w:sz w:val="20"/>
        </w:rPr>
        <w:t xml:space="preserve">Performance-based: </w:t>
      </w:r>
      <w:r>
        <w:rPr>
          <w:rFonts w:ascii="Arial Narrow;sans-serif" w:hAnsi="Arial Narrow;sans-serif"/>
          <w:b w:val="false"/>
          <w:color w:val="000000"/>
          <w:sz w:val="20"/>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time-and-expense or fixed-fee engagements. The level of performance-based fees earned may vary based on our clients’ risk sharing preferences and the mix of services we provide.</w:t>
      </w:r>
    </w:p>
    <w:p>
      <w:pPr>
        <w:pStyle w:val="TextBody"/>
        <w:spacing w:lineRule="auto" w:line="288" w:before="180" w:after="283"/>
        <w:ind w:left="0" w:right="0" w:hanging="360"/>
        <w:rPr/>
      </w:pPr>
      <w:r>
        <w:rPr>
          <w:color w:val="000000"/>
        </w:rPr>
        <w:t>•</w:t>
      </w:r>
      <w:r>
        <w:rPr>
          <w:rFonts w:ascii="Arial Narrow;sans-serif" w:hAnsi="Arial Narrow;sans-serif"/>
          <w:b w:val="false"/>
          <w:i/>
          <w:color w:val="000000"/>
          <w:sz w:val="20"/>
        </w:rPr>
        <w:t xml:space="preserve">Software support, maintenance and subscriptions: </w:t>
      </w:r>
      <w:r>
        <w:rPr>
          <w:rFonts w:ascii="Arial Narrow;sans-serif" w:hAnsi="Arial Narrow;sans-serif"/>
          <w:b w:val="false"/>
          <w:color w:val="000000"/>
          <w:sz w:val="20"/>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Reimbursable Expenses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and reimbursable expenses. We manage our business on the basis of revenues before reimbursable expenses, which we believe is the most accurate reflection of our services because it eliminates the effect of reimbursable expenses that we bill to our clients at cost.</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 xml:space="preserve">Operating Expenses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consist primarily of compensation costs for our support personnel. Also included in selling, general and administrative expenses is third-party professional fees, software licenses and data hosting expenses, rent and other office related expenses, sales and marketing related expenses, recruiting and training expenses, and practice administration and meetings expenses.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Other operating expenses include restructuring charges, depreciation expense, amortization expense related to internally developed software costs and amortization of intangible assets acquired in business combinations.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Other operating expenses not allocated at the segment level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Non-GAAP Measures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also assess our results of operations using the following non-GAAP financial measures: earnings before interest, taxes, depreciation and amortization (“EBITDA”), adjusted EBITDA, adjusted EBITDA as a percentage of revenues, adjusted net income, and adjusted diluted earnings per share (“EPS”).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spacing w:lineRule="auto" w:line="288" w:before="180" w:after="283"/>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TextBody"/>
        <w:spacing w:lineRule="auto" w:line="288" w:before="180" w:after="283"/>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are not impacted by these items.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pPr>
      <w:r>
        <w:rPr>
          <w:rFonts w:ascii="Arial Narrow;sans-serif" w:hAnsi="Arial Narrow;sans-serif"/>
          <w:b w:val="false"/>
          <w:i/>
          <w:color w:val="000000"/>
          <w:sz w:val="20"/>
        </w:rPr>
        <w:t>Other losses (gains):</w:t>
      </w:r>
      <w:r>
        <w:rPr>
          <w:color w:val="000000"/>
        </w:rPr>
        <w:t> </w:t>
      </w:r>
      <w:r>
        <w:rPr>
          <w:rFonts w:ascii="Arial Narrow;sans-serif" w:hAnsi="Arial Narrow;sans-serif"/>
          <w:b w:val="false"/>
          <w:color w:val="000000"/>
          <w:sz w:val="20"/>
        </w:rPr>
        <w:t>We exclude the effects of other losses (gains), which primarily relate to changes in the estimated fair value of our liabilities for contingent consideration related to business acquisitions and litigation settlement losses and gains, to permit comparability with periods that are not impacted by these items.</w:t>
      </w:r>
    </w:p>
    <w:p>
      <w:pPr>
        <w:pStyle w:val="TextBody"/>
        <w:spacing w:lineRule="auto" w:line="288" w:before="180" w:after="283"/>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To permit comparability with prior periods, we exclude the impact of third-party legal and accounting fees incurred related to business acquisitions.</w:t>
      </w:r>
    </w:p>
    <w:p>
      <w:pPr>
        <w:pStyle w:val="TextBody"/>
        <w:spacing w:lineRule="auto" w:line="288" w:before="180" w:after="283"/>
        <w:rPr/>
      </w:pPr>
      <w:r>
        <w:rPr>
          <w:rFonts w:ascii="Arial Narrow;sans-serif" w:hAnsi="Arial Narrow;sans-serif"/>
          <w:b w:val="false"/>
          <w:i/>
          <w:color w:val="000000"/>
          <w:sz w:val="20"/>
        </w:rPr>
        <w:t>Unrealized gain on preferred stock investment:</w:t>
      </w:r>
      <w:r>
        <w:rPr>
          <w:color w:val="000000"/>
        </w:rPr>
        <w:t xml:space="preserve"> </w:t>
      </w:r>
      <w:r>
        <w:rPr>
          <w:rFonts w:ascii="Arial Narrow;sans-serif" w:hAnsi="Arial Narrow;sans-serif"/>
          <w:b w:val="false"/>
          <w:color w:val="000000"/>
          <w:sz w:val="20"/>
        </w:rPr>
        <w:t>We exclude the effect of unrealized gains related to changes in the fair value of our preferred stock investment in Medically Home Group, Inc. (“Medically Home”), which are recognized when an observable price change occurs. These unrealized gains are included as a component of other income (expense), net. We believe that these unrealized gains are not indicative of the ongoing performance of our business and their exclusion permits comparability with prior periods.</w:t>
      </w:r>
    </w:p>
    <w:p>
      <w:pPr>
        <w:pStyle w:val="TextBody"/>
        <w:spacing w:lineRule="auto" w:line="288" w:before="180" w:after="283"/>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spacing w:lineRule="auto" w:line="288" w:before="180" w:after="283"/>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spacing w:lineRule="auto" w:line="288" w:before="180" w:after="283"/>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enterprise resource planning ("ERP") and other related software, which is included within selling, general and administrative expenses in our consolidated statements of operations. </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Utilization Rate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Highlights from the first quarter of 2023 include:</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Total revenues increased 22.2% to $317.9 million for the first quarter of 2023 from $260.0 million for the first quarter of 2022</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Revenues within our Digital capability increased 28.5% in the first quarter of 2023, compared to the first quarter of 2022</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Diluted EPS was $0.68 for the first quarter of 2023; compared to $1.27 for the first quarter of 2022 which included a $19.8 million unrealized gain, net of tax, on our preferred stock investment</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Adjusted diluted EPS increased 77.6% to $0.87 for the first quarter of 2023, compared to $0.49 for the first quarter of 2022</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Returned $44.3 million to shareholders by repurchasing 632,894 shares of our common stock in the first quarter of 2023</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Total revenues increased $57.8 million, or 22.2%, to $317.9 million for the first quarter of 2023 from $260.0 million for the first quarter of 2022. The increase in revenues reflects continued strength in demand for our Digital capability services across all segments; as well as strengthened demand for our Consulting and Managed Services offerings within our Healthcare and Education segments, which reflects our focus on accelerating growth in the healthcare and education industries.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our Consulting and Managed Services capability, revenues for the first quarter of 2023 increased 17.7%, compared to the first quarter of 2022, and reflected strengthened demand in our Healthcare and Education segments. The utilization rate within our Consulting capability increased to 76.3% in the first quarter of 2023, compared to 71.4% in the first quarter of 2022.</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Revenues within our Digital capability increased 28.5% in the first quarter of 2023 compared to the first quarter of 2022, and reflected strength in demand in all of our segments. The utilization rate within our Digital capability decreased to 71.0% in the first quarter of 2023, compared to 72.4% in the first quarter of 2022.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total number of revenue-generating professionals increased to 5,013 as of March 31, 2023, compared to 4,023 as of March 31, 2022, as a result of hiring to support the overall increase in demand for our services within all of our segments.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Net income decreased $13.4 million to $13.4 million for the three months ended March 31, 2023 from $26.9 million for the same period last year, driven by the $19.8 million unrealized gain, net of tax, recognized in the first quarter of 2022 related to the increase in fair value of our preferred stock investment. As a result of the decrease in net income, diluted earnings per share for the first quarter of 2023 was $0.68 compared to $1.27 for the first quarter of 2022. Adjusted diluted earnings per share increased 77.6% to $0.87 for the first quarter of 2023, compared to $0.49 for the first quarter of 2022.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During the first quarter of 2023, we deployed $44.3 million of capital to repurchase 632,894 shares of our common stock, representing 3.2% of our common stock outstanding as of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sets forth, for the periods indicated, selected segment and consolidated operating results and other operating data, including non-GAAP measures.</w:t>
      </w:r>
    </w:p>
    <w:tbl>
      <w:tblPr>
        <w:tblW w:w="8629" w:type="dxa"/>
        <w:jc w:val="left"/>
        <w:tblInd w:w="0" w:type="dxa"/>
        <w:tblCellMar>
          <w:top w:w="28" w:type="dxa"/>
          <w:left w:w="28" w:type="dxa"/>
          <w:bottom w:w="28" w:type="dxa"/>
          <w:right w:w="28" w:type="dxa"/>
        </w:tblCellMar>
      </w:tblPr>
      <w:tblGrid>
        <w:gridCol w:w="1735"/>
        <w:gridCol w:w="1521"/>
        <w:gridCol w:w="1529"/>
        <w:gridCol w:w="109"/>
        <w:gridCol w:w="109"/>
        <w:gridCol w:w="109"/>
        <w:gridCol w:w="109"/>
        <w:gridCol w:w="109"/>
        <w:gridCol w:w="137"/>
        <w:gridCol w:w="137"/>
        <w:gridCol w:w="247"/>
        <w:gridCol w:w="929"/>
        <w:gridCol w:w="304"/>
        <w:gridCol w:w="109"/>
        <w:gridCol w:w="109"/>
        <w:gridCol w:w="109"/>
        <w:gridCol w:w="196"/>
        <w:gridCol w:w="736"/>
        <w:gridCol w:w="286"/>
      </w:tblGrid>
      <w:tr>
        <w:trPr/>
        <w:tc>
          <w:tcPr>
            <w:tcW w:w="1735"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4785"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5" w:type="dxa"/>
            <w:gridSpan w:val="6"/>
            <w:tcBorders/>
            <w:shd w:fill="auto" w:val="clear"/>
          </w:tcPr>
          <w:p>
            <w:pPr>
              <w:pStyle w:val="TableContents"/>
              <w:spacing w:before="0" w:after="283"/>
              <w:rPr>
                <w:sz w:val="4"/>
                <w:szCs w:val="4"/>
              </w:rPr>
            </w:pPr>
            <w:r>
              <w:rPr>
                <w:sz w:val="4"/>
                <w:szCs w:val="4"/>
              </w:rPr>
            </w:r>
          </w:p>
        </w:tc>
      </w:tr>
      <w:tr>
        <w:trPr/>
        <w:tc>
          <w:tcPr>
            <w:tcW w:w="478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7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149,049 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121,876 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32,255 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28,032 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104,147 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80,662 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23,165 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14,306 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64,699 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57,511 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14,067 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12,214 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260,049 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8,490 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and reimbursable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326,385 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264,775 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69,487 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46,340 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33,548 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4,716 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5,046 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18,431 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15,958 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22,169 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15,847 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38,127 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2,428 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11,275 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13,419 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26,852 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0.68 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9829" w:type="dxa"/>
        <w:jc w:val="left"/>
        <w:tblInd w:w="0" w:type="dxa"/>
        <w:tblCellMar>
          <w:top w:w="28" w:type="dxa"/>
          <w:left w:w="28" w:type="dxa"/>
          <w:bottom w:w="28" w:type="dxa"/>
          <w:right w:w="28" w:type="dxa"/>
        </w:tblCellMar>
      </w:tblPr>
      <w:tblGrid>
        <w:gridCol w:w="2170"/>
        <w:gridCol w:w="1902"/>
        <w:gridCol w:w="1913"/>
        <w:gridCol w:w="109"/>
        <w:gridCol w:w="109"/>
        <w:gridCol w:w="109"/>
        <w:gridCol w:w="109"/>
        <w:gridCol w:w="109"/>
        <w:gridCol w:w="137"/>
        <w:gridCol w:w="137"/>
        <w:gridCol w:w="247"/>
        <w:gridCol w:w="929"/>
        <w:gridCol w:w="304"/>
        <w:gridCol w:w="109"/>
        <w:gridCol w:w="109"/>
        <w:gridCol w:w="109"/>
        <w:gridCol w:w="196"/>
        <w:gridCol w:w="736"/>
        <w:gridCol w:w="286"/>
      </w:tblGrid>
      <w:tr>
        <w:trPr/>
        <w:tc>
          <w:tcPr>
            <w:tcW w:w="2170" w:type="dxa"/>
            <w:tcBorders/>
            <w:shd w:fill="auto" w:val="clear"/>
            <w:vAlign w:val="center"/>
          </w:tcPr>
          <w:p>
            <w:pPr>
              <w:pStyle w:val="TableContents"/>
              <w:spacing w:before="0" w:after="283"/>
              <w:rPr>
                <w:sz w:val="4"/>
                <w:szCs w:val="4"/>
              </w:rPr>
            </w:pPr>
            <w:r>
              <w:rPr>
                <w:sz w:val="4"/>
                <w:szCs w:val="4"/>
              </w:rPr>
            </w:r>
          </w:p>
        </w:tc>
        <w:tc>
          <w:tcPr>
            <w:tcW w:w="1902" w:type="dxa"/>
            <w:tcBorders/>
            <w:shd w:fill="auto" w:val="clear"/>
            <w:vAlign w:val="center"/>
          </w:tcPr>
          <w:p>
            <w:pPr>
              <w:pStyle w:val="TableContents"/>
              <w:spacing w:before="0" w:after="283"/>
              <w:rPr>
                <w:sz w:val="4"/>
                <w:szCs w:val="4"/>
              </w:rPr>
            </w:pPr>
            <w:r>
              <w:rPr>
                <w:sz w:val="4"/>
                <w:szCs w:val="4"/>
              </w:rPr>
            </w:r>
          </w:p>
        </w:tc>
        <w:tc>
          <w:tcPr>
            <w:tcW w:w="19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5985"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5" w:type="dxa"/>
            <w:gridSpan w:val="6"/>
            <w:tcBorders/>
            <w:shd w:fill="auto" w:val="clear"/>
          </w:tcPr>
          <w:p>
            <w:pPr>
              <w:pStyle w:val="TableContents"/>
              <w:spacing w:before="0" w:after="283"/>
              <w:rPr>
                <w:sz w:val="4"/>
                <w:szCs w:val="4"/>
              </w:rPr>
            </w:pPr>
            <w:r>
              <w:rPr>
                <w:sz w:val="4"/>
                <w:szCs w:val="4"/>
              </w:rPr>
            </w:r>
          </w:p>
        </w:tc>
      </w:tr>
      <w:tr>
        <w:trPr/>
        <w:tc>
          <w:tcPr>
            <w:tcW w:w="598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5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segment (at period 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1,985 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1,633 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 Narrow;sans-serif" w:hAnsi="Arial Narrow;sans-serif"/>
                <w:b w:val="false"/>
                <w:color w:val="000000"/>
                <w:sz w:val="20"/>
              </w:rPr>
              <w:t xml:space="preserve">Commercial </w:t>
            </w:r>
            <w:r>
              <w:rPr>
                <w:rFonts w:ascii="Arial Narrow;sans-serif" w:hAnsi="Arial Narrow;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1,395 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5,013 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 by capability: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177,194 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150,584 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140,701 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109,465 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capability (at period 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2,360 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2,653 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5,013 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 Narrow;sans-serif" w:hAnsi="Arial Narrow;sans-serif"/>
                <w:b/>
                <w:color w:val="000000"/>
                <w:sz w:val="20"/>
              </w:rPr>
              <w:t xml:space="preserve">Utilization rate by capability </w:t>
            </w:r>
            <w:r>
              <w:rPr>
                <w:rFonts w:ascii="Arial Narrow;sans-serif" w:hAnsi="Arial Narrow;sans-serif"/>
                <w:b/>
                <w:color w:val="000000"/>
                <w:sz w:val="13"/>
              </w:rPr>
              <w:t>(4)</w:t>
            </w: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76.3 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71.0 </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tbl>
      <w:tblPr>
        <w:tblW w:w="213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630"/>
        <w:rPr>
          <w:rFonts w:ascii="Arial Narrow;sans-serif" w:hAnsi="Arial Narrow;sans-serif"/>
          <w:b w:val="false"/>
          <w:color w:val="000000"/>
          <w:sz w:val="20"/>
        </w:rPr>
      </w:pPr>
      <w:r>
        <w:rPr>
          <w:rFonts w:ascii="Arial Narrow;sans-serif" w:hAnsi="Arial Narrow;sans-serif"/>
          <w:b w:val="false"/>
          <w:color w:val="000000"/>
          <w:sz w:val="20"/>
        </w:rPr>
        <w:t>(1)The majority of our revenue-generating professionals within our Commercial segment can provide services across all of our industries, including healthcare and education.</w:t>
      </w:r>
    </w:p>
    <w:p>
      <w:pPr>
        <w:pStyle w:val="TextBody"/>
        <w:spacing w:lineRule="auto" w:line="288" w:before="60" w:after="283"/>
        <w:ind w:left="0" w:right="0" w:hanging="630"/>
        <w:rPr>
          <w:rFonts w:ascii="Arial Narrow;sans-serif" w:hAnsi="Arial Narrow;sans-serif"/>
          <w:b w:val="false"/>
          <w:color w:val="000000"/>
          <w:sz w:val="20"/>
        </w:rPr>
      </w:pPr>
      <w:r>
        <w:rPr>
          <w:rFonts w:ascii="Arial Narrow;sans-serif" w:hAnsi="Arial Narrow;sans-serif"/>
          <w:b w:val="false"/>
          <w:color w:val="000000"/>
          <w:sz w:val="20"/>
        </w:rPr>
        <w:t xml:space="preserve">(2)Managed Services capability revenues within our Healthcare segment was $19.8 million and $13.8 million for the three months ended March 31, 2023 and 2022, respectively. </w:t>
      </w:r>
    </w:p>
    <w:p>
      <w:pPr>
        <w:pStyle w:val="TextBody"/>
        <w:spacing w:lineRule="auto" w:line="288" w:before="60" w:after="283"/>
        <w:rPr>
          <w:rFonts w:ascii="Arial Narrow;sans-serif" w:hAnsi="Arial Narrow;sans-serif"/>
          <w:b w:val="false"/>
          <w:color w:val="000000"/>
          <w:sz w:val="20"/>
        </w:rPr>
      </w:pPr>
      <w:r>
        <w:rPr>
          <w:rFonts w:ascii="Arial Narrow;sans-serif" w:hAnsi="Arial Narrow;sans-serif"/>
          <w:b w:val="false"/>
          <w:color w:val="000000"/>
          <w:sz w:val="20"/>
        </w:rPr>
        <w:t>Managed Services capability revenues within our Education segment was $4.6 million and $3.4 million for the three months ended March 31, 2023 and 2022, respectively.</w:t>
      </w:r>
    </w:p>
    <w:p>
      <w:pPr>
        <w:pStyle w:val="TextBody"/>
        <w:spacing w:lineRule="auto" w:line="288" w:before="60" w:after="283"/>
        <w:ind w:left="0" w:right="0" w:hanging="630"/>
        <w:rPr>
          <w:rFonts w:ascii="Arial Narrow;sans-serif" w:hAnsi="Arial Narrow;sans-serif"/>
          <w:b w:val="false"/>
          <w:color w:val="000000"/>
          <w:sz w:val="20"/>
        </w:rPr>
      </w:pPr>
      <w:r>
        <w:rPr>
          <w:rFonts w:ascii="Arial Narrow;sans-serif" w:hAnsi="Arial Narrow;sans-serif"/>
          <w:b w:val="false"/>
          <w:color w:val="000000"/>
          <w:sz w:val="20"/>
        </w:rPr>
        <w:t>(3)The number of Managed Services revenue-generating professionals within our Healthcare segment as of March 31, 2023 and 2022 was 726 and 543, respectively.</w:t>
      </w:r>
    </w:p>
    <w:p>
      <w:pPr>
        <w:pStyle w:val="TextBody"/>
        <w:spacing w:lineRule="auto" w:line="288" w:before="60" w:after="283"/>
        <w:rPr>
          <w:rFonts w:ascii="Arial Narrow;sans-serif" w:hAnsi="Arial Narrow;sans-serif"/>
          <w:b w:val="false"/>
          <w:color w:val="000000"/>
          <w:sz w:val="20"/>
        </w:rPr>
      </w:pPr>
      <w:r>
        <w:rPr>
          <w:rFonts w:ascii="Arial Narrow;sans-serif" w:hAnsi="Arial Narrow;sans-serif"/>
          <w:b w:val="false"/>
          <w:color w:val="000000"/>
          <w:sz w:val="20"/>
        </w:rPr>
        <w:t>The number of Managed Services revenue-generating professionals within our Education segment as of March 31, 2023 and 2022 was 101 and 92, respectively.</w:t>
      </w:r>
    </w:p>
    <w:p>
      <w:pPr>
        <w:pStyle w:val="TextBody"/>
        <w:spacing w:lineRule="auto" w:line="288" w:before="60" w:after="283"/>
        <w:ind w:left="0" w:right="0" w:hanging="630"/>
        <w:rPr>
          <w:rFonts w:ascii="Arial Narrow;sans-serif" w:hAnsi="Arial Narrow;sans-serif"/>
          <w:b w:val="false"/>
          <w:color w:val="000000"/>
          <w:sz w:val="20"/>
        </w:rPr>
      </w:pPr>
      <w:r>
        <w:rPr>
          <w:rFonts w:ascii="Arial Narrow;sans-serif" w:hAnsi="Arial Narrow;sans-serif"/>
          <w:b w:val="false"/>
          <w:color w:val="000000"/>
          <w:sz w:val="20"/>
        </w:rPr>
        <w:t>(4)Utilization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TextBody"/>
        <w:spacing w:before="60" w:after="283"/>
        <w:ind w:left="0" w:right="0" w:hanging="27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Non-GAAP Measures</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9277" w:type="dxa"/>
        <w:jc w:val="left"/>
        <w:tblInd w:w="0" w:type="dxa"/>
        <w:tblCellMar>
          <w:top w:w="28" w:type="dxa"/>
          <w:left w:w="28" w:type="dxa"/>
          <w:bottom w:w="28" w:type="dxa"/>
          <w:right w:w="28" w:type="dxa"/>
        </w:tblCellMar>
      </w:tblPr>
      <w:tblGrid>
        <w:gridCol w:w="2084"/>
        <w:gridCol w:w="1834"/>
        <w:gridCol w:w="1842"/>
        <w:gridCol w:w="109"/>
        <w:gridCol w:w="109"/>
        <w:gridCol w:w="137"/>
        <w:gridCol w:w="137"/>
        <w:gridCol w:w="247"/>
        <w:gridCol w:w="929"/>
        <w:gridCol w:w="304"/>
        <w:gridCol w:w="109"/>
        <w:gridCol w:w="109"/>
        <w:gridCol w:w="109"/>
        <w:gridCol w:w="196"/>
        <w:gridCol w:w="736"/>
        <w:gridCol w:w="286"/>
      </w:tblGrid>
      <w:tr>
        <w:trPr/>
        <w:tc>
          <w:tcPr>
            <w:tcW w:w="2084" w:type="dxa"/>
            <w:tcBorders/>
            <w:shd w:fill="auto" w:val="clear"/>
            <w:vAlign w:val="center"/>
          </w:tcPr>
          <w:p>
            <w:pPr>
              <w:pStyle w:val="TableContents"/>
              <w:spacing w:before="0" w:after="283"/>
              <w:rPr>
                <w:sz w:val="4"/>
                <w:szCs w:val="4"/>
              </w:rPr>
            </w:pPr>
            <w:r>
              <w:rPr>
                <w:sz w:val="4"/>
                <w:szCs w:val="4"/>
              </w:rPr>
            </w:r>
          </w:p>
        </w:tc>
        <w:tc>
          <w:tcPr>
            <w:tcW w:w="1834"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5" w:type="dxa"/>
            <w:gridSpan w:val="6"/>
            <w:tcBorders/>
            <w:shd w:fill="auto" w:val="clear"/>
          </w:tcPr>
          <w:p>
            <w:pPr>
              <w:pStyle w:val="TableContents"/>
              <w:spacing w:before="0" w:after="283"/>
              <w:rPr>
                <w:sz w:val="4"/>
                <w:szCs w:val="4"/>
              </w:rPr>
            </w:pPr>
            <w:r>
              <w:rPr>
                <w:sz w:val="4"/>
                <w:szCs w:val="4"/>
              </w:rPr>
            </w:r>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13,419 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26,852 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2,428 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11,275 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4,303 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6,553 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7,122 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Earnings before interest, taxes, depreciation and amortization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26,703 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losses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435 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on preferred stock investment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(26,964)</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29,502 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22,117 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 as a percentage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9.3 </w:t>
            </w:r>
          </w:p>
        </w:tc>
        <w:tc>
          <w:tcPr>
            <w:tcW w:w="3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6833" w:type="dxa"/>
        <w:jc w:val="center"/>
        <w:tblInd w:w="0" w:type="dxa"/>
        <w:tblCellMar>
          <w:top w:w="28" w:type="dxa"/>
          <w:left w:w="28" w:type="dxa"/>
          <w:bottom w:w="28" w:type="dxa"/>
          <w:right w:w="28" w:type="dxa"/>
        </w:tblCellMar>
      </w:tblPr>
      <w:tblGrid>
        <w:gridCol w:w="1279"/>
        <w:gridCol w:w="1128"/>
        <w:gridCol w:w="1132"/>
        <w:gridCol w:w="109"/>
        <w:gridCol w:w="109"/>
        <w:gridCol w:w="163"/>
        <w:gridCol w:w="163"/>
        <w:gridCol w:w="294"/>
        <w:gridCol w:w="970"/>
        <w:gridCol w:w="163"/>
        <w:gridCol w:w="109"/>
        <w:gridCol w:w="109"/>
        <w:gridCol w:w="109"/>
        <w:gridCol w:w="196"/>
        <w:gridCol w:w="646"/>
        <w:gridCol w:w="154"/>
      </w:tblGrid>
      <w:tr>
        <w:trPr/>
        <w:tc>
          <w:tcPr>
            <w:tcW w:w="1279"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323" w:type="dxa"/>
            <w:gridSpan w:val="6"/>
            <w:tcBorders/>
            <w:shd w:fill="auto" w:val="clea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19,699 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21,167 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on preferred stock investment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17,057 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6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19,699 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21,167 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 xml:space="preserve">Three Months Ended March 31, 2023 Compared to Three Months Ended March 31, 2022 </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Revenues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Revenues by segment and capability for the three months ended March 31, 2023 and 2022 were as follows:</w:t>
      </w:r>
    </w:p>
    <w:tbl>
      <w:tblPr>
        <w:tblW w:w="7643" w:type="dxa"/>
        <w:jc w:val="left"/>
        <w:tblInd w:w="0" w:type="dxa"/>
        <w:tblCellMar>
          <w:top w:w="28" w:type="dxa"/>
          <w:left w:w="28" w:type="dxa"/>
          <w:bottom w:w="28" w:type="dxa"/>
          <w:right w:w="28" w:type="dxa"/>
        </w:tblCellMar>
      </w:tblPr>
      <w:tblGrid>
        <w:gridCol w:w="922"/>
        <w:gridCol w:w="812"/>
        <w:gridCol w:w="815"/>
        <w:gridCol w:w="109"/>
        <w:gridCol w:w="109"/>
        <w:gridCol w:w="109"/>
        <w:gridCol w:w="196"/>
        <w:gridCol w:w="736"/>
        <w:gridCol w:w="109"/>
        <w:gridCol w:w="109"/>
        <w:gridCol w:w="109"/>
        <w:gridCol w:w="109"/>
        <w:gridCol w:w="196"/>
        <w:gridCol w:w="736"/>
        <w:gridCol w:w="109"/>
        <w:gridCol w:w="109"/>
        <w:gridCol w:w="109"/>
        <w:gridCol w:w="109"/>
        <w:gridCol w:w="196"/>
        <w:gridCol w:w="647"/>
        <w:gridCol w:w="109"/>
        <w:gridCol w:w="109"/>
        <w:gridCol w:w="109"/>
        <w:gridCol w:w="109"/>
        <w:gridCol w:w="233"/>
        <w:gridCol w:w="233"/>
        <w:gridCol w:w="286"/>
      </w:tblGrid>
      <w:tr>
        <w:trPr/>
        <w:tc>
          <w:tcPr>
            <w:tcW w:w="92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54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254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Revenues increased $57.8 million, or 22.2%, to $317.9 million for the first quarter of 2023 from $260.0 million for the first quarter of 2022. The overall increase in revenues reflects continued strength in demand for our Digital capability services across all segments; as well as strengthened demand for our Consulting and Managed Services offerings within our Healthcare and Education segments, which reflects our focus on accelerating growth in our healthcare and education industries. Additional information on our revenues by segment follows.</w:t>
      </w:r>
    </w:p>
    <w:p>
      <w:pPr>
        <w:pStyle w:val="TextBody"/>
        <w:spacing w:lineRule="auto" w:line="288" w:before="180" w:after="283"/>
        <w:ind w:left="0" w:right="0" w:hanging="360"/>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revenues increased $27.2 million, or 22.3%, driven by strengthened demand for our performance improvement, revenue cycle managed services and business advisory solutions within our Consulting and Managed Services capability, as well as strengthened demand for our technology and analytics services within our Digital capability. Revenues in the first quarter of 2023 included $0.3 million of incremental revenues from our acquisition of Customer Evolution, LLC, which was completed in December 2022.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Healthcare segment grew 20.5% to 1,985 as of March 31, 2023, compared to 1,647 as of March 31, 2022.</w:t>
      </w:r>
    </w:p>
    <w:p>
      <w:pPr>
        <w:pStyle w:val="TextBody"/>
        <w:spacing w:lineRule="auto" w:line="288" w:before="180" w:after="283"/>
        <w:ind w:left="0" w:right="0" w:hanging="360"/>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revenues increased $23.5 million, or 29.1%, driven by strengthened demand for our technology and analytics services and software products within our Digital capability, as well as strengthened demand for our strategy and operations and research solutions within our Consulting and Managed Services capability.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Education segment grew 32.7% to 1,633 as of March 31, 2023, compared to 1,231 as of March 31, 2022.</w:t>
      </w:r>
    </w:p>
    <w:p>
      <w:pPr>
        <w:pStyle w:val="TextBody"/>
        <w:spacing w:lineRule="auto" w:line="288" w:before="180" w:after="283"/>
        <w:ind w:left="0" w:right="0" w:hanging="360"/>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revenues increased $7.2 million, or 12.5%, driven by strengthened demand for our technology and analytics services within our Digital capability and our restructuring and turnaround solution within our Consulting and Managed Services capability, partially offset by a decrease in demand for our strategy and innovation solution within our Consulting and Managed Services capability.</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Commercial segment grew 21.8% to 1,395 as of March 31, 2023, compared to 1,145 as of March 31, 2022.</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Operating expenses for the first quarter of 2023 increased $59.1 million, or 23.8%, over the first quarter of 2022.</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were as follows:</w:t>
      </w:r>
    </w:p>
    <w:tbl>
      <w:tblPr>
        <w:tblW w:w="10205" w:type="dxa"/>
        <w:jc w:val="left"/>
        <w:tblInd w:w="0" w:type="dxa"/>
        <w:tblCellMar>
          <w:top w:w="28" w:type="dxa"/>
          <w:left w:w="28" w:type="dxa"/>
          <w:bottom w:w="28" w:type="dxa"/>
          <w:right w:w="28" w:type="dxa"/>
        </w:tblCellMar>
      </w:tblPr>
      <w:tblGrid>
        <w:gridCol w:w="1499"/>
        <w:gridCol w:w="1280"/>
        <w:gridCol w:w="1284"/>
        <w:gridCol w:w="109"/>
        <w:gridCol w:w="109"/>
        <w:gridCol w:w="109"/>
        <w:gridCol w:w="196"/>
        <w:gridCol w:w="736"/>
        <w:gridCol w:w="109"/>
        <w:gridCol w:w="109"/>
        <w:gridCol w:w="109"/>
        <w:gridCol w:w="109"/>
        <w:gridCol w:w="163"/>
        <w:gridCol w:w="163"/>
        <w:gridCol w:w="165"/>
        <w:gridCol w:w="109"/>
        <w:gridCol w:w="109"/>
        <w:gridCol w:w="109"/>
        <w:gridCol w:w="196"/>
        <w:gridCol w:w="736"/>
        <w:gridCol w:w="109"/>
        <w:gridCol w:w="109"/>
        <w:gridCol w:w="109"/>
        <w:gridCol w:w="109"/>
        <w:gridCol w:w="163"/>
        <w:gridCol w:w="163"/>
        <w:gridCol w:w="165"/>
        <w:gridCol w:w="109"/>
        <w:gridCol w:w="109"/>
        <w:gridCol w:w="109"/>
        <w:gridCol w:w="281"/>
        <w:gridCol w:w="931"/>
        <w:gridCol w:w="231"/>
      </w:tblGrid>
      <w:tr>
        <w:trPr/>
        <w:tc>
          <w:tcPr>
            <w:tcW w:w="1499"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406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6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0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41,136 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13,894 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59,137 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Direct costs increased $41.1 million, or 22.0%, to $228.4 million for the first quarter of 2023 from $187.2 million for the first quarter of 2022. The $41.1 million increase primarily related to a $35.3 million increase in compensation costs for our revenue-generating professionals as we continue to invest in and grow our talented team to meet increased market demand. Specifically, the increase in compensation costs is driven by increased headcount, annual salary increases that went into effect in the first quarter of 2023, and increases in performance bonus expense and share-based compensation expense. Additional increases in direct costs include a $2.7 million increase in contractor expenses and a $1.2 million increase in technology costs. As a percentage of revenues, direct costs decreased to 71.8% during the first quarter of 2023, compared to 72.0% during the first quarter of 2022, primarily due to revenue growth that outpaced the increase in compensation costs for our revenue-generating professionals; partially offset by the increase in contractor expenses, as percentages of revenues. </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$13.9 million, or 28.7%, to $62.3 million in the first quarter of 2023 from $48.4 million in the first quarter of 2022. The $13.9 million increase primarily related to an $8.6 million increase in compensation costs for our support personnel, driven by a $4.3 million increase in deferred compensation expense attributable to the change in market value of our deferred compensation liability, a $1.9 million increase in salaries and related expenses and a $1.6 million increase in share-based compensation expense. The increase in deferred compensation expense is offset by an increase in the gain recognized for the change in the market value of investments that are used to fund our deferred compensation liability and recognized in other income, net. Additionally, selling, general and administrative expenses increased by $5.3 million for non-payroll costs, driven by a $2.0 million increase in practice administration and meetings expenses, a $2.0 million increase in promotion and marketing expenses, and a $1.0 million gain recognized in the first quarter of 2022 related to the sale of our aircraft. As a percentage of revenues, selling, general and administrative expenses increased to 19.6% during the first quarter of 2023, compared to 18.6% during the first quarter of 2022. This increase was primarily attributable to the increases in deferred compensation expense and practice administration and meetings expenses, as percentages of revenues; partially offset by revenue growth that outpaced the increase in salaries and related expenses for our support personnel.</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Restructuring charges for the first quarter of 2023 were $2.3 million, compared to $1.6 million for the first quarter of 2022. In the first quarter of 2023, we exited our office space in Hillsboro, Oregon which resulted in a $1.9 million non-cash impairment charge on the related fixed assets and right-of-use operating lease asset of that office space. Additionally, in the first quarter of 2023, we recognized $0.4 million of additional restructuring expense for rent and related expenses, net of sublease income, for previously vacated office spaces.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$1.6 million of restructuring charges incurred in the first quarter of 2022 included $0.6 million for rent and related expenses, net of sublease income, for previously vacated office spaces, $0.5 million of employee-related expenses, $0.3 million of accelerated amortization of capitalized software implementation costs for a cloud-computing arrangement that is no longer in use, and $0.1 million for third-party transaction expenses related to the modification of our operating model.</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decreased $0.5 million, or 7.1%, to $6.4 million in the first quarter of 2023, compared to $6.9 million in the first quarter of 2022. The $0.5 million decrease in depreciation and amortization expense was primarily attributable to a decrease in amortization of intangible assets acquired in business acquisitions due to the accelerated basis of amortization in prior periods.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Operating Income and Operating Margin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Operating income increased $2.5 million, or 15.5%, to $18.4 million in the first quarter of 2023 from $16.0 million in the first quarter of 2022. Operating margin, which is defined as operating income expressed as a percentage of revenues, decreased to 5.8% for the three months ended March 31, 2023, compared to 6.1% for the three months ended March 31, 2022. </w:t>
      </w:r>
    </w:p>
    <w:p>
      <w:pPr>
        <w:pStyle w:val="TextBody"/>
        <w:spacing w:lineRule="auto" w:line="288" w:before="180" w:after="180"/>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is as follows. See the Segment and Consolidated Operating Results table above for a reconciliation of our total segment operating income to consolidated Huron operating income. </w:t>
      </w:r>
    </w:p>
    <w:tbl>
      <w:tblPr>
        <w:tblW w:w="10205" w:type="dxa"/>
        <w:jc w:val="left"/>
        <w:tblInd w:w="0" w:type="dxa"/>
        <w:tblCellMar>
          <w:top w:w="28" w:type="dxa"/>
          <w:left w:w="28" w:type="dxa"/>
          <w:bottom w:w="28" w:type="dxa"/>
          <w:right w:w="28" w:type="dxa"/>
        </w:tblCellMar>
      </w:tblPr>
      <w:tblGrid>
        <w:gridCol w:w="1525"/>
        <w:gridCol w:w="1340"/>
        <w:gridCol w:w="1344"/>
        <w:gridCol w:w="109"/>
        <w:gridCol w:w="109"/>
        <w:gridCol w:w="109"/>
        <w:gridCol w:w="196"/>
        <w:gridCol w:w="646"/>
        <w:gridCol w:w="109"/>
        <w:gridCol w:w="109"/>
        <w:gridCol w:w="109"/>
        <w:gridCol w:w="109"/>
        <w:gridCol w:w="165"/>
        <w:gridCol w:w="165"/>
        <w:gridCol w:w="166"/>
        <w:gridCol w:w="109"/>
        <w:gridCol w:w="109"/>
        <w:gridCol w:w="109"/>
        <w:gridCol w:w="196"/>
        <w:gridCol w:w="646"/>
        <w:gridCol w:w="109"/>
        <w:gridCol w:w="109"/>
        <w:gridCol w:w="109"/>
        <w:gridCol w:w="109"/>
        <w:gridCol w:w="165"/>
        <w:gridCol w:w="165"/>
        <w:gridCol w:w="166"/>
        <w:gridCol w:w="109"/>
        <w:gridCol w:w="109"/>
        <w:gridCol w:w="109"/>
        <w:gridCol w:w="285"/>
        <w:gridCol w:w="948"/>
        <w:gridCol w:w="234"/>
      </w:tblGrid>
      <w:tr>
        <w:trPr/>
        <w:tc>
          <w:tcPr>
            <w:tcW w:w="1525"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2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2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8,859 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1,853 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segment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14,935 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hanging="360"/>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primarily due to the increase in revenues, partially offset by increases in compensation costs for our revenue-generating professionals and contractor expenses. The increase in compensation costs was primarily driven by an increase in headcount, annual salary increases that went into effect in the first quarter of 2023, and increases in performance bonus expense and share-based compensation expense. Healthcare operating margin decreased primarily due to the increase in contractor expenses, as a percentage of revenues; partially offset by revenue growth that outpaced the increase in compensation costs for our revenue-generating professionals.</w:t>
      </w:r>
    </w:p>
    <w:p>
      <w:pPr>
        <w:pStyle w:val="TextBody"/>
        <w:spacing w:lineRule="auto" w:line="288" w:before="180" w:after="283"/>
        <w:ind w:left="0" w:right="0" w:hanging="360"/>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increased primarily due to the increase in revenues as well as a decrease in contractor expenses, partially offset by increases in compensation costs for our revenue-generating professionals, technology expenses, and promotion and marketing expenses. The increase in compensation costs was primarily driven by an increase in headcount, annual salary increases that went into effect in the first quarter of 2023, and an increase in performance bonus expense. Education operating margin increased primarily driven by the decrease in contractor expenses and revenue growth that outpaced the increase in compensation costs for our revenue-generating professionals.</w:t>
      </w:r>
    </w:p>
    <w:p>
      <w:pPr>
        <w:pStyle w:val="TextBody"/>
        <w:spacing w:lineRule="auto" w:line="288" w:before="180" w:after="283"/>
        <w:ind w:left="0" w:right="0" w:hanging="360"/>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operating income increased primarily due to the increase in revenues, as well as decreases in compensation costs for our support personnel and restructuring charges; partially offset by increases in compensation costs for our revenue-generating professionals and promotion and marketing expenses. The increase in compensation costs for our revenue-generating professionals was primarily driven by an increase in headcount, annual salary increases that went into effect in the first quarter of 2023, and an increase in performance bonus expense. Commercial operating margin increased primarily due to the decreases in compensation costs for our support personnel and restructuring charges; partially offset by the increase in promotion and marketing expenses, as a percentage of revenues.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$2.1 million to $4.3 million in the first quarter of 2023 from $2.2 million in the first quarter of 2022 primarily attributable to higher levels of borrowing under our credit facility and higher interest rates during the first quarter of 2023 compared to the first quarter of 2022. See “Liquidity and Capital Resources” below and Note 6 “Financing Arrangements” within the notes to our consolidated financial statements for additional information about our senior secured credit facility.</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Other income, net decreased $22.6 million to $1.7 million in the first quarter of 2023 from $24.4 million in the first quarter of 2022. The decrease in other income, net was primarily attributable to a $27.0 million unrealized gain recognized in the first quarter of 2022 related to the increase in the fair value of our preferred stock investment in Medically Home. See Note 9 “Fair Value of Financial Instruments” within the notes to our consolidated financial statements for additional information on our preferred stock investment in Medically Home. This decrease in other income, net was partially offset by a $4.4 million increase in the gain recognized for the market value of our investments that are used to fund our deferred compensation liability. During the first quarter of 2023, we recognized a $1.8 million gain for the market value of our deferred compensation investments compared to a $2.6 million loss recognized in the first quarter of 2022.</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2023, our effective tax rate was 15.3% as we recognized income tax expense of $2.4 million on income of $15.8 million. The effective tax rate of 15.3% was more favorable than the statutory rate, inclusive of state income taxes, of 26.6%, primarily due to a discrete tax benefit for share-based compensation awards that vested during the quarter and a tax benefit related to non-taxable gains on our investments used to fund our deferred compensation liability. These favorable items were partially offset by certain nondeductible expense items.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2022, our effective tax rate was 29.6% as we recognized income tax expense of $11.3 million on income of $38.1 million. The effective tax rate of 29.6% was less favorable than the statutory rate, inclusive of state income taxes, of 26.4%, primarily due to tax expense related to nondeductible losses on our investments used to fund our deferred compensation liability and certain nondeductible expense items.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Net income decreased $13.4 million to $13.4 million for the three months ended March 31, 2023 from $26.9 million for the same period last year, driven by the $27.0 million unrealized gain recognized in the first quarter of 2022 related to the increase in fair value of our preferred stock investment. As a result of the decrease in net income, diluted earnings per share for the first quarter of 2023 was $0.68 compared to $1.27 for the first quarter of 2022. </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EBITDA decreased $20.7 million to $26.7 million for the first quarter of 2023 from $47.4 million for the first quarter of 2022. The decrease in EBITDA was primarily attributable to the $27.0 million unrealized gain recognized in the first quarter of 2022 related to the increase in the fair value of our preferred stock investment; as well as the increase in corporate expenses, excluding the impact of the change in the market value of our deferred compensation liability. These decreases to EBITDA were partially offset by the increase in segment operating income.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$7.4 million to $29.5 million in the first quarter of 2023 from $22.1 million in the first quarter of 2022. The increase in adjusted EBITDA was primarily attributable to the increase in segment operating income, excluding the impact of segment restructuring charges; partially offset by the increase in corporate expenses, excluding the impacts of the change in the market value of our deferred compensation liability and corporate restructuring charges. </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Adjusted net income increased $6.7 million to $17.1 million in the first quarter of 2023 compared to $10.3 million in the first quarter of 2022. As a result of the increase in adjusted net income, adjusted diluted earnings per share was $0.87 for the first quarter of 2023, compared to $0.49 for the first quarter of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Cash and cash equivalents were $12.0 million and $11.8 million at March 31, 2023 and December 31, 2022, respectively. As of March 31, 2023, our primary sources of liquidity are cash on hand, cash flows from our U.S. operations, and borrowing capacity available under our credit facility.</w:t>
      </w:r>
    </w:p>
    <w:tbl>
      <w:tblPr>
        <w:tblW w:w="6666" w:type="dxa"/>
        <w:jc w:val="center"/>
        <w:tblInd w:w="0" w:type="dxa"/>
        <w:tblCellMar>
          <w:top w:w="28" w:type="dxa"/>
          <w:left w:w="28" w:type="dxa"/>
          <w:bottom w:w="28" w:type="dxa"/>
          <w:right w:w="28" w:type="dxa"/>
        </w:tblCellMar>
      </w:tblPr>
      <w:tblGrid>
        <w:gridCol w:w="1417"/>
        <w:gridCol w:w="1248"/>
        <w:gridCol w:w="1250"/>
        <w:gridCol w:w="109"/>
        <w:gridCol w:w="109"/>
        <w:gridCol w:w="109"/>
        <w:gridCol w:w="196"/>
        <w:gridCol w:w="721"/>
        <w:gridCol w:w="109"/>
        <w:gridCol w:w="109"/>
        <w:gridCol w:w="109"/>
        <w:gridCol w:w="109"/>
        <w:gridCol w:w="196"/>
        <w:gridCol w:w="721"/>
        <w:gridCol w:w="154"/>
      </w:tblGrid>
      <w:tr>
        <w:trPr/>
        <w:tc>
          <w:tcPr>
            <w:tcW w:w="1417"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(79,099)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71,387 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(11,033)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Net cash used in operating activities increased $13.0 million to $92.1 million for the three months ended March 31, 2023 from $79.1 million for the three months ended March 31, 2022. The increase in net cash used in operating activities was primarily related to an increase in the amount paid for annual performance bonuses in the first quarter of 2023 compared to the first quarter of 2022, an increase in salaries and related expenses for our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revenue-generating professionals, and increases in payments for selling, general and administrative expenses for the first three months of 2023 compared to the same prior year period; largely offset by an increase in cash collections in the first three months of 2023 compared to the same prior year period.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Additionally, in the first quarter of 2023, our unbilled receivables increased, partially driven by certain large Healthcare and Education engagements where our services performed and revenue recognized exceeded the amounts billed to clients in accordance with the contractual billing terms. We expect to bill and collect for these services in the second half of 2023. In the future, we may enter into additional client engagements with similar deferred billing terms.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Medically Home Group, Inc., and investments in life insurance policies that are used to fund our deferred compensation liability.</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use of cash in the first three months of 2023 primarily consisted of $6.6 million for payments related to internally developed software to advance our Healthcare and Education software products; $2.0 million for purchases of property and equipment, primarily related to purchases of computers and related equipment; and $1.8 million for contributions to our life insurance policies.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use of cash in the first three months of 2022 included $3.9 million for purchases of property and equipment, primarily related to purchases of leasehold improvements and furniture for certain office spaces and computers and related equipment; $2.3 million for the purchase of a business and $2.1 million for payments related to internally developed software. These uses of cash for investing activities were partially offset by $4.8 million of cash received for the sale of our aircraft in the first quarter of 2022.</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estimate that cash utilized for purchases of property and equipment and software development in 2023 will total approximately $30 million to $35 million; primarily consisting of software development costs, information technology related equipment to support our corporate infrastructure, and leasehold improvements and furniture and fixtures for certain office locations.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was $102.4 million for the three months ended March 31, 2023. During the three months ended March 31, 2023, we borrowed $201.0 million primarily to fund our operations, including our annual performance bonus payment in the first quarter of 2023, and made repayments on our borrowings of $44.0 million. Additionally, during the first three months of 2023, we paid $45.1 million for share repurchases, including $1.1 million related to the settlement of share repurchases that were accrued as of December 31, 2022, and reacquired $9.5 million of common stock as a result of tax withholdings upon vesting of share-based compensation.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was $71.4 million for the three months ended March 31, 2022. During the three months ended March 31, 2022, we borrowed $150.0 million under our credit facility primarily to fund our operations, including our annual performance bonus payment in the first quarter of 2022, and made repayments on our borrowings of $47.8 million. These repayments on our borrowings included the repayment of the outstanding principal of our promissory note due 2024 of $2.7 million from the proceeds received for the sale of our aircraft. Additionally, during the first three months of 2022, we repurchased and retired $23.9 million of our common stock under our share repurchase program, and settled $0.2 million of share repurchases that were accrued as of December 31, 2021. We also reacquired $6.9 million of common stock as a result of tax withholdings upon vesting of share-based compensation.</w:t>
      </w:r>
    </w:p>
    <w:p>
      <w:pPr>
        <w:pStyle w:val="TextBody"/>
        <w:spacing w:lineRule="auto" w:line="288" w:before="180" w:after="283"/>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November 2020, our board of directors authorized a share repurchase program permitting us to repurchase up to $50 million of our common stock through December 31, 2021. Subsequent to the initial authorization, our board of directors authorized extensions of the share repurchase program through December 31, 2023 and increased the authorized amount to $300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As of March 31, 2023, $64.8 million remained available for share repurchases under our share repurchase program.</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At March 31, 2023, we had $447.0 million outstanding under our senior secured credit facility, as discussed below.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Company has a $600 million five-year senior secured revolving credit facility, subject to the terms of a Third Amended and Restated Credit Agreement dated as of November 15, 2022 (the "Amended Credit Agreement") that becomes due and payable in full upon maturity on November 15, 2027. The Amended Credit Agreement provides the option to increase the revolving credit facility or establish term loan facilities in an aggregate amount up to $250 million, subject to customary conditions and the approval of any lender whose commitment would be increased, resulting in a maximum available principal amount under the Amended Credit Agreement of $850 million. The initial borrowings under the Amended Credit Agreement were used to refinance borrowings outstanding under a prior credit agreement, and future borrowings under the Amended Credit Agreement may be used for working capital, capital expenditures, share repurchases, permitted acquisitions, and other general corporate purposes.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Fees and interest on borrowings vary based on our Consolidated Leverage Ratio (as defined in the Amended Credit Agreement). At our option, borrowings under the Amended Credit Agreement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 Fees and interest on borrowings are paid on a monthly basis.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April 2023, the Company and PNC Capital Markets, LLC, as Sustainability Structuring Agent, with the consent of the Required Lenders (as defined in the Amended Credit Agreement), amended the Amended Credit Agreement to incorporate specified key performance indicators with respect to certain environmental, social and governance targets of the Company. Based upon the performance of the Company against those key performance indicators in each Reference Year (as defined in the First Amendment),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2023 and December 31, 2022, we were in compliance with these financial covenants. Our Consolidated Leverage Ratio as of March 31, 2023 was 2.75 to 1.00, compared to 1.92 to 1.00 as of December 31, 2022. Our Consolidated Interest Coverage Ratio as of March 31, 2023 was 12.63 to 1.00, compared to 14.04 to 1.00 as of December 31, 2022.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Principal borrowings outstanding under the Amended Credit Agreement at March 31, 2023 and December 31, 2022 totaled $447.0 million and $290.0 million, respectively. These borrowings carried a weighted average interest rate of 4.8% at March 31, 2023 and 3.8% at December 31, 2022, including the impact of the interest rate swaps described in Note 8 “Derivative Instruments and Hedging Activity” within the notes to the consolidated financial statements. The borrowing capacity under the revolving credit facility is reduced by any outstanding borrowings under the revolving credit facility and outstanding letters of credit. At March 31, 2023, we had outstanding letters of credit totaling $0.6 million, which are used as security deposits for our office facilities. As of March 31, 2023, the unused borrowing capacity under the revolving credit facility was $152.4 million.</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CRITICAL ACCOUNTING POLICIES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2022. There have been no material changes to our critical accounting policies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No new accounting pronouncements or changes in accounting pronouncements have been issued or adopted that are material to our consolidated financial statements since those included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674" w:type="dxa"/>
        <w:jc w:val="left"/>
        <w:tblInd w:w="0" w:type="dxa"/>
        <w:tblCellMar>
          <w:top w:w="28" w:type="dxa"/>
          <w:left w:w="28" w:type="dxa"/>
          <w:bottom w:w="28" w:type="dxa"/>
          <w:right w:w="28" w:type="dxa"/>
        </w:tblCellMar>
      </w:tblPr>
      <w:tblGrid>
        <w:gridCol w:w="250"/>
        <w:gridCol w:w="219"/>
        <w:gridCol w:w="221"/>
        <w:gridCol w:w="1752"/>
        <w:gridCol w:w="1752"/>
        <w:gridCol w:w="2480"/>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5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bank credit facility, which have variable interest rates tied to Term SOFR or an alternate base rate, at our option. At March 31, 2023, we had borrowings outstanding under the credit facility totaling $447.0 million that carried a weighted average interest rate of 4.8%, including the impact of the interest rate swaps described below. A hypothetical 100 basis point change in the interest rate would have a $2.0 million effect on our pretax income on an annualized basis, including the effect of the interest rate swaps. At December 31, 2022, we had borrowings outstanding under the credit facility totaling $290.0 million that carried a weighted average interest rate of 3.8% including the impact of the interest rate swaps described below. A hypothetical 100 basis point change in the interest rate would have had a $0.9 million effect on our pretax income on an annualized basis, including the effect of the interest rate swaps.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one-month Term SOFR and we pay to the counterparty a stated, fixed rate. As of March 31, 2023 and December 31, 2022, the aggregate notional amount of our forward interest rate swap agreements was $250.0 million and $200.0 million, respectively. The outstanding interest rate swap agreements as of March 31, 2023 are scheduled to mature on a staggered basis through February 29, 2028.</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Foreign Currency Risk</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have exposure to changes in foreign currency exchange rates between the U.S. Dollar (USD) and the Indian Rupee (INR) related to our operations in India. We hedge a portion of our cash flow exposure related to our INR-denominated intercompany expenses by entering into non-deliverable foreign exchange forward contracts. As of March 31, 2023 and December 31, 2022, the aggregate notional amounts of these contracts were INR 789.6 million, or $9.6 million, and INR 657.9 million, or $8.0 million, respectively, based on the exchange rates in effect as of each period end. The outstanding foreign exchange forward contracts as of March 31, 2023 are scheduled to mature monthly through December 29, 2023.</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 reflect the offsetting gain or loss on the underlying exposure. A hypothetical 100 basis point change in the foreign currency exchange rate between the USD and INR would have an immaterial impact on the fair value of our hedge instruments as of March 31, 2023 and December 31, 2022.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Market Risk</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March 31, 2023, the fair value of the investment was $62.8 million, with a total cost basis of $40.9 million. At December 31, 2022, the fair value of the investment was $57.6 million, with a total cost basis of $40.9 million.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have a preferred stock investment in Medically Home Group, Inc. ("Medically Home"),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March 31, 2023 and December 31, 2022, the carrying value of the investment was $33.6 million with a total cost basis of $5.0 million. During the first quarter of 2022, we recognized an unrealized gain of $27.0 million on our preferred stock investment resulting from an observable price change of preferred stock with similar rights and preferences to our preferred stock investment issued by Medically Home. Following our purchase, we have not identified any impairment of our investment.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8 “Derivative Instruments and Hedging Activity” within the notes to our consolidated financial statements for additional information on our derivative instruments.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390" w:type="dxa"/>
        <w:jc w:val="left"/>
        <w:tblInd w:w="0" w:type="dxa"/>
        <w:tblCellMar>
          <w:top w:w="28" w:type="dxa"/>
          <w:left w:w="28" w:type="dxa"/>
          <w:bottom w:w="28" w:type="dxa"/>
          <w:right w:w="28" w:type="dxa"/>
        </w:tblCellMar>
      </w:tblPr>
      <w:tblGrid>
        <w:gridCol w:w="250"/>
        <w:gridCol w:w="219"/>
        <w:gridCol w:w="221"/>
        <w:gridCol w:w="790"/>
        <w:gridCol w:w="790"/>
        <w:gridCol w:w="1120"/>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spacing w:lineRule="auto" w:line="288" w:before="80" w:after="283"/>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2023. Based on this evaluation, our Chief Executive Officer and Chief Financial Officer have concluded that, as of March 31, 2023,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March 31, 2023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pPr>
      <w:r>
        <w:rPr>
          <w:rFonts w:ascii="Arial Narrow;sans-serif" w:hAnsi="Arial Narrow;sans-serif"/>
          <w:b/>
          <w:color w:val="000000"/>
          <w:sz w:val="20"/>
        </w:rPr>
        <w:t>PART II—OTHER INFORMATION</w:t>
      </w: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669" w:type="dxa"/>
        <w:jc w:val="left"/>
        <w:tblInd w:w="0" w:type="dxa"/>
        <w:tblCellMar>
          <w:top w:w="28" w:type="dxa"/>
          <w:left w:w="28" w:type="dxa"/>
          <w:bottom w:w="28" w:type="dxa"/>
          <w:right w:w="28" w:type="dxa"/>
        </w:tblCellMar>
      </w:tblPr>
      <w:tblGrid>
        <w:gridCol w:w="250"/>
        <w:gridCol w:w="219"/>
        <w:gridCol w:w="221"/>
        <w:gridCol w:w="579"/>
        <w:gridCol w:w="579"/>
        <w:gridCol w:w="821"/>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236" w:type="dxa"/>
        <w:jc w:val="left"/>
        <w:tblInd w:w="0" w:type="dxa"/>
        <w:tblCellMar>
          <w:top w:w="28" w:type="dxa"/>
          <w:left w:w="28" w:type="dxa"/>
          <w:bottom w:w="28" w:type="dxa"/>
          <w:right w:w="28" w:type="dxa"/>
        </w:tblCellMar>
      </w:tblPr>
      <w:tblGrid>
        <w:gridCol w:w="294"/>
        <w:gridCol w:w="258"/>
        <w:gridCol w:w="259"/>
        <w:gridCol w:w="417"/>
        <w:gridCol w:w="417"/>
        <w:gridCol w:w="591"/>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See Part 1, Item 1A, “Risk Factors” in our Annual Report on Form 10-K for the fiscal year ended December 31, 2022, which was filed with the Securities and Exchange Commission on February 28, 2023, for a complete description of the material risks we face.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690" w:type="dxa"/>
        <w:jc w:val="left"/>
        <w:tblInd w:w="0" w:type="dxa"/>
        <w:tblCellMar>
          <w:top w:w="28" w:type="dxa"/>
          <w:left w:w="28" w:type="dxa"/>
          <w:bottom w:w="28" w:type="dxa"/>
          <w:right w:w="28" w:type="dxa"/>
        </w:tblCellMar>
      </w:tblPr>
      <w:tblGrid>
        <w:gridCol w:w="250"/>
        <w:gridCol w:w="219"/>
        <w:gridCol w:w="221"/>
        <w:gridCol w:w="1757"/>
        <w:gridCol w:w="1757"/>
        <w:gridCol w:w="2486"/>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757" w:type="dxa"/>
            <w:tcBorders/>
            <w:shd w:fill="auto" w:val="clear"/>
            <w:vAlign w:val="center"/>
          </w:tcPr>
          <w:p>
            <w:pPr>
              <w:pStyle w:val="TableContents"/>
              <w:spacing w:before="0" w:after="283"/>
              <w:rPr>
                <w:sz w:val="4"/>
                <w:szCs w:val="4"/>
              </w:rPr>
            </w:pPr>
            <w:r>
              <w:rPr>
                <w:sz w:val="4"/>
                <w:szCs w:val="4"/>
              </w:rPr>
            </w:r>
          </w:p>
        </w:tc>
        <w:tc>
          <w:tcPr>
            <w:tcW w:w="1757" w:type="dxa"/>
            <w:tcBorders/>
            <w:shd w:fill="auto" w:val="clear"/>
            <w:vAlign w:val="center"/>
          </w:tcPr>
          <w:p>
            <w:pPr>
              <w:pStyle w:val="TableContents"/>
              <w:spacing w:before="0" w:after="283"/>
              <w:rPr>
                <w:sz w:val="4"/>
                <w:szCs w:val="4"/>
              </w:rPr>
            </w:pPr>
            <w:r>
              <w:rPr>
                <w:sz w:val="4"/>
                <w:szCs w:val="4"/>
              </w:rPr>
            </w:r>
          </w:p>
        </w:tc>
        <w:tc>
          <w:tcPr>
            <w:tcW w:w="2486"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UNREGISTERED SALES OF EQUITY SECURITIES AND USE OF PROCEEDS.</w:t>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Stock Ownership Participation Program and 2012 Omnibus Incentive Plan permit the netting of common stock upon vesting of restricted stock awards to satisfy individual tax withholding requirements. During the quarter ended March 31, 2023, we reacquired 135,420 shares of common stock with a weighted average fair market value of $70.37 as a result of such tax withholdings.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Subsequent to the initial authorization, our board of directors authorized extensions of the share repurchase program through December 31, 2023 and increased the authorized amount to $300 million. The amount and timing of repurchases under the share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with respect to purchases we made of our common stock during the quarter ended March 31, 2023.</w:t>
      </w:r>
    </w:p>
    <w:tbl>
      <w:tblPr>
        <w:tblW w:w="10205" w:type="dxa"/>
        <w:jc w:val="center"/>
        <w:tblInd w:w="0" w:type="dxa"/>
        <w:tblCellMar>
          <w:top w:w="28" w:type="dxa"/>
          <w:left w:w="28" w:type="dxa"/>
          <w:bottom w:w="28" w:type="dxa"/>
          <w:right w:w="28" w:type="dxa"/>
        </w:tblCellMar>
      </w:tblPr>
      <w:tblGrid>
        <w:gridCol w:w="756"/>
        <w:gridCol w:w="633"/>
        <w:gridCol w:w="641"/>
        <w:gridCol w:w="109"/>
        <w:gridCol w:w="109"/>
        <w:gridCol w:w="109"/>
        <w:gridCol w:w="761"/>
        <w:gridCol w:w="716"/>
        <w:gridCol w:w="719"/>
        <w:gridCol w:w="109"/>
        <w:gridCol w:w="109"/>
        <w:gridCol w:w="109"/>
        <w:gridCol w:w="283"/>
        <w:gridCol w:w="804"/>
        <w:gridCol w:w="159"/>
        <w:gridCol w:w="109"/>
        <w:gridCol w:w="109"/>
        <w:gridCol w:w="109"/>
        <w:gridCol w:w="510"/>
        <w:gridCol w:w="510"/>
        <w:gridCol w:w="511"/>
        <w:gridCol w:w="109"/>
        <w:gridCol w:w="109"/>
        <w:gridCol w:w="109"/>
        <w:gridCol w:w="282"/>
        <w:gridCol w:w="1386"/>
        <w:gridCol w:w="226"/>
      </w:tblGrid>
      <w:tr>
        <w:trPr/>
        <w:tc>
          <w:tcPr>
            <w:tcW w:w="75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2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 Narrow;sans-serif" w:hAnsi="Arial Narrow;sans-serif"/>
                <w:b/>
                <w:color w:val="000000"/>
                <w:sz w:val="20"/>
              </w:rPr>
              <w:t xml:space="preserve">Total Number of Shares Purchased </w:t>
            </w:r>
            <w:r>
              <w:rPr>
                <w:rFonts w:ascii="Arial Narrow;sans-serif" w:hAnsi="Arial Narrow;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Number of</w:t>
              <w:br/>
              <w:t>Shares Purchased</w:t>
              <w:br/>
              <w:t>as Part of Publicly</w:t>
              <w:br/>
              <w:t>Announced Plans</w:t>
              <w:br/>
              <w:t>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Dollar Value of Shares</w:t>
            </w:r>
          </w:p>
          <w:p>
            <w:pPr>
              <w:pStyle w:val="TableContents"/>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that may yet be</w:t>
            </w:r>
          </w:p>
          <w:p>
            <w:pPr>
              <w:pStyle w:val="TableContents"/>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Purchased under the</w:t>
            </w:r>
          </w:p>
          <w:p>
            <w:pPr>
              <w:pStyle w:val="TableContents"/>
              <w:spacing w:lineRule="auto" w:line="240" w:before="0" w:after="0"/>
              <w:jc w:val="center"/>
              <w:rPr/>
            </w:pPr>
            <w:r>
              <w:rPr>
                <w:rFonts w:ascii="Arial Narrow;sans-serif" w:hAnsi="Arial Narrow;sans-serif"/>
                <w:b/>
                <w:color w:val="000000"/>
                <w:sz w:val="20"/>
              </w:rPr>
              <w:t xml:space="preserve">Plans or Programs </w:t>
            </w:r>
            <w:r>
              <w:rPr>
                <w:rFonts w:ascii="Arial Narrow;sans-serif" w:hAnsi="Arial Narrow;sans-serif"/>
                <w:b/>
                <w:color w:val="000000"/>
                <w:sz w:val="13"/>
              </w:rPr>
              <w:t>(2)</w:t>
            </w:r>
          </w:p>
        </w:tc>
      </w:tr>
      <w:tr>
        <w:trPr/>
        <w:tc>
          <w:tcPr>
            <w:tcW w:w="20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273,369 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263,948 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90,558,075 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368,946 </w:t>
            </w:r>
          </w:p>
        </w:tc>
        <w:tc>
          <w:tcPr>
            <w:tcW w:w="7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69.69 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368,946 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64,836,694 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125,999 </w:t>
            </w:r>
          </w:p>
        </w:tc>
        <w:tc>
          <w:tcPr>
            <w:tcW w:w="7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70.22 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64,836,694 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768,314 </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69.68 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632,894 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hanging="1080"/>
        <w:rPr>
          <w:rFonts w:ascii="Arial Narrow;sans-serif" w:hAnsi="Arial Narrow;sans-serif"/>
          <w:b w:val="false"/>
          <w:color w:val="000000"/>
          <w:sz w:val="20"/>
        </w:rPr>
      </w:pPr>
      <w:r>
        <w:rPr>
          <w:rFonts w:ascii="Arial Narrow;sans-serif" w:hAnsi="Arial Narrow;sans-serif"/>
          <w:b w:val="false"/>
          <w:color w:val="000000"/>
          <w:sz w:val="20"/>
        </w:rPr>
        <w:t>(1)The number of shares repurchased included 9,421 shares in January 2023 and 125,999 shares in March 2023 to satisfy employee tax withholding requirements. These shares do not reduce the repurchase authority under the share repurchase program.</w:t>
      </w:r>
    </w:p>
    <w:p>
      <w:pPr>
        <w:pStyle w:val="TextBody"/>
        <w:spacing w:lineRule="auto" w:line="288" w:before="60" w:after="283"/>
        <w:ind w:left="0" w:right="0" w:hanging="1080"/>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960" w:type="dxa"/>
        <w:jc w:val="left"/>
        <w:tblInd w:w="0" w:type="dxa"/>
        <w:tblCellMar>
          <w:top w:w="28" w:type="dxa"/>
          <w:left w:w="28" w:type="dxa"/>
          <w:bottom w:w="28" w:type="dxa"/>
          <w:right w:w="28" w:type="dxa"/>
        </w:tblCellMar>
      </w:tblPr>
      <w:tblGrid>
        <w:gridCol w:w="250"/>
        <w:gridCol w:w="219"/>
        <w:gridCol w:w="221"/>
        <w:gridCol w:w="958"/>
        <w:gridCol w:w="958"/>
        <w:gridCol w:w="1354"/>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DEFAULTS UPON SENIOR SECURITIES.</w:t>
            </w:r>
          </w:p>
        </w:tc>
      </w:tr>
    </w:tbl>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194" w:type="dxa"/>
        <w:jc w:val="left"/>
        <w:tblInd w:w="0" w:type="dxa"/>
        <w:tblCellMar>
          <w:top w:w="28" w:type="dxa"/>
          <w:left w:w="28" w:type="dxa"/>
          <w:bottom w:w="28" w:type="dxa"/>
          <w:right w:w="28" w:type="dxa"/>
        </w:tblCellMar>
      </w:tblPr>
      <w:tblGrid>
        <w:gridCol w:w="250"/>
        <w:gridCol w:w="219"/>
        <w:gridCol w:w="221"/>
        <w:gridCol w:w="733"/>
        <w:gridCol w:w="733"/>
        <w:gridCol w:w="1038"/>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654" w:type="dxa"/>
        <w:jc w:val="left"/>
        <w:tblInd w:w="0" w:type="dxa"/>
        <w:tblCellMar>
          <w:top w:w="28" w:type="dxa"/>
          <w:left w:w="28" w:type="dxa"/>
          <w:bottom w:w="28" w:type="dxa"/>
          <w:right w:w="28" w:type="dxa"/>
        </w:tblCellMar>
      </w:tblPr>
      <w:tblGrid>
        <w:gridCol w:w="250"/>
        <w:gridCol w:w="219"/>
        <w:gridCol w:w="221"/>
        <w:gridCol w:w="574"/>
        <w:gridCol w:w="574"/>
        <w:gridCol w:w="816"/>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spacing w:lineRule="auto" w:line="288" w:before="20" w:after="283"/>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636" w:type="dxa"/>
        <w:jc w:val="left"/>
        <w:tblInd w:w="0" w:type="dxa"/>
        <w:tblCellMar>
          <w:top w:w="28" w:type="dxa"/>
          <w:left w:w="28" w:type="dxa"/>
          <w:bottom w:w="28" w:type="dxa"/>
          <w:right w:w="28" w:type="dxa"/>
        </w:tblCellMar>
      </w:tblPr>
      <w:tblGrid>
        <w:gridCol w:w="250"/>
        <w:gridCol w:w="219"/>
        <w:gridCol w:w="221"/>
        <w:gridCol w:w="277"/>
        <w:gridCol w:w="277"/>
        <w:gridCol w:w="392"/>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w:t>
            </w:r>
          </w:p>
        </w:tc>
      </w:tr>
    </w:tbl>
    <w:p>
      <w:pPr>
        <w:pStyle w:val="TextBody"/>
        <w:spacing w:lineRule="auto" w:line="288" w:before="80" w:after="283"/>
        <w:rPr/>
      </w:pPr>
      <w:r>
        <w:rPr>
          <w:rFonts w:ascii="Arial Narrow;sans-serif" w:hAnsi="Arial Narrow;sans-serif"/>
          <w:b w:val="false"/>
          <w:color w:val="000000"/>
          <w:sz w:val="20"/>
        </w:rPr>
        <w:t>(a) The following exhibits are filed as part of this Quarterly Report on Form 10-Q.</w:t>
      </w:r>
      <w:r>
        <w:rPr>
          <w:color w:val="000000"/>
        </w:rPr>
        <w:t> </w:t>
      </w:r>
    </w:p>
    <w:tbl>
      <w:tblPr>
        <w:tblW w:w="10205" w:type="dxa"/>
        <w:jc w:val="left"/>
        <w:tblInd w:w="0" w:type="dxa"/>
        <w:tblCellMar>
          <w:top w:w="28" w:type="dxa"/>
          <w:left w:w="28" w:type="dxa"/>
          <w:bottom w:w="28" w:type="dxa"/>
          <w:right w:w="28" w:type="dxa"/>
        </w:tblCellMar>
      </w:tblPr>
      <w:tblGrid>
        <w:gridCol w:w="241"/>
        <w:gridCol w:w="212"/>
        <w:gridCol w:w="214"/>
        <w:gridCol w:w="109"/>
        <w:gridCol w:w="109"/>
        <w:gridCol w:w="109"/>
        <w:gridCol w:w="1297"/>
        <w:gridCol w:w="1107"/>
        <w:gridCol w:w="1111"/>
        <w:gridCol w:w="109"/>
        <w:gridCol w:w="109"/>
        <w:gridCol w:w="109"/>
        <w:gridCol w:w="230"/>
        <w:gridCol w:w="230"/>
        <w:gridCol w:w="231"/>
        <w:gridCol w:w="109"/>
        <w:gridCol w:w="109"/>
        <w:gridCol w:w="109"/>
        <w:gridCol w:w="270"/>
        <w:gridCol w:w="270"/>
        <w:gridCol w:w="271"/>
        <w:gridCol w:w="109"/>
        <w:gridCol w:w="109"/>
        <w:gridCol w:w="109"/>
        <w:gridCol w:w="155"/>
        <w:gridCol w:w="155"/>
        <w:gridCol w:w="156"/>
        <w:gridCol w:w="109"/>
        <w:gridCol w:w="109"/>
        <w:gridCol w:w="109"/>
        <w:gridCol w:w="200"/>
        <w:gridCol w:w="200"/>
        <w:gridCol w:w="201"/>
        <w:gridCol w:w="109"/>
        <w:gridCol w:w="109"/>
        <w:gridCol w:w="109"/>
        <w:gridCol w:w="195"/>
        <w:gridCol w:w="195"/>
        <w:gridCol w:w="196"/>
        <w:gridCol w:w="109"/>
        <w:gridCol w:w="109"/>
        <w:gridCol w:w="109"/>
        <w:gridCol w:w="168"/>
        <w:gridCol w:w="168"/>
        <w:gridCol w:w="243"/>
      </w:tblGrid>
      <w:tr>
        <w:trPr/>
        <w:tc>
          <w:tcPr>
            <w:tcW w:w="24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Filed</w:t>
              <w:br/>
              <w:t>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Furnished</w:t>
              <w:br/>
              <w:t>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Period</w:t>
              <w:br/>
              <w:t>Ending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w:t>
              <w:br/>
              <w:t>Date</w:t>
            </w:r>
          </w:p>
        </w:tc>
      </w:tr>
      <w:tr>
        <w:trPr/>
        <w:tc>
          <w:tcPr>
            <w:tcW w:w="6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Arial Narrow;sans-serif" w:hAnsi="Arial Narrow;sans-serif"/>
                <w:b w:val="false"/>
                <w:color w:val="000000"/>
                <w:sz w:val="18"/>
              </w:rPr>
              <w:t>10.1</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Arial Narrow;sans-serif" w:hAnsi="Arial Narrow;sans-serif"/>
                  <w:b w:val="false"/>
                  <w:color w:val="0000FF"/>
                  <w:sz w:val="18"/>
                  <w:u w:val="single"/>
                </w:rPr>
                <w:t>Amendment No. 1 to the Third Amended and Restated Credit Agreement, dated as of April 28, 2023, by and among Huron Consulting Group Inc., as Borrower, and PNC Capital Markets LLC, as Sustainability Structuring Agent for and on behalf of the Lenders.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5/2/2023</w:t>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hurn2023331exhibit311.htm">
              <w:r>
                <w:rPr>
                  <w:rStyle w:val="InternetLink"/>
                  <w:rFonts w:ascii="Arial Narrow;sans-serif" w:hAnsi="Arial Narrow;sans-serif"/>
                  <w:b w:val="false"/>
                  <w:color w:val="0000FF"/>
                  <w:sz w:val="18"/>
                  <w:u w:val="single"/>
                </w:rPr>
                <w:t>Certification of the Chief Executive Officer, pursuant to Rule 13a-14(a)/15d-14(a),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hurn2023331exhibit312.htm">
              <w:r>
                <w:rPr>
                  <w:rStyle w:val="InternetLink"/>
                  <w:rFonts w:ascii="Arial Narrow;sans-serif" w:hAnsi="Arial Narrow;sans-serif"/>
                  <w:b w:val="false"/>
                  <w:color w:val="0000FF"/>
                  <w:sz w:val="18"/>
                  <w:u w:val="single"/>
                </w:rPr>
                <w:t>Certification of the Chief Financial Officer, pursuant to Rule 13a-14(a)/15d-14(a),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hurn2023331exhibit321.htm">
              <w:r>
                <w:rPr>
                  <w:rStyle w:val="InternetLink"/>
                  <w:rFonts w:ascii="Arial Narrow;sans-serif" w:hAnsi="Arial Narrow;sans-serif"/>
                  <w:b w:val="false"/>
                  <w:color w:val="0000FF"/>
                  <w:sz w:val="18"/>
                  <w:u w:val="single"/>
                </w:rPr>
                <w:t>Certification of the Chief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hurn2023331exhibit322.htm">
              <w:r>
                <w:rPr>
                  <w:rStyle w:val="InternetLink"/>
                  <w:rFonts w:ascii="Arial Narrow;sans-serif" w:hAnsi="Arial Narrow;sans-serif"/>
                  <w:b w:val="false"/>
                  <w:color w:val="0000FF"/>
                  <w:sz w:val="18"/>
                  <w:u w:val="single"/>
                </w:rPr>
                <w:t>Certification of the Chief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rPr/>
      </w:pPr>
      <w:r>
        <w:rPr>
          <w:color w:val="000000"/>
        </w:rPr>
        <w:t>††    </w:t>
      </w:r>
      <w:r>
        <w:rPr>
          <w:rFonts w:ascii="Arial Narrow;sans-serif" w:hAnsi="Arial Narrow;sans-serif"/>
          <w:b w:val="false"/>
          <w:color w:val="000000"/>
          <w:sz w:val="18"/>
        </w:rPr>
        <w:t>Pursuant to Regulation S-K 601(b)(10)(iv), certain exhibits to this Exhibit have been omitted. The Company agrees to furnish supplementally to the Securities and Exchange Commission, upon its request, a copy of any or all omitted exhibits.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35</w:t>
                      </w:r>
                    </w:p>
                  </w:txbxContent>
                </v:textbox>
              </v:rect>
            </w:pict>
          </mc:Fallback>
        </mc:AlternateContent>
      </w:r>
    </w:p>
    <w:p>
      <w:pPr>
        <w:pStyle w:val="TextBody"/>
        <w:spacing w:lineRule="auto" w:line="288" w:before="0" w:after="0"/>
        <w:rPr/>
      </w:pPr>
      <w:hyperlink w:anchor="i062faa98e99f4764823b70df7ba2f407_7">
        <w:r>
          <w:rPr>
            <w:rStyle w:val="InternetLink"/>
            <w:rFonts w:ascii="Arial Narrow;sans-serif" w:hAnsi="Arial Narrow;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180" w:after="283"/>
        <w:rPr>
          <w:color w:val="000000"/>
        </w:rPr>
      </w:pPr>
      <w:r>
        <w:rPr>
          <w:color w:val="000000"/>
        </w:rPr>
        <w:t> </w:t>
      </w:r>
    </w:p>
    <w:tbl>
      <w:tblPr>
        <w:tblW w:w="4943" w:type="dxa"/>
        <w:jc w:val="left"/>
        <w:tblInd w:w="0" w:type="dxa"/>
        <w:tblCellMar>
          <w:top w:w="28" w:type="dxa"/>
          <w:left w:w="28" w:type="dxa"/>
          <w:bottom w:w="28" w:type="dxa"/>
          <w:right w:w="28" w:type="dxa"/>
        </w:tblCellMar>
      </w:tblPr>
      <w:tblGrid>
        <w:gridCol w:w="184"/>
        <w:gridCol w:w="162"/>
        <w:gridCol w:w="164"/>
        <w:gridCol w:w="329"/>
        <w:gridCol w:w="329"/>
        <w:gridCol w:w="331"/>
        <w:gridCol w:w="109"/>
        <w:gridCol w:w="109"/>
        <w:gridCol w:w="109"/>
        <w:gridCol w:w="109"/>
        <w:gridCol w:w="109"/>
        <w:gridCol w:w="109"/>
        <w:gridCol w:w="817"/>
        <w:gridCol w:w="817"/>
        <w:gridCol w:w="1156"/>
      </w:tblGrid>
      <w:tr>
        <w:trPr/>
        <w:tc>
          <w:tcPr>
            <w:tcW w:w="1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v:rect>
            </w:pict>
          </mc:Fallback>
        </mc:AlternateContent>
      </w:r>
    </w:p>
    <w:p>
      <w:pPr>
        <w:pStyle w:val="TextBody"/>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5688" w:type="dxa"/>
        <w:jc w:val="left"/>
        <w:tblInd w:w="0" w:type="dxa"/>
        <w:tblCellMar>
          <w:top w:w="28" w:type="dxa"/>
          <w:left w:w="28" w:type="dxa"/>
          <w:bottom w:w="28" w:type="dxa"/>
          <w:right w:w="28" w:type="dxa"/>
        </w:tblCellMar>
      </w:tblPr>
      <w:tblGrid>
        <w:gridCol w:w="216"/>
        <w:gridCol w:w="190"/>
        <w:gridCol w:w="193"/>
        <w:gridCol w:w="109"/>
        <w:gridCol w:w="109"/>
        <w:gridCol w:w="109"/>
        <w:gridCol w:w="329"/>
        <w:gridCol w:w="329"/>
        <w:gridCol w:w="331"/>
        <w:gridCol w:w="109"/>
        <w:gridCol w:w="109"/>
        <w:gridCol w:w="109"/>
        <w:gridCol w:w="110"/>
        <w:gridCol w:w="110"/>
        <w:gridCol w:w="110"/>
        <w:gridCol w:w="109"/>
        <w:gridCol w:w="109"/>
        <w:gridCol w:w="109"/>
        <w:gridCol w:w="815"/>
        <w:gridCol w:w="815"/>
        <w:gridCol w:w="1159"/>
      </w:tblGrid>
      <w:tr>
        <w:trPr/>
        <w:tc>
          <w:tcPr>
            <w:tcW w:w="2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color w:val="000000"/>
        </w:rPr>
      </w:pPr>
      <w:r>
        <w:rPr>
          <w:color w:val="000000"/>
        </w:rPr>
        <w:t> </w:t>
      </w:r>
    </w:p>
    <w:tbl>
      <w:tblPr>
        <w:tblW w:w="5688" w:type="dxa"/>
        <w:jc w:val="left"/>
        <w:tblInd w:w="0" w:type="dxa"/>
        <w:tblCellMar>
          <w:top w:w="28" w:type="dxa"/>
          <w:left w:w="28" w:type="dxa"/>
          <w:bottom w:w="28" w:type="dxa"/>
          <w:right w:w="28" w:type="dxa"/>
        </w:tblCellMar>
      </w:tblPr>
      <w:tblGrid>
        <w:gridCol w:w="216"/>
        <w:gridCol w:w="190"/>
        <w:gridCol w:w="193"/>
        <w:gridCol w:w="109"/>
        <w:gridCol w:w="109"/>
        <w:gridCol w:w="109"/>
        <w:gridCol w:w="329"/>
        <w:gridCol w:w="329"/>
        <w:gridCol w:w="331"/>
        <w:gridCol w:w="109"/>
        <w:gridCol w:w="109"/>
        <w:gridCol w:w="109"/>
        <w:gridCol w:w="110"/>
        <w:gridCol w:w="110"/>
        <w:gridCol w:w="110"/>
        <w:gridCol w:w="109"/>
        <w:gridCol w:w="109"/>
        <w:gridCol w:w="109"/>
        <w:gridCol w:w="815"/>
        <w:gridCol w:w="815"/>
        <w:gridCol w:w="1159"/>
      </w:tblGrid>
      <w:tr>
        <w:trPr/>
        <w:tc>
          <w:tcPr>
            <w:tcW w:w="2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spacing w:lineRule="auto" w:line="288" w:before="180" w:after="283"/>
        <w:ind w:left="0" w:right="0" w:firstLine="540"/>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March 31, 2023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spacing w:lineRule="auto" w:line="288" w:before="18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spacing w:lineRule="auto" w:line="288" w:before="18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5688" w:type="dxa"/>
        <w:jc w:val="left"/>
        <w:tblInd w:w="0" w:type="dxa"/>
        <w:tblCellMar>
          <w:top w:w="28" w:type="dxa"/>
          <w:left w:w="28" w:type="dxa"/>
          <w:bottom w:w="28" w:type="dxa"/>
          <w:right w:w="28" w:type="dxa"/>
        </w:tblCellMar>
      </w:tblPr>
      <w:tblGrid>
        <w:gridCol w:w="216"/>
        <w:gridCol w:w="190"/>
        <w:gridCol w:w="193"/>
        <w:gridCol w:w="109"/>
        <w:gridCol w:w="109"/>
        <w:gridCol w:w="109"/>
        <w:gridCol w:w="329"/>
        <w:gridCol w:w="329"/>
        <w:gridCol w:w="331"/>
        <w:gridCol w:w="109"/>
        <w:gridCol w:w="109"/>
        <w:gridCol w:w="109"/>
        <w:gridCol w:w="110"/>
        <w:gridCol w:w="110"/>
        <w:gridCol w:w="110"/>
        <w:gridCol w:w="109"/>
        <w:gridCol w:w="109"/>
        <w:gridCol w:w="109"/>
        <w:gridCol w:w="815"/>
        <w:gridCol w:w="815"/>
        <w:gridCol w:w="1159"/>
      </w:tblGrid>
      <w:tr>
        <w:trPr/>
        <w:tc>
          <w:tcPr>
            <w:tcW w:w="2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spacing w:lineRule="auto" w:line="288" w:before="80" w:after="283"/>
        <w:ind w:left="0" w:right="0" w:firstLine="540"/>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spacing w:lineRule="auto" w:line="288" w:before="180" w:after="283"/>
        <w:ind w:left="0" w:right="0" w:firstLine="540"/>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spacing w:lineRule="auto" w:line="288" w:before="180" w:after="283"/>
        <w:ind w:left="0" w:right="0" w:firstLine="540"/>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March 31, 2023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spacing w:lineRule="auto" w:line="288" w:before="18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spacing w:lineRule="auto" w:line="288" w:before="180" w:after="283"/>
        <w:ind w:left="0" w:right="0" w:hanging="360"/>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5688" w:type="dxa"/>
        <w:jc w:val="left"/>
        <w:tblInd w:w="0" w:type="dxa"/>
        <w:tblCellMar>
          <w:top w:w="28" w:type="dxa"/>
          <w:left w:w="28" w:type="dxa"/>
          <w:bottom w:w="28" w:type="dxa"/>
          <w:right w:w="28" w:type="dxa"/>
        </w:tblCellMar>
      </w:tblPr>
      <w:tblGrid>
        <w:gridCol w:w="216"/>
        <w:gridCol w:w="190"/>
        <w:gridCol w:w="193"/>
        <w:gridCol w:w="109"/>
        <w:gridCol w:w="109"/>
        <w:gridCol w:w="109"/>
        <w:gridCol w:w="329"/>
        <w:gridCol w:w="329"/>
        <w:gridCol w:w="331"/>
        <w:gridCol w:w="109"/>
        <w:gridCol w:w="109"/>
        <w:gridCol w:w="109"/>
        <w:gridCol w:w="110"/>
        <w:gridCol w:w="110"/>
        <w:gridCol w:w="110"/>
        <w:gridCol w:w="109"/>
        <w:gridCol w:w="109"/>
        <w:gridCol w:w="109"/>
        <w:gridCol w:w="815"/>
        <w:gridCol w:w="815"/>
        <w:gridCol w:w="1159"/>
      </w:tblGrid>
      <w:tr>
        <w:trPr/>
        <w:tc>
          <w:tcPr>
            <w:tcW w:w="2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spacing w:lineRule="auto" w:line="288" w:before="80" w:after="283"/>
        <w:ind w:left="0" w:right="0" w:firstLine="540"/>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spacing w:lineRule="auto" w:line="288" w:before="180" w:after="283"/>
        <w:ind w:left="0" w:right="0" w:firstLine="540"/>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r>
        <w:br w:type="page"/>
      </w:r>
    </w:p>
    <w:p>
      <w:pPr>
        <w:pStyle w:val="TextBody"/>
        <w:spacing w:before="0" w:after="283"/>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Narrow">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9848/000128984823000045/exhibit101creditfacilityam.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22369</Words>
  <CharactersWithSpaces>148758</CharactersWithSpaces>
  <Paragraphs>2319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